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58" w:rsidRDefault="00246C58" w:rsidP="00246C58">
      <w:pPr>
        <w:pStyle w:val="Nadpis1"/>
        <w:jc w:val="both"/>
      </w:pPr>
      <w:r>
        <w:rPr>
          <w:rFonts w:cs="Arial"/>
          <w:sz w:val="28"/>
        </w:rPr>
        <w:t>3. Pracovní neschopnost pro nemoc a úraz v České republice za rok 2015</w:t>
      </w:r>
    </w:p>
    <w:p w:rsidR="00741BE5" w:rsidRDefault="00741BE5" w:rsidP="00246C58">
      <w:pPr>
        <w:autoSpaceDE w:val="0"/>
        <w:autoSpaceDN w:val="0"/>
        <w:adjustRightInd w:val="0"/>
        <w:spacing w:after="200"/>
        <w:jc w:val="both"/>
        <w:rPr>
          <w:rFonts w:eastAsia="MS Gothic" w:cs="Arial"/>
          <w:b/>
          <w:bCs/>
          <w:color w:val="BC091B"/>
          <w:sz w:val="24"/>
        </w:rPr>
      </w:pPr>
    </w:p>
    <w:p w:rsidR="00246C58" w:rsidRDefault="00246C58" w:rsidP="00246C58">
      <w:pPr>
        <w:autoSpaceDE w:val="0"/>
        <w:autoSpaceDN w:val="0"/>
        <w:adjustRightInd w:val="0"/>
        <w:spacing w:after="200"/>
        <w:jc w:val="both"/>
        <w:rPr>
          <w:rFonts w:eastAsia="MS Gothic" w:cs="Arial"/>
          <w:b/>
          <w:bCs/>
          <w:color w:val="BC091B"/>
          <w:sz w:val="24"/>
        </w:rPr>
      </w:pPr>
      <w:r>
        <w:rPr>
          <w:rFonts w:eastAsia="MS Gothic" w:cs="Arial"/>
          <w:b/>
          <w:bCs/>
          <w:color w:val="BC091B"/>
          <w:sz w:val="24"/>
        </w:rPr>
        <w:t>3.1. Nemocensky pojištěné osoby</w:t>
      </w:r>
    </w:p>
    <w:p w:rsidR="00246C58" w:rsidRDefault="00246C58" w:rsidP="00246C58">
      <w:pPr>
        <w:ind w:firstLine="708"/>
        <w:jc w:val="both"/>
        <w:rPr>
          <w:rFonts w:cs="Arial"/>
          <w:b/>
        </w:rPr>
      </w:pPr>
      <w:r>
        <w:rPr>
          <w:rFonts w:cs="Arial"/>
          <w:b/>
        </w:rPr>
        <w:t>Základním ukazatelem,</w:t>
      </w:r>
      <w:r>
        <w:rPr>
          <w:rFonts w:cs="Arial"/>
        </w:rPr>
        <w:t xml:space="preserve"> ke kterému se vztahují údaje o pracovní neschopnosti, </w:t>
      </w:r>
      <w:r>
        <w:rPr>
          <w:rFonts w:cs="Arial"/>
          <w:b/>
        </w:rPr>
        <w:t xml:space="preserve">je ukazatel průměrného počtu nemocensky pojištěných osob. </w:t>
      </w:r>
    </w:p>
    <w:p w:rsidR="00246C58" w:rsidRDefault="00246C58" w:rsidP="00246C58">
      <w:pPr>
        <w:ind w:firstLine="708"/>
        <w:jc w:val="both"/>
        <w:rPr>
          <w:rFonts w:cs="Arial"/>
          <w:b/>
        </w:rPr>
      </w:pPr>
    </w:p>
    <w:p w:rsidR="00246C58" w:rsidRDefault="00246C58" w:rsidP="00246C58">
      <w:pPr>
        <w:ind w:firstLine="708"/>
        <w:jc w:val="both"/>
        <w:rPr>
          <w:rFonts w:cs="Arial"/>
        </w:rPr>
      </w:pPr>
      <w:r>
        <w:rPr>
          <w:rFonts w:cs="Arial"/>
          <w:b/>
        </w:rPr>
        <w:t>Průměrný počet nemocensky pojištěných za rok 2015</w:t>
      </w:r>
      <w:r>
        <w:rPr>
          <w:rFonts w:cs="Arial"/>
        </w:rPr>
        <w:t xml:space="preserve"> činil 4 507 tis. osob, z čehož 51 % tvořili </w:t>
      </w:r>
      <w:r>
        <w:rPr>
          <w:rFonts w:cs="Arial"/>
          <w:b/>
        </w:rPr>
        <w:t>muži,</w:t>
      </w:r>
      <w:r>
        <w:rPr>
          <w:rFonts w:cs="Arial"/>
        </w:rPr>
        <w:t xml:space="preserve"> </w:t>
      </w:r>
      <w:r>
        <w:rPr>
          <w:rFonts w:cs="Arial"/>
          <w:b/>
        </w:rPr>
        <w:t>oproti roku 2014</w:t>
      </w:r>
      <w:r>
        <w:rPr>
          <w:rFonts w:cs="Arial"/>
        </w:rPr>
        <w:t xml:space="preserve"> průměrný počet pojištěnců </w:t>
      </w:r>
      <w:r>
        <w:rPr>
          <w:rFonts w:cs="Arial"/>
          <w:b/>
        </w:rPr>
        <w:t xml:space="preserve">vzrostl o 43 tis. osob. </w:t>
      </w:r>
      <w:r>
        <w:rPr>
          <w:rFonts w:cs="Arial"/>
          <w:color w:val="FF0000"/>
        </w:rPr>
        <w:t xml:space="preserve"> </w:t>
      </w:r>
      <w:r>
        <w:rPr>
          <w:rFonts w:cs="Arial"/>
        </w:rPr>
        <w:t xml:space="preserve">Průměrný počet nemocensky pojištěn </w:t>
      </w:r>
      <w:r>
        <w:rPr>
          <w:rFonts w:cs="Arial"/>
          <w:b/>
        </w:rPr>
        <w:t>žen</w:t>
      </w:r>
      <w:r>
        <w:rPr>
          <w:rFonts w:cs="Arial"/>
        </w:rPr>
        <w:t xml:space="preserve"> meziročně vzrostl z 2 191,2 tis. osob v roce 2014 na 2 205,7  tis. osob v roce 2015  (tj. o 0,7 </w:t>
      </w:r>
      <w:r>
        <w:rPr>
          <w:rFonts w:cs="Arial"/>
          <w:lang w:val="en-US"/>
        </w:rPr>
        <w:t>%</w:t>
      </w:r>
      <w:r>
        <w:rPr>
          <w:rFonts w:cs="Arial"/>
        </w:rPr>
        <w:t xml:space="preserve">). </w:t>
      </w:r>
    </w:p>
    <w:p w:rsidR="00246C58" w:rsidRDefault="00246C58" w:rsidP="00246C58">
      <w:pPr>
        <w:ind w:firstLine="708"/>
        <w:jc w:val="both"/>
        <w:rPr>
          <w:rFonts w:cs="Arial"/>
          <w:b/>
        </w:rPr>
      </w:pPr>
    </w:p>
    <w:p w:rsidR="00246C58" w:rsidRDefault="00246C58" w:rsidP="00246C58">
      <w:pPr>
        <w:ind w:firstLine="708"/>
        <w:jc w:val="both"/>
        <w:rPr>
          <w:rFonts w:cs="Arial"/>
          <w:b/>
        </w:rPr>
      </w:pPr>
      <w:r>
        <w:rPr>
          <w:rFonts w:cs="Arial"/>
          <w:b/>
        </w:rPr>
        <w:t>Podíl mladistvých</w:t>
      </w:r>
      <w:r>
        <w:rPr>
          <w:rFonts w:cs="Arial"/>
        </w:rPr>
        <w:t xml:space="preserve"> na celkovém počtu nemocensky pojištěných se meziročně snížil z 8,2 tis. osob v roce 2014 na 7,3 v roce 2015 (tj. o 12,3 %). </w:t>
      </w:r>
    </w:p>
    <w:p w:rsidR="00246C58" w:rsidRDefault="00246C58" w:rsidP="00246C58">
      <w:pPr>
        <w:ind w:firstLine="708"/>
        <w:jc w:val="both"/>
        <w:rPr>
          <w:rFonts w:cs="Arial"/>
          <w:b/>
        </w:rPr>
      </w:pPr>
    </w:p>
    <w:p w:rsidR="00835005" w:rsidRDefault="00246C58" w:rsidP="00246C58">
      <w:pPr>
        <w:ind w:firstLine="708"/>
        <w:jc w:val="both"/>
        <w:rPr>
          <w:rFonts w:cs="Arial"/>
        </w:rPr>
      </w:pPr>
      <w:r>
        <w:rPr>
          <w:rFonts w:cs="Arial"/>
          <w:b/>
        </w:rPr>
        <w:t>Průměrný počet nemocensky pojištěných OSVČ</w:t>
      </w:r>
      <w:r>
        <w:rPr>
          <w:rFonts w:cs="Arial"/>
        </w:rPr>
        <w:t xml:space="preserve"> oproti loňskému roku poklesl o 16,3 tis. osob na 89,4 tis. osob (v roce 2014 105,7 tis. osob). </w:t>
      </w:r>
      <w:r>
        <w:rPr>
          <w:rFonts w:cs="Arial"/>
          <w:b/>
        </w:rPr>
        <w:t>Zatímco počet nemocensky pojištěných zaměstnanců má stoupající trend</w:t>
      </w:r>
      <w:r>
        <w:rPr>
          <w:rFonts w:cs="Arial"/>
        </w:rPr>
        <w:t xml:space="preserve">, </w:t>
      </w:r>
      <w:r>
        <w:rPr>
          <w:rFonts w:cs="Arial"/>
          <w:b/>
        </w:rPr>
        <w:t>počet</w:t>
      </w:r>
      <w:r>
        <w:rPr>
          <w:rFonts w:cs="Arial"/>
        </w:rPr>
        <w:t xml:space="preserve"> dobrovolně nemocensky pojištěných </w:t>
      </w:r>
      <w:r>
        <w:rPr>
          <w:rFonts w:cs="Arial"/>
          <w:b/>
        </w:rPr>
        <w:t>samostatně výdělečně činných (OSVČ)</w:t>
      </w:r>
      <w:r>
        <w:rPr>
          <w:rFonts w:cs="Arial"/>
        </w:rPr>
        <w:t xml:space="preserve"> </w:t>
      </w:r>
      <w:r>
        <w:rPr>
          <w:rFonts w:cs="Arial"/>
          <w:b/>
        </w:rPr>
        <w:t>se postupně neustále snižuje</w:t>
      </w:r>
      <w:r w:rsidRPr="009E2196">
        <w:rPr>
          <w:rFonts w:cs="Arial"/>
        </w:rPr>
        <w:t xml:space="preserve">. </w:t>
      </w:r>
    </w:p>
    <w:p w:rsidR="00712B28" w:rsidRDefault="00712B28" w:rsidP="00712B28">
      <w:pPr>
        <w:ind w:firstLine="708"/>
        <w:jc w:val="both"/>
        <w:rPr>
          <w:rFonts w:cs="Arial"/>
        </w:rPr>
      </w:pPr>
      <w:r>
        <w:rPr>
          <w:rFonts w:cs="Arial"/>
          <w:b/>
        </w:rPr>
        <w:t>Celkový průměrný počet nemocensky pojištěných osob</w:t>
      </w:r>
      <w:r>
        <w:rPr>
          <w:rFonts w:cs="Arial"/>
        </w:rPr>
        <w:t xml:space="preserve"> (v rámci pojištění zaměstnanců a OSVČ) </w:t>
      </w:r>
      <w:r>
        <w:rPr>
          <w:rFonts w:cs="Arial"/>
          <w:b/>
        </w:rPr>
        <w:t>se v průběhu let 2005 – 2015</w:t>
      </w:r>
      <w:r>
        <w:rPr>
          <w:rFonts w:cs="Arial"/>
        </w:rPr>
        <w:t xml:space="preserve"> zvýšil o 54,3 tis. osob (tj. o 1,2 %), z toho počet mužů klesl o 70,4 tis., naopak počet žen stoupl o 124,7 tis. </w:t>
      </w:r>
      <w:r>
        <w:rPr>
          <w:rFonts w:cs="Arial"/>
          <w:b/>
        </w:rPr>
        <w:t xml:space="preserve">Podíl OSVĆ </w:t>
      </w:r>
      <w:r>
        <w:rPr>
          <w:rFonts w:cs="Arial"/>
        </w:rPr>
        <w:t>se v průběhu sledovaného období snížil o 148,3 tis. osob. (tj o 36,7 %), z toho počet mužů klesl o 111,9 tis. a počet žen se snížilo 36,4 tis</w:t>
      </w:r>
      <w:r>
        <w:rPr>
          <w:rFonts w:cs="Arial"/>
          <w:b/>
        </w:rPr>
        <w:t>. Podíl mladistvých</w:t>
      </w:r>
      <w:r>
        <w:rPr>
          <w:rFonts w:cs="Arial"/>
        </w:rPr>
        <w:t xml:space="preserve"> na celkovém počtu nemocensky pojištěných se v absolutním vyjádření v období let 2005 – 2015 zvýšil z 7,1 tis. na 7,3 tis (tj. o 0,3 %). </w:t>
      </w:r>
      <w:r>
        <w:rPr>
          <w:rFonts w:cs="Arial"/>
          <w:b/>
          <w:color w:val="FF0000"/>
        </w:rPr>
        <w:t xml:space="preserve"> </w:t>
      </w:r>
      <w:r w:rsidRPr="00DE54D0">
        <w:rPr>
          <w:rFonts w:cs="Arial"/>
        </w:rPr>
        <w:t>(viz tab.</w:t>
      </w:r>
      <w:r w:rsidR="00547C98">
        <w:rPr>
          <w:rFonts w:cs="Arial"/>
        </w:rPr>
        <w:t xml:space="preserve"> </w:t>
      </w:r>
      <w:r w:rsidRPr="00DE54D0">
        <w:rPr>
          <w:rFonts w:cs="Arial"/>
        </w:rPr>
        <w:t>č</w:t>
      </w:r>
      <w:r>
        <w:rPr>
          <w:rFonts w:cs="Arial"/>
        </w:rPr>
        <w:t>. 1</w:t>
      </w:r>
      <w:r w:rsidRPr="00DE54D0">
        <w:rPr>
          <w:rFonts w:cs="Arial"/>
        </w:rPr>
        <w:t>).    </w:t>
      </w:r>
    </w:p>
    <w:p w:rsidR="00835005" w:rsidRDefault="00246C58" w:rsidP="00246C58">
      <w:pPr>
        <w:ind w:firstLine="708"/>
        <w:jc w:val="both"/>
        <w:rPr>
          <w:rFonts w:cs="Arial"/>
        </w:rPr>
      </w:pPr>
      <w:r w:rsidRPr="00DE54D0">
        <w:rPr>
          <w:rFonts w:cs="Arial"/>
        </w:rPr>
        <w:t xml:space="preserve">Mírné zvýšení počtu pojištěných v roce 2010 zřejmě ovlivnila  - </w:t>
      </w:r>
      <w:r w:rsidRPr="000A70E0">
        <w:rPr>
          <w:rFonts w:cs="Arial"/>
        </w:rPr>
        <w:t>z pohledu nemocenských dávek</w:t>
      </w:r>
      <w:r w:rsidRPr="00DE54D0">
        <w:rPr>
          <w:rFonts w:cs="Arial"/>
        </w:rPr>
        <w:t xml:space="preserve"> - pro  OSVĆ výhodnější legislativní úprava platná v letech 2009 - </w:t>
      </w:r>
      <w:r>
        <w:rPr>
          <w:rFonts w:cs="Arial"/>
        </w:rPr>
        <w:t>20</w:t>
      </w:r>
      <w:r w:rsidRPr="00DE54D0">
        <w:rPr>
          <w:rFonts w:cs="Arial"/>
        </w:rPr>
        <w:t>10.  Po její změně začal počet nemocensky pojištěných OSVĆ opět klesat (viz tab.č</w:t>
      </w:r>
      <w:r>
        <w:rPr>
          <w:rFonts w:cs="Arial"/>
        </w:rPr>
        <w:t>. 1</w:t>
      </w:r>
      <w:r w:rsidRPr="00DE54D0">
        <w:rPr>
          <w:rFonts w:cs="Arial"/>
        </w:rPr>
        <w:t xml:space="preserve">).     </w:t>
      </w:r>
    </w:p>
    <w:p w:rsidR="00246C58" w:rsidRDefault="00246C58" w:rsidP="00246C58">
      <w:pPr>
        <w:ind w:firstLine="708"/>
        <w:jc w:val="both"/>
        <w:rPr>
          <w:b/>
          <w:bCs/>
          <w:sz w:val="23"/>
          <w:szCs w:val="23"/>
        </w:rPr>
      </w:pPr>
      <w:r w:rsidRPr="00DE54D0">
        <w:rPr>
          <w:rFonts w:ascii="Segoe UI" w:hAnsi="Segoe UI" w:cs="Segoe UI"/>
          <w:szCs w:val="20"/>
        </w:rPr>
        <w:t> </w:t>
      </w:r>
      <w:r>
        <w:rPr>
          <w:rFonts w:cs="Arial"/>
          <w:b/>
          <w:bCs/>
          <w:color w:val="000000"/>
          <w:szCs w:val="20"/>
        </w:rPr>
        <w:t>Výrazný nárůst průměrné výše nemocenského OSVČ</w:t>
      </w:r>
      <w:r>
        <w:rPr>
          <w:rFonts w:cs="Arial"/>
          <w:bCs/>
          <w:color w:val="000000"/>
          <w:szCs w:val="20"/>
        </w:rPr>
        <w:t xml:space="preserve"> v roce 2010 a 2011 </w:t>
      </w:r>
      <w:r>
        <w:rPr>
          <w:rFonts w:cs="Arial"/>
          <w:b/>
          <w:bCs/>
          <w:color w:val="000000"/>
          <w:szCs w:val="20"/>
        </w:rPr>
        <w:t>byl způsoben právní úpravou</w:t>
      </w:r>
      <w:r>
        <w:rPr>
          <w:rFonts w:cs="Arial"/>
          <w:bCs/>
          <w:color w:val="000000"/>
          <w:szCs w:val="20"/>
        </w:rPr>
        <w:t xml:space="preserve">, </w:t>
      </w:r>
      <w:r>
        <w:rPr>
          <w:rFonts w:cs="Arial"/>
          <w:b/>
          <w:bCs/>
          <w:color w:val="000000"/>
          <w:szCs w:val="20"/>
        </w:rPr>
        <w:t>která byla pro OSVČ výhodná</w:t>
      </w:r>
      <w:r>
        <w:rPr>
          <w:rFonts w:cs="Arial"/>
          <w:bCs/>
          <w:color w:val="000000"/>
          <w:szCs w:val="20"/>
        </w:rPr>
        <w:t>. Protože rozhodné období pro stanovení výše nemocenského OSVČ je předchozích 12 kalendářních měsíců, projevila se úprava platná v roce 2009 až 2010 až o rok později.</w:t>
      </w:r>
      <w:r>
        <w:rPr>
          <w:rFonts w:cs="Arial"/>
          <w:b/>
          <w:bCs/>
          <w:color w:val="000000"/>
          <w:szCs w:val="20"/>
        </w:rPr>
        <w:t xml:space="preserve"> Nižší výdaje na nemocenské zaměstnanců v období 2011 až 2013</w:t>
      </w:r>
      <w:r>
        <w:rPr>
          <w:rFonts w:cs="Arial"/>
          <w:bCs/>
          <w:color w:val="000000"/>
          <w:szCs w:val="20"/>
        </w:rPr>
        <w:t xml:space="preserve"> odráží skutečnost, že n</w:t>
      </w:r>
      <w:r>
        <w:rPr>
          <w:rFonts w:cs="Arial"/>
          <w:b/>
          <w:bCs/>
          <w:color w:val="000000"/>
          <w:szCs w:val="20"/>
        </w:rPr>
        <w:t xml:space="preserve">emocenské náleželo až od 22. dne dočasné pracovní neschopnosti. </w:t>
      </w:r>
      <w:r>
        <w:rPr>
          <w:rFonts w:cs="Arial"/>
          <w:bCs/>
          <w:color w:val="000000"/>
          <w:szCs w:val="20"/>
        </w:rPr>
        <w:t>Z celkových výdajů nemocenského pojištění představovaly v roce 2014 výdaje na nemocenské 63 %. V roce 2012, kdy zaměstnavatelé platili náhradu mzdy za první tři týdny dočasné pracovní neschopnosti, byl podíl výdajů na nemocenské o 4 p. b. nižší.</w:t>
      </w:r>
      <w:r>
        <w:rPr>
          <w:rFonts w:cs="Arial"/>
          <w:b/>
          <w:bCs/>
          <w:color w:val="000000"/>
          <w:szCs w:val="20"/>
        </w:rPr>
        <w:t xml:space="preserve"> V roce 2014</w:t>
      </w:r>
      <w:r>
        <w:rPr>
          <w:rFonts w:cs="Arial"/>
          <w:bCs/>
          <w:color w:val="000000"/>
          <w:szCs w:val="20"/>
        </w:rPr>
        <w:t xml:space="preserve"> byla pro zaměstnance zákonem daná sazba o 0,3 p. b. vyšší než ta, která by stačila na pokrytí výdajů na nemocenské dávky. A v letech 2011 až 2013, kdy zaměstnavatelé vypláceli náhradu mzdy o jeden týden déle, byla sazba daná zákonem o 0,5 p. b. vyšší než potřebná sazba. S novým zákonem o nemocenském pojištění a s novelou zákona o pojistném na sociální zabezpečení došlo </w:t>
      </w:r>
      <w:r>
        <w:rPr>
          <w:rFonts w:cs="Arial"/>
          <w:b/>
          <w:bCs/>
          <w:color w:val="000000"/>
          <w:szCs w:val="20"/>
        </w:rPr>
        <w:t>v období 2009 až 2012</w:t>
      </w:r>
      <w:r>
        <w:rPr>
          <w:rFonts w:cs="Arial"/>
          <w:bCs/>
          <w:color w:val="000000"/>
          <w:szCs w:val="20"/>
        </w:rPr>
        <w:t xml:space="preserve"> k výrazným změnám, - potřebná pojistná sazba pro OSVČ byla mnohokrát vyšší než pojistná sazba, stanovená zákonem. Tato disproporce byla korigována legislativní úpravou, která vstoupila v účinnost </w:t>
      </w:r>
      <w:r>
        <w:rPr>
          <w:rFonts w:cs="Arial"/>
          <w:b/>
          <w:bCs/>
          <w:color w:val="000000"/>
          <w:szCs w:val="20"/>
        </w:rPr>
        <w:t>od 1. 1. 2011</w:t>
      </w:r>
      <w:r>
        <w:rPr>
          <w:rFonts w:cs="Arial"/>
          <w:bCs/>
          <w:color w:val="000000"/>
          <w:szCs w:val="20"/>
        </w:rPr>
        <w:t xml:space="preserve">, přesto </w:t>
      </w:r>
      <w:r>
        <w:rPr>
          <w:rFonts w:cs="Arial"/>
          <w:b/>
          <w:bCs/>
          <w:color w:val="000000"/>
          <w:szCs w:val="20"/>
        </w:rPr>
        <w:t>i v roce 2014 čerpaly OSVČ</w:t>
      </w:r>
      <w:r>
        <w:rPr>
          <w:rFonts w:cs="Arial"/>
          <w:bCs/>
          <w:color w:val="000000"/>
          <w:szCs w:val="20"/>
        </w:rPr>
        <w:t xml:space="preserve"> na dávkách nemocenského pojištění více než odvedly na pojistném.</w:t>
      </w:r>
      <w:r>
        <w:rPr>
          <w:b/>
          <w:bCs/>
          <w:sz w:val="23"/>
          <w:szCs w:val="23"/>
        </w:rPr>
        <w:t xml:space="preserve"> </w:t>
      </w:r>
    </w:p>
    <w:p w:rsidR="00246C58" w:rsidRDefault="00246C58" w:rsidP="00246C58">
      <w:pPr>
        <w:ind w:firstLine="708"/>
        <w:jc w:val="both"/>
        <w:rPr>
          <w:rFonts w:cs="Arial"/>
        </w:rPr>
      </w:pPr>
      <w:r>
        <w:rPr>
          <w:bCs/>
          <w:sz w:val="23"/>
          <w:szCs w:val="23"/>
        </w:rPr>
        <w:t>U</w:t>
      </w:r>
      <w:r>
        <w:rPr>
          <w:rFonts w:cs="Arial"/>
          <w:bCs/>
          <w:color w:val="000000"/>
          <w:szCs w:val="20"/>
        </w:rPr>
        <w:t xml:space="preserve">vedené informace, vycházejí z Analýzy nemocenského pojištění 2015, vydávané </w:t>
      </w:r>
      <w:r>
        <w:t>Ministerstvem práce a sociálních věcí (MPSV), obsahuje shrnutí</w:t>
      </w:r>
      <w:r>
        <w:rPr>
          <w:rFonts w:cs="Arial"/>
          <w:bCs/>
          <w:color w:val="000000"/>
          <w:szCs w:val="20"/>
        </w:rPr>
        <w:t xml:space="preserve"> legislativního vývoje a data o všech typech dávek systému nemocenského pojištění </w:t>
      </w:r>
      <w:hyperlink r:id="rId8" w:history="1">
        <w:r>
          <w:rPr>
            <w:rStyle w:val="Hypertextovodkaz"/>
            <w:rFonts w:eastAsia="MS Gothic" w:cs="Arial"/>
            <w:bCs/>
            <w:szCs w:val="20"/>
          </w:rPr>
          <w:t>http://www.mpsv.cz/files/clanky/23180/Analyza_nemocenskeho_pojisteni_2015.pdf</w:t>
        </w:r>
      </w:hyperlink>
      <w:r>
        <w:rPr>
          <w:rFonts w:cs="Arial"/>
          <w:bCs/>
          <w:color w:val="000000"/>
          <w:szCs w:val="20"/>
        </w:rPr>
        <w:t xml:space="preserve">     </w:t>
      </w:r>
    </w:p>
    <w:p w:rsidR="00246C58" w:rsidRDefault="00246C58" w:rsidP="00246C58">
      <w:pPr>
        <w:ind w:firstLine="708"/>
        <w:jc w:val="both"/>
        <w:rPr>
          <w:rFonts w:cs="Arial"/>
          <w:b/>
        </w:rPr>
      </w:pPr>
    </w:p>
    <w:p w:rsidR="00A0613F" w:rsidRDefault="00A0613F" w:rsidP="00246C58">
      <w:pPr>
        <w:autoSpaceDE w:val="0"/>
        <w:autoSpaceDN w:val="0"/>
        <w:adjustRightInd w:val="0"/>
        <w:spacing w:after="200"/>
        <w:jc w:val="both"/>
        <w:rPr>
          <w:rFonts w:cs="Arial"/>
          <w:b/>
          <w:bCs/>
          <w:color w:val="000000"/>
          <w:szCs w:val="20"/>
        </w:rPr>
      </w:pPr>
    </w:p>
    <w:p w:rsidR="004D77C2" w:rsidRDefault="004D77C2" w:rsidP="00246C58">
      <w:pPr>
        <w:autoSpaceDE w:val="0"/>
        <w:autoSpaceDN w:val="0"/>
        <w:adjustRightInd w:val="0"/>
        <w:spacing w:after="200"/>
        <w:jc w:val="both"/>
        <w:rPr>
          <w:rFonts w:cs="Arial"/>
          <w:b/>
          <w:bCs/>
          <w:color w:val="000000"/>
          <w:szCs w:val="20"/>
        </w:rPr>
      </w:pPr>
    </w:p>
    <w:p w:rsidR="004D77C2" w:rsidRDefault="004D77C2" w:rsidP="00246C58">
      <w:pPr>
        <w:autoSpaceDE w:val="0"/>
        <w:autoSpaceDN w:val="0"/>
        <w:adjustRightInd w:val="0"/>
        <w:spacing w:after="200"/>
        <w:jc w:val="both"/>
        <w:rPr>
          <w:rFonts w:cs="Arial"/>
          <w:b/>
          <w:bCs/>
          <w:color w:val="000000"/>
          <w:szCs w:val="20"/>
        </w:rPr>
      </w:pPr>
    </w:p>
    <w:p w:rsidR="00246C58" w:rsidRDefault="00246C58" w:rsidP="00246C58">
      <w:pPr>
        <w:autoSpaceDE w:val="0"/>
        <w:autoSpaceDN w:val="0"/>
        <w:adjustRightInd w:val="0"/>
        <w:spacing w:after="200"/>
        <w:jc w:val="both"/>
        <w:rPr>
          <w:rFonts w:cs="Arial"/>
          <w:b/>
          <w:bCs/>
          <w:color w:val="000000"/>
          <w:szCs w:val="20"/>
        </w:rPr>
      </w:pPr>
      <w:r>
        <w:rPr>
          <w:rFonts w:cs="Arial"/>
          <w:b/>
          <w:bCs/>
          <w:color w:val="000000"/>
          <w:szCs w:val="20"/>
        </w:rPr>
        <w:t>Tabulka č. 1: Průměrný počet osob nemocensky pojištěných v letech 2005 – 2015 (v tis.)</w:t>
      </w:r>
    </w:p>
    <w:p w:rsidR="00246C58" w:rsidRDefault="004D514D" w:rsidP="00246C58">
      <w:pPr>
        <w:autoSpaceDE w:val="0"/>
        <w:autoSpaceDN w:val="0"/>
        <w:adjustRightInd w:val="0"/>
        <w:spacing w:after="200"/>
        <w:jc w:val="both"/>
        <w:rPr>
          <w:rFonts w:cs="Arial"/>
          <w:b/>
          <w:bCs/>
          <w:color w:val="000000"/>
          <w:szCs w:val="20"/>
        </w:rPr>
      </w:pPr>
      <w:r w:rsidRPr="004D514D">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86pt">
            <v:imagedata r:id="rId9" o:title=""/>
          </v:shape>
        </w:pict>
      </w:r>
    </w:p>
    <w:p w:rsidR="00246C58" w:rsidRDefault="00246C58" w:rsidP="00246C58">
      <w:pPr>
        <w:autoSpaceDE w:val="0"/>
        <w:autoSpaceDN w:val="0"/>
        <w:adjustRightInd w:val="0"/>
        <w:spacing w:after="200"/>
        <w:jc w:val="both"/>
        <w:rPr>
          <w:rFonts w:eastAsia="MS Gothic" w:cs="Arial"/>
          <w:b/>
          <w:bCs/>
          <w:color w:val="BC091B"/>
          <w:sz w:val="24"/>
        </w:rPr>
      </w:pPr>
    </w:p>
    <w:p w:rsidR="00246C58" w:rsidRDefault="00246C58" w:rsidP="00246C58">
      <w:pPr>
        <w:autoSpaceDE w:val="0"/>
        <w:autoSpaceDN w:val="0"/>
        <w:adjustRightInd w:val="0"/>
        <w:spacing w:after="200"/>
        <w:jc w:val="both"/>
        <w:rPr>
          <w:b/>
          <w:bCs/>
        </w:rPr>
      </w:pPr>
      <w:r>
        <w:rPr>
          <w:rFonts w:eastAsia="MS Gothic" w:cs="Arial"/>
          <w:b/>
          <w:bCs/>
          <w:color w:val="BC091B"/>
          <w:sz w:val="24"/>
        </w:rPr>
        <w:t>3.2. Počet nově hlášených případů dočasné pracovní neschopnosti</w:t>
      </w:r>
    </w:p>
    <w:p w:rsidR="00246C58" w:rsidRDefault="00246C58" w:rsidP="00246C58">
      <w:pPr>
        <w:ind w:firstLine="708"/>
        <w:jc w:val="both"/>
        <w:rPr>
          <w:bCs/>
        </w:rPr>
      </w:pPr>
    </w:p>
    <w:p w:rsidR="00246C58" w:rsidRDefault="00246C58" w:rsidP="00246C58">
      <w:pPr>
        <w:ind w:firstLine="708"/>
        <w:jc w:val="both"/>
        <w:rPr>
          <w:b/>
          <w:bCs/>
        </w:rPr>
      </w:pPr>
      <w:r>
        <w:rPr>
          <w:bCs/>
        </w:rPr>
        <w:t>Nejjednodušším ukazatelem v oblasti pracovní neschopnosti, který odráží četnost jejího výskytu, je </w:t>
      </w:r>
      <w:r>
        <w:rPr>
          <w:b/>
          <w:bCs/>
        </w:rPr>
        <w:t xml:space="preserve">počet nově hlášených případů pracovní neschopnosti. </w:t>
      </w:r>
    </w:p>
    <w:p w:rsidR="00246C58" w:rsidRDefault="00246C58" w:rsidP="00246C58">
      <w:pPr>
        <w:jc w:val="both"/>
        <w:rPr>
          <w:b/>
          <w:bCs/>
        </w:rPr>
      </w:pPr>
    </w:p>
    <w:p w:rsidR="00246C58" w:rsidRDefault="00246C58" w:rsidP="00246C58">
      <w:pPr>
        <w:ind w:firstLine="708"/>
        <w:jc w:val="both"/>
        <w:rPr>
          <w:rFonts w:cs="Arial"/>
        </w:rPr>
      </w:pPr>
      <w:r>
        <w:rPr>
          <w:b/>
          <w:bCs/>
        </w:rPr>
        <w:t>Absolutní počet nově hlášených případů dočasné pracovní neschopnosti</w:t>
      </w:r>
      <w:r>
        <w:rPr>
          <w:rFonts w:cs="Arial"/>
          <w:b/>
        </w:rPr>
        <w:t xml:space="preserve"> </w:t>
      </w:r>
      <w:r>
        <w:rPr>
          <w:rFonts w:cs="Arial"/>
        </w:rPr>
        <w:t xml:space="preserve">se meziročně zvýšil z 1 314,8 tis. případů v roce 2014 na 1 563,5 tis. případů v roce 2015 (tj. o 18,9 %), z celkového počtu tvořily případy dočasné pracovní neschopnosti </w:t>
      </w:r>
      <w:r>
        <w:rPr>
          <w:rFonts w:cs="Arial"/>
          <w:b/>
        </w:rPr>
        <w:t>mužů</w:t>
      </w:r>
      <w:r>
        <w:rPr>
          <w:rFonts w:cs="Arial"/>
        </w:rPr>
        <w:t xml:space="preserve"> 48,1 %. </w:t>
      </w:r>
    </w:p>
    <w:p w:rsidR="00246C58" w:rsidRDefault="00246C58" w:rsidP="00246C58">
      <w:pPr>
        <w:ind w:firstLine="708"/>
        <w:jc w:val="both"/>
        <w:rPr>
          <w:rFonts w:cs="Arial"/>
          <w:b/>
        </w:rPr>
      </w:pPr>
    </w:p>
    <w:p w:rsidR="00246C58" w:rsidRDefault="00246C58" w:rsidP="00246C58">
      <w:pPr>
        <w:ind w:firstLine="708"/>
        <w:jc w:val="both"/>
        <w:rPr>
          <w:rFonts w:cs="Arial"/>
        </w:rPr>
      </w:pPr>
      <w:r>
        <w:rPr>
          <w:rFonts w:cs="Arial"/>
          <w:b/>
        </w:rPr>
        <w:t xml:space="preserve">Podíl nemocí </w:t>
      </w:r>
      <w:r>
        <w:rPr>
          <w:rFonts w:cs="Arial"/>
        </w:rPr>
        <w:t>na počtu všech nově hlášených případů dočasné pracovní neschopnosti</w:t>
      </w:r>
      <w:r>
        <w:rPr>
          <w:rFonts w:cs="Arial"/>
          <w:b/>
        </w:rPr>
        <w:t xml:space="preserve"> </w:t>
      </w:r>
      <w:r>
        <w:rPr>
          <w:rFonts w:cs="Arial"/>
        </w:rPr>
        <w:t xml:space="preserve">je 88,5 %, 3,0 % připadají na </w:t>
      </w:r>
      <w:r>
        <w:rPr>
          <w:rFonts w:cs="Arial"/>
          <w:b/>
        </w:rPr>
        <w:t>pracovní úrazy</w:t>
      </w:r>
      <w:r>
        <w:rPr>
          <w:rFonts w:cs="Arial"/>
        </w:rPr>
        <w:t xml:space="preserve"> a 8,5 % na </w:t>
      </w:r>
      <w:r>
        <w:rPr>
          <w:rFonts w:cs="Arial"/>
          <w:b/>
        </w:rPr>
        <w:t>ostatní úrazy</w:t>
      </w:r>
      <w:r w:rsidR="00F279F8">
        <w:rPr>
          <w:rFonts w:cs="Arial"/>
        </w:rPr>
        <w:t xml:space="preserve">. </w:t>
      </w:r>
      <w:r>
        <w:rPr>
          <w:rFonts w:cs="Arial"/>
        </w:rPr>
        <w:t>Legislativní změny, které často počet případů pracovní neschopnosti přímo ovlivňují, nejvíce působí právě na případy pracovní neschopnosti pro nemoc, počty případů pracovní neschopnosti pro úrazy jsou jimi ovliv</w:t>
      </w:r>
      <w:r w:rsidR="00F279F8">
        <w:rPr>
          <w:rFonts w:cs="Arial"/>
        </w:rPr>
        <w:t xml:space="preserve">něny </w:t>
      </w:r>
      <w:r>
        <w:rPr>
          <w:rFonts w:cs="Arial"/>
        </w:rPr>
        <w:t>méně. Tyto poměry zůstávají relativně stabilní, i když v posledních letech se podíl pracovních neschopností pro nemoc mírně snižuje.</w:t>
      </w:r>
    </w:p>
    <w:p w:rsidR="00246C58" w:rsidRDefault="00246C58" w:rsidP="00246C58">
      <w:pPr>
        <w:jc w:val="both"/>
        <w:rPr>
          <w:rFonts w:cs="Arial"/>
        </w:rPr>
      </w:pPr>
    </w:p>
    <w:p w:rsidR="00246C58" w:rsidRDefault="00246C58" w:rsidP="00246C58">
      <w:pPr>
        <w:ind w:firstLine="708"/>
        <w:jc w:val="both"/>
        <w:rPr>
          <w:rFonts w:cs="Arial"/>
          <w:color w:val="FF0000"/>
        </w:rPr>
      </w:pPr>
      <w:r>
        <w:rPr>
          <w:rFonts w:cs="Arial"/>
          <w:b/>
        </w:rPr>
        <w:t>Ve sledovaném období 2005 – 2015</w:t>
      </w:r>
      <w:r>
        <w:rPr>
          <w:rFonts w:cs="Arial"/>
          <w:b/>
          <w:color w:val="FF0000"/>
        </w:rPr>
        <w:t xml:space="preserve"> </w:t>
      </w:r>
      <w:r>
        <w:rPr>
          <w:rFonts w:cs="Arial"/>
          <w:b/>
        </w:rPr>
        <w:t>absolutní</w:t>
      </w:r>
      <w:r>
        <w:rPr>
          <w:rFonts w:cs="Arial"/>
          <w:b/>
          <w:color w:val="FF0000"/>
        </w:rPr>
        <w:t xml:space="preserve"> </w:t>
      </w:r>
      <w:r>
        <w:rPr>
          <w:rFonts w:cs="Arial"/>
          <w:b/>
        </w:rPr>
        <w:t>počet nově hlášených případů pracovní neschopnosti</w:t>
      </w:r>
      <w:r>
        <w:rPr>
          <w:rFonts w:cs="Arial"/>
        </w:rPr>
        <w:t xml:space="preserve"> </w:t>
      </w:r>
      <w:r>
        <w:rPr>
          <w:rFonts w:cs="Arial"/>
          <w:b/>
        </w:rPr>
        <w:t>poklesl</w:t>
      </w:r>
      <w:r>
        <w:rPr>
          <w:rFonts w:cs="Arial"/>
        </w:rPr>
        <w:t xml:space="preserve"> z 3 029,4 tis. případů na 1 563,5 tis. případů </w:t>
      </w:r>
      <w:r>
        <w:rPr>
          <w:rFonts w:cs="Arial"/>
          <w:b/>
        </w:rPr>
        <w:t>(tj. o 56 %).</w:t>
      </w:r>
      <w:r>
        <w:rPr>
          <w:rFonts w:cs="Arial"/>
        </w:rPr>
        <w:t xml:space="preserve"> </w:t>
      </w:r>
      <w:r>
        <w:rPr>
          <w:rFonts w:cs="Arial"/>
          <w:b/>
        </w:rPr>
        <w:t>V příčinách pracovní neschopnosti</w:t>
      </w:r>
      <w:r>
        <w:rPr>
          <w:rFonts w:cs="Arial"/>
        </w:rPr>
        <w:t xml:space="preserve"> je ve sledovaném období zřejmý pokles podílu nově hlášených </w:t>
      </w:r>
      <w:r>
        <w:rPr>
          <w:rFonts w:cs="Arial"/>
          <w:b/>
        </w:rPr>
        <w:t>případů z důvodu nemoci</w:t>
      </w:r>
      <w:r>
        <w:rPr>
          <w:rFonts w:cs="Arial"/>
        </w:rPr>
        <w:t xml:space="preserve"> z 2 810, 8 tis. případů na 1 383,9 tis. případů (tj. o 49,2%), v případě</w:t>
      </w:r>
      <w:r>
        <w:rPr>
          <w:rFonts w:cs="Arial"/>
          <w:b/>
        </w:rPr>
        <w:t xml:space="preserve"> </w:t>
      </w:r>
      <w:r>
        <w:rPr>
          <w:rFonts w:cs="Arial"/>
        </w:rPr>
        <w:t>podílu</w:t>
      </w:r>
      <w:r>
        <w:rPr>
          <w:rFonts w:cs="Arial"/>
          <w:b/>
        </w:rPr>
        <w:t xml:space="preserve"> pracovních úrazů</w:t>
      </w:r>
      <w:r>
        <w:rPr>
          <w:rFonts w:cs="Arial"/>
        </w:rPr>
        <w:t xml:space="preserve"> pokles z 82 tis. případů na 46, 3 tis. případů (tj. 56,5 %) a naopak zvýšení podílu </w:t>
      </w:r>
      <w:r>
        <w:rPr>
          <w:rFonts w:cs="Arial"/>
          <w:b/>
        </w:rPr>
        <w:t>ostatních úrazů</w:t>
      </w:r>
      <w:r>
        <w:rPr>
          <w:rFonts w:cs="Arial"/>
        </w:rPr>
        <w:t xml:space="preserve"> z 136,6 tis. případů na 811,7 tis. případů (tj. 83,2 %). V tomto období rychleji klesal počet nově hlášených případů pracovních neschopností </w:t>
      </w:r>
      <w:r>
        <w:rPr>
          <w:rFonts w:cs="Arial"/>
          <w:b/>
        </w:rPr>
        <w:t>mužů</w:t>
      </w:r>
      <w:r>
        <w:rPr>
          <w:rFonts w:cs="Arial"/>
        </w:rPr>
        <w:t xml:space="preserve"> (tj. o 49,2 %) než </w:t>
      </w:r>
      <w:r>
        <w:rPr>
          <w:rFonts w:cs="Arial"/>
          <w:b/>
        </w:rPr>
        <w:t>žen</w:t>
      </w:r>
      <w:r>
        <w:rPr>
          <w:rFonts w:cs="Arial"/>
        </w:rPr>
        <w:t xml:space="preserve"> (tj. o 54,1 %). V případě </w:t>
      </w:r>
      <w:r>
        <w:rPr>
          <w:rFonts w:cs="Arial"/>
          <w:b/>
        </w:rPr>
        <w:t>žen</w:t>
      </w:r>
      <w:r>
        <w:rPr>
          <w:rFonts w:cs="Arial"/>
        </w:rPr>
        <w:t xml:space="preserve"> je patrný vyšší podíl nově hlášených případů z důvodu nemoci, opačně je tomu v případě pracovních úrazů a ostatních úrazů.</w:t>
      </w:r>
      <w:r w:rsidRPr="00FC7C07">
        <w:rPr>
          <w:rFonts w:cs="Arial"/>
        </w:rPr>
        <w:t xml:space="preserve"> </w:t>
      </w:r>
      <w:r w:rsidRPr="00DE54D0">
        <w:rPr>
          <w:rFonts w:cs="Arial"/>
        </w:rPr>
        <w:t>(viz</w:t>
      </w:r>
      <w:r>
        <w:rPr>
          <w:rFonts w:cs="Arial"/>
        </w:rPr>
        <w:t>.</w:t>
      </w:r>
      <w:r w:rsidRPr="00DE54D0">
        <w:rPr>
          <w:rFonts w:cs="Arial"/>
        </w:rPr>
        <w:t xml:space="preserve"> tab.č</w:t>
      </w:r>
      <w:r>
        <w:rPr>
          <w:rFonts w:cs="Arial"/>
        </w:rPr>
        <w:t>. 2</w:t>
      </w:r>
      <w:r w:rsidRPr="00DE54D0">
        <w:rPr>
          <w:rFonts w:cs="Arial"/>
        </w:rPr>
        <w:t>)    </w:t>
      </w:r>
    </w:p>
    <w:p w:rsidR="00246C58" w:rsidRDefault="00246C58" w:rsidP="00246C58">
      <w:pPr>
        <w:jc w:val="both"/>
        <w:rPr>
          <w:rFonts w:cs="Arial"/>
          <w:b/>
          <w:color w:val="FF0000"/>
        </w:rPr>
      </w:pPr>
    </w:p>
    <w:p w:rsidR="00246C58" w:rsidRDefault="00246C58" w:rsidP="00246C58">
      <w:pPr>
        <w:ind w:firstLine="708"/>
        <w:jc w:val="both"/>
        <w:rPr>
          <w:rFonts w:cs="Arial"/>
        </w:rPr>
      </w:pPr>
      <w:r>
        <w:rPr>
          <w:rFonts w:cs="Arial"/>
          <w:b/>
        </w:rPr>
        <w:t>Legslativní úpravy ve vyplácení dávek nemocenského</w:t>
      </w:r>
      <w:r>
        <w:rPr>
          <w:rFonts w:cs="Arial"/>
        </w:rPr>
        <w:t xml:space="preserve"> se nejvíce projevují v četnosti případů méně závažných a krátkodobých pracovních neschopností, například u nemoci dýchacích cest (běžná nachlazení, záněty horních cest dýchacích, apod.). Tato onemocnění lidé častěji řeší jiným způsobem, než návštěvou lékaře a vystavením rozhodnutí o pracovní neschopnosti. Vzhledem k tomu,</w:t>
      </w:r>
      <w:r>
        <w:rPr>
          <w:rFonts w:cs="Arial"/>
          <w:b/>
        </w:rPr>
        <w:t xml:space="preserve"> </w:t>
      </w:r>
      <w:r>
        <w:rPr>
          <w:rFonts w:cs="Arial"/>
        </w:rPr>
        <w:t>že</w:t>
      </w:r>
      <w:r>
        <w:rPr>
          <w:rFonts w:cs="Arial"/>
          <w:b/>
        </w:rPr>
        <w:t xml:space="preserve"> za první tři dny pracovní neschopnosti nepřísluší náhrady mzdy nebo platu,</w:t>
      </w:r>
      <w:r>
        <w:rPr>
          <w:rFonts w:cs="Arial"/>
        </w:rPr>
        <w:t xml:space="preserve"> v některých případech </w:t>
      </w:r>
      <w:r>
        <w:rPr>
          <w:rFonts w:cs="Arial"/>
          <w:b/>
        </w:rPr>
        <w:t>lidé raději využijí dovolenou nebo nemoc takzvaně „přechodí“.</w:t>
      </w:r>
      <w:r>
        <w:rPr>
          <w:rFonts w:cs="Arial"/>
        </w:rPr>
        <w:t xml:space="preserve"> </w:t>
      </w:r>
      <w:r>
        <w:rPr>
          <w:rFonts w:cs="Arial"/>
          <w:b/>
        </w:rPr>
        <w:t>Někteří zaměstnavatelé</w:t>
      </w:r>
      <w:r>
        <w:rPr>
          <w:rFonts w:cs="Arial"/>
        </w:rPr>
        <w:t xml:space="preserve"> také v rámci zaměstnaneckých </w:t>
      </w:r>
      <w:r>
        <w:rPr>
          <w:rFonts w:cs="Arial"/>
        </w:rPr>
        <w:lastRenderedPageBreak/>
        <w:t xml:space="preserve">výhod </w:t>
      </w:r>
      <w:r>
        <w:rPr>
          <w:rFonts w:cs="Arial"/>
          <w:b/>
        </w:rPr>
        <w:t>nabízí</w:t>
      </w:r>
      <w:r>
        <w:rPr>
          <w:rFonts w:cs="Arial"/>
        </w:rPr>
        <w:t xml:space="preserve"> </w:t>
      </w:r>
      <w:r>
        <w:rPr>
          <w:rFonts w:cs="Arial"/>
          <w:b/>
        </w:rPr>
        <w:t>kromě řádné dovolené</w:t>
      </w:r>
      <w:r>
        <w:rPr>
          <w:rFonts w:cs="Arial"/>
        </w:rPr>
        <w:t xml:space="preserve"> ještě </w:t>
      </w:r>
      <w:r>
        <w:rPr>
          <w:rFonts w:cs="Arial"/>
          <w:b/>
        </w:rPr>
        <w:t>několik „indispozičních“ dní v roce</w:t>
      </w:r>
      <w:r>
        <w:rPr>
          <w:rFonts w:cs="Arial"/>
        </w:rPr>
        <w:t xml:space="preserve"> </w:t>
      </w:r>
      <w:r>
        <w:rPr>
          <w:rFonts w:cs="Arial"/>
          <w:b/>
        </w:rPr>
        <w:t>(tzv. sick days)</w:t>
      </w:r>
      <w:r>
        <w:rPr>
          <w:rFonts w:cs="Arial"/>
        </w:rPr>
        <w:t xml:space="preserve"> či umožňují práci z domova. </w:t>
      </w:r>
    </w:p>
    <w:p w:rsidR="00547C98" w:rsidRDefault="00547C98" w:rsidP="00246C58">
      <w:pPr>
        <w:jc w:val="both"/>
        <w:rPr>
          <w:rFonts w:cs="Arial"/>
          <w:b/>
        </w:rPr>
      </w:pPr>
    </w:p>
    <w:p w:rsidR="00246C58" w:rsidRDefault="00246C58" w:rsidP="00246C58">
      <w:pPr>
        <w:jc w:val="both"/>
        <w:rPr>
          <w:rFonts w:cs="Arial"/>
          <w:b/>
        </w:rPr>
      </w:pPr>
      <w:r>
        <w:rPr>
          <w:rFonts w:cs="Arial"/>
          <w:b/>
        </w:rPr>
        <w:t>Tabulka č. 2: Počet nově hlášených případů pracovní neschopnosti podle pohlaví v letech 2005 – 2015 (tis. případů)</w:t>
      </w:r>
    </w:p>
    <w:p w:rsidR="00246C58" w:rsidRDefault="00246C58" w:rsidP="00246C58">
      <w:pPr>
        <w:jc w:val="both"/>
        <w:rPr>
          <w:rFonts w:cs="Arial"/>
          <w:b/>
        </w:rPr>
      </w:pPr>
    </w:p>
    <w:p w:rsidR="00246C58" w:rsidRDefault="004F40FF" w:rsidP="00246C58">
      <w:pPr>
        <w:jc w:val="both"/>
        <w:rPr>
          <w:rFonts w:cs="Arial"/>
          <w:b/>
        </w:rPr>
      </w:pPr>
      <w:r>
        <w:pict>
          <v:shape id="_x0000_i1026" type="#_x0000_t75" style="width:483.75pt;height:192.75pt">
            <v:imagedata r:id="rId10" o:title=""/>
          </v:shape>
        </w:pict>
      </w:r>
    </w:p>
    <w:p w:rsidR="00246C58" w:rsidRDefault="00246C58" w:rsidP="00246C58">
      <w:pPr>
        <w:jc w:val="both"/>
        <w:rPr>
          <w:rFonts w:cs="Arial"/>
        </w:rPr>
      </w:pPr>
    </w:p>
    <w:p w:rsidR="00246C58" w:rsidRDefault="00246C58" w:rsidP="00246C58">
      <w:pPr>
        <w:ind w:firstLine="708"/>
        <w:jc w:val="both"/>
        <w:rPr>
          <w:rFonts w:cs="Arial"/>
        </w:rPr>
      </w:pPr>
      <w:r>
        <w:rPr>
          <w:rFonts w:cs="Arial"/>
        </w:rPr>
        <w:t xml:space="preserve">V celkovém počtu nemocensky pojištěných představují </w:t>
      </w:r>
      <w:r>
        <w:rPr>
          <w:rFonts w:cs="Arial"/>
          <w:b/>
        </w:rPr>
        <w:t>ženy</w:t>
      </w:r>
      <w:r>
        <w:rPr>
          <w:rFonts w:cs="Arial"/>
        </w:rPr>
        <w:t xml:space="preserve"> méně než polovinu (49 %), ovšem připadá na ně 51,9 % případů pracovní neschopnosti. </w:t>
      </w:r>
      <w:r>
        <w:rPr>
          <w:rFonts w:cs="Arial"/>
          <w:b/>
        </w:rPr>
        <w:t xml:space="preserve">Absolutní počet nově hlášených případů pracovní neschopnosti žen </w:t>
      </w:r>
      <w:r>
        <w:rPr>
          <w:rFonts w:cs="Arial"/>
        </w:rPr>
        <w:t>se meziročně zvýšil z 683,1 tis. případů (</w:t>
      </w:r>
      <w:r>
        <w:rPr>
          <w:rFonts w:cs="Arial"/>
          <w:b/>
        </w:rPr>
        <w:t>muži</w:t>
      </w:r>
      <w:r>
        <w:rPr>
          <w:rFonts w:cs="Arial"/>
        </w:rPr>
        <w:t xml:space="preserve"> 661,7 tis. případů) na 811,7 tis. případů </w:t>
      </w:r>
      <w:r>
        <w:rPr>
          <w:rFonts w:cs="Arial"/>
          <w:b/>
        </w:rPr>
        <w:t>(muži</w:t>
      </w:r>
      <w:r>
        <w:rPr>
          <w:rFonts w:cs="Arial"/>
        </w:rPr>
        <w:t xml:space="preserve"> 751,8 tis. případů) v roce 2015 (tj. o 19 %). Z hlediska příčin </w:t>
      </w:r>
      <w:r>
        <w:rPr>
          <w:rFonts w:cs="Arial"/>
          <w:b/>
        </w:rPr>
        <w:t>absolutního počtu nově hlášených případů dočasné pracovní neschopnosti žen</w:t>
      </w:r>
      <w:r>
        <w:rPr>
          <w:rFonts w:cs="Arial"/>
        </w:rPr>
        <w:t xml:space="preserve"> bylo zahrnuto 751,3 tis. případů (</w:t>
      </w:r>
      <w:r>
        <w:rPr>
          <w:rFonts w:cs="Arial"/>
          <w:b/>
        </w:rPr>
        <w:t xml:space="preserve">muži </w:t>
      </w:r>
      <w:r>
        <w:rPr>
          <w:rFonts w:cs="Arial"/>
        </w:rPr>
        <w:t xml:space="preserve">751,8 tis. případů) pracovní neschopnosti </w:t>
      </w:r>
      <w:r>
        <w:rPr>
          <w:rFonts w:cs="Arial"/>
          <w:b/>
        </w:rPr>
        <w:t>pro nemoc,</w:t>
      </w:r>
      <w:r>
        <w:rPr>
          <w:rFonts w:cs="Arial"/>
        </w:rPr>
        <w:t xml:space="preserve"> 14,2 tis. případů </w:t>
      </w:r>
      <w:r>
        <w:rPr>
          <w:rFonts w:cs="Arial"/>
          <w:b/>
        </w:rPr>
        <w:t>pro pracovní úraz</w:t>
      </w:r>
      <w:r>
        <w:rPr>
          <w:rFonts w:cs="Arial"/>
        </w:rPr>
        <w:t xml:space="preserve"> (</w:t>
      </w:r>
      <w:r>
        <w:rPr>
          <w:rFonts w:cs="Arial"/>
          <w:b/>
        </w:rPr>
        <w:t>muži</w:t>
      </w:r>
      <w:r>
        <w:rPr>
          <w:rFonts w:cs="Arial"/>
        </w:rPr>
        <w:t xml:space="preserve"> 31,1 tis. případů) a 46,2 tis. případů </w:t>
      </w:r>
      <w:r>
        <w:rPr>
          <w:rFonts w:cs="Arial"/>
          <w:b/>
        </w:rPr>
        <w:t>ostatních úrazů</w:t>
      </w:r>
      <w:r>
        <w:rPr>
          <w:rFonts w:cs="Arial"/>
        </w:rPr>
        <w:t xml:space="preserve">. </w:t>
      </w:r>
      <w:r w:rsidRPr="00DE54D0">
        <w:rPr>
          <w:rFonts w:cs="Arial"/>
        </w:rPr>
        <w:t>(viz</w:t>
      </w:r>
      <w:r>
        <w:rPr>
          <w:rFonts w:cs="Arial"/>
        </w:rPr>
        <w:t>.</w:t>
      </w:r>
      <w:r w:rsidRPr="00DE54D0">
        <w:rPr>
          <w:rFonts w:cs="Arial"/>
        </w:rPr>
        <w:t xml:space="preserve"> tab.č</w:t>
      </w:r>
      <w:r>
        <w:rPr>
          <w:rFonts w:cs="Arial"/>
        </w:rPr>
        <w:t>. 2</w:t>
      </w:r>
      <w:r w:rsidRPr="00DE54D0">
        <w:rPr>
          <w:rFonts w:cs="Arial"/>
        </w:rPr>
        <w:t>)    </w:t>
      </w:r>
    </w:p>
    <w:p w:rsidR="00246C58" w:rsidRDefault="00246C58" w:rsidP="00246C58">
      <w:pPr>
        <w:ind w:firstLine="708"/>
        <w:jc w:val="both"/>
        <w:rPr>
          <w:rFonts w:cs="Arial"/>
        </w:rPr>
      </w:pPr>
    </w:p>
    <w:p w:rsidR="00246C58" w:rsidRDefault="00246C58" w:rsidP="00246C58">
      <w:pPr>
        <w:jc w:val="both"/>
        <w:rPr>
          <w:rFonts w:cs="Arial"/>
          <w:b/>
        </w:rPr>
      </w:pPr>
      <w:r>
        <w:rPr>
          <w:rFonts w:cs="Arial"/>
          <w:b/>
        </w:rPr>
        <w:t>Graf 1: Počet pojištěnců a nově hlášených případů dočasné pracovní neschopnosti v letech 2005 -  2015</w:t>
      </w:r>
    </w:p>
    <w:p w:rsidR="00246C58" w:rsidRDefault="004F40FF" w:rsidP="00E1287D">
      <w:pPr>
        <w:jc w:val="center"/>
        <w:rPr>
          <w:rFonts w:cs="Arial"/>
        </w:rPr>
      </w:pPr>
      <w:r>
        <w:pict>
          <v:shape id="_x0000_i1027" type="#_x0000_t75" style="width:469.5pt;height:196.5pt">
            <v:imagedata r:id="rId11" o:title=""/>
          </v:shape>
        </w:pict>
      </w:r>
    </w:p>
    <w:p w:rsidR="00A0613F" w:rsidRDefault="00A0613F" w:rsidP="00246C58">
      <w:pPr>
        <w:ind w:firstLine="708"/>
        <w:jc w:val="both"/>
        <w:rPr>
          <w:rFonts w:cs="Arial"/>
          <w:b/>
        </w:rPr>
      </w:pPr>
    </w:p>
    <w:p w:rsidR="00246C58" w:rsidRDefault="00246C58" w:rsidP="00246C58">
      <w:pPr>
        <w:ind w:firstLine="708"/>
        <w:jc w:val="both"/>
        <w:rPr>
          <w:rFonts w:cs="Arial"/>
        </w:rPr>
      </w:pPr>
      <w:r>
        <w:rPr>
          <w:rFonts w:cs="Arial"/>
          <w:b/>
        </w:rPr>
        <w:t>Mezi pohlavími je</w:t>
      </w:r>
      <w:r>
        <w:rPr>
          <w:rFonts w:cs="Arial"/>
        </w:rPr>
        <w:t xml:space="preserve"> ve skladbě důvodů dočasné pracovní neschopnosti </w:t>
      </w:r>
      <w:r>
        <w:rPr>
          <w:rFonts w:cs="Arial"/>
          <w:b/>
        </w:rPr>
        <w:t>dlouhodobě patrný rozdíl</w:t>
      </w:r>
      <w:r>
        <w:rPr>
          <w:rFonts w:cs="Arial"/>
        </w:rPr>
        <w:t xml:space="preserve">, zatímco </w:t>
      </w:r>
      <w:r>
        <w:rPr>
          <w:rFonts w:cs="Arial"/>
          <w:b/>
        </w:rPr>
        <w:t>u žen je častější</w:t>
      </w:r>
      <w:r>
        <w:rPr>
          <w:rFonts w:cs="Arial"/>
        </w:rPr>
        <w:t xml:space="preserve"> dočasná pracovní neschopnost pro </w:t>
      </w:r>
      <w:r>
        <w:rPr>
          <w:rFonts w:cs="Arial"/>
          <w:b/>
        </w:rPr>
        <w:t>nemoc</w:t>
      </w:r>
      <w:r>
        <w:rPr>
          <w:rFonts w:cs="Arial"/>
        </w:rPr>
        <w:t xml:space="preserve">, </w:t>
      </w:r>
      <w:r>
        <w:rPr>
          <w:rFonts w:cs="Arial"/>
          <w:b/>
        </w:rPr>
        <w:t>muži výrazně dominují</w:t>
      </w:r>
      <w:r>
        <w:rPr>
          <w:rFonts w:cs="Arial"/>
        </w:rPr>
        <w:t xml:space="preserve"> </w:t>
      </w:r>
      <w:r>
        <w:rPr>
          <w:rFonts w:cs="Arial"/>
          <w:b/>
        </w:rPr>
        <w:t>v počtu</w:t>
      </w:r>
      <w:r>
        <w:rPr>
          <w:rFonts w:cs="Arial"/>
        </w:rPr>
        <w:t xml:space="preserve"> dočasné pracovní neschopnosti </w:t>
      </w:r>
      <w:r>
        <w:rPr>
          <w:rFonts w:cs="Arial"/>
          <w:b/>
        </w:rPr>
        <w:t>pro úrazy jak pracovní, tak i ostatní</w:t>
      </w:r>
      <w:r>
        <w:rPr>
          <w:rFonts w:cs="Arial"/>
        </w:rPr>
        <w:t xml:space="preserve">. </w:t>
      </w:r>
      <w:r>
        <w:rPr>
          <w:rFonts w:cs="Arial"/>
          <w:b/>
        </w:rPr>
        <w:t xml:space="preserve">Vyšší podíl žen </w:t>
      </w:r>
      <w:r>
        <w:rPr>
          <w:rFonts w:cs="Arial"/>
        </w:rPr>
        <w:t>na pracovní neschopnosti</w:t>
      </w:r>
      <w:r>
        <w:rPr>
          <w:rFonts w:cs="Arial"/>
          <w:b/>
        </w:rPr>
        <w:t xml:space="preserve"> pro nemoc,</w:t>
      </w:r>
      <w:r>
        <w:rPr>
          <w:rFonts w:cs="Arial"/>
        </w:rPr>
        <w:t xml:space="preserve"> může souviset s mateřskou úlohou žen, u nichž mohou být důvodem pracovní neschopnosti také komplikace v těhotenství, potraty nebo jako doprovod dítěte při hospitalizaci. </w:t>
      </w:r>
    </w:p>
    <w:p w:rsidR="00246C58" w:rsidRDefault="00246C58" w:rsidP="00246C58">
      <w:pPr>
        <w:ind w:firstLine="708"/>
        <w:jc w:val="both"/>
        <w:rPr>
          <w:rFonts w:cs="Arial"/>
        </w:rPr>
      </w:pPr>
      <w:r>
        <w:rPr>
          <w:rFonts w:cs="Arial"/>
          <w:b/>
        </w:rPr>
        <w:lastRenderedPageBreak/>
        <w:t>Případy pracovní neschopnosti</w:t>
      </w:r>
      <w:r>
        <w:rPr>
          <w:rFonts w:cs="Arial"/>
        </w:rPr>
        <w:t xml:space="preserve"> z celkového počtu nově hlášených případů pro pracovní úrazy připadá na ženy pouze z 30,7 %, podíl žen z celkového počtu pro ostatní úrazy je 35 %, což je dáno i odlišnou strukturou zaměstnanosti žena mužů. </w:t>
      </w:r>
    </w:p>
    <w:p w:rsidR="00246C58" w:rsidRDefault="00246C58" w:rsidP="00246C58">
      <w:pPr>
        <w:ind w:firstLine="708"/>
        <w:jc w:val="both"/>
        <w:rPr>
          <w:rFonts w:cs="Arial"/>
          <w:b/>
        </w:rPr>
      </w:pPr>
      <w:r>
        <w:rPr>
          <w:rFonts w:cs="Arial"/>
          <w:b/>
        </w:rPr>
        <w:t xml:space="preserve">Odvětví, </w:t>
      </w:r>
      <w:r>
        <w:rPr>
          <w:b/>
        </w:rPr>
        <w:t>kde převládají muži a vyskytují se zvýšená rizika pracovního i smrtelného pracovního úrazu</w:t>
      </w:r>
      <w:r>
        <w:t xml:space="preserve"> jsou např. v sektoru T</w:t>
      </w:r>
      <w:r>
        <w:rPr>
          <w:rFonts w:cs="Arial"/>
        </w:rPr>
        <w:t>ěžby a dobývání, Zpracovatelském průmyslu, S</w:t>
      </w:r>
      <w:r>
        <w:t>tavebnictví, Dopravě a skladování či Zemědělství, lesnictví, rybářství. Naopak odvětví</w:t>
      </w:r>
      <w:r>
        <w:rPr>
          <w:b/>
        </w:rPr>
        <w:t>, kde převažují</w:t>
      </w:r>
      <w:r>
        <w:t xml:space="preserve"> v zaměstnání </w:t>
      </w:r>
      <w:r>
        <w:rPr>
          <w:b/>
        </w:rPr>
        <w:t>ženy</w:t>
      </w:r>
      <w:r>
        <w:t xml:space="preserve"> </w:t>
      </w:r>
      <w:r>
        <w:rPr>
          <w:b/>
        </w:rPr>
        <w:t>a rizika pracovních úrazů jsou méně častá</w:t>
      </w:r>
      <w:r>
        <w:t>, jsou Peněžnictví a pojišťovnictví, Zdravotnictví a sociální péče, Č</w:t>
      </w:r>
      <w:r>
        <w:rPr>
          <w:rFonts w:cs="Arial"/>
        </w:rPr>
        <w:t xml:space="preserve">inností v oblasti nemovitostí </w:t>
      </w:r>
      <w:r>
        <w:t xml:space="preserve">a Vzdělávání. </w:t>
      </w:r>
    </w:p>
    <w:p w:rsidR="00246C58" w:rsidRDefault="00246C58" w:rsidP="00246C58">
      <w:pPr>
        <w:spacing w:line="240" w:lineRule="auto"/>
        <w:jc w:val="both"/>
        <w:rPr>
          <w:rFonts w:cs="Arial"/>
          <w:b/>
          <w:bCs/>
          <w:color w:val="000000"/>
          <w:sz w:val="18"/>
          <w:szCs w:val="18"/>
        </w:rPr>
      </w:pPr>
    </w:p>
    <w:p w:rsidR="00246C58" w:rsidRDefault="00246C58" w:rsidP="00246C58">
      <w:pPr>
        <w:spacing w:line="240" w:lineRule="auto"/>
        <w:jc w:val="both"/>
      </w:pPr>
    </w:p>
    <w:p w:rsidR="00246C58" w:rsidRDefault="00246C58" w:rsidP="00246C58">
      <w:pPr>
        <w:spacing w:line="240" w:lineRule="auto"/>
        <w:jc w:val="both"/>
      </w:pPr>
    </w:p>
    <w:p w:rsidR="00246C58" w:rsidRDefault="00246C58" w:rsidP="00246C58">
      <w:pPr>
        <w:spacing w:line="240" w:lineRule="auto"/>
        <w:jc w:val="both"/>
        <w:rPr>
          <w:rFonts w:cs="Arial"/>
          <w:b/>
          <w:bCs/>
          <w:color w:val="000000"/>
          <w:szCs w:val="20"/>
        </w:rPr>
      </w:pPr>
      <w:r>
        <w:rPr>
          <w:rFonts w:cs="Arial"/>
          <w:b/>
          <w:bCs/>
          <w:color w:val="000000"/>
          <w:sz w:val="18"/>
          <w:szCs w:val="18"/>
        </w:rPr>
        <w:t>G</w:t>
      </w:r>
      <w:r>
        <w:rPr>
          <w:rFonts w:cs="Arial"/>
          <w:b/>
          <w:bCs/>
          <w:color w:val="000000"/>
          <w:szCs w:val="20"/>
        </w:rPr>
        <w:t>raf 2: Počet nově hlášených případů dočasné pracovní neschopnosti pro nemoc v ČR v letech 2005 – 2015 (v tis.)</w:t>
      </w:r>
    </w:p>
    <w:p w:rsidR="00246C58" w:rsidRDefault="00246C58" w:rsidP="00246C58">
      <w:pPr>
        <w:spacing w:line="240" w:lineRule="auto"/>
        <w:jc w:val="both"/>
        <w:rPr>
          <w:rFonts w:cs="Arial"/>
          <w:b/>
          <w:bCs/>
          <w:color w:val="000000"/>
          <w:szCs w:val="20"/>
        </w:rPr>
      </w:pPr>
    </w:p>
    <w:p w:rsidR="00246C58" w:rsidRDefault="00246C58" w:rsidP="00246C58">
      <w:pPr>
        <w:spacing w:line="240" w:lineRule="auto"/>
        <w:jc w:val="both"/>
        <w:rPr>
          <w:rFonts w:cs="Arial"/>
          <w:b/>
          <w:bCs/>
          <w:color w:val="000000"/>
          <w:sz w:val="18"/>
          <w:szCs w:val="18"/>
        </w:rPr>
      </w:pPr>
    </w:p>
    <w:p w:rsidR="00246C58" w:rsidRDefault="004F40FF" w:rsidP="00E1287D">
      <w:pPr>
        <w:jc w:val="center"/>
        <w:rPr>
          <w:rFonts w:cs="Arial"/>
          <w:b/>
        </w:rPr>
      </w:pPr>
      <w:r>
        <w:pict>
          <v:shape id="_x0000_i1028" type="#_x0000_t75" style="width:446.25pt;height:246pt">
            <v:imagedata r:id="rId12" o:title=""/>
          </v:shape>
        </w:pict>
      </w:r>
    </w:p>
    <w:p w:rsidR="00246C58" w:rsidRDefault="00246C58" w:rsidP="00246C58">
      <w:pPr>
        <w:jc w:val="both"/>
        <w:rPr>
          <w:rFonts w:cs="Arial"/>
          <w:b/>
        </w:rPr>
      </w:pPr>
    </w:p>
    <w:p w:rsidR="00246C58" w:rsidRDefault="00246C58" w:rsidP="00696514">
      <w:pPr>
        <w:ind w:firstLine="708"/>
        <w:jc w:val="both"/>
        <w:rPr>
          <w:rFonts w:cs="Arial"/>
        </w:rPr>
      </w:pPr>
      <w:r>
        <w:rPr>
          <w:rFonts w:cs="Arial"/>
          <w:b/>
        </w:rPr>
        <w:t>Z celorepublikového počtu</w:t>
      </w:r>
      <w:r>
        <w:rPr>
          <w:rFonts w:cs="Arial"/>
        </w:rPr>
        <w:t xml:space="preserve"> bylo nejvíce nových případů dočasné pracovní neschopnosti hlášeno </w:t>
      </w:r>
      <w:r w:rsidR="00696514">
        <w:rPr>
          <w:rFonts w:cs="Arial"/>
        </w:rPr>
        <w:t xml:space="preserve">v </w:t>
      </w:r>
      <w:r>
        <w:rPr>
          <w:rFonts w:cs="Arial"/>
        </w:rPr>
        <w:t>odvětví Zpracovatelský průmysl (533,9 tis. případů) a u odvětví Velkoobchod a maloobchod; opravy a</w:t>
      </w:r>
      <w:r w:rsidR="00696514">
        <w:rPr>
          <w:rFonts w:cs="Arial"/>
        </w:rPr>
        <w:t xml:space="preserve"> </w:t>
      </w:r>
      <w:r>
        <w:rPr>
          <w:rFonts w:cs="Arial"/>
        </w:rPr>
        <w:t>údržba morových vozidel (184,2 tis. případů), naopak nejméně byly hlášeny u odvětví Výroby, rozvodu elektřiny a jiných energií (7,3 tis. případů) a u Činností v oblasti nemovitostí (12,1 tis. případů).</w:t>
      </w:r>
    </w:p>
    <w:p w:rsidR="00246C58" w:rsidRDefault="00246C58" w:rsidP="00696514">
      <w:pPr>
        <w:ind w:firstLine="708"/>
        <w:jc w:val="both"/>
        <w:rPr>
          <w:rFonts w:cs="Arial"/>
        </w:rPr>
      </w:pPr>
      <w:r>
        <w:rPr>
          <w:rFonts w:cs="Arial"/>
        </w:rPr>
        <w:t xml:space="preserve">Nejvíce nově hlášených případů dočasné pracovní neschopnosti </w:t>
      </w:r>
      <w:r>
        <w:rPr>
          <w:rFonts w:cs="Arial"/>
          <w:b/>
        </w:rPr>
        <w:t>pro nemoc</w:t>
      </w:r>
      <w:r>
        <w:rPr>
          <w:rFonts w:cs="Arial"/>
        </w:rPr>
        <w:t xml:space="preserve"> bylo evidováno v oblasti Zpracovatelského průmyslu (462,4 tis. případů), nejméně případů pro nemoc bylo hlášeno u Výroby, rozvodu elektřiny a jiných energií (6,5) a u odvětví Těžba a dobývání (10.3 tis. případů). Co se týče počtu nově hlášených případů dočasné pracovní neschopnosti z důvodu </w:t>
      </w:r>
      <w:r>
        <w:rPr>
          <w:rFonts w:cs="Arial"/>
          <w:b/>
        </w:rPr>
        <w:t>pracovní úrazovosti</w:t>
      </w:r>
      <w:r>
        <w:rPr>
          <w:rFonts w:cs="Arial"/>
        </w:rPr>
        <w:t xml:space="preserve">, což je zřejmě ukazatel vyjadřující mnohem věrohodněji „stupeň rizikovosti“ daného odvětví, nejvíce nově hlášených případů dočasné pracovní neschopnosti pro pracovní úraz bylo hlášeno v odvětví Zpracovatelského průmyslu (20 tis. případů), naopak nejméně pracovních úrazů bylo hlášeno u oblasti Výroby, rozvodu elektřiny a jiných energií (0,1 tis.) a dále v odvětví Peněžnictví a pojišťovnictví (0,1 tis. případů). Nejvíce případů dočasné pracovní neschopnosti pro </w:t>
      </w:r>
      <w:r>
        <w:rPr>
          <w:rFonts w:cs="Arial"/>
          <w:b/>
        </w:rPr>
        <w:t>ostatní úraz</w:t>
      </w:r>
      <w:r>
        <w:rPr>
          <w:rFonts w:cs="Arial"/>
        </w:rPr>
        <w:t xml:space="preserve"> bylo hlášeno u Zpracovatelského průmyslu (51,4 tis. případů) a u odvětví Velkoobchod a maloobchod; opravy a údržba morových vozidel (15,2 tis. případů), nejméně hlášených ostatních úrazů bylo u odvětví Výroby, rozvodu elektřiny a jiných energií (0,7 tis. případů). </w:t>
      </w:r>
    </w:p>
    <w:p w:rsidR="00246C58" w:rsidRDefault="00246C58" w:rsidP="00246C58">
      <w:pPr>
        <w:jc w:val="both"/>
        <w:rPr>
          <w:rFonts w:cs="Arial"/>
          <w:b/>
        </w:rPr>
      </w:pPr>
    </w:p>
    <w:p w:rsidR="004D77C2" w:rsidRDefault="00246C58" w:rsidP="00246C58">
      <w:pPr>
        <w:ind w:firstLine="708"/>
        <w:jc w:val="both"/>
      </w:pPr>
      <w:r>
        <w:rPr>
          <w:rFonts w:cs="Arial"/>
          <w:b/>
        </w:rPr>
        <w:t>Pokud zhodnotíme delší časové období,</w:t>
      </w:r>
      <w:r>
        <w:rPr>
          <w:rFonts w:cs="Arial"/>
        </w:rPr>
        <w:t xml:space="preserve"> </w:t>
      </w:r>
      <w:r>
        <w:rPr>
          <w:rFonts w:cs="Arial"/>
          <w:b/>
        </w:rPr>
        <w:t>celková četnost výskytu dočasné pracovní neschopnosti má dlouhodobě klesající tendenci.</w:t>
      </w:r>
      <w:r>
        <w:rPr>
          <w:rFonts w:cs="Arial"/>
        </w:rPr>
        <w:t xml:space="preserve"> </w:t>
      </w:r>
      <w:r>
        <w:t xml:space="preserve">Zatímco </w:t>
      </w:r>
      <w:r>
        <w:rPr>
          <w:b/>
        </w:rPr>
        <w:t>v roce 1970</w:t>
      </w:r>
      <w:r>
        <w:t xml:space="preserve"> připadalo téměř 110 případů </w:t>
      </w:r>
    </w:p>
    <w:p w:rsidR="004D77C2" w:rsidRDefault="004D77C2" w:rsidP="00246C58">
      <w:pPr>
        <w:ind w:firstLine="708"/>
        <w:jc w:val="both"/>
      </w:pPr>
    </w:p>
    <w:p w:rsidR="00246C58" w:rsidRDefault="00246C58" w:rsidP="004D77C2">
      <w:pPr>
        <w:jc w:val="both"/>
      </w:pPr>
      <w:r>
        <w:t xml:space="preserve">pracovní neschopnosti na 100 pojištěnců, bylo to </w:t>
      </w:r>
      <w:r>
        <w:rPr>
          <w:b/>
        </w:rPr>
        <w:t>v roce 1989</w:t>
      </w:r>
      <w:r>
        <w:t xml:space="preserve"> jen 101 případů, </w:t>
      </w:r>
      <w:r>
        <w:rPr>
          <w:b/>
        </w:rPr>
        <w:t>v roce 1990</w:t>
      </w:r>
      <w:r>
        <w:t xml:space="preserve"> dosahovala četnost nově hlášených případů pracovní neschopnosti 95 případů, </w:t>
      </w:r>
      <w:r>
        <w:rPr>
          <w:b/>
        </w:rPr>
        <w:t>v roce 2003</w:t>
      </w:r>
      <w:r>
        <w:t xml:space="preserve"> necelých 82 případů,</w:t>
      </w:r>
      <w:r>
        <w:rPr>
          <w:rFonts w:cs="Arial"/>
        </w:rPr>
        <w:t xml:space="preserve"> ještě </w:t>
      </w:r>
      <w:r>
        <w:rPr>
          <w:rFonts w:cs="Arial"/>
          <w:b/>
        </w:rPr>
        <w:t>v roce 2005</w:t>
      </w:r>
      <w:r>
        <w:rPr>
          <w:rFonts w:cs="Arial"/>
        </w:rPr>
        <w:t xml:space="preserve"> tento poměrový ukazatel dosáhl 68,2 případů na 100 pojištěnců a </w:t>
      </w:r>
      <w:r>
        <w:rPr>
          <w:rFonts w:cs="Arial"/>
          <w:b/>
        </w:rPr>
        <w:t>v roce 2015</w:t>
      </w:r>
      <w:r>
        <w:rPr>
          <w:rFonts w:cs="Arial"/>
        </w:rPr>
        <w:t xml:space="preserve"> to bylo již pouze 34,7 případů </w:t>
      </w:r>
      <w:r>
        <w:rPr>
          <w:rFonts w:cs="Arial"/>
          <w:b/>
        </w:rPr>
        <w:t>(muži</w:t>
      </w:r>
      <w:r>
        <w:rPr>
          <w:rFonts w:cs="Arial"/>
        </w:rPr>
        <w:t xml:space="preserve"> 32,7, </w:t>
      </w:r>
      <w:r>
        <w:rPr>
          <w:rFonts w:cs="Arial"/>
          <w:b/>
        </w:rPr>
        <w:t>ženy</w:t>
      </w:r>
      <w:r>
        <w:rPr>
          <w:rFonts w:cs="Arial"/>
        </w:rPr>
        <w:t xml:space="preserve"> 36,8 případů) (viz tab. č. 4). </w:t>
      </w:r>
      <w:r>
        <w:t>Vývoj tohoto ukazatele v detailnějším členění ukazuje, že nejrychleji se snižoval počet nově hlášených případů z důvodu nemoci, dále z důvodu ostatních úrazů a nejpomaleji z důvodu pracovních úrazů. Rychleji klesal i počet nově hlášených případů pracovní neschopnosti mužů než žen.</w:t>
      </w:r>
    </w:p>
    <w:p w:rsidR="00246C58" w:rsidRDefault="00246C58" w:rsidP="00246C58">
      <w:pPr>
        <w:ind w:firstLine="708"/>
        <w:jc w:val="both"/>
        <w:rPr>
          <w:rFonts w:cs="Arial"/>
        </w:rPr>
      </w:pPr>
    </w:p>
    <w:p w:rsidR="00246C58" w:rsidRDefault="00246C58" w:rsidP="00246C58">
      <w:pPr>
        <w:ind w:firstLine="708"/>
        <w:jc w:val="both"/>
        <w:rPr>
          <w:rFonts w:cs="Arial"/>
        </w:rPr>
      </w:pPr>
      <w:r>
        <w:rPr>
          <w:rFonts w:cs="Arial"/>
          <w:b/>
        </w:rPr>
        <w:t>Tyto absolutní údaje je však nutné posuzovat v kontextu zaměstnanosti v daném odvětví</w:t>
      </w:r>
      <w:r>
        <w:rPr>
          <w:rFonts w:cs="Arial"/>
        </w:rPr>
        <w:t xml:space="preserve"> a proto má v případě odvětví vyšší vypovídací schopnost ukazatel relativní, </w:t>
      </w:r>
      <w:r>
        <w:rPr>
          <w:rFonts w:cs="Arial"/>
          <w:b/>
        </w:rPr>
        <w:t>například počet nově hlášených případů dočasné pracovní neschopnosti na 100 pojištěnců.</w:t>
      </w:r>
      <w:r>
        <w:rPr>
          <w:b/>
          <w:color w:val="FF0000"/>
        </w:rPr>
        <w:t xml:space="preserve"> </w:t>
      </w:r>
    </w:p>
    <w:p w:rsidR="00246C58" w:rsidRDefault="00246C58" w:rsidP="00246C58">
      <w:pPr>
        <w:jc w:val="both"/>
        <w:rPr>
          <w:rFonts w:cs="Arial"/>
          <w:b/>
          <w:color w:val="FF0000"/>
        </w:rPr>
      </w:pPr>
    </w:p>
    <w:p w:rsidR="00246C58" w:rsidRDefault="00246C58" w:rsidP="00246C58">
      <w:pPr>
        <w:ind w:firstLine="708"/>
        <w:jc w:val="both"/>
        <w:rPr>
          <w:rFonts w:cs="Arial"/>
          <w:b/>
        </w:rPr>
      </w:pPr>
      <w:r>
        <w:rPr>
          <w:rFonts w:cs="Arial"/>
          <w:b/>
        </w:rPr>
        <w:t>Počet nově hlášených případů dočasné pracovní neschopnosti na 100 pojištěnců</w:t>
      </w:r>
      <w:r>
        <w:rPr>
          <w:rFonts w:cs="Arial"/>
        </w:rPr>
        <w:t xml:space="preserve"> meziročně vzrostl z 29,45 případů v roce 2014 na 34,7 případů v roce 2015 (tj. o 17,8 %), z celkového počtu bylo u </w:t>
      </w:r>
      <w:r>
        <w:rPr>
          <w:rFonts w:cs="Arial"/>
          <w:b/>
        </w:rPr>
        <w:t>mužů</w:t>
      </w:r>
      <w:r>
        <w:rPr>
          <w:rFonts w:cs="Arial"/>
        </w:rPr>
        <w:t xml:space="preserve"> hlášeno 32,7 případů (ženy 36,8). V roce 2015 bylo zapříčiněno 30,7 nově hlášených případů dočasné pracovní neschopnosti </w:t>
      </w:r>
      <w:r>
        <w:rPr>
          <w:rFonts w:cs="Arial"/>
          <w:b/>
        </w:rPr>
        <w:t>nemocí</w:t>
      </w:r>
      <w:r>
        <w:rPr>
          <w:rFonts w:cs="Arial"/>
        </w:rPr>
        <w:t xml:space="preserve">, 1,0 případů </w:t>
      </w:r>
      <w:r>
        <w:rPr>
          <w:rFonts w:cs="Arial"/>
          <w:b/>
        </w:rPr>
        <w:t>pracovními úrazy</w:t>
      </w:r>
      <w:r>
        <w:rPr>
          <w:rFonts w:cs="Arial"/>
        </w:rPr>
        <w:t xml:space="preserve"> a 3,0 případů</w:t>
      </w:r>
      <w:r>
        <w:rPr>
          <w:rFonts w:cs="Arial"/>
          <w:color w:val="FF0000"/>
        </w:rPr>
        <w:t xml:space="preserve"> </w:t>
      </w:r>
      <w:r>
        <w:rPr>
          <w:rFonts w:cs="Arial"/>
          <w:b/>
        </w:rPr>
        <w:t>ostatními úrazy</w:t>
      </w:r>
      <w:r>
        <w:rPr>
          <w:rFonts w:cs="Arial"/>
        </w:rPr>
        <w:t>.</w:t>
      </w:r>
      <w:r>
        <w:rPr>
          <w:rFonts w:cs="Arial"/>
          <w:color w:val="FF0000"/>
        </w:rPr>
        <w:t xml:space="preserve"> </w:t>
      </w:r>
      <w:r>
        <w:rPr>
          <w:rFonts w:cs="Arial"/>
          <w:b/>
        </w:rPr>
        <w:t>Nejvíce případů</w:t>
      </w:r>
      <w:r>
        <w:rPr>
          <w:rFonts w:cs="Arial"/>
        </w:rPr>
        <w:t xml:space="preserve"> pracovní neschopnosti na 100 pojištěnců v roce 2015 bylo hlášeno v Plzeňském kraji (42,5), Karlovarském kraji (42,3), Libereckém kraji (40,4). </w:t>
      </w:r>
      <w:r>
        <w:rPr>
          <w:rFonts w:cs="Arial"/>
          <w:b/>
        </w:rPr>
        <w:t>Nejméně</w:t>
      </w:r>
      <w:r>
        <w:rPr>
          <w:rFonts w:cs="Arial"/>
        </w:rPr>
        <w:t xml:space="preserve"> pak v Hlavním městě Praha (29,4) a Olomouckém kraji (32,7). V roce 2015 byl </w:t>
      </w:r>
      <w:r>
        <w:rPr>
          <w:rFonts w:cs="Arial"/>
          <w:b/>
        </w:rPr>
        <w:t>rozdíl mezi kraji</w:t>
      </w:r>
      <w:r>
        <w:rPr>
          <w:rFonts w:cs="Arial"/>
        </w:rPr>
        <w:t xml:space="preserve"> s nejvyšším a nejnižším počtem pracovní neschopnosti </w:t>
      </w:r>
      <w:r>
        <w:rPr>
          <w:rFonts w:cs="Arial"/>
          <w:b/>
        </w:rPr>
        <w:t>na 100 pojištěnců</w:t>
      </w:r>
      <w:r>
        <w:rPr>
          <w:rFonts w:cs="Arial"/>
        </w:rPr>
        <w:t xml:space="preserve"> </w:t>
      </w:r>
      <w:r>
        <w:rPr>
          <w:rFonts w:cs="Arial"/>
          <w:b/>
        </w:rPr>
        <w:t>13,1 případů</w:t>
      </w:r>
      <w:r>
        <w:rPr>
          <w:rFonts w:cs="Arial"/>
        </w:rPr>
        <w:t xml:space="preserve"> (v roce 2014 téměř 10 případů). </w:t>
      </w:r>
      <w:r>
        <w:rPr>
          <w:rFonts w:cs="Arial"/>
          <w:b/>
        </w:rPr>
        <w:t>Rozdíly výskytu dočasné pracovní neschopnosti dle územního členění</w:t>
      </w:r>
      <w:r>
        <w:rPr>
          <w:rFonts w:cs="Arial"/>
        </w:rPr>
        <w:t xml:space="preserve"> jsou značně ovlivněny strukturou zaměstnanosti, charakterem převažující ekonomické činnosti a mírou nezaměstnanosti v daném regionu</w:t>
      </w:r>
      <w:r>
        <w:rPr>
          <w:rFonts w:cs="Arial"/>
          <w:b/>
        </w:rPr>
        <w:t>.</w:t>
      </w:r>
    </w:p>
    <w:p w:rsidR="00246C58" w:rsidRDefault="00246C58" w:rsidP="00246C58">
      <w:pPr>
        <w:ind w:firstLine="708"/>
        <w:jc w:val="both"/>
        <w:rPr>
          <w:rFonts w:cs="Arial"/>
          <w:b/>
        </w:rPr>
      </w:pPr>
    </w:p>
    <w:p w:rsidR="00246C58" w:rsidRPr="00793362" w:rsidRDefault="00246C58" w:rsidP="00246C58">
      <w:pPr>
        <w:spacing w:line="240" w:lineRule="auto"/>
        <w:jc w:val="both"/>
        <w:rPr>
          <w:rFonts w:cs="Arial"/>
          <w:b/>
          <w:bCs/>
          <w:color w:val="000000"/>
          <w:szCs w:val="20"/>
        </w:rPr>
      </w:pPr>
      <w:r w:rsidRPr="00793362">
        <w:rPr>
          <w:rFonts w:cs="Arial"/>
          <w:b/>
          <w:bCs/>
          <w:color w:val="000000"/>
          <w:szCs w:val="20"/>
        </w:rPr>
        <w:t>Tab.</w:t>
      </w:r>
      <w:r>
        <w:rPr>
          <w:rFonts w:cs="Arial"/>
          <w:b/>
          <w:bCs/>
          <w:color w:val="000000"/>
          <w:szCs w:val="20"/>
        </w:rPr>
        <w:t xml:space="preserve"> č. 3</w:t>
      </w:r>
      <w:r w:rsidRPr="00793362">
        <w:rPr>
          <w:rFonts w:cs="Arial"/>
          <w:b/>
          <w:bCs/>
          <w:color w:val="000000"/>
          <w:szCs w:val="20"/>
        </w:rPr>
        <w:t xml:space="preserve">: Pracovní neschopnost pro nemoc a úraz </w:t>
      </w:r>
      <w:r>
        <w:rPr>
          <w:rFonts w:cs="Arial"/>
          <w:b/>
          <w:bCs/>
          <w:color w:val="000000"/>
          <w:szCs w:val="20"/>
        </w:rPr>
        <w:t xml:space="preserve">dle územního členění v </w:t>
      </w:r>
      <w:r w:rsidRPr="00793362">
        <w:rPr>
          <w:rFonts w:cs="Arial"/>
          <w:b/>
          <w:bCs/>
          <w:color w:val="000000"/>
          <w:szCs w:val="20"/>
        </w:rPr>
        <w:t>ČR v roce 2015 (tis.)</w:t>
      </w:r>
    </w:p>
    <w:p w:rsidR="00246C58" w:rsidRDefault="00246C58" w:rsidP="00246C58">
      <w:pPr>
        <w:jc w:val="both"/>
        <w:rPr>
          <w:rFonts w:cs="Arial"/>
          <w:b/>
        </w:rPr>
      </w:pPr>
    </w:p>
    <w:p w:rsidR="00246C58" w:rsidRDefault="004F40FF" w:rsidP="00246C58">
      <w:pPr>
        <w:jc w:val="both"/>
        <w:rPr>
          <w:rFonts w:cs="Arial"/>
          <w:b/>
        </w:rPr>
      </w:pPr>
      <w:r>
        <w:pict>
          <v:shape id="_x0000_i1029" type="#_x0000_t75" style="width:473.25pt;height:266.25pt">
            <v:imagedata r:id="rId13" o:title=""/>
          </v:shape>
        </w:pict>
      </w:r>
    </w:p>
    <w:p w:rsidR="00246C58" w:rsidRDefault="00246C58" w:rsidP="00246C58">
      <w:pPr>
        <w:ind w:firstLine="708"/>
        <w:jc w:val="both"/>
        <w:rPr>
          <w:rFonts w:cs="Arial"/>
          <w:b/>
        </w:rPr>
      </w:pPr>
    </w:p>
    <w:p w:rsidR="00246C58" w:rsidRDefault="00246C58" w:rsidP="00246C58">
      <w:pPr>
        <w:ind w:firstLine="708"/>
        <w:jc w:val="both"/>
        <w:rPr>
          <w:rFonts w:cs="Arial"/>
          <w:b/>
        </w:rPr>
      </w:pPr>
    </w:p>
    <w:p w:rsidR="00246C58" w:rsidRDefault="00246C58" w:rsidP="00246C58">
      <w:pPr>
        <w:ind w:firstLine="708"/>
        <w:jc w:val="both"/>
        <w:rPr>
          <w:rFonts w:cs="Arial"/>
        </w:rPr>
      </w:pPr>
      <w:r>
        <w:rPr>
          <w:rFonts w:cs="Arial"/>
          <w:b/>
        </w:rPr>
        <w:t xml:space="preserve">Počet nově hlášených případů dočasné pracovní neschopnosti na 100 žen </w:t>
      </w:r>
      <w:r>
        <w:rPr>
          <w:rFonts w:cs="Arial"/>
        </w:rPr>
        <w:t>meziročně vzrostl z 31,2 případů v roce 2014 na 36,8 případů (</w:t>
      </w:r>
      <w:r>
        <w:rPr>
          <w:rFonts w:cs="Arial"/>
          <w:b/>
        </w:rPr>
        <w:t xml:space="preserve">muži </w:t>
      </w:r>
      <w:r>
        <w:rPr>
          <w:rFonts w:cs="Arial"/>
        </w:rPr>
        <w:t xml:space="preserve">32,7 případů) v roce 2015 (tj. o 18 %). </w:t>
      </w:r>
    </w:p>
    <w:p w:rsidR="00246C58" w:rsidRDefault="00246C58" w:rsidP="00246C58">
      <w:pPr>
        <w:ind w:firstLine="708"/>
        <w:jc w:val="both"/>
        <w:rPr>
          <w:rFonts w:cs="Arial"/>
        </w:rPr>
      </w:pPr>
    </w:p>
    <w:p w:rsidR="004D77C2" w:rsidRDefault="00246C58" w:rsidP="00246C58">
      <w:pPr>
        <w:ind w:firstLine="708"/>
        <w:jc w:val="both"/>
        <w:rPr>
          <w:rFonts w:cs="Arial"/>
        </w:rPr>
      </w:pPr>
      <w:r>
        <w:rPr>
          <w:rFonts w:cs="Arial"/>
          <w:b/>
        </w:rPr>
        <w:t xml:space="preserve">Z pohledu převažující ekonomické činnosti subjektu </w:t>
      </w:r>
      <w:r>
        <w:rPr>
          <w:rFonts w:cs="Arial"/>
        </w:rPr>
        <w:t>bylo</w:t>
      </w:r>
      <w:r>
        <w:rPr>
          <w:rFonts w:cs="Arial"/>
          <w:b/>
        </w:rPr>
        <w:t xml:space="preserve"> nejvíce případů</w:t>
      </w:r>
      <w:r>
        <w:rPr>
          <w:rFonts w:cs="Arial"/>
        </w:rPr>
        <w:t xml:space="preserve"> dočasné pracovní neschopnosti na 100 pojištěnců v roce 2015 evidováno v oblasti Administrativní a podpůrné činnosti (48,2), </w:t>
      </w:r>
    </w:p>
    <w:p w:rsidR="009C0E26" w:rsidRDefault="009C0E26" w:rsidP="004D77C2">
      <w:pPr>
        <w:jc w:val="both"/>
        <w:rPr>
          <w:rFonts w:cs="Arial"/>
        </w:rPr>
      </w:pPr>
    </w:p>
    <w:p w:rsidR="00246C58" w:rsidRDefault="00246C58" w:rsidP="004D77C2">
      <w:pPr>
        <w:jc w:val="both"/>
        <w:rPr>
          <w:rFonts w:cs="Arial"/>
        </w:rPr>
      </w:pPr>
      <w:r>
        <w:rPr>
          <w:rFonts w:cs="Arial"/>
        </w:rPr>
        <w:t xml:space="preserve">následoval Zpracovatelský průmysl (45,1) a dále u fyzicky náročných činností v oblasti Těžba a dobývání (39,7). </w:t>
      </w:r>
      <w:r>
        <w:rPr>
          <w:rFonts w:cs="Arial"/>
          <w:b/>
        </w:rPr>
        <w:t>Nejméně časté případy</w:t>
      </w:r>
      <w:r>
        <w:rPr>
          <w:rFonts w:cs="Arial"/>
        </w:rPr>
        <w:t xml:space="preserve"> pracovní neschopnosti na 100 pojištěnců v roce 2015 byly evidovány u osob v odvětví Činností v oblasti nemovitostí (16,3), nízký počet případů byl hlášen i v Profesních, vědeckých a technických činnostech (21,1) a také ve skupině Výroby, rozvodu elektřiny a jiných energií (23). </w:t>
      </w:r>
    </w:p>
    <w:p w:rsidR="00246C58" w:rsidRDefault="00246C58" w:rsidP="00246C58">
      <w:pPr>
        <w:ind w:firstLine="708"/>
        <w:jc w:val="both"/>
        <w:rPr>
          <w:rFonts w:cs="Arial"/>
          <w:b/>
        </w:rPr>
      </w:pPr>
    </w:p>
    <w:p w:rsidR="00694A22" w:rsidRDefault="00246C58" w:rsidP="00246C58">
      <w:pPr>
        <w:ind w:firstLine="708"/>
        <w:jc w:val="both"/>
        <w:rPr>
          <w:rFonts w:cs="Arial"/>
        </w:rPr>
      </w:pPr>
      <w:r w:rsidRPr="00EC5ACA">
        <w:rPr>
          <w:rFonts w:cs="Arial"/>
        </w:rPr>
        <w:t>N</w:t>
      </w:r>
      <w:r>
        <w:rPr>
          <w:rFonts w:cs="Arial"/>
        </w:rPr>
        <w:t xml:space="preserve">ejvíce případů dočasné pracovní neschopnosti na 100 pojištěnců </w:t>
      </w:r>
      <w:r>
        <w:rPr>
          <w:rFonts w:cs="Arial"/>
          <w:b/>
        </w:rPr>
        <w:t>pro nemoc</w:t>
      </w:r>
      <w:r>
        <w:rPr>
          <w:rFonts w:cs="Arial"/>
        </w:rPr>
        <w:t xml:space="preserve"> bylo evidováno v oblasti Administrativní a podpůrné činnosti (43,6) a Zpracovatelském průmyslu (39), nejméně případů pro nemoc u Činnosti v oblasti nemovitostí (14,6). </w:t>
      </w:r>
    </w:p>
    <w:p w:rsidR="00694A22" w:rsidRDefault="00694A22" w:rsidP="00246C58">
      <w:pPr>
        <w:ind w:firstLine="708"/>
        <w:jc w:val="both"/>
        <w:rPr>
          <w:rFonts w:cs="Arial"/>
        </w:rPr>
      </w:pPr>
    </w:p>
    <w:p w:rsidR="00694A22" w:rsidRDefault="00246C58" w:rsidP="00246C58">
      <w:pPr>
        <w:ind w:firstLine="708"/>
        <w:jc w:val="both"/>
        <w:rPr>
          <w:rFonts w:cs="Arial"/>
        </w:rPr>
      </w:pPr>
      <w:r>
        <w:rPr>
          <w:rFonts w:cs="Arial"/>
        </w:rPr>
        <w:t xml:space="preserve">Nejvíce případů dočasné pracovní neschopnosti na 100 pojištěnců </w:t>
      </w:r>
      <w:r>
        <w:rPr>
          <w:rFonts w:cs="Arial"/>
          <w:b/>
        </w:rPr>
        <w:t>pro pracovní</w:t>
      </w:r>
      <w:r>
        <w:rPr>
          <w:rFonts w:cs="Arial"/>
        </w:rPr>
        <w:t xml:space="preserve"> </w:t>
      </w:r>
      <w:r>
        <w:rPr>
          <w:rFonts w:cs="Arial"/>
          <w:b/>
        </w:rPr>
        <w:t>úraz</w:t>
      </w:r>
      <w:r>
        <w:rPr>
          <w:rFonts w:cs="Arial"/>
        </w:rPr>
        <w:t xml:space="preserve"> bylo hlášeno u oblasti Zemědělství, lesnictví a rybářství (2,4)</w:t>
      </w:r>
      <w:r>
        <w:rPr>
          <w:rFonts w:cs="Arial"/>
          <w:szCs w:val="20"/>
        </w:rPr>
        <w:t xml:space="preserve">, dále u oblasti </w:t>
      </w:r>
      <w:r>
        <w:rPr>
          <w:rFonts w:cs="Arial"/>
        </w:rPr>
        <w:t xml:space="preserve">Zásobování vodou, činnosti související s odpadními vodami, odpady a sanacemi (1,8), v oblasti Zpracovatelský průmysl (1,7) a v oblasti Těžba a dobývání (1,3), stejná hodnota (1,3) je i v odvětví Stavebnictví, naopak nejméně pracovních úrazů je hlášeno u </w:t>
      </w:r>
      <w:r>
        <w:rPr>
          <w:rFonts w:cs="Arial"/>
          <w:szCs w:val="20"/>
        </w:rPr>
        <w:t xml:space="preserve">Informačních a komunikačních činností (0,1) a </w:t>
      </w:r>
      <w:r>
        <w:rPr>
          <w:rFonts w:cs="Arial"/>
        </w:rPr>
        <w:t xml:space="preserve">Peněžnictví a pojišťovnictví kde je hodnota rovněž stejná (0,1). </w:t>
      </w:r>
    </w:p>
    <w:p w:rsidR="00246C58" w:rsidRDefault="00246C58" w:rsidP="00246C58">
      <w:pPr>
        <w:ind w:firstLine="708"/>
        <w:jc w:val="both"/>
        <w:rPr>
          <w:rFonts w:cs="Arial"/>
        </w:rPr>
      </w:pPr>
      <w:r>
        <w:rPr>
          <w:rFonts w:cs="Arial"/>
        </w:rPr>
        <w:t xml:space="preserve">Nejvíce případů dočasné pracovní neschopnosti na 100 pojištěnců </w:t>
      </w:r>
      <w:r>
        <w:rPr>
          <w:rFonts w:cs="Arial"/>
          <w:b/>
        </w:rPr>
        <w:t>pro ostatní úraz</w:t>
      </w:r>
      <w:r>
        <w:rPr>
          <w:rFonts w:cs="Arial"/>
        </w:rPr>
        <w:t xml:space="preserve"> bylo hlášeno pro oblast Těžba a dobývání (4,6) a Zpracovatelském průmyslu (4,3), nejméně případů pro ostatní úraz bylo hlášeno u </w:t>
      </w:r>
      <w:r>
        <w:rPr>
          <w:rFonts w:cs="Arial"/>
          <w:szCs w:val="20"/>
        </w:rPr>
        <w:t xml:space="preserve">Informačních a komunikačních činností (1,1) a </w:t>
      </w:r>
      <w:r>
        <w:rPr>
          <w:rFonts w:cs="Arial"/>
        </w:rPr>
        <w:t xml:space="preserve">Peněžnictví a pojišťovnictví (1,3). </w:t>
      </w:r>
    </w:p>
    <w:p w:rsidR="00246C58" w:rsidRDefault="00246C58" w:rsidP="00246C58">
      <w:pPr>
        <w:spacing w:after="120"/>
        <w:ind w:firstLine="708"/>
        <w:jc w:val="both"/>
      </w:pPr>
    </w:p>
    <w:p w:rsidR="00A0613F" w:rsidRDefault="00246C58" w:rsidP="00246C58">
      <w:pPr>
        <w:rPr>
          <w:b/>
        </w:rPr>
      </w:pPr>
      <w:r w:rsidRPr="00D31878">
        <w:rPr>
          <w:b/>
        </w:rPr>
        <w:t xml:space="preserve"> </w:t>
      </w:r>
    </w:p>
    <w:p w:rsidR="00246C58" w:rsidRDefault="00246C58" w:rsidP="00246C58">
      <w:pPr>
        <w:rPr>
          <w:b/>
        </w:rPr>
      </w:pPr>
      <w:r w:rsidRPr="00D042D7">
        <w:rPr>
          <w:b/>
        </w:rPr>
        <w:t>Graf</w:t>
      </w:r>
      <w:r>
        <w:rPr>
          <w:b/>
        </w:rPr>
        <w:t xml:space="preserve"> 3</w:t>
      </w:r>
      <w:r w:rsidRPr="00D042D7">
        <w:rPr>
          <w:b/>
        </w:rPr>
        <w:t>: Základní ukazatele dočasné pracovní neschopnosti podle sekcí  CZ-NACE</w:t>
      </w:r>
    </w:p>
    <w:p w:rsidR="00AA6C98" w:rsidRPr="00D042D7" w:rsidRDefault="00AA6C98" w:rsidP="00246C58">
      <w:pPr>
        <w:rPr>
          <w:b/>
        </w:rPr>
      </w:pPr>
    </w:p>
    <w:p w:rsidR="00246C58" w:rsidRDefault="004F40FF" w:rsidP="00246C58">
      <w:pPr>
        <w:spacing w:after="120"/>
        <w:jc w:val="center"/>
      </w:pPr>
      <w:r>
        <w:pict>
          <v:shape id="_x0000_i1030" type="#_x0000_t75" style="width:475.5pt;height:288.75pt">
            <v:imagedata r:id="rId14" o:title=""/>
          </v:shape>
        </w:pict>
      </w:r>
    </w:p>
    <w:p w:rsidR="00246C58" w:rsidRDefault="00246C58" w:rsidP="00246C58">
      <w:pPr>
        <w:jc w:val="both"/>
        <w:rPr>
          <w:rFonts w:cs="Arial"/>
          <w:b/>
        </w:rPr>
      </w:pPr>
    </w:p>
    <w:p w:rsidR="00246C58" w:rsidRDefault="00246C58" w:rsidP="00246C58">
      <w:pPr>
        <w:jc w:val="both"/>
        <w:rPr>
          <w:rFonts w:cs="Arial"/>
          <w:b/>
        </w:rPr>
      </w:pPr>
    </w:p>
    <w:p w:rsidR="00AB642F" w:rsidRDefault="00AB642F" w:rsidP="00AB642F">
      <w:pPr>
        <w:spacing w:after="120"/>
        <w:ind w:firstLine="142"/>
        <w:jc w:val="both"/>
        <w:rPr>
          <w:rFonts w:cs="Arial"/>
          <w:b/>
        </w:rPr>
      </w:pPr>
    </w:p>
    <w:p w:rsidR="00A0613F" w:rsidRDefault="00A0613F" w:rsidP="00AB642F">
      <w:pPr>
        <w:spacing w:after="120"/>
        <w:ind w:firstLine="142"/>
        <w:jc w:val="both"/>
        <w:rPr>
          <w:rFonts w:cs="Arial"/>
          <w:b/>
        </w:rPr>
      </w:pPr>
    </w:p>
    <w:p w:rsidR="00A0613F" w:rsidRDefault="00A0613F" w:rsidP="00AB642F">
      <w:pPr>
        <w:spacing w:after="120"/>
        <w:ind w:firstLine="142"/>
        <w:jc w:val="both"/>
        <w:rPr>
          <w:rFonts w:cs="Arial"/>
          <w:b/>
        </w:rPr>
      </w:pPr>
    </w:p>
    <w:p w:rsidR="00A0613F" w:rsidRDefault="00A0613F" w:rsidP="00AB642F">
      <w:pPr>
        <w:spacing w:after="120"/>
        <w:ind w:firstLine="142"/>
        <w:jc w:val="both"/>
        <w:rPr>
          <w:rFonts w:cs="Arial"/>
          <w:b/>
        </w:rPr>
      </w:pPr>
    </w:p>
    <w:p w:rsidR="00A0613F" w:rsidRDefault="00A0613F" w:rsidP="00AB642F">
      <w:pPr>
        <w:spacing w:after="120"/>
        <w:ind w:firstLine="142"/>
        <w:jc w:val="both"/>
        <w:rPr>
          <w:rFonts w:cs="Arial"/>
          <w:b/>
        </w:rPr>
      </w:pPr>
    </w:p>
    <w:p w:rsidR="00246C58" w:rsidRDefault="00AB642F" w:rsidP="00AB642F">
      <w:pPr>
        <w:spacing w:after="120"/>
        <w:ind w:firstLine="142"/>
        <w:jc w:val="both"/>
        <w:rPr>
          <w:rFonts w:cs="Arial"/>
          <w:b/>
        </w:rPr>
      </w:pPr>
      <w:r w:rsidRPr="00AB642F">
        <w:rPr>
          <w:rFonts w:cs="Arial"/>
          <w:b/>
        </w:rPr>
        <w:t>Tab</w:t>
      </w:r>
      <w:r w:rsidR="0067277F">
        <w:rPr>
          <w:rFonts w:cs="Arial"/>
          <w:b/>
        </w:rPr>
        <w:t xml:space="preserve"> č. 4</w:t>
      </w:r>
      <w:r w:rsidRPr="00AB642F">
        <w:rPr>
          <w:rFonts w:cs="Arial"/>
          <w:b/>
        </w:rPr>
        <w:t>: Pracovní neschopnost pro nemoc a úraz podle sekcí CZ-NACE v roce 2015 (v tis.)</w:t>
      </w:r>
    </w:p>
    <w:p w:rsidR="00AB642F" w:rsidRDefault="004F40FF" w:rsidP="00AB642F">
      <w:pPr>
        <w:spacing w:after="120"/>
        <w:ind w:firstLine="142"/>
        <w:jc w:val="both"/>
        <w:rPr>
          <w:rFonts w:cs="Arial"/>
        </w:rPr>
      </w:pPr>
      <w:r>
        <w:pict>
          <v:shape id="_x0000_i1031" type="#_x0000_t75" style="width:468pt;height:362.25pt">
            <v:imagedata r:id="rId15" o:title=""/>
          </v:shape>
        </w:pict>
      </w:r>
    </w:p>
    <w:p w:rsidR="00246C58" w:rsidRDefault="00246C58" w:rsidP="00246C58">
      <w:pPr>
        <w:jc w:val="both"/>
        <w:rPr>
          <w:rFonts w:cs="Arial"/>
        </w:rPr>
      </w:pPr>
    </w:p>
    <w:p w:rsidR="00AB642F" w:rsidRDefault="00AB642F" w:rsidP="00246C58">
      <w:pPr>
        <w:autoSpaceDE w:val="0"/>
        <w:autoSpaceDN w:val="0"/>
        <w:adjustRightInd w:val="0"/>
        <w:spacing w:after="200"/>
        <w:jc w:val="both"/>
        <w:rPr>
          <w:rFonts w:eastAsia="MS Gothic" w:cs="Arial"/>
          <w:b/>
          <w:bCs/>
          <w:color w:val="BC091B"/>
          <w:sz w:val="24"/>
        </w:rPr>
      </w:pPr>
    </w:p>
    <w:p w:rsidR="00246C58" w:rsidRDefault="00246C58" w:rsidP="00246C58">
      <w:pPr>
        <w:autoSpaceDE w:val="0"/>
        <w:autoSpaceDN w:val="0"/>
        <w:adjustRightInd w:val="0"/>
        <w:spacing w:after="200"/>
        <w:jc w:val="both"/>
        <w:rPr>
          <w:rFonts w:eastAsia="MS Gothic" w:cs="Arial"/>
          <w:b/>
          <w:bCs/>
          <w:color w:val="BC091B"/>
          <w:sz w:val="24"/>
        </w:rPr>
      </w:pPr>
      <w:r>
        <w:rPr>
          <w:rFonts w:eastAsia="MS Gothic" w:cs="Arial"/>
          <w:b/>
          <w:bCs/>
          <w:color w:val="BC091B"/>
          <w:sz w:val="24"/>
        </w:rPr>
        <w:t>3.3. Počet kalendářních dnů dočasné pracovní neschopnosti</w:t>
      </w:r>
      <w:r>
        <w:rPr>
          <w:rFonts w:cs="Arial"/>
          <w:b/>
        </w:rPr>
        <w:t xml:space="preserve"> </w:t>
      </w:r>
      <w:r>
        <w:rPr>
          <w:rFonts w:eastAsia="MS Gothic" w:cs="Arial"/>
          <w:b/>
          <w:bCs/>
          <w:color w:val="BC091B"/>
          <w:sz w:val="24"/>
        </w:rPr>
        <w:t>a průměrná délka trvání 1 případu dočasné pracovní neschopnosti</w:t>
      </w:r>
    </w:p>
    <w:p w:rsidR="00246C58" w:rsidRDefault="00246C58" w:rsidP="00246C58">
      <w:pPr>
        <w:ind w:firstLine="708"/>
        <w:jc w:val="both"/>
      </w:pPr>
      <w:r>
        <w:rPr>
          <w:b/>
        </w:rPr>
        <w:t xml:space="preserve">Počet kalendářních dnů dočasné pracovní neschopnosti </w:t>
      </w:r>
      <w:r>
        <w:t>meziročně vrostl z 60 235 tis.</w:t>
      </w:r>
      <w:r>
        <w:rPr>
          <w:sz w:val="16"/>
          <w:szCs w:val="16"/>
        </w:rPr>
        <w:t xml:space="preserve"> </w:t>
      </w:r>
      <w:r>
        <w:t xml:space="preserve">prostonaných dnů v roce 2014 na 66 817 tis. prostonaných dnů v roce 2015 (tj. o 5,7 %). V celkovém počtu kalendářních dnů dočasné pracovní neschopnosti bylo zahrnuto 57 013 tis. (tj. 80 %) prostonaných dnů </w:t>
      </w:r>
      <w:r>
        <w:rPr>
          <w:b/>
        </w:rPr>
        <w:t>pro nemoc</w:t>
      </w:r>
      <w:r>
        <w:t xml:space="preserve">, 2 569 tis. dnů (tj. 4 %) </w:t>
      </w:r>
      <w:r>
        <w:rPr>
          <w:b/>
        </w:rPr>
        <w:t>pro pracovní úraz</w:t>
      </w:r>
      <w:r>
        <w:t xml:space="preserve"> a 7 235 tis. prostonaných dnů (tj. 11 %) </w:t>
      </w:r>
      <w:r>
        <w:rPr>
          <w:b/>
        </w:rPr>
        <w:t>pro ostatní úrazy</w:t>
      </w:r>
      <w:r>
        <w:t xml:space="preserve">. </w:t>
      </w:r>
      <w:r>
        <w:rPr>
          <w:b/>
        </w:rPr>
        <w:t>Ženy</w:t>
      </w:r>
      <w:r>
        <w:t xml:space="preserve"> prostonaly 36 345 tis. dnů, o 5 782 tis. dnů (tj. o 19 %) více než </w:t>
      </w:r>
      <w:r>
        <w:rPr>
          <w:b/>
        </w:rPr>
        <w:t>muži</w:t>
      </w:r>
      <w:r>
        <w:t xml:space="preserve">, kteří prostonali 30 473 tis. dnů. </w:t>
      </w:r>
    </w:p>
    <w:p w:rsidR="00246C58" w:rsidRDefault="00246C58" w:rsidP="00246C58">
      <w:pPr>
        <w:jc w:val="both"/>
        <w:rPr>
          <w:b/>
        </w:rPr>
      </w:pPr>
    </w:p>
    <w:p w:rsidR="00246C58" w:rsidRDefault="00246C58" w:rsidP="00246C58">
      <w:pPr>
        <w:ind w:firstLine="708"/>
        <w:jc w:val="both"/>
        <w:rPr>
          <w:rFonts w:cs="Arial"/>
          <w:b/>
        </w:rPr>
      </w:pPr>
      <w:r>
        <w:rPr>
          <w:b/>
        </w:rPr>
        <w:t>Nejvíce prostonaných dnů z celorepublikového počtu bylo v odvětví</w:t>
      </w:r>
      <w:r>
        <w:t xml:space="preserve"> Zpracovatelský průmysl (22 210 tis.), a to jak celkem, tak v jednotlivých kategoriích - pro nemoc (18 616 tis.), pro pracovní úrazy (983 tis.) a pro ostatní úrazy (2 611 tis.). </w:t>
      </w:r>
      <w:r>
        <w:rPr>
          <w:b/>
        </w:rPr>
        <w:t>Naopak nejméně prostonaných dnů</w:t>
      </w:r>
      <w:r>
        <w:t xml:space="preserve"> bylo hlášeno v oblasti Výroby, rozvodu elektřiny a jiných energií (296 tis.), kde bylo evidováno i nejméně prostonaných dnů pro nemoc (250 tis.), pro pracovní úrazy (10 tis.) a pro ostatní úrazy (36 tis.).</w:t>
      </w:r>
    </w:p>
    <w:p w:rsidR="00246C58" w:rsidRDefault="00246C58" w:rsidP="00246C58">
      <w:pPr>
        <w:pStyle w:val="Zkladntextodsazen"/>
        <w:spacing w:line="288" w:lineRule="auto"/>
        <w:ind w:left="0"/>
        <w:jc w:val="both"/>
        <w:rPr>
          <w:rFonts w:cs="Arial"/>
          <w:b/>
        </w:rPr>
      </w:pPr>
    </w:p>
    <w:p w:rsidR="00246C58" w:rsidRDefault="00246C58" w:rsidP="00246C58">
      <w:pPr>
        <w:ind w:firstLine="708"/>
        <w:jc w:val="both"/>
        <w:rPr>
          <w:rFonts w:cs="Arial"/>
        </w:rPr>
      </w:pPr>
      <w:r>
        <w:rPr>
          <w:rFonts w:cs="Arial"/>
          <w:b/>
        </w:rPr>
        <w:t>Ve sledovaném období 2005 – 2015</w:t>
      </w:r>
      <w:r>
        <w:rPr>
          <w:rFonts w:cs="Arial"/>
          <w:b/>
          <w:color w:val="FF0000"/>
        </w:rPr>
        <w:t xml:space="preserve"> </w:t>
      </w:r>
      <w:r>
        <w:rPr>
          <w:rFonts w:cs="Arial"/>
          <w:b/>
        </w:rPr>
        <w:t>absolutní</w:t>
      </w:r>
      <w:r>
        <w:rPr>
          <w:rFonts w:cs="Arial"/>
          <w:b/>
          <w:color w:val="FF0000"/>
        </w:rPr>
        <w:t xml:space="preserve"> </w:t>
      </w:r>
      <w:r>
        <w:rPr>
          <w:b/>
        </w:rPr>
        <w:t xml:space="preserve">počet kalendářních dnů dočasné pracovní neschopnosti </w:t>
      </w:r>
      <w:r>
        <w:rPr>
          <w:rFonts w:cs="Arial"/>
          <w:b/>
        </w:rPr>
        <w:t>poklesl</w:t>
      </w:r>
      <w:r>
        <w:rPr>
          <w:rFonts w:cs="Arial"/>
        </w:rPr>
        <w:t xml:space="preserve"> </w:t>
      </w:r>
      <w:r w:rsidR="00260560">
        <w:rPr>
          <w:rFonts w:cs="Arial"/>
        </w:rPr>
        <w:t>z 99 346 t</w:t>
      </w:r>
      <w:r>
        <w:rPr>
          <w:rFonts w:cs="Arial"/>
        </w:rPr>
        <w:t xml:space="preserve">is. případů. (tj. o 49 %) na 66 817 tis. </w:t>
      </w:r>
      <w:r>
        <w:rPr>
          <w:rFonts w:cs="Arial"/>
          <w:b/>
        </w:rPr>
        <w:t>Z hlediska příčin dočasné pracovní neschopnosti</w:t>
      </w:r>
      <w:r>
        <w:rPr>
          <w:rFonts w:cs="Arial"/>
        </w:rPr>
        <w:t xml:space="preserve"> je </w:t>
      </w:r>
      <w:r>
        <w:rPr>
          <w:rFonts w:cs="Arial"/>
          <w:b/>
        </w:rPr>
        <w:t>ve sledovaném</w:t>
      </w:r>
      <w:r>
        <w:rPr>
          <w:rFonts w:cs="Arial"/>
        </w:rPr>
        <w:t xml:space="preserve"> </w:t>
      </w:r>
      <w:r>
        <w:rPr>
          <w:rFonts w:cs="Arial"/>
          <w:b/>
        </w:rPr>
        <w:t>období 2005 – 2015</w:t>
      </w:r>
      <w:r>
        <w:rPr>
          <w:rFonts w:cs="Arial"/>
        </w:rPr>
        <w:t xml:space="preserve"> zřejmý pokles podílu počtu kalendářních dní </w:t>
      </w:r>
      <w:r>
        <w:rPr>
          <w:rFonts w:cs="Arial"/>
          <w:b/>
        </w:rPr>
        <w:lastRenderedPageBreak/>
        <w:t>z důvodu nemoci</w:t>
      </w:r>
      <w:r>
        <w:rPr>
          <w:rFonts w:cs="Arial"/>
        </w:rPr>
        <w:t xml:space="preserve"> z 89 522 tis. 57 013 tis. (tj. o 57 %), v</w:t>
      </w:r>
      <w:r>
        <w:rPr>
          <w:rFonts w:cs="Arial"/>
          <w:b/>
        </w:rPr>
        <w:t> </w:t>
      </w:r>
      <w:r>
        <w:rPr>
          <w:rFonts w:cs="Arial"/>
        </w:rPr>
        <w:t>případě</w:t>
      </w:r>
      <w:r>
        <w:rPr>
          <w:rFonts w:cs="Arial"/>
          <w:b/>
        </w:rPr>
        <w:t xml:space="preserve"> </w:t>
      </w:r>
      <w:r>
        <w:rPr>
          <w:rFonts w:cs="Arial"/>
        </w:rPr>
        <w:t>podílu</w:t>
      </w:r>
      <w:r>
        <w:rPr>
          <w:rFonts w:cs="Arial"/>
          <w:b/>
        </w:rPr>
        <w:t xml:space="preserve"> pracovních úrazů</w:t>
      </w:r>
      <w:r>
        <w:rPr>
          <w:rFonts w:cs="Arial"/>
        </w:rPr>
        <w:t xml:space="preserve"> pokles z 3 702 tis. na 2 569 tis. (tj. 11,8 %) a naopak zvýšení podílu </w:t>
      </w:r>
      <w:r>
        <w:rPr>
          <w:rFonts w:cs="Arial"/>
          <w:b/>
        </w:rPr>
        <w:t>ostatních úrazů</w:t>
      </w:r>
      <w:r>
        <w:rPr>
          <w:rFonts w:cs="Arial"/>
        </w:rPr>
        <w:t xml:space="preserve"> z 6 122 tis. na 7 235 tis. (tj. 18,2 %). V tomto období rychleji klesal počet nově hlášených případů pracovních neschopností mužů (tj. o 49,2 %) než žen (tj. o 54,1 %). V případě žen je patrný vyšší podíl nově hlášených případů z důvodu nemoci, opačně je tomu v případě pracovních úrazů a ostatních úrazů.</w:t>
      </w:r>
    </w:p>
    <w:p w:rsidR="00246C58" w:rsidRDefault="00246C58" w:rsidP="00246C58">
      <w:pPr>
        <w:pStyle w:val="Zkladntextodsazen"/>
        <w:spacing w:line="288" w:lineRule="auto"/>
        <w:ind w:left="0"/>
        <w:jc w:val="both"/>
        <w:rPr>
          <w:rFonts w:cs="Arial"/>
          <w:b/>
        </w:rPr>
      </w:pPr>
    </w:p>
    <w:p w:rsidR="00246C58" w:rsidRDefault="00246C58" w:rsidP="00246C58">
      <w:pPr>
        <w:pStyle w:val="Zkladntextodsazen"/>
        <w:spacing w:line="288" w:lineRule="auto"/>
        <w:ind w:left="0"/>
        <w:jc w:val="both"/>
        <w:rPr>
          <w:b/>
          <w:color w:val="000000"/>
        </w:rPr>
      </w:pPr>
      <w:r>
        <w:rPr>
          <w:b/>
          <w:color w:val="000000"/>
        </w:rPr>
        <w:t>Graf 4: Počet kalendářních dnů dočasné pracovní neschopnosti na 1 nově hlášený případ pro nemoc a úraz v ČR v období 2005 - 2015</w:t>
      </w:r>
    </w:p>
    <w:p w:rsidR="00246C58" w:rsidRDefault="00246C58" w:rsidP="00246C58">
      <w:pPr>
        <w:pStyle w:val="Zkladntextodsazen"/>
        <w:spacing w:line="288" w:lineRule="auto"/>
        <w:ind w:left="0"/>
        <w:jc w:val="both"/>
        <w:rPr>
          <w:b/>
          <w:color w:val="000000"/>
        </w:rPr>
      </w:pPr>
    </w:p>
    <w:p w:rsidR="00246C58" w:rsidRDefault="004F40FF" w:rsidP="00622A1E">
      <w:pPr>
        <w:pStyle w:val="Zkladntextodsazen"/>
        <w:spacing w:line="288" w:lineRule="auto"/>
        <w:ind w:left="0"/>
        <w:rPr>
          <w:b/>
          <w:color w:val="000000"/>
        </w:rPr>
      </w:pPr>
      <w:r w:rsidRPr="004D514D">
        <w:rPr>
          <w:b/>
          <w:noProof/>
          <w:color w:val="000000"/>
        </w:rPr>
        <w:pict>
          <v:shape id="Graf 1" o:spid="_x0000_i1032" type="#_x0000_t75" style="width:472.5pt;height:22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">
            <v:imagedata r:id="rId16" o:title=""/>
            <o:lock v:ext="edit" aspectratio="f"/>
          </v:shape>
        </w:pict>
      </w:r>
    </w:p>
    <w:p w:rsidR="00246C58" w:rsidRDefault="00246C58" w:rsidP="00246C58">
      <w:pPr>
        <w:pStyle w:val="Zkladntextodsazen"/>
        <w:spacing w:line="288" w:lineRule="auto"/>
        <w:ind w:left="0"/>
        <w:jc w:val="both"/>
        <w:rPr>
          <w:b/>
          <w:color w:val="000000"/>
        </w:rPr>
      </w:pPr>
    </w:p>
    <w:p w:rsidR="00246C58" w:rsidRDefault="00246C58" w:rsidP="00246C58">
      <w:pPr>
        <w:pStyle w:val="Zkladntextodsazen"/>
        <w:spacing w:line="288" w:lineRule="auto"/>
        <w:ind w:left="0" w:firstLine="708"/>
        <w:jc w:val="both"/>
        <w:rPr>
          <w:rFonts w:cs="Arial"/>
        </w:rPr>
      </w:pPr>
      <w:r>
        <w:rPr>
          <w:rFonts w:cs="Arial"/>
          <w:b/>
        </w:rPr>
        <w:t>Průměrná délka trvání 1 případu dočasné pracovní neschopnosti</w:t>
      </w:r>
      <w:r>
        <w:rPr>
          <w:rFonts w:cs="Arial"/>
        </w:rPr>
        <w:t xml:space="preserve"> se meziročně snížila ze 45,8 dne v roce 2014 na 42,7 dne v roce 2015, </w:t>
      </w:r>
      <w:r>
        <w:rPr>
          <w:b/>
          <w:bCs/>
        </w:rPr>
        <w:t>zkrátila se tedy o 3 dny.</w:t>
      </w:r>
      <w:r>
        <w:rPr>
          <w:rFonts w:cs="Arial"/>
        </w:rPr>
        <w:t xml:space="preserve"> Průměrná délka trvání 1 případu dočasné pracovní neschopnosti z důvodu </w:t>
      </w:r>
      <w:r>
        <w:rPr>
          <w:rFonts w:cs="Arial"/>
          <w:b/>
        </w:rPr>
        <w:t>nemoci</w:t>
      </w:r>
      <w:r>
        <w:rPr>
          <w:rFonts w:cs="Arial"/>
        </w:rPr>
        <w:t xml:space="preserve"> byla 41,2 dne, z důvodu</w:t>
      </w:r>
      <w:r>
        <w:rPr>
          <w:rFonts w:cs="Arial"/>
          <w:b/>
        </w:rPr>
        <w:t xml:space="preserve"> pracovního úrazu </w:t>
      </w:r>
      <w:r>
        <w:rPr>
          <w:rFonts w:cs="Arial"/>
        </w:rPr>
        <w:t>55,4 dne a 54,3 dne z důvodu</w:t>
      </w:r>
      <w:r>
        <w:rPr>
          <w:rFonts w:cs="Arial"/>
          <w:b/>
        </w:rPr>
        <w:t xml:space="preserve"> ostatních úrazů</w:t>
      </w:r>
      <w:r>
        <w:rPr>
          <w:rFonts w:cs="Arial"/>
        </w:rPr>
        <w:t xml:space="preserve">. Průměrná délka trvání 1 případu dočasné pracovní neschopnosti </w:t>
      </w:r>
      <w:r>
        <w:rPr>
          <w:rFonts w:cs="Arial"/>
          <w:b/>
        </w:rPr>
        <w:t xml:space="preserve">žen </w:t>
      </w:r>
      <w:r>
        <w:rPr>
          <w:rFonts w:cs="Arial"/>
        </w:rPr>
        <w:t>se meziročně snížila ze  48 dne v roce 2014 na 44,8 dne v roce 2015 (</w:t>
      </w:r>
      <w:r>
        <w:rPr>
          <w:rFonts w:cs="Arial"/>
          <w:b/>
        </w:rPr>
        <w:t>muži</w:t>
      </w:r>
      <w:r>
        <w:rPr>
          <w:rFonts w:cs="Arial"/>
        </w:rPr>
        <w:t xml:space="preserve"> 40,5 dne). </w:t>
      </w:r>
      <w:r>
        <w:rPr>
          <w:rFonts w:cs="Arial"/>
          <w:b/>
        </w:rPr>
        <w:t>V období let 2005 – 2015</w:t>
      </w:r>
      <w:r>
        <w:rPr>
          <w:rFonts w:cs="Arial"/>
        </w:rPr>
        <w:t xml:space="preserve"> </w:t>
      </w:r>
      <w:r>
        <w:rPr>
          <w:rFonts w:cs="Arial"/>
          <w:b/>
        </w:rPr>
        <w:t>se průměrná délka trvání 1 případu</w:t>
      </w:r>
      <w:r>
        <w:rPr>
          <w:rFonts w:cs="Arial"/>
        </w:rPr>
        <w:t xml:space="preserve"> dočasné pracovní neschopnosti </w:t>
      </w:r>
      <w:r>
        <w:rPr>
          <w:rFonts w:cs="Arial"/>
          <w:b/>
        </w:rPr>
        <w:t xml:space="preserve">zvýšila </w:t>
      </w:r>
      <w:r>
        <w:rPr>
          <w:rFonts w:cs="Arial"/>
        </w:rPr>
        <w:t xml:space="preserve">z 32,8 dne na 42,7 dne (o 10 dní), </w:t>
      </w:r>
      <w:r>
        <w:rPr>
          <w:rFonts w:cs="Arial"/>
          <w:b/>
        </w:rPr>
        <w:t>u žen</w:t>
      </w:r>
      <w:r>
        <w:rPr>
          <w:rFonts w:cs="Arial"/>
        </w:rPr>
        <w:t xml:space="preserve"> v tomto období zvýšila z 33,9 dne 44,8 dne (téměř o 11 dní), u </w:t>
      </w:r>
      <w:r>
        <w:rPr>
          <w:rFonts w:cs="Arial"/>
          <w:b/>
        </w:rPr>
        <w:t>mužů</w:t>
      </w:r>
      <w:r>
        <w:rPr>
          <w:rFonts w:cs="Arial"/>
        </w:rPr>
        <w:t xml:space="preserve"> z 31,8 dne na 40,5 (téměř o 9 dní).</w:t>
      </w:r>
    </w:p>
    <w:p w:rsidR="00246C58" w:rsidRDefault="00246C58" w:rsidP="00246C58">
      <w:pPr>
        <w:pStyle w:val="Zkladntextodsazen"/>
        <w:spacing w:after="240" w:line="288" w:lineRule="auto"/>
        <w:ind w:left="0" w:firstLine="708"/>
        <w:jc w:val="both"/>
        <w:rPr>
          <w:rFonts w:cs="Arial"/>
        </w:rPr>
      </w:pPr>
      <w:r>
        <w:rPr>
          <w:rFonts w:cs="Arial"/>
          <w:b/>
        </w:rPr>
        <w:t>Nejdelší</w:t>
      </w:r>
      <w:r>
        <w:rPr>
          <w:rFonts w:cs="Arial"/>
        </w:rPr>
        <w:t xml:space="preserve"> průměrná doba trvání jednoho případu dočasné pracovní neschopnosti v roce 2015 byla zaznamenána ve Zlínském kraji (50,3 dne) a v Moravskoslezském kraji (48,6 dne), </w:t>
      </w:r>
      <w:r>
        <w:rPr>
          <w:rFonts w:cs="Arial"/>
          <w:b/>
        </w:rPr>
        <w:t>nejkratší</w:t>
      </w:r>
      <w:r>
        <w:rPr>
          <w:rFonts w:cs="Arial"/>
        </w:rPr>
        <w:t xml:space="preserve"> zůstává v Praze (38,7 dne). </w:t>
      </w:r>
      <w:r>
        <w:rPr>
          <w:rFonts w:cs="Arial"/>
          <w:b/>
        </w:rPr>
        <w:t xml:space="preserve">Praha si zachovává </w:t>
      </w:r>
      <w:r>
        <w:rPr>
          <w:rFonts w:cs="Arial"/>
        </w:rPr>
        <w:t>s přehledem</w:t>
      </w:r>
      <w:r>
        <w:rPr>
          <w:rFonts w:cs="Arial"/>
          <w:b/>
        </w:rPr>
        <w:t xml:space="preserve"> pozici kraje s nejkratší průměrnou délkou </w:t>
      </w:r>
      <w:r>
        <w:rPr>
          <w:rFonts w:cs="Arial"/>
        </w:rPr>
        <w:t xml:space="preserve">trvání pracovní neschopnosti. </w:t>
      </w:r>
      <w:r>
        <w:rPr>
          <w:b/>
        </w:rPr>
        <w:t>C</w:t>
      </w:r>
      <w:r>
        <w:rPr>
          <w:rFonts w:cs="Arial"/>
          <w:b/>
        </w:rPr>
        <w:t>elorepubliková</w:t>
      </w:r>
      <w:r>
        <w:rPr>
          <w:rFonts w:cs="Arial"/>
        </w:rPr>
        <w:t xml:space="preserve"> </w:t>
      </w:r>
      <w:r>
        <w:rPr>
          <w:rFonts w:cs="Arial"/>
          <w:b/>
        </w:rPr>
        <w:t xml:space="preserve">průměrná délka trvání 1 případu dočasné pracovní neschopnosti </w:t>
      </w:r>
      <w:r>
        <w:rPr>
          <w:rFonts w:cs="Arial"/>
        </w:rPr>
        <w:t xml:space="preserve">byla v roce 2015 </w:t>
      </w:r>
      <w:r>
        <w:rPr>
          <w:rFonts w:cs="Arial"/>
          <w:b/>
        </w:rPr>
        <w:t>výrazně překročena</w:t>
      </w:r>
      <w:r>
        <w:rPr>
          <w:rFonts w:cs="Arial"/>
        </w:rPr>
        <w:t xml:space="preserve"> </w:t>
      </w:r>
      <w:r>
        <w:rPr>
          <w:rFonts w:cs="Arial"/>
          <w:b/>
        </w:rPr>
        <w:t>v odvětví</w:t>
      </w:r>
      <w:r>
        <w:rPr>
          <w:rFonts w:cs="Arial"/>
        </w:rPr>
        <w:t xml:space="preserve"> Zemědělství, lesnictví a rybářství (57,4 dne), Ubytování, stravování a</w:t>
      </w:r>
      <w:r w:rsidR="004F578F">
        <w:rPr>
          <w:rFonts w:cs="Arial"/>
        </w:rPr>
        <w:t xml:space="preserve"> </w:t>
      </w:r>
      <w:r>
        <w:rPr>
          <w:rFonts w:cs="Arial"/>
        </w:rPr>
        <w:t xml:space="preserve">pohostinství (55 dne), Stavebnictví (53,8 dne). </w:t>
      </w:r>
    </w:p>
    <w:p w:rsidR="00246C58" w:rsidRDefault="00246C58" w:rsidP="00246C58">
      <w:pPr>
        <w:pStyle w:val="Zkladntextodsazen"/>
        <w:spacing w:after="240" w:line="288" w:lineRule="auto"/>
        <w:ind w:left="0" w:firstLine="708"/>
        <w:jc w:val="both"/>
        <w:rPr>
          <w:rFonts w:cs="Arial"/>
        </w:rPr>
      </w:pPr>
      <w:r>
        <w:rPr>
          <w:rFonts w:cs="Arial"/>
          <w:b/>
        </w:rPr>
        <w:t>Průměrné trvání 1 případu pracovní neschopnosti kratší než</w:t>
      </w:r>
      <w:r>
        <w:rPr>
          <w:rFonts w:cs="Arial"/>
        </w:rPr>
        <w:t xml:space="preserve"> 28 dní v roce 2015 bylo evidováno v odvětví Informačních a komunikativních činností (27,5 dne). Dalšími oblastmi ekonomických činností s relativně nízkou průměrnou délkou pracovní neschopnosti byly oblasti Vzdělávání (32,6 dne) a</w:t>
      </w:r>
      <w:r w:rsidR="00CB220D">
        <w:rPr>
          <w:rFonts w:cs="Arial"/>
        </w:rPr>
        <w:t xml:space="preserve"> </w:t>
      </w:r>
      <w:r>
        <w:rPr>
          <w:rFonts w:cs="Arial"/>
        </w:rPr>
        <w:t xml:space="preserve">Peněžnictví a pojišťovnictví (33,1 dne). </w:t>
      </w:r>
      <w:r>
        <w:rPr>
          <w:rFonts w:cs="Arial"/>
          <w:b/>
        </w:rPr>
        <w:t>Nejdelší průměrná doba trvání jednoho případu dočasné pracovní neschopnosti pro nemoc</w:t>
      </w:r>
      <w:r>
        <w:rPr>
          <w:rFonts w:cs="Arial"/>
        </w:rPr>
        <w:t xml:space="preserve"> byla evidována </w:t>
      </w:r>
      <w:r>
        <w:rPr>
          <w:rFonts w:cs="Arial"/>
          <w:b/>
        </w:rPr>
        <w:t>u oblastí</w:t>
      </w:r>
      <w:r>
        <w:rPr>
          <w:rFonts w:cs="Arial"/>
        </w:rPr>
        <w:t xml:space="preserve"> Zemědělství, lesnictví a rybářství (56,6 dne), Ubytování, stravování a pohostinství (54,3 dne), (Stavebnictví (51,8 dne), Činnosti v oblasti nemovitostí (50,6 dne</w:t>
      </w:r>
      <w:r w:rsidR="00CB220D">
        <w:rPr>
          <w:rFonts w:cs="Arial"/>
        </w:rPr>
        <w:t>)</w:t>
      </w:r>
      <w:r>
        <w:rPr>
          <w:rFonts w:cs="Arial"/>
        </w:rPr>
        <w:t xml:space="preserve">, </w:t>
      </w:r>
      <w:r>
        <w:rPr>
          <w:rFonts w:cs="Arial"/>
          <w:b/>
        </w:rPr>
        <w:t>naopak nejkratší dobu</w:t>
      </w:r>
      <w:r>
        <w:rPr>
          <w:rFonts w:cs="Arial"/>
        </w:rPr>
        <w:t xml:space="preserve"> se marodilo v oblasti Informačních a komunikačních činností (26,4 dne). </w:t>
      </w:r>
      <w:r>
        <w:rPr>
          <w:rFonts w:cs="Arial"/>
          <w:b/>
        </w:rPr>
        <w:t>Nejdelší průměrná doba trvání jednoho případu dočasné pracovní neschopnosti</w:t>
      </w:r>
      <w:r>
        <w:rPr>
          <w:rFonts w:cs="Arial"/>
        </w:rPr>
        <w:t xml:space="preserve"> </w:t>
      </w:r>
      <w:r>
        <w:rPr>
          <w:rFonts w:cs="Arial"/>
          <w:b/>
        </w:rPr>
        <w:t>pro pracovní</w:t>
      </w:r>
      <w:r>
        <w:rPr>
          <w:rFonts w:cs="Arial"/>
        </w:rPr>
        <w:t xml:space="preserve"> </w:t>
      </w:r>
      <w:r>
        <w:rPr>
          <w:rFonts w:cs="Arial"/>
          <w:b/>
        </w:rPr>
        <w:t>úraz</w:t>
      </w:r>
      <w:r>
        <w:rPr>
          <w:rFonts w:cs="Arial"/>
        </w:rPr>
        <w:t xml:space="preserve"> byla hlášena v odvětví Těžba a dobývání (126,9 dne), oblasti Výroby, rozvodu elektřiny a jiných energií (80,8 dne) a Stavebnictví (71,3 dne), nejkratší doba trvání byla hlášeno u oblasti Ubytování, stravování a pohostinství (47,8 dne) a Zpracovatelského průmyslu (49 dne). </w:t>
      </w:r>
      <w:r>
        <w:rPr>
          <w:rFonts w:cs="Arial"/>
          <w:b/>
        </w:rPr>
        <w:t xml:space="preserve">Nejdelší průměrná doba trvání jednoho </w:t>
      </w:r>
      <w:r>
        <w:rPr>
          <w:rFonts w:cs="Arial"/>
          <w:b/>
        </w:rPr>
        <w:lastRenderedPageBreak/>
        <w:t>případu dočasné pracovní neschopnosti pro ostatní úraz</w:t>
      </w:r>
      <w:r>
        <w:rPr>
          <w:rFonts w:cs="Arial"/>
        </w:rPr>
        <w:t xml:space="preserve"> byla evidována u oblasti Stavebnictví (61,6 dne), Zemědělství, lesnictví a rybářství (61,5 dne), Ubytování, stravování a pohostinství (63,4 dne), Činnosti v oblasti nemovitostí (64 dne), nejkratší doba trvání je hlášena u oblasti Informačních a komunikačních činností (46,1 dne) a u odvětví Výroba a rozvod elektřiny a jiných energií (40,3 dne).</w:t>
      </w:r>
    </w:p>
    <w:p w:rsidR="00246C58" w:rsidRDefault="00246C58" w:rsidP="00246C58">
      <w:pPr>
        <w:autoSpaceDE w:val="0"/>
        <w:autoSpaceDN w:val="0"/>
        <w:adjustRightInd w:val="0"/>
        <w:spacing w:after="200"/>
        <w:jc w:val="both"/>
        <w:rPr>
          <w:rFonts w:eastAsia="MS Gothic" w:cs="Arial"/>
          <w:b/>
          <w:bCs/>
          <w:color w:val="BC091B"/>
          <w:sz w:val="24"/>
        </w:rPr>
      </w:pPr>
    </w:p>
    <w:p w:rsidR="00246C58" w:rsidRDefault="00246C58" w:rsidP="00246C58">
      <w:pPr>
        <w:autoSpaceDE w:val="0"/>
        <w:autoSpaceDN w:val="0"/>
        <w:adjustRightInd w:val="0"/>
        <w:spacing w:after="200"/>
        <w:jc w:val="both"/>
        <w:rPr>
          <w:rFonts w:eastAsia="MS Gothic" w:cs="Arial"/>
          <w:b/>
          <w:bCs/>
          <w:color w:val="BC091B"/>
          <w:sz w:val="24"/>
        </w:rPr>
      </w:pPr>
      <w:r>
        <w:rPr>
          <w:rFonts w:eastAsia="MS Gothic" w:cs="Arial"/>
          <w:b/>
          <w:bCs/>
          <w:color w:val="BC091B"/>
          <w:sz w:val="24"/>
        </w:rPr>
        <w:t>3.4. Průměrné procento dočasné pracovní neschopnosti</w:t>
      </w:r>
    </w:p>
    <w:p w:rsidR="00246C58" w:rsidRDefault="00246C58" w:rsidP="00246C58">
      <w:pPr>
        <w:pStyle w:val="Zkladntextodsazen"/>
        <w:spacing w:after="240" w:line="288" w:lineRule="auto"/>
        <w:ind w:left="0"/>
        <w:jc w:val="both"/>
        <w:rPr>
          <w:rFonts w:cs="Arial"/>
        </w:rPr>
      </w:pPr>
      <w:r>
        <w:rPr>
          <w:rFonts w:cs="Arial"/>
          <w:b/>
        </w:rPr>
        <w:t>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p>
    <w:p w:rsidR="00246C58" w:rsidRDefault="00246C58" w:rsidP="00246C58">
      <w:pPr>
        <w:pStyle w:val="Zkladntextodsazen"/>
        <w:spacing w:after="240" w:line="288" w:lineRule="auto"/>
        <w:ind w:left="0"/>
        <w:jc w:val="both"/>
        <w:rPr>
          <w:rFonts w:cs="Arial"/>
          <w:szCs w:val="24"/>
        </w:rPr>
      </w:pPr>
      <w:r>
        <w:rPr>
          <w:rFonts w:cs="Arial"/>
          <w:b/>
        </w:rPr>
        <w:t xml:space="preserve">Hodnota průměrného procenta pracovní neschopnosti </w:t>
      </w:r>
      <w:r>
        <w:rPr>
          <w:rFonts w:cs="Arial"/>
        </w:rPr>
        <w:t xml:space="preserve">se na počátku devadesátých let pohybovala okolo 5, následně se do roku 2003 postupně zvyšovala, až dosáhla svého maxima 6,8. </w:t>
      </w:r>
      <w:r>
        <w:rPr>
          <w:rFonts w:cs="Arial"/>
          <w:b/>
        </w:rPr>
        <w:t>Od roku 2005 se projevila klesající tendence v hodnotách průměrného procenta pracovní neschopnosti,</w:t>
      </w:r>
      <w:r>
        <w:rPr>
          <w:rFonts w:cs="Arial"/>
        </w:rPr>
        <w:t xml:space="preserve"> </w:t>
      </w:r>
      <w:r>
        <w:rPr>
          <w:rFonts w:cs="Arial"/>
          <w:b/>
        </w:rPr>
        <w:t>která byla silně umocněna legislativními změnami</w:t>
      </w:r>
      <w:r>
        <w:rPr>
          <w:rFonts w:cs="Arial"/>
        </w:rPr>
        <w:t xml:space="preserve"> v roce 2009, kdy výše průměrného procenta pracovní neschopnosti dosáhla historicky nejnižší úrovně od počátku šedesátých let (4,2 roce 2009). V roce 2010 se jeho úroveň ještě více snížila na hodnotu 3,8. Jeho hodnota v roce 2011 dosáhla 3,6, a </w:t>
      </w:r>
      <w:r>
        <w:rPr>
          <w:rFonts w:cs="Arial"/>
          <w:b/>
        </w:rPr>
        <w:t>i v roce 2012 pokračoval vývoj v trendu poklesu této hodnoty na 3,5,</w:t>
      </w:r>
      <w:r>
        <w:rPr>
          <w:rFonts w:cs="Arial"/>
        </w:rPr>
        <w:t xml:space="preserve"> kdy můžeme opět </w:t>
      </w:r>
      <w:r>
        <w:rPr>
          <w:rFonts w:cs="Arial"/>
          <w:b/>
        </w:rPr>
        <w:t>i z historického hlediska</w:t>
      </w:r>
      <w:r>
        <w:rPr>
          <w:rFonts w:cs="Arial"/>
        </w:rPr>
        <w:t xml:space="preserve"> hovořit o velmi nízké hodnotě tohoto ukazatele. </w:t>
      </w:r>
      <w:r>
        <w:rPr>
          <w:rFonts w:cs="Arial"/>
          <w:b/>
        </w:rPr>
        <w:t xml:space="preserve">V roce 2013 se jeho hodnota meziročně zvýšila na 3,6 a dlouhodobý pokles </w:t>
      </w:r>
      <w:r>
        <w:rPr>
          <w:rFonts w:cs="Arial"/>
        </w:rPr>
        <w:t>průměrného procenta pracovní neschopnosti,</w:t>
      </w:r>
      <w:r>
        <w:rPr>
          <w:rFonts w:cs="Arial"/>
          <w:b/>
        </w:rPr>
        <w:t xml:space="preserve"> patrný od roku 2005 se zastavil.</w:t>
      </w:r>
      <w:r>
        <w:rPr>
          <w:rFonts w:cs="Arial"/>
        </w:rPr>
        <w:t xml:space="preserve"> </w:t>
      </w:r>
      <w:r>
        <w:rPr>
          <w:rFonts w:cs="Arial"/>
          <w:b/>
        </w:rPr>
        <w:t>Ve stejném trendu pokračoval i vývoj v roce 2014 -</w:t>
      </w:r>
      <w:r>
        <w:rPr>
          <w:rFonts w:cs="Arial"/>
        </w:rPr>
        <w:t xml:space="preserve">  průměrné procento pracovní neschopnosti se oproti roku 2013 </w:t>
      </w:r>
      <w:r>
        <w:rPr>
          <w:rFonts w:cs="Arial"/>
          <w:b/>
        </w:rPr>
        <w:t>opět</w:t>
      </w:r>
      <w:r>
        <w:rPr>
          <w:rFonts w:cs="Arial"/>
        </w:rPr>
        <w:t xml:space="preserve"> </w:t>
      </w:r>
      <w:r>
        <w:rPr>
          <w:rFonts w:cs="Arial"/>
          <w:b/>
        </w:rPr>
        <w:t>meziročně</w:t>
      </w:r>
      <w:r>
        <w:rPr>
          <w:rFonts w:cs="Arial"/>
        </w:rPr>
        <w:t xml:space="preserve"> </w:t>
      </w:r>
      <w:r>
        <w:rPr>
          <w:rFonts w:cs="Arial"/>
          <w:b/>
        </w:rPr>
        <w:t>zvýšilo a jeho hodnota byla 3,7.</w:t>
      </w:r>
      <w:r>
        <w:rPr>
          <w:b/>
        </w:rPr>
        <w:t xml:space="preserve"> V roce 2015 hodnota průměrného procenta pracovní neschopnosti</w:t>
      </w:r>
      <w:r>
        <w:rPr>
          <w:rFonts w:cs="Arial"/>
        </w:rPr>
        <w:t xml:space="preserve"> oproti stejnému období v loňském roce </w:t>
      </w:r>
      <w:r>
        <w:rPr>
          <w:rFonts w:cs="Arial"/>
          <w:b/>
        </w:rPr>
        <w:t>výrazně stoupla</w:t>
      </w:r>
      <w:r>
        <w:rPr>
          <w:rFonts w:cs="Arial"/>
        </w:rPr>
        <w:t xml:space="preserve"> a jeho úroveň dosáhla </w:t>
      </w:r>
      <w:r>
        <w:rPr>
          <w:rFonts w:cs="Arial"/>
          <w:b/>
        </w:rPr>
        <w:t>na</w:t>
      </w:r>
      <w:r>
        <w:rPr>
          <w:rFonts w:cs="Arial"/>
        </w:rPr>
        <w:t xml:space="preserve"> </w:t>
      </w:r>
      <w:r>
        <w:rPr>
          <w:rFonts w:cs="Arial"/>
          <w:b/>
        </w:rPr>
        <w:t>hodnotu</w:t>
      </w:r>
      <w:r>
        <w:rPr>
          <w:rFonts w:cs="Arial"/>
        </w:rPr>
        <w:t xml:space="preserve"> </w:t>
      </w:r>
      <w:r>
        <w:rPr>
          <w:rFonts w:cs="Arial"/>
          <w:b/>
        </w:rPr>
        <w:t>4,1</w:t>
      </w:r>
      <w:r>
        <w:rPr>
          <w:rFonts w:cs="Arial"/>
          <w:szCs w:val="24"/>
        </w:rPr>
        <w:t xml:space="preserve">. Průměrné procento pracovní neschopnosti </w:t>
      </w:r>
      <w:r>
        <w:rPr>
          <w:rFonts w:cs="Arial"/>
          <w:b/>
          <w:szCs w:val="24"/>
        </w:rPr>
        <w:t>žen</w:t>
      </w:r>
      <w:r>
        <w:rPr>
          <w:rFonts w:cs="Arial"/>
          <w:szCs w:val="24"/>
        </w:rPr>
        <w:t xml:space="preserve"> v roce 2014 bylo 4,1 </w:t>
      </w:r>
      <w:r>
        <w:rPr>
          <w:rFonts w:cs="Arial"/>
          <w:b/>
          <w:szCs w:val="24"/>
        </w:rPr>
        <w:t>(muži</w:t>
      </w:r>
      <w:r>
        <w:rPr>
          <w:rFonts w:cs="Arial"/>
          <w:szCs w:val="24"/>
        </w:rPr>
        <w:t xml:space="preserve"> 3,3) a meziročně se zvýšilo na 4,5 v roce 2015 </w:t>
      </w:r>
      <w:r>
        <w:rPr>
          <w:rFonts w:cs="Arial"/>
          <w:b/>
          <w:szCs w:val="24"/>
        </w:rPr>
        <w:t>(muži</w:t>
      </w:r>
      <w:r>
        <w:rPr>
          <w:rFonts w:cs="Arial"/>
          <w:szCs w:val="24"/>
        </w:rPr>
        <w:t xml:space="preserve"> 3,6). (viz. graf č. 5)</w:t>
      </w:r>
    </w:p>
    <w:p w:rsidR="00246C58" w:rsidRDefault="00246C58" w:rsidP="00246C58">
      <w:pPr>
        <w:pStyle w:val="Zkladntextodsazen"/>
        <w:spacing w:after="240" w:line="288" w:lineRule="auto"/>
        <w:ind w:left="0"/>
        <w:jc w:val="both"/>
        <w:rPr>
          <w:rFonts w:cs="Arial"/>
          <w:b/>
          <w:szCs w:val="24"/>
        </w:rPr>
      </w:pPr>
      <w:r>
        <w:rPr>
          <w:rFonts w:cs="Arial"/>
          <w:b/>
          <w:szCs w:val="24"/>
        </w:rPr>
        <w:t>Graf 5: Struktura průměrného procenta dočasné pracovní neschopnosti pro nemoc a úraz v ČR v období 2005 - 2015</w:t>
      </w:r>
    </w:p>
    <w:p w:rsidR="00246C58" w:rsidRDefault="004F40FF" w:rsidP="00246C58">
      <w:pPr>
        <w:spacing w:after="240"/>
        <w:jc w:val="both"/>
      </w:pPr>
      <w:r>
        <w:pict>
          <v:shape id="_x0000_i1033" type="#_x0000_t75" style="width:475.5pt;height:244.5pt">
            <v:imagedata r:id="rId17" o:title=""/>
          </v:shape>
        </w:pict>
      </w:r>
    </w:p>
    <w:p w:rsidR="00615351" w:rsidRDefault="00615351" w:rsidP="00246C58">
      <w:pPr>
        <w:spacing w:after="240"/>
        <w:jc w:val="both"/>
        <w:rPr>
          <w:rFonts w:cs="Arial"/>
          <w:b/>
        </w:rPr>
      </w:pPr>
    </w:p>
    <w:p w:rsidR="00246C58" w:rsidRDefault="00246C58" w:rsidP="00246C58">
      <w:pPr>
        <w:spacing w:after="240"/>
        <w:jc w:val="both"/>
        <w:rPr>
          <w:rFonts w:cs="Arial"/>
        </w:rPr>
      </w:pPr>
      <w:r>
        <w:rPr>
          <w:rFonts w:cs="Arial"/>
          <w:b/>
        </w:rPr>
        <w:lastRenderedPageBreak/>
        <w:t>Nejvyšší hodnoty průměrného procenta pracovní neschopnosti</w:t>
      </w:r>
      <w:r>
        <w:rPr>
          <w:rFonts w:cs="Arial"/>
        </w:rPr>
        <w:t xml:space="preserve"> byly ve Zlínském kraji (4,9), Jihočeském kraji a Moravskoslezském kraji se stejnou hodnotou (4,8), dále v Plzeňském kraji s hodnotou (4,6). </w:t>
      </w:r>
    </w:p>
    <w:p w:rsidR="00246C58" w:rsidRDefault="00246C58" w:rsidP="00246C58">
      <w:pPr>
        <w:spacing w:after="240"/>
        <w:jc w:val="both"/>
        <w:rPr>
          <w:rFonts w:cs="Arial"/>
          <w:szCs w:val="20"/>
        </w:rPr>
      </w:pPr>
      <w:r>
        <w:rPr>
          <w:rFonts w:cs="Arial"/>
          <w:b/>
        </w:rPr>
        <w:t>V Praze byla v roce 2015</w:t>
      </w:r>
      <w:r>
        <w:rPr>
          <w:rFonts w:cs="Arial"/>
        </w:rPr>
        <w:t xml:space="preserve"> díky relativně nízkému počtu případů pracovní neschopnosti na 100 pojištěnců a krátké průměrné době trvání pracovní dočasné neschopnosti nejnižší hodnota průměrného procenta pracovní neschopnosti (3,1). Poměrně </w:t>
      </w:r>
      <w:r>
        <w:rPr>
          <w:rFonts w:cs="Arial"/>
          <w:b/>
        </w:rPr>
        <w:t>nízké hodnoty</w:t>
      </w:r>
      <w:r>
        <w:rPr>
          <w:rFonts w:cs="Arial"/>
        </w:rPr>
        <w:t xml:space="preserve"> průměrného procenta pracovní neschopnosti v roce 2015 byly evidovány také ve Středočeském kraji, Královéhradecké kraji, Jihomoravském kraji se stejnou hodnotou (4,1). </w:t>
      </w:r>
      <w:r>
        <w:rPr>
          <w:rFonts w:cs="Arial"/>
          <w:b/>
        </w:rPr>
        <w:t>Nejvyšší průměrné procento dočasné pracovní neschopnosti dle ekonomické činnosti v roce 2015 bylo</w:t>
      </w:r>
      <w:r>
        <w:rPr>
          <w:rFonts w:cs="Arial"/>
        </w:rPr>
        <w:t xml:space="preserve"> ve Zpracovatelském průmyslu (5,1), </w:t>
      </w:r>
      <w:r>
        <w:rPr>
          <w:rFonts w:cs="Arial"/>
          <w:szCs w:val="20"/>
        </w:rPr>
        <w:t>v odvětví</w:t>
      </w:r>
      <w:r>
        <w:rPr>
          <w:rFonts w:cs="Arial"/>
        </w:rPr>
        <w:t xml:space="preserve"> Těžba a dobývání (4,9), Zemědělství, lesnictví a rybářství (4,8</w:t>
      </w:r>
      <w:r>
        <w:rPr>
          <w:rFonts w:cs="Arial"/>
          <w:szCs w:val="20"/>
        </w:rPr>
        <w:t>)</w:t>
      </w:r>
      <w:r>
        <w:rPr>
          <w:rFonts w:cs="Arial"/>
        </w:rPr>
        <w:t xml:space="preserve">. </w:t>
      </w:r>
      <w:r>
        <w:rPr>
          <w:rFonts w:cs="Arial"/>
          <w:b/>
        </w:rPr>
        <w:t>Nejnižší</w:t>
      </w:r>
      <w:r>
        <w:rPr>
          <w:rFonts w:cs="Arial"/>
        </w:rPr>
        <w:t xml:space="preserve"> </w:t>
      </w:r>
      <w:r>
        <w:rPr>
          <w:rFonts w:cs="Arial"/>
          <w:b/>
        </w:rPr>
        <w:t>průměrné procento pracovní neschopnosti</w:t>
      </w:r>
      <w:r>
        <w:rPr>
          <w:rFonts w:cs="Arial"/>
        </w:rPr>
        <w:t xml:space="preserve"> v roce 2015 podle ekonomických činností bylo v odvětví</w:t>
      </w:r>
      <w:r>
        <w:rPr>
          <w:rFonts w:cs="Arial"/>
          <w:szCs w:val="20"/>
        </w:rPr>
        <w:t xml:space="preserve"> Informačních a komunikačních činností (27,5) a Vzdělávání (32,6). </w:t>
      </w:r>
    </w:p>
    <w:p w:rsidR="00246C58" w:rsidRDefault="00246C58" w:rsidP="00246C58">
      <w:pPr>
        <w:autoSpaceDE w:val="0"/>
        <w:autoSpaceDN w:val="0"/>
        <w:adjustRightInd w:val="0"/>
        <w:spacing w:after="200"/>
        <w:jc w:val="both"/>
        <w:rPr>
          <w:rFonts w:eastAsia="MS Gothic" w:cs="Arial"/>
          <w:b/>
          <w:bCs/>
          <w:color w:val="BC091B"/>
          <w:sz w:val="24"/>
        </w:rPr>
      </w:pPr>
    </w:p>
    <w:p w:rsidR="00246C58" w:rsidRDefault="00246C58" w:rsidP="00246C58">
      <w:pPr>
        <w:autoSpaceDE w:val="0"/>
        <w:autoSpaceDN w:val="0"/>
        <w:adjustRightInd w:val="0"/>
        <w:spacing w:after="200"/>
        <w:jc w:val="both"/>
        <w:rPr>
          <w:rFonts w:eastAsia="MS Gothic" w:cs="Arial"/>
          <w:b/>
          <w:bCs/>
          <w:color w:val="BC091B"/>
          <w:sz w:val="24"/>
        </w:rPr>
      </w:pPr>
      <w:r>
        <w:rPr>
          <w:rFonts w:eastAsia="MS Gothic" w:cs="Arial"/>
          <w:b/>
          <w:bCs/>
          <w:color w:val="BC091B"/>
          <w:sz w:val="24"/>
        </w:rPr>
        <w:t xml:space="preserve">3.5 Průměrný denní stav práce dočasně neschopných </w:t>
      </w:r>
    </w:p>
    <w:p w:rsidR="00246C58" w:rsidRDefault="00246C58" w:rsidP="00246C58">
      <w:pPr>
        <w:pStyle w:val="Zkladntextodsazen"/>
        <w:spacing w:after="60" w:line="288" w:lineRule="auto"/>
        <w:ind w:left="0" w:firstLine="708"/>
        <w:jc w:val="both"/>
        <w:rPr>
          <w:rFonts w:cs="Arial"/>
        </w:rPr>
      </w:pPr>
      <w:r>
        <w:rPr>
          <w:rFonts w:cs="Arial"/>
          <w:b/>
        </w:rPr>
        <w:t>Ukazatel průměrný denní stav práce dočasně neschopných představuje počet nemocensky pojištěných</w:t>
      </w:r>
      <w:r>
        <w:rPr>
          <w:rFonts w:cs="Arial"/>
        </w:rPr>
        <w:t xml:space="preserve">, kteří byli ve sledovaném období (roce) průměrně denně nepřítomni v práci z důvodů pracovní neschopnosti pro pracovní úraz. </w:t>
      </w:r>
    </w:p>
    <w:p w:rsidR="00246C58" w:rsidRDefault="00246C58" w:rsidP="00246C58">
      <w:pPr>
        <w:jc w:val="both"/>
        <w:rPr>
          <w:rFonts w:cs="Arial"/>
        </w:rPr>
      </w:pPr>
    </w:p>
    <w:p w:rsidR="00246C58" w:rsidRDefault="00246C58" w:rsidP="00246C58">
      <w:pPr>
        <w:ind w:firstLine="708"/>
        <w:jc w:val="both"/>
        <w:rPr>
          <w:rFonts w:cs="Arial"/>
        </w:rPr>
      </w:pPr>
      <w:r>
        <w:rPr>
          <w:rFonts w:cs="Arial"/>
        </w:rPr>
        <w:t xml:space="preserve">V roce 2015 v České republice v důsledku dočasné pracovní neschopnosti pro nemoc a úraz </w:t>
      </w:r>
      <w:r>
        <w:rPr>
          <w:rFonts w:cs="Arial"/>
          <w:b/>
        </w:rPr>
        <w:t xml:space="preserve">denně chybělo na svých pracovištích </w:t>
      </w:r>
      <w:r>
        <w:rPr>
          <w:rFonts w:cs="Arial"/>
        </w:rPr>
        <w:t xml:space="preserve">183,1 tis. pojištěnců, což ve srovnání se stejným obdobím v loňském roce (165 tis. pojištěnců) bylo o 18 tis. pojištěnců více (v roce 2015 83,5 tis. muži, ženy 99,6 tis.). Z celkového počtu chybělo na pracovištích 156,2 tis. pojištěnců </w:t>
      </w:r>
      <w:r>
        <w:rPr>
          <w:rFonts w:cs="Arial"/>
          <w:b/>
        </w:rPr>
        <w:t>pro nemoc</w:t>
      </w:r>
      <w:r>
        <w:rPr>
          <w:rFonts w:cs="Arial"/>
        </w:rPr>
        <w:t xml:space="preserve">, 7 tis. pojištěnců </w:t>
      </w:r>
      <w:r>
        <w:rPr>
          <w:rFonts w:cs="Arial"/>
          <w:b/>
        </w:rPr>
        <w:t>pro pracovní úraz</w:t>
      </w:r>
      <w:r>
        <w:rPr>
          <w:rFonts w:cs="Arial"/>
        </w:rPr>
        <w:t xml:space="preserve"> a 19,8 tis. pojištěnců </w:t>
      </w:r>
      <w:r>
        <w:rPr>
          <w:rFonts w:cs="Arial"/>
          <w:b/>
        </w:rPr>
        <w:t>pro ostatní</w:t>
      </w:r>
      <w:r>
        <w:rPr>
          <w:rFonts w:cs="Arial"/>
        </w:rPr>
        <w:t xml:space="preserve"> úraz. Nejvíce pojištěnců z celorepublikového počtu marodilo </w:t>
      </w:r>
      <w:r>
        <w:rPr>
          <w:rFonts w:cs="Arial"/>
          <w:b/>
        </w:rPr>
        <w:t>v odvětví</w:t>
      </w:r>
      <w:r>
        <w:rPr>
          <w:rFonts w:cs="Arial"/>
        </w:rPr>
        <w:t xml:space="preserve"> Zpracovatelského průmyslu (60,8 tis.), naopak nejméně pojištěnců marodilo v oblasti Výroby, rozvodu elektřiny a jiných energií (0,8 tis.). </w:t>
      </w:r>
    </w:p>
    <w:tbl>
      <w:tblPr>
        <w:tblW w:w="9300" w:type="dxa"/>
        <w:tblInd w:w="55" w:type="dxa"/>
        <w:tblCellMar>
          <w:left w:w="70" w:type="dxa"/>
          <w:right w:w="70" w:type="dxa"/>
        </w:tblCellMar>
        <w:tblLook w:val="00A0"/>
      </w:tblPr>
      <w:tblGrid>
        <w:gridCol w:w="5580"/>
        <w:gridCol w:w="1240"/>
        <w:gridCol w:w="1240"/>
        <w:gridCol w:w="1240"/>
      </w:tblGrid>
      <w:tr w:rsidR="00246C58" w:rsidTr="00A9335E">
        <w:trPr>
          <w:trHeight w:val="420"/>
        </w:trPr>
        <w:tc>
          <w:tcPr>
            <w:tcW w:w="5580" w:type="dxa"/>
            <w:shd w:val="clear" w:color="auto" w:fill="FFFFFF"/>
            <w:noWrap/>
            <w:vAlign w:val="bottom"/>
          </w:tcPr>
          <w:p w:rsidR="00246C58" w:rsidRDefault="00246C58" w:rsidP="00A9335E">
            <w:pPr>
              <w:spacing w:line="240" w:lineRule="auto"/>
              <w:rPr>
                <w:rFonts w:ascii="Calibri" w:hAnsi="Calibri"/>
                <w:szCs w:val="20"/>
              </w:rPr>
            </w:pPr>
          </w:p>
        </w:tc>
        <w:tc>
          <w:tcPr>
            <w:tcW w:w="1240" w:type="dxa"/>
            <w:shd w:val="clear" w:color="auto" w:fill="FFFFFF"/>
            <w:noWrap/>
            <w:vAlign w:val="bottom"/>
          </w:tcPr>
          <w:p w:rsidR="00246C58" w:rsidRDefault="00246C58" w:rsidP="00A9335E">
            <w:pPr>
              <w:spacing w:line="240" w:lineRule="auto"/>
              <w:rPr>
                <w:rFonts w:ascii="Calibri" w:hAnsi="Calibri"/>
                <w:szCs w:val="20"/>
              </w:rPr>
            </w:pPr>
          </w:p>
        </w:tc>
        <w:tc>
          <w:tcPr>
            <w:tcW w:w="1240" w:type="dxa"/>
            <w:shd w:val="clear" w:color="auto" w:fill="FFFFFF"/>
            <w:noWrap/>
            <w:vAlign w:val="bottom"/>
          </w:tcPr>
          <w:p w:rsidR="00246C58" w:rsidRDefault="00246C58" w:rsidP="00A9335E">
            <w:pPr>
              <w:spacing w:line="240" w:lineRule="auto"/>
              <w:rPr>
                <w:rFonts w:ascii="Calibri" w:hAnsi="Calibri"/>
                <w:szCs w:val="20"/>
              </w:rPr>
            </w:pPr>
          </w:p>
        </w:tc>
        <w:tc>
          <w:tcPr>
            <w:tcW w:w="1240" w:type="dxa"/>
            <w:shd w:val="clear" w:color="auto" w:fill="FFFFFF"/>
            <w:noWrap/>
            <w:vAlign w:val="bottom"/>
          </w:tcPr>
          <w:p w:rsidR="00246C58" w:rsidRDefault="00246C58" w:rsidP="00A9335E">
            <w:pPr>
              <w:spacing w:line="240" w:lineRule="auto"/>
              <w:rPr>
                <w:rFonts w:ascii="Calibri" w:hAnsi="Calibri"/>
                <w:szCs w:val="20"/>
              </w:rPr>
            </w:pPr>
          </w:p>
        </w:tc>
      </w:tr>
    </w:tbl>
    <w:p w:rsidR="00EC5826" w:rsidRDefault="00EC5826"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246C58" w:rsidRDefault="00246C58" w:rsidP="00246C58">
      <w:pPr>
        <w:autoSpaceDE w:val="0"/>
        <w:autoSpaceDN w:val="0"/>
        <w:adjustRightInd w:val="0"/>
        <w:spacing w:after="200"/>
        <w:jc w:val="both"/>
        <w:rPr>
          <w:rFonts w:eastAsia="MS Gothic" w:cs="Arial"/>
          <w:b/>
          <w:bCs/>
          <w:color w:val="BC091B"/>
          <w:sz w:val="24"/>
        </w:rPr>
      </w:pPr>
      <w:r>
        <w:rPr>
          <w:rFonts w:eastAsia="MS Gothic" w:cs="Arial"/>
          <w:b/>
          <w:bCs/>
          <w:color w:val="BC091B"/>
          <w:sz w:val="24"/>
        </w:rPr>
        <w:t xml:space="preserve">3.6 Shrnutí základních ukazatelů dočasné neschopnosti </w:t>
      </w:r>
    </w:p>
    <w:p w:rsidR="00246C58" w:rsidRDefault="00246C58" w:rsidP="00246C58">
      <w:pPr>
        <w:ind w:firstLine="708"/>
        <w:jc w:val="both"/>
        <w:rPr>
          <w:rFonts w:cs="Arial"/>
        </w:rPr>
      </w:pPr>
      <w:r>
        <w:rPr>
          <w:rFonts w:cs="Arial"/>
          <w:b/>
        </w:rPr>
        <w:t>Průměrný počet nemocensky pojištěných za rok 2015</w:t>
      </w:r>
      <w:r>
        <w:rPr>
          <w:rFonts w:cs="Arial"/>
        </w:rPr>
        <w:t xml:space="preserve"> činil 4 507 tis. osob, z čehož 51 % tvořili </w:t>
      </w:r>
      <w:r>
        <w:rPr>
          <w:rFonts w:cs="Arial"/>
          <w:b/>
        </w:rPr>
        <w:t>muži,</w:t>
      </w:r>
      <w:r>
        <w:rPr>
          <w:rFonts w:cs="Arial"/>
        </w:rPr>
        <w:t xml:space="preserve"> </w:t>
      </w:r>
      <w:r>
        <w:rPr>
          <w:rFonts w:cs="Arial"/>
          <w:b/>
        </w:rPr>
        <w:t>oproti roku 2014</w:t>
      </w:r>
      <w:r>
        <w:rPr>
          <w:rFonts w:cs="Arial"/>
        </w:rPr>
        <w:t xml:space="preserve"> průměrný počet pojištěnců </w:t>
      </w:r>
      <w:r>
        <w:rPr>
          <w:rFonts w:cs="Arial"/>
          <w:b/>
        </w:rPr>
        <w:t xml:space="preserve">vzrostl o 43 tis. osob. </w:t>
      </w:r>
      <w:r>
        <w:rPr>
          <w:rFonts w:cs="Arial"/>
          <w:color w:val="FF0000"/>
        </w:rPr>
        <w:t xml:space="preserve"> </w:t>
      </w:r>
      <w:r>
        <w:rPr>
          <w:rFonts w:cs="Arial"/>
        </w:rPr>
        <w:t xml:space="preserve">Průměrný počet nemocensky pojištěn </w:t>
      </w:r>
      <w:r>
        <w:rPr>
          <w:rFonts w:cs="Arial"/>
          <w:b/>
        </w:rPr>
        <w:t>žen</w:t>
      </w:r>
      <w:r>
        <w:rPr>
          <w:rFonts w:cs="Arial"/>
        </w:rPr>
        <w:t xml:space="preserve"> meziročně vzrostl z 2 191,2 tis. osob v roce 2014 na 2 205,7  tis. osob v roce 2015  (tj. o 0,7 </w:t>
      </w:r>
      <w:r>
        <w:rPr>
          <w:rFonts w:cs="Arial"/>
          <w:lang w:val="en-US"/>
        </w:rPr>
        <w:t>%</w:t>
      </w:r>
      <w:r>
        <w:rPr>
          <w:rFonts w:cs="Arial"/>
        </w:rPr>
        <w:t xml:space="preserve">). </w:t>
      </w:r>
    </w:p>
    <w:p w:rsidR="00246C58" w:rsidRDefault="00246C58" w:rsidP="00246C58">
      <w:pPr>
        <w:ind w:firstLine="708"/>
        <w:jc w:val="both"/>
        <w:rPr>
          <w:rFonts w:cs="Arial"/>
        </w:rPr>
      </w:pPr>
      <w:r>
        <w:rPr>
          <w:rFonts w:cs="Arial"/>
          <w:b/>
        </w:rPr>
        <w:t>Podíl mladistvých</w:t>
      </w:r>
      <w:r>
        <w:rPr>
          <w:rFonts w:cs="Arial"/>
        </w:rPr>
        <w:t xml:space="preserve"> na celkovém počtu nemocensky pojištěných se meziročně snížil z 8,2 tis. osob v roce 2014 na 7,3 v roce 2015 (tj. o 12,3 %). </w:t>
      </w:r>
    </w:p>
    <w:p w:rsidR="00246C58" w:rsidRDefault="00246C58" w:rsidP="00246C58">
      <w:pPr>
        <w:ind w:firstLine="708"/>
        <w:jc w:val="both"/>
        <w:rPr>
          <w:rFonts w:cs="Arial"/>
          <w:b/>
        </w:rPr>
      </w:pPr>
      <w:r>
        <w:rPr>
          <w:rFonts w:cs="Arial"/>
          <w:b/>
        </w:rPr>
        <w:t>Průměrný počet nemocensky pojištěných osob samostatně výdělečně činných (OSVČ)</w:t>
      </w:r>
      <w:r>
        <w:rPr>
          <w:rFonts w:cs="Arial"/>
        </w:rPr>
        <w:t xml:space="preserve"> oproti loňskému roku poklesl o 16,3 tis. osob na 89,4 tis. osob (v roce 2014 105,7 tis. osob). </w:t>
      </w:r>
      <w:r>
        <w:rPr>
          <w:rFonts w:cs="Arial"/>
          <w:b/>
        </w:rPr>
        <w:t>Zatímco počet nemocensky pojištěných zaměstnanců má stoupající trend</w:t>
      </w:r>
      <w:r>
        <w:rPr>
          <w:rFonts w:cs="Arial"/>
        </w:rPr>
        <w:t xml:space="preserve">, </w:t>
      </w:r>
      <w:r>
        <w:rPr>
          <w:rFonts w:cs="Arial"/>
          <w:b/>
        </w:rPr>
        <w:t>počet</w:t>
      </w:r>
      <w:r>
        <w:rPr>
          <w:rFonts w:cs="Arial"/>
        </w:rPr>
        <w:t xml:space="preserve"> dobrovolně nemocensky pojištěných </w:t>
      </w:r>
      <w:r>
        <w:rPr>
          <w:rFonts w:cs="Arial"/>
          <w:b/>
        </w:rPr>
        <w:t>samostatně výdělečně činných (OSVČ)</w:t>
      </w:r>
      <w:r>
        <w:rPr>
          <w:rFonts w:cs="Arial"/>
        </w:rPr>
        <w:t xml:space="preserve"> </w:t>
      </w:r>
      <w:r>
        <w:rPr>
          <w:rFonts w:cs="Arial"/>
          <w:b/>
        </w:rPr>
        <w:t xml:space="preserve">se postupně neustále snižuje. </w:t>
      </w:r>
    </w:p>
    <w:p w:rsidR="00246C58" w:rsidRDefault="00246C58" w:rsidP="00246C58">
      <w:pPr>
        <w:ind w:firstLine="708"/>
        <w:jc w:val="both"/>
        <w:rPr>
          <w:b/>
          <w:bCs/>
        </w:rPr>
      </w:pPr>
    </w:p>
    <w:p w:rsidR="00246C58" w:rsidRDefault="00246C58" w:rsidP="00246C58">
      <w:pPr>
        <w:ind w:firstLine="708"/>
        <w:jc w:val="both"/>
        <w:rPr>
          <w:rFonts w:cs="Arial"/>
        </w:rPr>
      </w:pPr>
      <w:r>
        <w:rPr>
          <w:b/>
          <w:bCs/>
        </w:rPr>
        <w:t>Absolutní počet nově hlášených případů dočasné pracovní neschopnosti</w:t>
      </w:r>
      <w:r>
        <w:rPr>
          <w:rFonts w:cs="Arial"/>
          <w:b/>
        </w:rPr>
        <w:t xml:space="preserve"> </w:t>
      </w:r>
      <w:r>
        <w:rPr>
          <w:rFonts w:cs="Arial"/>
        </w:rPr>
        <w:t xml:space="preserve">se meziročně zvýšil z 1 314,8 tis. případů v roce 2014 na 1 563,5 tis. případů v roce 2015 (tj. o 18,9 %), z celkového počtu tvořily případy dočasné pracovní neschopnosti </w:t>
      </w:r>
      <w:r>
        <w:rPr>
          <w:rFonts w:cs="Arial"/>
          <w:b/>
        </w:rPr>
        <w:t>mužů</w:t>
      </w:r>
      <w:r>
        <w:rPr>
          <w:rFonts w:cs="Arial"/>
        </w:rPr>
        <w:t xml:space="preserve"> 48,1 %. </w:t>
      </w:r>
      <w:r>
        <w:rPr>
          <w:rFonts w:cs="Arial"/>
          <w:b/>
        </w:rPr>
        <w:t xml:space="preserve">Absolutní počet nově hlášených případů pracovní neschopnosti žen </w:t>
      </w:r>
      <w:r>
        <w:rPr>
          <w:rFonts w:cs="Arial"/>
        </w:rPr>
        <w:t>se meziročně zvýšil z 683,1 tis. případů na 811,7 tis. případů v roce 2015 (tj. o 18,8 %), u mužů se počet nově hlášených případů dočasné pracovní neschopnosti meziročně zvýšil z 631,7 tis. případů v roce 2014 na 751,8 tis. případů (tj. o 19 %).</w:t>
      </w:r>
    </w:p>
    <w:p w:rsidR="00615351" w:rsidRDefault="00615351" w:rsidP="00246C58">
      <w:pPr>
        <w:ind w:firstLine="708"/>
        <w:jc w:val="both"/>
        <w:rPr>
          <w:rFonts w:cs="Arial"/>
          <w:b/>
        </w:rPr>
      </w:pPr>
    </w:p>
    <w:p w:rsidR="00246C58" w:rsidRDefault="00246C58" w:rsidP="00246C58">
      <w:pPr>
        <w:ind w:firstLine="708"/>
        <w:jc w:val="both"/>
        <w:rPr>
          <w:rFonts w:cs="Arial"/>
        </w:rPr>
      </w:pPr>
      <w:r>
        <w:rPr>
          <w:rFonts w:cs="Arial"/>
          <w:b/>
        </w:rPr>
        <w:t>Počet nově hlášených případů dočasné pracovní neschopnosti na 100 pojištěnců</w:t>
      </w:r>
      <w:r>
        <w:rPr>
          <w:rFonts w:cs="Arial"/>
        </w:rPr>
        <w:t xml:space="preserve"> meziročně vzrostl z 29,45 případů v roce 2014 na 34,7 případů v roce 2015 (tj. o 17,8 %), z celkového počtu bylo u </w:t>
      </w:r>
      <w:r>
        <w:rPr>
          <w:rFonts w:cs="Arial"/>
          <w:b/>
        </w:rPr>
        <w:t>mužů</w:t>
      </w:r>
      <w:r>
        <w:rPr>
          <w:rFonts w:cs="Arial"/>
        </w:rPr>
        <w:t xml:space="preserve"> hlášeno 32,7 případů (ženy 36,8). V roce 2015 bylo zapříčiněno 30,7 nově hlášených případů dočasné pracovní neschopnosti </w:t>
      </w:r>
      <w:r>
        <w:rPr>
          <w:rFonts w:cs="Arial"/>
          <w:b/>
        </w:rPr>
        <w:t>nemocí</w:t>
      </w:r>
      <w:r>
        <w:rPr>
          <w:rFonts w:cs="Arial"/>
        </w:rPr>
        <w:t xml:space="preserve">, 1,0 případů </w:t>
      </w:r>
      <w:r>
        <w:rPr>
          <w:rFonts w:cs="Arial"/>
          <w:b/>
        </w:rPr>
        <w:t>pracovními úrazy</w:t>
      </w:r>
      <w:r>
        <w:rPr>
          <w:rFonts w:cs="Arial"/>
        </w:rPr>
        <w:t xml:space="preserve"> a 3,0 případů</w:t>
      </w:r>
      <w:r>
        <w:rPr>
          <w:rFonts w:cs="Arial"/>
          <w:color w:val="FF0000"/>
        </w:rPr>
        <w:t xml:space="preserve"> </w:t>
      </w:r>
      <w:r>
        <w:rPr>
          <w:rFonts w:cs="Arial"/>
          <w:b/>
        </w:rPr>
        <w:t>ostatními úrazy</w:t>
      </w:r>
      <w:r>
        <w:rPr>
          <w:rFonts w:cs="Arial"/>
        </w:rPr>
        <w:t>.</w:t>
      </w:r>
    </w:p>
    <w:p w:rsidR="00337B23" w:rsidRDefault="00337B23" w:rsidP="00246C58">
      <w:pPr>
        <w:ind w:firstLine="708"/>
        <w:jc w:val="both"/>
        <w:rPr>
          <w:b/>
        </w:rPr>
      </w:pPr>
    </w:p>
    <w:p w:rsidR="00246C58" w:rsidRDefault="00246C58" w:rsidP="00246C58">
      <w:pPr>
        <w:ind w:firstLine="708"/>
        <w:jc w:val="both"/>
      </w:pPr>
      <w:r>
        <w:rPr>
          <w:b/>
        </w:rPr>
        <w:t xml:space="preserve">Počet kalendářních dnů dočasné pracovní neschopnosti </w:t>
      </w:r>
      <w:r>
        <w:t>meziročně vrostl z 60 235 tis.</w:t>
      </w:r>
      <w:r>
        <w:rPr>
          <w:sz w:val="16"/>
          <w:szCs w:val="16"/>
        </w:rPr>
        <w:t xml:space="preserve"> </w:t>
      </w:r>
      <w:r>
        <w:t xml:space="preserve">prostonaných dnů v roce 2014 na 66 817 tis. prostonaných dnů v roce 2015 (tj. o 5,7 %). </w:t>
      </w:r>
    </w:p>
    <w:p w:rsidR="00337B23" w:rsidRDefault="00337B23" w:rsidP="00246C58">
      <w:pPr>
        <w:ind w:firstLine="708"/>
        <w:jc w:val="both"/>
        <w:rPr>
          <w:rFonts w:cs="Arial"/>
          <w:b/>
        </w:rPr>
      </w:pPr>
    </w:p>
    <w:p w:rsidR="00246C58" w:rsidRDefault="00246C58" w:rsidP="00246C58">
      <w:pPr>
        <w:ind w:firstLine="708"/>
        <w:jc w:val="both"/>
        <w:rPr>
          <w:rFonts w:cs="Arial"/>
          <w:b/>
          <w:bCs/>
        </w:rPr>
      </w:pPr>
      <w:r w:rsidRPr="00F005CD">
        <w:rPr>
          <w:rFonts w:cs="Arial"/>
          <w:b/>
        </w:rPr>
        <w:t>Průměrná délka trvání 1 případu dočasné pracovní neschopnosti</w:t>
      </w:r>
      <w:r w:rsidRPr="00F005CD">
        <w:rPr>
          <w:rFonts w:cs="Arial"/>
        </w:rPr>
        <w:t xml:space="preserve"> se meziročně snížila ze 45,8 dne v roce 2014 na 42,7 dne v roce 2015, </w:t>
      </w:r>
      <w:r w:rsidRPr="00F005CD">
        <w:rPr>
          <w:b/>
          <w:bCs/>
        </w:rPr>
        <w:t>průměrná délka trvání</w:t>
      </w:r>
      <w:r w:rsidRPr="00F005CD">
        <w:rPr>
          <w:bCs/>
        </w:rPr>
        <w:t xml:space="preserve"> dočasné pracovní neschopnosti </w:t>
      </w:r>
      <w:r w:rsidRPr="00F005CD">
        <w:rPr>
          <w:b/>
          <w:bCs/>
        </w:rPr>
        <w:t xml:space="preserve">se zkrátila o 3 dny. </w:t>
      </w:r>
      <w:r w:rsidRPr="00F005CD">
        <w:rPr>
          <w:rFonts w:cs="Arial"/>
          <w:bCs/>
        </w:rPr>
        <w:t xml:space="preserve">Zvýšil se počet nově hlášených případů </w:t>
      </w:r>
      <w:r w:rsidRPr="00F005CD">
        <w:rPr>
          <w:rFonts w:cs="Arial"/>
          <w:b/>
          <w:bCs/>
        </w:rPr>
        <w:t>dočasné pracovní neschopnosti</w:t>
      </w:r>
      <w:r w:rsidRPr="00F005CD">
        <w:rPr>
          <w:rFonts w:cs="Arial"/>
          <w:bCs/>
        </w:rPr>
        <w:t xml:space="preserve"> </w:t>
      </w:r>
      <w:r w:rsidRPr="00F005CD">
        <w:rPr>
          <w:rFonts w:cs="Arial"/>
          <w:b/>
          <w:bCs/>
        </w:rPr>
        <w:t>tzv.</w:t>
      </w:r>
      <w:r w:rsidRPr="00F005CD">
        <w:rPr>
          <w:rFonts w:cs="Arial"/>
          <w:bCs/>
        </w:rPr>
        <w:t xml:space="preserve"> </w:t>
      </w:r>
      <w:r w:rsidRPr="00F005CD">
        <w:rPr>
          <w:rFonts w:cs="Arial"/>
          <w:b/>
          <w:bCs/>
        </w:rPr>
        <w:t>„neschopenek“,</w:t>
      </w:r>
      <w:r w:rsidRPr="00F005CD">
        <w:rPr>
          <w:rFonts w:cs="Arial"/>
          <w:bCs/>
        </w:rPr>
        <w:t xml:space="preserve"> </w:t>
      </w:r>
      <w:r w:rsidRPr="00F005CD">
        <w:rPr>
          <w:rFonts w:cs="Arial"/>
          <w:b/>
          <w:bCs/>
        </w:rPr>
        <w:t xml:space="preserve">ale </w:t>
      </w:r>
      <w:r w:rsidRPr="00F005CD">
        <w:rPr>
          <w:rFonts w:cs="Arial"/>
          <w:bCs/>
        </w:rPr>
        <w:t>zkrátila se průměrná délka stonání</w:t>
      </w:r>
      <w:r w:rsidRPr="00F005CD">
        <w:rPr>
          <w:rFonts w:cs="Arial"/>
          <w:b/>
          <w:bCs/>
        </w:rPr>
        <w:t xml:space="preserve">. </w:t>
      </w:r>
      <w:r w:rsidRPr="008439A4">
        <w:rPr>
          <w:rFonts w:cs="Arial"/>
          <w:bCs/>
        </w:rPr>
        <w:t>Lékaři v roce 2015 sice zahájili u pojištěnců 1 563,5 tis. případů nově hlášených případů dočasné neschopnosti, o 247, tis. případů (tj. o 18,9 %) více než v loňském roce, ale zkrátila se průměrná délka trvání dočasné pracovní neschopnosti</w:t>
      </w:r>
      <w:r w:rsidRPr="00F005CD">
        <w:rPr>
          <w:rFonts w:cs="Arial"/>
          <w:b/>
          <w:bCs/>
        </w:rPr>
        <w:t xml:space="preserve">. </w:t>
      </w:r>
    </w:p>
    <w:p w:rsidR="00246C58" w:rsidRPr="00F005CD" w:rsidRDefault="00246C58" w:rsidP="00246C58">
      <w:pPr>
        <w:ind w:firstLine="708"/>
        <w:jc w:val="both"/>
        <w:rPr>
          <w:rFonts w:cs="Arial"/>
        </w:rPr>
      </w:pPr>
    </w:p>
    <w:p w:rsidR="00246C58" w:rsidRDefault="00246C58" w:rsidP="00246C58">
      <w:pPr>
        <w:pStyle w:val="Zkladntextodsazen"/>
        <w:spacing w:after="240" w:line="288" w:lineRule="auto"/>
        <w:ind w:left="0" w:firstLine="708"/>
        <w:jc w:val="both"/>
        <w:rPr>
          <w:rFonts w:cs="Arial"/>
          <w:szCs w:val="24"/>
        </w:rPr>
      </w:pPr>
      <w:r>
        <w:rPr>
          <w:rFonts w:cs="Arial"/>
          <w:b/>
        </w:rPr>
        <w:t>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r>
        <w:rPr>
          <w:b/>
        </w:rPr>
        <w:t>Průměrné procento pracovní neschopnosti v roce 2015</w:t>
      </w:r>
      <w:r>
        <w:rPr>
          <w:rFonts w:cs="Arial"/>
        </w:rPr>
        <w:t xml:space="preserve"> oproti stejnému období v loňském roce </w:t>
      </w:r>
      <w:r>
        <w:rPr>
          <w:rFonts w:cs="Arial"/>
          <w:b/>
        </w:rPr>
        <w:t>výrazně stouplo</w:t>
      </w:r>
      <w:r>
        <w:rPr>
          <w:rFonts w:cs="Arial"/>
        </w:rPr>
        <w:t xml:space="preserve"> a jeho úroveň dosáhla </w:t>
      </w:r>
      <w:r>
        <w:rPr>
          <w:rFonts w:cs="Arial"/>
          <w:b/>
        </w:rPr>
        <w:t>na</w:t>
      </w:r>
      <w:r>
        <w:rPr>
          <w:rFonts w:cs="Arial"/>
        </w:rPr>
        <w:t xml:space="preserve"> </w:t>
      </w:r>
      <w:r>
        <w:rPr>
          <w:rFonts w:cs="Arial"/>
          <w:b/>
        </w:rPr>
        <w:t>hodnotu</w:t>
      </w:r>
      <w:r>
        <w:rPr>
          <w:rFonts w:cs="Arial"/>
        </w:rPr>
        <w:t xml:space="preserve"> </w:t>
      </w:r>
      <w:r>
        <w:rPr>
          <w:rFonts w:cs="Arial"/>
          <w:b/>
        </w:rPr>
        <w:t xml:space="preserve">4,1 </w:t>
      </w:r>
      <w:r>
        <w:rPr>
          <w:rFonts w:cs="Arial"/>
        </w:rPr>
        <w:t>(v roce 2014 činila jeho hodnota 3,7)</w:t>
      </w:r>
      <w:r>
        <w:rPr>
          <w:rFonts w:cs="Arial"/>
          <w:szCs w:val="24"/>
        </w:rPr>
        <w:t xml:space="preserve">. Průměrné procento pracovní neschopnosti </w:t>
      </w:r>
      <w:r>
        <w:rPr>
          <w:rFonts w:cs="Arial"/>
          <w:b/>
          <w:szCs w:val="24"/>
        </w:rPr>
        <w:t>žen</w:t>
      </w:r>
      <w:r>
        <w:rPr>
          <w:rFonts w:cs="Arial"/>
          <w:szCs w:val="24"/>
        </w:rPr>
        <w:t xml:space="preserve"> v roce 2014 bylo 4,1 </w:t>
      </w:r>
      <w:r>
        <w:rPr>
          <w:rFonts w:cs="Arial"/>
          <w:b/>
          <w:szCs w:val="24"/>
        </w:rPr>
        <w:t>(muži</w:t>
      </w:r>
      <w:r>
        <w:rPr>
          <w:rFonts w:cs="Arial"/>
          <w:szCs w:val="24"/>
        </w:rPr>
        <w:t xml:space="preserve"> 3,3) a meziročně se zvýšilo na 4,5 v roce 2015 </w:t>
      </w:r>
      <w:r>
        <w:rPr>
          <w:rFonts w:cs="Arial"/>
          <w:b/>
          <w:szCs w:val="24"/>
        </w:rPr>
        <w:t>(muži</w:t>
      </w:r>
      <w:r>
        <w:rPr>
          <w:rFonts w:cs="Arial"/>
          <w:szCs w:val="24"/>
        </w:rPr>
        <w:t xml:space="preserve"> 3,6).</w:t>
      </w:r>
    </w:p>
    <w:p w:rsidR="00246C58" w:rsidRDefault="00246C58" w:rsidP="00246C58">
      <w:pPr>
        <w:pStyle w:val="Zkladntextodsazen"/>
        <w:spacing w:after="240" w:line="288" w:lineRule="auto"/>
        <w:ind w:left="0" w:firstLine="708"/>
        <w:jc w:val="both"/>
        <w:rPr>
          <w:rFonts w:cs="Arial"/>
        </w:rPr>
      </w:pPr>
      <w:r>
        <w:rPr>
          <w:rFonts w:cs="Arial"/>
        </w:rPr>
        <w:t xml:space="preserve">V roce 2015 v České republice v důsledku dočasné pracovní neschopnosti pro nemoc a úraz </w:t>
      </w:r>
      <w:r>
        <w:rPr>
          <w:rFonts w:cs="Arial"/>
          <w:b/>
        </w:rPr>
        <w:t xml:space="preserve">denně chybělo na svých pracovištích </w:t>
      </w:r>
      <w:r>
        <w:rPr>
          <w:rFonts w:cs="Arial"/>
        </w:rPr>
        <w:t xml:space="preserve">183,1 tis. pojištěnců, což ve srovnání se stejným obdobím v loňském roce (165 tis. pojištěnců) bylo o 18 tis. pojištěnců více (v roce 2015 83,5 tis. muži, ženy 99,6 tis.). Z celkového počtu chybělo na pracovištích 156,2 tis. pojištěnců </w:t>
      </w:r>
      <w:r>
        <w:rPr>
          <w:rFonts w:cs="Arial"/>
          <w:b/>
        </w:rPr>
        <w:t>pro nemoc</w:t>
      </w:r>
      <w:r>
        <w:rPr>
          <w:rFonts w:cs="Arial"/>
        </w:rPr>
        <w:t xml:space="preserve">, 7 tis. pojištěnců </w:t>
      </w:r>
      <w:r>
        <w:rPr>
          <w:rFonts w:cs="Arial"/>
          <w:b/>
        </w:rPr>
        <w:t>pro pracovní úraz</w:t>
      </w:r>
      <w:r>
        <w:rPr>
          <w:rFonts w:cs="Arial"/>
        </w:rPr>
        <w:t xml:space="preserve"> a 19,8 tis. pojištěnců </w:t>
      </w:r>
      <w:r>
        <w:rPr>
          <w:rFonts w:cs="Arial"/>
          <w:b/>
        </w:rPr>
        <w:t>pro ostatní</w:t>
      </w:r>
      <w:r>
        <w:rPr>
          <w:rFonts w:cs="Arial"/>
        </w:rPr>
        <w:t xml:space="preserve"> úraz.</w:t>
      </w:r>
    </w:p>
    <w:p w:rsidR="005A3A03" w:rsidRDefault="005A3A03" w:rsidP="009242D7">
      <w:pPr>
        <w:jc w:val="both"/>
        <w:rPr>
          <w:rFonts w:cs="Arial"/>
          <w:b/>
        </w:rPr>
      </w:pPr>
    </w:p>
    <w:p w:rsidR="00B9716B" w:rsidRDefault="00B9716B" w:rsidP="009242D7">
      <w:pPr>
        <w:jc w:val="both"/>
        <w:rPr>
          <w:rFonts w:cs="Arial"/>
          <w:b/>
        </w:rPr>
      </w:pPr>
    </w:p>
    <w:p w:rsidR="00B9716B" w:rsidRDefault="00B9716B" w:rsidP="009242D7">
      <w:pPr>
        <w:jc w:val="both"/>
        <w:rPr>
          <w:rFonts w:cs="Arial"/>
          <w:b/>
        </w:rPr>
      </w:pPr>
    </w:p>
    <w:p w:rsidR="00B9716B" w:rsidRDefault="00B9716B" w:rsidP="009242D7">
      <w:pPr>
        <w:jc w:val="both"/>
        <w:rPr>
          <w:rFonts w:cs="Arial"/>
          <w:b/>
        </w:rPr>
      </w:pPr>
    </w:p>
    <w:p w:rsidR="009242D7" w:rsidRDefault="009242D7" w:rsidP="009242D7">
      <w:pPr>
        <w:jc w:val="both"/>
        <w:rPr>
          <w:rFonts w:cs="Arial"/>
          <w:b/>
        </w:rPr>
      </w:pPr>
      <w:r w:rsidRPr="00D722D1">
        <w:rPr>
          <w:rFonts w:cs="Arial"/>
          <w:b/>
        </w:rPr>
        <w:t>Tab.</w:t>
      </w:r>
      <w:r>
        <w:rPr>
          <w:rFonts w:cs="Arial"/>
          <w:b/>
        </w:rPr>
        <w:t xml:space="preserve"> č. </w:t>
      </w:r>
      <w:r w:rsidR="00B9716B">
        <w:rPr>
          <w:rFonts w:cs="Arial"/>
          <w:b/>
        </w:rPr>
        <w:t>5</w:t>
      </w:r>
      <w:r w:rsidRPr="00D722D1">
        <w:rPr>
          <w:rFonts w:cs="Arial"/>
          <w:b/>
        </w:rPr>
        <w:t xml:space="preserve"> : Pracovní neschopnost pro nemoc a úraz podle pohlaví v období 2005 - 2015 (v tis.)</w:t>
      </w:r>
    </w:p>
    <w:p w:rsidR="009242D7" w:rsidRDefault="009242D7" w:rsidP="009242D7">
      <w:pPr>
        <w:jc w:val="both"/>
        <w:rPr>
          <w:rFonts w:cs="Arial"/>
          <w:b/>
        </w:rPr>
      </w:pPr>
    </w:p>
    <w:p w:rsidR="009242D7" w:rsidRDefault="004F40FF" w:rsidP="009242D7">
      <w:pPr>
        <w:pStyle w:val="Zkladntextodsazen"/>
        <w:spacing w:after="240" w:line="288" w:lineRule="auto"/>
        <w:ind w:left="0"/>
        <w:jc w:val="both"/>
        <w:rPr>
          <w:rFonts w:cs="Arial"/>
        </w:rPr>
      </w:pPr>
      <w:r>
        <w:pict>
          <v:shape id="_x0000_i1034" type="#_x0000_t75" style="width:454.5pt;height:537.75pt">
            <v:imagedata r:id="rId18" o:title=""/>
          </v:shape>
        </w:pict>
      </w:r>
    </w:p>
    <w:p w:rsidR="009242D7" w:rsidRDefault="009242D7" w:rsidP="00246C58">
      <w:pPr>
        <w:pStyle w:val="Zkladntextodsazen"/>
        <w:spacing w:after="240" w:line="288" w:lineRule="auto"/>
        <w:ind w:left="0" w:firstLine="708"/>
        <w:jc w:val="both"/>
        <w:rPr>
          <w:rFonts w:cs="Arial"/>
          <w:szCs w:val="24"/>
        </w:rPr>
      </w:pPr>
    </w:p>
    <w:p w:rsidR="00246C58" w:rsidRDefault="00246C58" w:rsidP="00246C58">
      <w:pPr>
        <w:jc w:val="both"/>
        <w:rPr>
          <w:rFonts w:cs="Arial"/>
          <w:b/>
        </w:rPr>
      </w:pPr>
    </w:p>
    <w:p w:rsidR="00246C58" w:rsidRDefault="00246C58" w:rsidP="00246C58">
      <w:pPr>
        <w:jc w:val="both"/>
        <w:rPr>
          <w:rFonts w:cs="Arial"/>
          <w:b/>
        </w:rPr>
      </w:pPr>
    </w:p>
    <w:p w:rsidR="00246C58" w:rsidRDefault="00246C58" w:rsidP="00246C58">
      <w:pPr>
        <w:jc w:val="both"/>
        <w:rPr>
          <w:rFonts w:cs="Arial"/>
          <w:b/>
        </w:rPr>
      </w:pPr>
    </w:p>
    <w:p w:rsidR="000041CD" w:rsidRDefault="000041CD" w:rsidP="00246C58">
      <w:pPr>
        <w:jc w:val="both"/>
        <w:rPr>
          <w:rFonts w:cs="Arial"/>
          <w:b/>
        </w:rPr>
      </w:pPr>
    </w:p>
    <w:p w:rsidR="00B9716B" w:rsidRDefault="00B9716B" w:rsidP="00246C58">
      <w:pPr>
        <w:jc w:val="both"/>
        <w:rPr>
          <w:rFonts w:cs="Arial"/>
          <w:b/>
        </w:rPr>
      </w:pPr>
    </w:p>
    <w:p w:rsidR="000041CD" w:rsidRDefault="000041CD" w:rsidP="00246C58">
      <w:pPr>
        <w:jc w:val="both"/>
        <w:rPr>
          <w:rFonts w:cs="Arial"/>
          <w:b/>
        </w:rPr>
      </w:pPr>
    </w:p>
    <w:p w:rsidR="00246C58" w:rsidRPr="0011556E" w:rsidRDefault="00246C58" w:rsidP="00246C58">
      <w:pPr>
        <w:spacing w:before="100" w:beforeAutospacing="1" w:after="100" w:afterAutospacing="1" w:line="240" w:lineRule="auto"/>
        <w:jc w:val="both"/>
        <w:rPr>
          <w:rFonts w:eastAsia="MS Gothic" w:cs="Arial"/>
          <w:b/>
          <w:bCs/>
          <w:sz w:val="28"/>
          <w:szCs w:val="28"/>
        </w:rPr>
      </w:pPr>
      <w:r w:rsidRPr="0011556E">
        <w:rPr>
          <w:rFonts w:eastAsia="MS Gothic" w:cs="Arial"/>
          <w:b/>
          <w:bCs/>
          <w:sz w:val="28"/>
          <w:szCs w:val="28"/>
        </w:rPr>
        <w:lastRenderedPageBreak/>
        <w:t>Přílohy</w:t>
      </w:r>
    </w:p>
    <w:p w:rsidR="00246C58" w:rsidRPr="0011556E" w:rsidRDefault="00246C58" w:rsidP="00246C58">
      <w:pPr>
        <w:spacing w:before="100" w:beforeAutospacing="1" w:after="100" w:afterAutospacing="1" w:line="240" w:lineRule="auto"/>
        <w:jc w:val="both"/>
        <w:rPr>
          <w:rFonts w:eastAsia="MS Gothic" w:cs="Arial"/>
          <w:b/>
          <w:bCs/>
          <w:sz w:val="28"/>
          <w:szCs w:val="26"/>
        </w:rPr>
      </w:pPr>
      <w:r w:rsidRPr="0011556E">
        <w:rPr>
          <w:rFonts w:eastAsia="MS Gothic" w:cs="Arial"/>
          <w:b/>
          <w:bCs/>
          <w:sz w:val="28"/>
          <w:szCs w:val="26"/>
        </w:rPr>
        <w:t xml:space="preserve">Příloha č. </w:t>
      </w:r>
      <w:r>
        <w:rPr>
          <w:rFonts w:eastAsia="MS Gothic" w:cs="Arial"/>
          <w:b/>
          <w:bCs/>
          <w:sz w:val="28"/>
          <w:szCs w:val="26"/>
        </w:rPr>
        <w:t>1</w:t>
      </w:r>
    </w:p>
    <w:p w:rsidR="00246C58" w:rsidRPr="009B4B06" w:rsidRDefault="00246C58" w:rsidP="00246C58">
      <w:pPr>
        <w:pStyle w:val="Nadpis2"/>
        <w:rPr>
          <w:rFonts w:eastAsia="Times New Roman" w:cs="Arial"/>
          <w:bCs w:val="0"/>
          <w:color w:val="auto"/>
          <w:sz w:val="24"/>
          <w:szCs w:val="24"/>
          <w:vertAlign w:val="superscript"/>
        </w:rPr>
      </w:pPr>
      <w:r w:rsidRPr="0011556E">
        <w:rPr>
          <w:rFonts w:cs="Arial"/>
          <w:color w:val="auto"/>
        </w:rPr>
        <w:t>Nemocenské pojištění v roce 2015</w:t>
      </w:r>
      <w:r w:rsidR="00547C98" w:rsidRPr="009B4B06">
        <w:rPr>
          <w:rFonts w:eastAsia="Times New Roman" w:cs="Arial"/>
          <w:bCs w:val="0"/>
          <w:color w:val="auto"/>
          <w:sz w:val="24"/>
          <w:szCs w:val="24"/>
          <w:vertAlign w:val="superscript"/>
        </w:rPr>
        <w:footnoteReference w:id="1"/>
      </w:r>
    </w:p>
    <w:p w:rsidR="00246C58" w:rsidRDefault="00246C58" w:rsidP="00246C58">
      <w:pPr>
        <w:pStyle w:val="Normlnweb"/>
        <w:jc w:val="both"/>
        <w:rPr>
          <w:rFonts w:ascii="Arial" w:hAnsi="Arial" w:cs="Arial"/>
          <w:sz w:val="20"/>
          <w:szCs w:val="20"/>
        </w:rPr>
      </w:pPr>
      <w:r>
        <w:rPr>
          <w:rFonts w:ascii="Arial" w:hAnsi="Arial" w:cs="Arial"/>
          <w:sz w:val="20"/>
          <w:szCs w:val="20"/>
        </w:rPr>
        <w:t xml:space="preserve">Od 1. ledna 2009 je nemocenské pojištění upraveno </w:t>
      </w:r>
      <w:r>
        <w:rPr>
          <w:rFonts w:ascii="Arial" w:hAnsi="Arial" w:cs="Arial"/>
          <w:b/>
          <w:bCs/>
          <w:sz w:val="20"/>
          <w:szCs w:val="20"/>
        </w:rPr>
        <w:t>zákonem č. 187/2006 Sb., o nemocenském pojištění</w:t>
      </w:r>
      <w:r>
        <w:rPr>
          <w:rFonts w:ascii="Arial" w:hAnsi="Arial" w:cs="Arial"/>
          <w:sz w:val="20"/>
          <w:szCs w:val="20"/>
        </w:rPr>
        <w:t>, ve znění pozdějších předpisů. Jde o komplexní úpravu nemocenského pojištění, která zahrnuje jak okruh osob účastných nemocenského pojištění (tj. zaměstnanců, příslušníků ozbrojených sil a bezpečnostních sborů i osob samostatně výdělečně činných), jejich nároky z tohoto pojištění a stanovení výše poskytovaných dávek, posuzování zdravotního stavu pro účely nemocenského pojištění, tak organizační uspořádání nemocenského pojištění, jakož i řízení v tomto pojištění.</w:t>
      </w:r>
    </w:p>
    <w:p w:rsidR="00246C58" w:rsidRDefault="00246C58" w:rsidP="00246C58">
      <w:pPr>
        <w:pStyle w:val="Normlnweb"/>
        <w:jc w:val="both"/>
        <w:rPr>
          <w:rFonts w:ascii="Arial" w:hAnsi="Arial" w:cs="Arial"/>
          <w:sz w:val="20"/>
          <w:szCs w:val="20"/>
        </w:rPr>
      </w:pPr>
      <w:r>
        <w:rPr>
          <w:rFonts w:ascii="Arial" w:hAnsi="Arial" w:cs="Arial"/>
          <w:b/>
          <w:bCs/>
          <w:sz w:val="20"/>
          <w:szCs w:val="20"/>
        </w:rPr>
        <w:t>Pojistné na nemocenské pojištění</w:t>
      </w:r>
      <w:r>
        <w:rPr>
          <w:rFonts w:ascii="Arial" w:hAnsi="Arial" w:cs="Arial"/>
          <w:sz w:val="20"/>
          <w:szCs w:val="20"/>
        </w:rPr>
        <w:t xml:space="preserve"> je upraveno zákonem č. 589/1992 Sb., o pojistném na sociální zabezpečení a příspěvku na státní politiku zaměstnanosti, ve znění pozdějších předpisů.</w:t>
      </w:r>
    </w:p>
    <w:p w:rsidR="00246C58" w:rsidRDefault="00246C58" w:rsidP="00246C58">
      <w:pPr>
        <w:pStyle w:val="Nadpis2"/>
        <w:rPr>
          <w:rFonts w:cs="Arial"/>
          <w:color w:val="auto"/>
          <w:sz w:val="24"/>
          <w:szCs w:val="24"/>
        </w:rPr>
      </w:pPr>
      <w:r>
        <w:rPr>
          <w:rFonts w:cs="Arial"/>
          <w:color w:val="auto"/>
          <w:sz w:val="24"/>
          <w:szCs w:val="24"/>
        </w:rPr>
        <w:t>Účast na nemocenském pojištění</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Nemocenského pojištění jsou účastni </w:t>
      </w:r>
      <w:r>
        <w:rPr>
          <w:rFonts w:ascii="Arial" w:hAnsi="Arial" w:cs="Arial"/>
          <w:b/>
          <w:bCs/>
          <w:sz w:val="20"/>
          <w:szCs w:val="20"/>
        </w:rPr>
        <w:t>zaměstnanci</w:t>
      </w:r>
      <w:r>
        <w:rPr>
          <w:rFonts w:ascii="Arial" w:hAnsi="Arial" w:cs="Arial"/>
          <w:sz w:val="20"/>
          <w:szCs w:val="20"/>
        </w:rPr>
        <w:t xml:space="preserve"> (kam řadíme i příslušníky ozbrojených sil a bezpečnostních sborů) a </w:t>
      </w:r>
      <w:r>
        <w:rPr>
          <w:rFonts w:ascii="Arial" w:hAnsi="Arial" w:cs="Arial"/>
          <w:b/>
          <w:bCs/>
          <w:sz w:val="20"/>
          <w:szCs w:val="20"/>
        </w:rPr>
        <w:t>osoby samostatně výdělečně činné</w:t>
      </w:r>
      <w:r>
        <w:rPr>
          <w:rFonts w:ascii="Arial" w:hAnsi="Arial" w:cs="Arial"/>
          <w:sz w:val="20"/>
          <w:szCs w:val="20"/>
        </w:rPr>
        <w:t xml:space="preserve"> (dále jen „OSVČ“). </w:t>
      </w:r>
      <w:r>
        <w:rPr>
          <w:rFonts w:ascii="Arial" w:hAnsi="Arial" w:cs="Arial"/>
          <w:b/>
          <w:bCs/>
          <w:sz w:val="20"/>
          <w:szCs w:val="20"/>
        </w:rPr>
        <w:t>Zaměstnanci</w:t>
      </w:r>
      <w:r>
        <w:rPr>
          <w:rFonts w:ascii="Arial" w:hAnsi="Arial" w:cs="Arial"/>
          <w:sz w:val="20"/>
          <w:szCs w:val="20"/>
        </w:rPr>
        <w:t xml:space="preserve"> jsou </w:t>
      </w:r>
      <w:r>
        <w:rPr>
          <w:rFonts w:ascii="Arial" w:hAnsi="Arial" w:cs="Arial"/>
          <w:b/>
          <w:bCs/>
          <w:sz w:val="20"/>
          <w:szCs w:val="20"/>
        </w:rPr>
        <w:t>povinně</w:t>
      </w:r>
      <w:r>
        <w:rPr>
          <w:rFonts w:ascii="Arial" w:hAnsi="Arial" w:cs="Arial"/>
          <w:sz w:val="20"/>
          <w:szCs w:val="20"/>
        </w:rPr>
        <w:t xml:space="preserve"> účastni nemocenského pojištění, na rozdíl od </w:t>
      </w:r>
      <w:r>
        <w:rPr>
          <w:rFonts w:ascii="Arial" w:hAnsi="Arial" w:cs="Arial"/>
          <w:b/>
          <w:bCs/>
          <w:sz w:val="20"/>
          <w:szCs w:val="20"/>
        </w:rPr>
        <w:t>OSVČ</w:t>
      </w:r>
      <w:r>
        <w:rPr>
          <w:rFonts w:ascii="Arial" w:hAnsi="Arial" w:cs="Arial"/>
          <w:sz w:val="20"/>
          <w:szCs w:val="20"/>
        </w:rPr>
        <w:t xml:space="preserve">, jejichž nemocenské pojištění zůstává </w:t>
      </w:r>
      <w:r>
        <w:rPr>
          <w:rFonts w:ascii="Arial" w:hAnsi="Arial" w:cs="Arial"/>
          <w:b/>
          <w:bCs/>
          <w:sz w:val="20"/>
          <w:szCs w:val="20"/>
        </w:rPr>
        <w:t>dobrovolné</w:t>
      </w:r>
      <w:r>
        <w:rPr>
          <w:rFonts w:ascii="Arial" w:hAnsi="Arial" w:cs="Arial"/>
          <w:sz w:val="20"/>
          <w:szCs w:val="20"/>
        </w:rPr>
        <w:t>.</w:t>
      </w:r>
    </w:p>
    <w:p w:rsidR="00246C58" w:rsidRDefault="00246C58" w:rsidP="00246C58">
      <w:pPr>
        <w:pStyle w:val="Normlnweb"/>
        <w:jc w:val="both"/>
        <w:rPr>
          <w:rFonts w:ascii="Arial" w:hAnsi="Arial" w:cs="Arial"/>
          <w:sz w:val="20"/>
          <w:szCs w:val="20"/>
        </w:rPr>
      </w:pPr>
      <w:r>
        <w:rPr>
          <w:rFonts w:ascii="Arial" w:hAnsi="Arial" w:cs="Arial"/>
          <w:sz w:val="20"/>
          <w:szCs w:val="20"/>
        </w:rPr>
        <w:t>Od 1. 1. 2014 se nově definují některé pojmy:</w:t>
      </w:r>
    </w:p>
    <w:p w:rsidR="00246C58" w:rsidRDefault="00246C58" w:rsidP="00246C58">
      <w:pPr>
        <w:numPr>
          <w:ilvl w:val="0"/>
          <w:numId w:val="26"/>
        </w:numPr>
        <w:spacing w:before="100" w:beforeAutospacing="1" w:after="100" w:afterAutospacing="1" w:line="240" w:lineRule="auto"/>
        <w:jc w:val="both"/>
        <w:rPr>
          <w:rFonts w:cs="Arial"/>
          <w:szCs w:val="20"/>
        </w:rPr>
      </w:pPr>
      <w:r>
        <w:rPr>
          <w:rFonts w:cs="Arial"/>
          <w:szCs w:val="20"/>
        </w:rPr>
        <w:t xml:space="preserve">Za „zaměstnání“ se již nepovažuje právní vztah, na jehož základě vykonával zaměstnanec práci. Nově se za </w:t>
      </w:r>
      <w:r>
        <w:rPr>
          <w:rFonts w:cs="Arial"/>
          <w:b/>
          <w:bCs/>
          <w:szCs w:val="20"/>
        </w:rPr>
        <w:t>zaměstnání</w:t>
      </w:r>
      <w:r>
        <w:rPr>
          <w:rFonts w:cs="Arial"/>
          <w:szCs w:val="20"/>
        </w:rPr>
        <w:t xml:space="preserve"> považuje činnost zaměstnance pro zaměstnavatele, z níž mu plynou nebo by mohly plynout od zaměstnavatele příjmy ze závislé činnosti bez ohledu na druh pracovního vztahu.</w:t>
      </w:r>
    </w:p>
    <w:p w:rsidR="00246C58" w:rsidRDefault="00246C58" w:rsidP="00246C58">
      <w:pPr>
        <w:numPr>
          <w:ilvl w:val="0"/>
          <w:numId w:val="26"/>
        </w:numPr>
        <w:spacing w:before="100" w:beforeAutospacing="1" w:after="100" w:afterAutospacing="1" w:line="240" w:lineRule="auto"/>
        <w:jc w:val="both"/>
        <w:rPr>
          <w:rFonts w:cs="Arial"/>
          <w:szCs w:val="20"/>
        </w:rPr>
      </w:pPr>
      <w:r>
        <w:rPr>
          <w:rFonts w:cs="Arial"/>
          <w:b/>
          <w:bCs/>
          <w:szCs w:val="20"/>
        </w:rPr>
        <w:t>Zaměstnanci</w:t>
      </w:r>
      <w:r>
        <w:rPr>
          <w:rFonts w:cs="Arial"/>
          <w:szCs w:val="20"/>
        </w:rPr>
        <w:t xml:space="preserve"> se rozumí osoby v době zaměstnání, pokud jim plynou nebo by mohly plynout příjmy ze závislé činnosti, které jsou nebo by byly, pokud by podléhaly zdanění v ČR, předmětem daně a nejsou od této daně osvobozeny.</w:t>
      </w:r>
    </w:p>
    <w:p w:rsidR="00246C58" w:rsidRDefault="00246C58" w:rsidP="00246C58">
      <w:pPr>
        <w:pStyle w:val="Normlnweb"/>
        <w:jc w:val="both"/>
        <w:rPr>
          <w:rFonts w:ascii="Arial" w:hAnsi="Arial" w:cs="Arial"/>
          <w:sz w:val="20"/>
          <w:szCs w:val="20"/>
        </w:rPr>
      </w:pPr>
      <w:r>
        <w:rPr>
          <w:rFonts w:ascii="Arial" w:hAnsi="Arial" w:cs="Arial"/>
          <w:sz w:val="20"/>
          <w:szCs w:val="20"/>
        </w:rPr>
        <w:t>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Povinná účast na nemocenském pojištění vzniká u zaměstnance (s výjimkou zaměstnance činného na základě dohody o provedení práce), pokud splňuje podmínky stanovené zákonem o nemocenském pojištění. Jedná se o dvě základní podmínky, a to o:</w:t>
      </w:r>
    </w:p>
    <w:p w:rsidR="00246C58" w:rsidRDefault="00246C58" w:rsidP="00246C58">
      <w:pPr>
        <w:numPr>
          <w:ilvl w:val="0"/>
          <w:numId w:val="27"/>
        </w:numPr>
        <w:spacing w:before="100" w:beforeAutospacing="1" w:after="100" w:afterAutospacing="1" w:line="240" w:lineRule="auto"/>
        <w:jc w:val="both"/>
        <w:rPr>
          <w:rFonts w:cs="Arial"/>
          <w:szCs w:val="20"/>
        </w:rPr>
      </w:pPr>
      <w:r>
        <w:rPr>
          <w:rFonts w:cs="Arial"/>
          <w:b/>
          <w:bCs/>
          <w:szCs w:val="20"/>
        </w:rPr>
        <w:t>výkon práce</w:t>
      </w:r>
      <w:r>
        <w:rPr>
          <w:rFonts w:cs="Arial"/>
          <w:szCs w:val="20"/>
        </w:rPr>
        <w:t xml:space="preserve"> na území České republiky (dále jen „ČR“) v zaměstnání vykonávaném v pracovněprávním či </w:t>
      </w:r>
      <w:r>
        <w:rPr>
          <w:rFonts w:cs="Arial"/>
          <w:b/>
          <w:bCs/>
          <w:szCs w:val="20"/>
        </w:rPr>
        <w:t>pracovním vztahu</w:t>
      </w:r>
      <w:r>
        <w:rPr>
          <w:rFonts w:cs="Arial"/>
          <w:szCs w:val="20"/>
        </w:rPr>
        <w:t>, který může účast na nemocenském pojištění založit,</w:t>
      </w:r>
    </w:p>
    <w:p w:rsidR="00246C58" w:rsidRDefault="00246C58" w:rsidP="00246C58">
      <w:pPr>
        <w:numPr>
          <w:ilvl w:val="0"/>
          <w:numId w:val="27"/>
        </w:numPr>
        <w:spacing w:before="100" w:beforeAutospacing="1" w:after="100" w:afterAutospacing="1" w:line="240" w:lineRule="auto"/>
        <w:jc w:val="both"/>
        <w:rPr>
          <w:rFonts w:cs="Arial"/>
          <w:szCs w:val="20"/>
        </w:rPr>
      </w:pPr>
      <w:r>
        <w:rPr>
          <w:rFonts w:cs="Arial"/>
          <w:b/>
          <w:bCs/>
          <w:szCs w:val="20"/>
        </w:rPr>
        <w:t>minimální výši sjednaného příjmu</w:t>
      </w:r>
      <w:r>
        <w:rPr>
          <w:rFonts w:cs="Arial"/>
          <w:szCs w:val="20"/>
        </w:rPr>
        <w:t xml:space="preserve"> (jedná se o tzv. </w:t>
      </w:r>
      <w:r>
        <w:rPr>
          <w:rFonts w:cs="Arial"/>
          <w:b/>
          <w:bCs/>
          <w:szCs w:val="20"/>
        </w:rPr>
        <w:t>rozhodný příjem</w:t>
      </w:r>
      <w:r>
        <w:rPr>
          <w:rFonts w:cs="Arial"/>
          <w:szCs w:val="20"/>
        </w:rPr>
        <w:t xml:space="preserve">, jehož hranice byla od 1. 1. 2009 stanovena na </w:t>
      </w:r>
      <w:r>
        <w:rPr>
          <w:rFonts w:cs="Arial"/>
          <w:b/>
          <w:bCs/>
          <w:szCs w:val="20"/>
        </w:rPr>
        <w:t>2 000 Kč. Tato částka se od 1. 1. 2012 zvýšila na částku 2 500 Kč</w:t>
      </w:r>
      <w:r>
        <w:rPr>
          <w:rFonts w:cs="Arial"/>
          <w:szCs w:val="20"/>
        </w:rPr>
        <w:t>).</w:t>
      </w:r>
    </w:p>
    <w:p w:rsidR="00246C58" w:rsidRDefault="00246C58" w:rsidP="00246C58">
      <w:pPr>
        <w:pStyle w:val="Normlnweb"/>
        <w:jc w:val="both"/>
        <w:rPr>
          <w:rFonts w:ascii="Arial" w:hAnsi="Arial" w:cs="Arial"/>
          <w:sz w:val="20"/>
          <w:szCs w:val="20"/>
        </w:rPr>
      </w:pPr>
      <w:r>
        <w:rPr>
          <w:rFonts w:ascii="Arial" w:hAnsi="Arial" w:cs="Arial"/>
          <w:sz w:val="20"/>
          <w:szCs w:val="20"/>
        </w:rPr>
        <w:t>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w:t>
      </w:r>
    </w:p>
    <w:p w:rsidR="00246C58" w:rsidRDefault="00246C58" w:rsidP="00246C58">
      <w:pPr>
        <w:pStyle w:val="Normlnweb"/>
        <w:jc w:val="both"/>
        <w:rPr>
          <w:rFonts w:ascii="Arial" w:hAnsi="Arial" w:cs="Arial"/>
          <w:sz w:val="20"/>
          <w:szCs w:val="20"/>
        </w:rPr>
      </w:pPr>
      <w:r>
        <w:rPr>
          <w:rFonts w:ascii="Arial" w:hAnsi="Arial" w:cs="Arial"/>
          <w:sz w:val="20"/>
          <w:szCs w:val="20"/>
        </w:rPr>
        <w:lastRenderedPageBreak/>
        <w:t xml:space="preserve">Zvláštní podmínky účasti zaměstnanců na nemocenském pojištění jsou stanoveny při výkonu </w:t>
      </w:r>
      <w:r>
        <w:rPr>
          <w:rFonts w:ascii="Arial" w:hAnsi="Arial" w:cs="Arial"/>
          <w:b/>
          <w:bCs/>
          <w:sz w:val="20"/>
          <w:szCs w:val="20"/>
        </w:rPr>
        <w:t>zaměstnání malého rozsahu.</w:t>
      </w:r>
      <w:r>
        <w:rPr>
          <w:rFonts w:ascii="Arial" w:hAnsi="Arial" w:cs="Arial"/>
          <w:sz w:val="20"/>
          <w:szCs w:val="20"/>
        </w:rPr>
        <w:t xml:space="preserve">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anebo měsíční příjem nebyl sjednán vůbec. Při výkonu zaměstnání malého rozsahu je zaměstnanec pojištěn jen v těch kalendářních měsících, v nichž dosáhl aspoň příjmu v příslušné rozhodné výši.</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U zaměstnance činného na základě </w:t>
      </w:r>
      <w:r>
        <w:rPr>
          <w:rFonts w:ascii="Arial" w:hAnsi="Arial" w:cs="Arial"/>
          <w:b/>
          <w:bCs/>
          <w:sz w:val="20"/>
          <w:szCs w:val="20"/>
        </w:rPr>
        <w:t>dohody o provedení práce</w:t>
      </w:r>
      <w:r>
        <w:rPr>
          <w:rFonts w:ascii="Arial" w:hAnsi="Arial" w:cs="Arial"/>
          <w:sz w:val="20"/>
          <w:szCs w:val="20"/>
        </w:rPr>
        <w:t xml:space="preserve"> vzniká povinná účast na nemocenském pojištění, pokud splňuje dvě podmínky, a to:</w:t>
      </w:r>
    </w:p>
    <w:p w:rsidR="00246C58" w:rsidRDefault="00246C58" w:rsidP="00246C58">
      <w:pPr>
        <w:numPr>
          <w:ilvl w:val="0"/>
          <w:numId w:val="28"/>
        </w:numPr>
        <w:spacing w:before="100" w:beforeAutospacing="1" w:after="100" w:afterAutospacing="1" w:line="240" w:lineRule="auto"/>
        <w:jc w:val="both"/>
        <w:rPr>
          <w:rFonts w:cs="Arial"/>
          <w:szCs w:val="20"/>
        </w:rPr>
      </w:pPr>
      <w:r>
        <w:rPr>
          <w:rFonts w:cs="Arial"/>
          <w:szCs w:val="20"/>
        </w:rPr>
        <w:t>výkon práce na území ČR a</w:t>
      </w:r>
    </w:p>
    <w:p w:rsidR="00246C58" w:rsidRDefault="00246C58" w:rsidP="00246C58">
      <w:pPr>
        <w:numPr>
          <w:ilvl w:val="0"/>
          <w:numId w:val="28"/>
        </w:numPr>
        <w:spacing w:before="100" w:beforeAutospacing="1" w:after="100" w:afterAutospacing="1" w:line="240" w:lineRule="auto"/>
        <w:jc w:val="both"/>
        <w:rPr>
          <w:rFonts w:cs="Arial"/>
          <w:szCs w:val="20"/>
        </w:rPr>
      </w:pPr>
      <w:r>
        <w:rPr>
          <w:rFonts w:cs="Arial"/>
          <w:szCs w:val="20"/>
        </w:rPr>
        <w:t>v kalendářním měsíci, v němž dohoda o provedení práce trvá, dosáhl započitatelného příjmu v částce vyšší než 10 000 Kč.</w:t>
      </w:r>
    </w:p>
    <w:p w:rsidR="00246C58" w:rsidRDefault="00246C58" w:rsidP="00246C58">
      <w:pPr>
        <w:pStyle w:val="Normlnweb"/>
        <w:jc w:val="both"/>
        <w:rPr>
          <w:rFonts w:ascii="Arial" w:hAnsi="Arial" w:cs="Arial"/>
          <w:sz w:val="20"/>
          <w:szCs w:val="20"/>
        </w:rPr>
      </w:pPr>
      <w:r>
        <w:rPr>
          <w:rFonts w:ascii="Arial" w:hAnsi="Arial" w:cs="Arial"/>
          <w:sz w:val="20"/>
          <w:szCs w:val="20"/>
        </w:rPr>
        <w:t>Od 1. 1. 2014 se zjednodušuje provádění nemocenského pojištění smluvních zaměstnanců, nebude se sledovat, zda jsou či nejsou pojištěni ve „třetím“ státě, v němž má zaměstnavatel sídlo.</w:t>
      </w:r>
    </w:p>
    <w:p w:rsidR="00246C58" w:rsidRDefault="00246C58" w:rsidP="00246C58">
      <w:pPr>
        <w:pStyle w:val="Normlnweb"/>
        <w:jc w:val="both"/>
        <w:rPr>
          <w:rFonts w:ascii="Arial" w:hAnsi="Arial" w:cs="Arial"/>
          <w:sz w:val="20"/>
          <w:szCs w:val="20"/>
        </w:rPr>
      </w:pPr>
      <w:r>
        <w:rPr>
          <w:rFonts w:ascii="Arial" w:hAnsi="Arial" w:cs="Arial"/>
          <w:sz w:val="20"/>
          <w:szCs w:val="20"/>
        </w:rPr>
        <w:t>Účast OSVČ na nemocenském pojištění vzniká na základě přihlášky k nemocenskému pojištění a zaplacením pojistného na nemocenské pojištění.</w:t>
      </w:r>
    </w:p>
    <w:p w:rsidR="00246C58" w:rsidRPr="009D7E87" w:rsidRDefault="00246C58" w:rsidP="00246C58">
      <w:pPr>
        <w:pStyle w:val="Normlnweb"/>
        <w:jc w:val="both"/>
        <w:rPr>
          <w:rFonts w:ascii="Arial" w:hAnsi="Arial" w:cs="Arial"/>
          <w:sz w:val="20"/>
          <w:szCs w:val="20"/>
        </w:rPr>
      </w:pPr>
      <w:r>
        <w:rPr>
          <w:rFonts w:ascii="Arial" w:hAnsi="Arial" w:cs="Arial"/>
          <w:sz w:val="20"/>
          <w:szCs w:val="20"/>
        </w:rPr>
        <w:t xml:space="preserve">Od 1. 1. 2014 OSVČ, která je účastna nemocenského pojištění OSVČ, již není z tohoto důvodu považována vždy za OSVČ vykonávající hlavní samostatnou výdělečnou činnost. I OSVČ vedlejší může být účastna nemocenského pojištění jako OSVČ, i když není povinna platit zálohy na důchodové pojištění. Minimální měsíční základ, který si může OSVČ určit pro placení pojistného na nemocenské pojištění, činí 5 000 Kč od </w:t>
      </w:r>
      <w:r w:rsidRPr="009D7E87">
        <w:rPr>
          <w:rFonts w:ascii="Arial" w:hAnsi="Arial" w:cs="Arial"/>
          <w:sz w:val="20"/>
          <w:szCs w:val="20"/>
        </w:rPr>
        <w:t>1. 1. 2012. Při sazbě 2,3 % činí minimální pojistné na nemocenské pojištění 115 Kč za kalendářní měsíc.</w:t>
      </w:r>
    </w:p>
    <w:p w:rsidR="00246C58" w:rsidRPr="009D7E87" w:rsidRDefault="00246C58" w:rsidP="00246C58">
      <w:pPr>
        <w:pStyle w:val="Normlnweb"/>
        <w:jc w:val="both"/>
        <w:rPr>
          <w:rFonts w:ascii="Arial" w:hAnsi="Arial" w:cs="Arial"/>
          <w:sz w:val="20"/>
          <w:szCs w:val="20"/>
        </w:rPr>
      </w:pPr>
      <w:r w:rsidRPr="009D7E87">
        <w:rPr>
          <w:rFonts w:ascii="Arial" w:hAnsi="Arial" w:cs="Arial"/>
          <w:sz w:val="20"/>
          <w:szCs w:val="20"/>
        </w:rPr>
        <w:t xml:space="preserve">Další informace k účasti na nemocenském pojištění získáte na adrese: </w:t>
      </w:r>
      <w:hyperlink r:id="rId19" w:tgtFrame="_blank" w:tooltip="Nemocenské pojištění na stránkách čssz" w:history="1">
        <w:r w:rsidRPr="009D7E87">
          <w:rPr>
            <w:rStyle w:val="Hypertextovodkaz"/>
            <w:rFonts w:ascii="Arial" w:eastAsia="MS Gothic" w:hAnsi="Arial" w:cs="Arial"/>
            <w:sz w:val="20"/>
            <w:szCs w:val="20"/>
          </w:rPr>
          <w:t>http://www.cssz.cz/cz/nemocenske-pojisteni/ucast-na-pojisteni/</w:t>
        </w:r>
      </w:hyperlink>
      <w:r w:rsidRPr="009D7E87">
        <w:rPr>
          <w:rFonts w:ascii="Arial" w:hAnsi="Arial" w:cs="Arial"/>
          <w:sz w:val="20"/>
          <w:szCs w:val="20"/>
        </w:rPr>
        <w:t xml:space="preserve"> a na adrese </w:t>
      </w:r>
      <w:hyperlink r:id="rId20" w:tgtFrame="_blank" w:tooltip="Nemocenské pojištění na stránkách čssz" w:history="1">
        <w:r w:rsidRPr="009D7E87">
          <w:rPr>
            <w:rStyle w:val="Hypertextovodkaz"/>
            <w:rFonts w:ascii="Arial" w:eastAsia="MS Gothic" w:hAnsi="Arial" w:cs="Arial"/>
            <w:sz w:val="20"/>
            <w:szCs w:val="20"/>
          </w:rPr>
          <w:t>http://www.cssz.cz/cz/pojisteni-osvc/ucast-na-pojisteni/nemocenske-pojisteni-osvc.htm</w:t>
        </w:r>
      </w:hyperlink>
      <w:r w:rsidRPr="009D7E87">
        <w:rPr>
          <w:rFonts w:ascii="Arial" w:hAnsi="Arial" w:cs="Arial"/>
          <w:sz w:val="20"/>
          <w:szCs w:val="20"/>
        </w:rPr>
        <w:t>.</w:t>
      </w:r>
    </w:p>
    <w:p w:rsidR="00246C58" w:rsidRDefault="00246C58" w:rsidP="00246C58">
      <w:pPr>
        <w:pStyle w:val="Nadpis2"/>
        <w:rPr>
          <w:color w:val="auto"/>
          <w:sz w:val="24"/>
          <w:szCs w:val="24"/>
        </w:rPr>
      </w:pPr>
      <w:r>
        <w:rPr>
          <w:color w:val="auto"/>
          <w:sz w:val="24"/>
          <w:szCs w:val="24"/>
        </w:rPr>
        <w:t>Nemocenské</w:t>
      </w:r>
    </w:p>
    <w:p w:rsidR="00246C58" w:rsidRDefault="00246C58" w:rsidP="00246C58">
      <w:pPr>
        <w:pStyle w:val="Normlnweb"/>
        <w:jc w:val="both"/>
        <w:rPr>
          <w:rFonts w:ascii="Arial" w:hAnsi="Arial" w:cs="Arial"/>
          <w:sz w:val="20"/>
          <w:szCs w:val="20"/>
        </w:rPr>
      </w:pPr>
      <w:r>
        <w:rPr>
          <w:rFonts w:ascii="Arial" w:hAnsi="Arial" w:cs="Arial"/>
          <w:b/>
          <w:bCs/>
          <w:sz w:val="20"/>
          <w:szCs w:val="20"/>
        </w:rPr>
        <w:t>Zaměstnanec nebo OSVČ</w:t>
      </w:r>
      <w:r>
        <w:rPr>
          <w:rFonts w:ascii="Arial" w:hAnsi="Arial" w:cs="Arial"/>
          <w:sz w:val="20"/>
          <w:szCs w:val="20"/>
        </w:rPr>
        <w:t xml:space="preserve">, který je uznán ošetřujícím lékařem dočasně práce neschopným, </w:t>
      </w:r>
      <w:r>
        <w:rPr>
          <w:rFonts w:ascii="Arial" w:hAnsi="Arial" w:cs="Arial"/>
          <w:b/>
          <w:bCs/>
          <w:sz w:val="20"/>
          <w:szCs w:val="20"/>
        </w:rPr>
        <w:t>má nárok na nemocenské od 15. kalendářního dne trvání jeho dočasné pracovní neschopnosti do konce dočasné pracovní neschopnosti, maximálně však 380 kalendářních dnů</w:t>
      </w:r>
      <w:r>
        <w:rPr>
          <w:rFonts w:ascii="Arial" w:hAnsi="Arial" w:cs="Arial"/>
          <w:sz w:val="20"/>
          <w:szCs w:val="20"/>
        </w:rPr>
        <w:t xml:space="preserve"> počítaných od vzniku dočasné pracovní neschopnosti (včetně zápočtů předchozí doby trvání dočasné pracovní neschopnosti). OSVČ však pro získání nároku na nemocenské musí být účastna dobrovolného nemocenského pojištění OSVČ alespoň po dobu 3 měsíců bezprostředně předcházejících dni vzniku dočasné pracovní neschopnosti.</w:t>
      </w:r>
    </w:p>
    <w:p w:rsidR="00246C58" w:rsidRDefault="00246C58" w:rsidP="00246C58">
      <w:pPr>
        <w:pStyle w:val="Normlnweb"/>
        <w:jc w:val="both"/>
        <w:rPr>
          <w:rFonts w:ascii="Arial" w:hAnsi="Arial" w:cs="Arial"/>
          <w:sz w:val="20"/>
          <w:szCs w:val="20"/>
        </w:rPr>
      </w:pPr>
      <w:r>
        <w:rPr>
          <w:rFonts w:ascii="Arial" w:hAnsi="Arial" w:cs="Arial"/>
          <w:b/>
          <w:sz w:val="20"/>
          <w:szCs w:val="20"/>
        </w:rPr>
        <w:t>Po dobu prvních 14 kalendářních dnů je zaměstnanec</w:t>
      </w:r>
      <w:r>
        <w:rPr>
          <w:rFonts w:ascii="Arial" w:hAnsi="Arial" w:cs="Arial"/>
          <w:sz w:val="20"/>
          <w:szCs w:val="20"/>
        </w:rPr>
        <w:t xml:space="preserve"> (nikoli OSVČ), kterému trvá pracovní vztah zakládající účast na nemocenském pojištění, </w:t>
      </w:r>
      <w:r>
        <w:rPr>
          <w:rFonts w:ascii="Arial" w:hAnsi="Arial" w:cs="Arial"/>
          <w:b/>
          <w:sz w:val="20"/>
          <w:szCs w:val="20"/>
        </w:rPr>
        <w:t>zabezpečen náhradou mzdy, kterou poskytuje zaměstnavatel podle zákoníku práce.</w:t>
      </w:r>
      <w:r>
        <w:rPr>
          <w:rFonts w:ascii="Arial" w:hAnsi="Arial" w:cs="Arial"/>
          <w:sz w:val="20"/>
          <w:szCs w:val="20"/>
        </w:rPr>
        <w:t xml:space="preserve"> Během prvních dvou týdnů dočasné pracovní neschopnosti nebo karantény poskytuje zaměstnavatel zaměstnanci náhradu mzdy za pracovní dny, avšak </w:t>
      </w:r>
      <w:r>
        <w:rPr>
          <w:rFonts w:ascii="Arial" w:hAnsi="Arial" w:cs="Arial"/>
          <w:b/>
          <w:sz w:val="20"/>
          <w:szCs w:val="20"/>
        </w:rPr>
        <w:t>náhrada mzdy</w:t>
      </w:r>
      <w:r>
        <w:rPr>
          <w:rFonts w:ascii="Arial" w:hAnsi="Arial" w:cs="Arial"/>
          <w:sz w:val="20"/>
          <w:szCs w:val="20"/>
        </w:rPr>
        <w:t xml:space="preserve">, platu či odměny </w:t>
      </w:r>
      <w:r>
        <w:rPr>
          <w:rFonts w:ascii="Arial" w:hAnsi="Arial" w:cs="Arial"/>
          <w:b/>
          <w:sz w:val="20"/>
          <w:szCs w:val="20"/>
        </w:rPr>
        <w:t>nebude příslušet za první 3</w:t>
      </w:r>
      <w:r>
        <w:rPr>
          <w:rFonts w:ascii="Arial" w:hAnsi="Arial" w:cs="Arial"/>
          <w:sz w:val="20"/>
          <w:szCs w:val="20"/>
        </w:rPr>
        <w:t xml:space="preserve"> </w:t>
      </w:r>
      <w:r>
        <w:rPr>
          <w:rFonts w:ascii="Arial" w:hAnsi="Arial" w:cs="Arial"/>
          <w:b/>
          <w:sz w:val="20"/>
          <w:szCs w:val="20"/>
        </w:rPr>
        <w:t>takovéto</w:t>
      </w:r>
      <w:r>
        <w:rPr>
          <w:rFonts w:ascii="Arial" w:hAnsi="Arial" w:cs="Arial"/>
          <w:sz w:val="20"/>
          <w:szCs w:val="20"/>
        </w:rPr>
        <w:t xml:space="preserve"> </w:t>
      </w:r>
      <w:r>
        <w:rPr>
          <w:rFonts w:ascii="Arial" w:hAnsi="Arial" w:cs="Arial"/>
          <w:b/>
          <w:sz w:val="20"/>
          <w:szCs w:val="20"/>
        </w:rPr>
        <w:t>dny. Náhrada mzdy</w:t>
      </w:r>
      <w:r>
        <w:rPr>
          <w:rFonts w:ascii="Arial" w:hAnsi="Arial" w:cs="Arial"/>
          <w:sz w:val="20"/>
          <w:szCs w:val="20"/>
        </w:rPr>
        <w:t xml:space="preserve"> náleží za pracovní dny a to při dočasné pracovní neschopnosti </w:t>
      </w:r>
      <w:r>
        <w:rPr>
          <w:rFonts w:ascii="Arial" w:hAnsi="Arial" w:cs="Arial"/>
          <w:b/>
          <w:sz w:val="20"/>
          <w:szCs w:val="20"/>
        </w:rPr>
        <w:t>od 4. pracovního dne</w:t>
      </w:r>
      <w:r>
        <w:rPr>
          <w:rFonts w:ascii="Arial" w:hAnsi="Arial" w:cs="Arial"/>
          <w:sz w:val="20"/>
          <w:szCs w:val="20"/>
        </w:rPr>
        <w:t xml:space="preserve"> (při karanténě od prvního pracovního dne). </w:t>
      </w:r>
    </w:p>
    <w:p w:rsidR="00246C58" w:rsidRDefault="00246C58" w:rsidP="00246C58">
      <w:pPr>
        <w:pStyle w:val="Normlnweb"/>
        <w:jc w:val="both"/>
        <w:rPr>
          <w:rFonts w:ascii="Arial" w:hAnsi="Arial" w:cs="Arial"/>
          <w:sz w:val="20"/>
          <w:szCs w:val="20"/>
        </w:rPr>
      </w:pPr>
      <w:r>
        <w:rPr>
          <w:rFonts w:ascii="Arial" w:hAnsi="Arial" w:cs="Arial"/>
          <w:b/>
          <w:bCs/>
          <w:sz w:val="20"/>
          <w:szCs w:val="20"/>
        </w:rPr>
        <w:t>Poživateli starobního důchodu nebo invalidního důchodu pro invaliditu 3. stupně</w:t>
      </w:r>
      <w:r>
        <w:rPr>
          <w:rFonts w:ascii="Arial" w:hAnsi="Arial" w:cs="Arial"/>
          <w:sz w:val="20"/>
          <w:szCs w:val="20"/>
        </w:rPr>
        <w:t xml:space="preserve"> se nemocenské vyplácí od 15. kalendářního dne trvání dočasné pracovní neschopnosti (karantény) po dobu nejvýše 70 kalendářních dnů, nejdéle však do dne, jímž končí pojištěná činnost.</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Nemocenské náleží rovněž ve stanovených případech, jestliže ke vzniku dočasné pracovní neschopnosti (karantény) došlo po skončení pojištěného zaměstnání v tzv. </w:t>
      </w:r>
      <w:r>
        <w:rPr>
          <w:rFonts w:ascii="Arial" w:hAnsi="Arial" w:cs="Arial"/>
          <w:b/>
          <w:bCs/>
          <w:sz w:val="20"/>
          <w:szCs w:val="20"/>
        </w:rPr>
        <w:t>ochranné lhůtě</w:t>
      </w:r>
      <w:r>
        <w:rPr>
          <w:rFonts w:ascii="Arial" w:hAnsi="Arial" w:cs="Arial"/>
          <w:sz w:val="20"/>
          <w:szCs w:val="20"/>
        </w:rPr>
        <w:t xml:space="preserve">. Účelem ochranné lhůty je zajistit bývalého zaměstnance po stanovenou dobu po skončení pojištění pro případ vzniku sociální události (dočasné pracovní neschopnosti) dříve, než opět nastoupí další zaměstnání. Ochranná lhůta v případě uplatňování nároku na nemocenské činí </w:t>
      </w:r>
      <w:r>
        <w:rPr>
          <w:rFonts w:ascii="Arial" w:hAnsi="Arial" w:cs="Arial"/>
          <w:b/>
          <w:bCs/>
          <w:sz w:val="20"/>
          <w:szCs w:val="20"/>
        </w:rPr>
        <w:t>7 kalendářních dnů</w:t>
      </w:r>
      <w:r>
        <w:rPr>
          <w:rFonts w:ascii="Arial" w:hAnsi="Arial" w:cs="Arial"/>
          <w:sz w:val="20"/>
          <w:szCs w:val="20"/>
        </w:rPr>
        <w:t xml:space="preserve"> ode dne skončení zaměstnání, které zakládalo účast na nemocenském pojištění. U zaměstnání kratších než 7 kalendářních dnů činí ochranná lhůta pouze tolik dnů, kolik činilo toto poslední zaměstnání.</w:t>
      </w:r>
    </w:p>
    <w:p w:rsidR="00246C58" w:rsidRDefault="00246C58" w:rsidP="00246C58">
      <w:pPr>
        <w:pStyle w:val="Nadpis4"/>
        <w:jc w:val="both"/>
        <w:rPr>
          <w:rFonts w:cs="Arial"/>
          <w:szCs w:val="20"/>
        </w:rPr>
      </w:pPr>
      <w:r>
        <w:rPr>
          <w:rFonts w:cs="Arial"/>
          <w:szCs w:val="20"/>
        </w:rPr>
        <w:lastRenderedPageBreak/>
        <w:t>Ochranná lhůta neplyne</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 pojištěné činnosti poživatele starobního důchodu nebo invalidního důchodu pro invaliditu 3. stupně,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 dalšího zaměstnání sjednaného jen na dobu dovolené v jiném zaměstnání,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ze zaměstnání zaměstnance činného na základě dohody o provedení práce,</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ze zaměstnání malého rozsahu,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ze zaměstnání, které si žák nebo student sjednali výlučně na dobu školních prázdnin nebo jejich část,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v případě, že pojištění odsouzeného skončí v době jeho útěku z místa výkonu trestu odnětí svobody.</w:t>
      </w:r>
    </w:p>
    <w:p w:rsidR="00246C58" w:rsidRDefault="00246C58" w:rsidP="00246C58">
      <w:pPr>
        <w:pStyle w:val="Nadpis2"/>
        <w:rPr>
          <w:color w:val="000000"/>
          <w:sz w:val="24"/>
          <w:szCs w:val="24"/>
        </w:rPr>
      </w:pPr>
      <w:r>
        <w:rPr>
          <w:color w:val="000000"/>
          <w:sz w:val="24"/>
          <w:szCs w:val="24"/>
        </w:rPr>
        <w:t>Výpočet dávek nemocenského pojištění</w:t>
      </w:r>
    </w:p>
    <w:p w:rsidR="00246C58" w:rsidRDefault="00246C58" w:rsidP="00246C58">
      <w:pPr>
        <w:pStyle w:val="Nadpis3"/>
        <w:rPr>
          <w:rFonts w:cs="Arial"/>
          <w:color w:val="000000"/>
          <w:sz w:val="20"/>
          <w:szCs w:val="20"/>
        </w:rPr>
      </w:pPr>
    </w:p>
    <w:p w:rsidR="00246C58" w:rsidRDefault="00246C58" w:rsidP="00246C58">
      <w:pPr>
        <w:pStyle w:val="Nadpis3"/>
        <w:rPr>
          <w:rFonts w:cs="Arial"/>
          <w:color w:val="000000"/>
          <w:sz w:val="20"/>
          <w:szCs w:val="20"/>
        </w:rPr>
      </w:pPr>
      <w:r>
        <w:rPr>
          <w:rFonts w:cs="Arial"/>
          <w:color w:val="000000"/>
          <w:sz w:val="20"/>
          <w:szCs w:val="20"/>
        </w:rPr>
        <w:t>Určení denního vyměřovacího základu</w:t>
      </w:r>
    </w:p>
    <w:p w:rsidR="00246C58" w:rsidRDefault="00246C58" w:rsidP="00246C58">
      <w:pPr>
        <w:pStyle w:val="Normlnweb"/>
        <w:jc w:val="both"/>
        <w:rPr>
          <w:rFonts w:ascii="Arial" w:hAnsi="Arial" w:cs="Arial"/>
          <w:sz w:val="20"/>
          <w:szCs w:val="20"/>
        </w:rPr>
      </w:pPr>
      <w:r>
        <w:rPr>
          <w:rFonts w:ascii="Arial" w:hAnsi="Arial" w:cs="Arial"/>
          <w:color w:val="000000"/>
          <w:sz w:val="20"/>
          <w:szCs w:val="20"/>
        </w:rPr>
        <w:t>Dávky se počítají z denního vyměřovacího</w:t>
      </w:r>
      <w:r>
        <w:rPr>
          <w:rFonts w:ascii="Arial" w:hAnsi="Arial" w:cs="Arial"/>
          <w:sz w:val="20"/>
          <w:szCs w:val="20"/>
        </w:rPr>
        <w:t xml:space="preserve"> základu, který se zjistí tak, že započitatelný příjem zúčtovaný zaměstnanci v rozhodném období (zpravidla období 12 kalendářních měsíců před kalendářním měsícem, ve kterém vznikla sociální událost) se dělí počtem „započitatelných“ kalendářních dnů připadajících na toto rozhodné období. Takto stanovený průměrný denní příjem se upravuje (redukuje) pomocí tří redukčních hranic na denní vyměřovací základ.</w:t>
      </w:r>
    </w:p>
    <w:p w:rsidR="00246C58" w:rsidRDefault="00246C58" w:rsidP="00246C58">
      <w:pPr>
        <w:pStyle w:val="Nadpis3"/>
        <w:rPr>
          <w:rFonts w:cs="Arial"/>
          <w:color w:val="000000"/>
          <w:sz w:val="20"/>
          <w:szCs w:val="20"/>
        </w:rPr>
      </w:pPr>
      <w:r>
        <w:rPr>
          <w:rFonts w:cs="Arial"/>
          <w:color w:val="000000"/>
          <w:sz w:val="20"/>
          <w:szCs w:val="20"/>
        </w:rPr>
        <w:t>Redukce denního vyměřovacího základu</w:t>
      </w:r>
    </w:p>
    <w:p w:rsidR="00246C58" w:rsidRDefault="00246C58" w:rsidP="00246C58">
      <w:pPr>
        <w:pStyle w:val="Normlnweb"/>
        <w:rPr>
          <w:rFonts w:ascii="Arial" w:hAnsi="Arial" w:cs="Arial"/>
          <w:sz w:val="20"/>
          <w:szCs w:val="20"/>
        </w:rPr>
      </w:pPr>
      <w:r>
        <w:rPr>
          <w:rFonts w:ascii="Arial" w:hAnsi="Arial" w:cs="Arial"/>
          <w:sz w:val="20"/>
          <w:szCs w:val="20"/>
        </w:rPr>
        <w:t>Výši tří redukčních hranic platných od 1. ledna kalendářního roku vyhlašuje Ministerstvo práce a sociálních věcí formou Sdělení ve Sbírce zákonů.</w:t>
      </w:r>
    </w:p>
    <w:p w:rsidR="00246C58" w:rsidRDefault="00246C58" w:rsidP="00246C58">
      <w:pPr>
        <w:pStyle w:val="Normlnweb"/>
        <w:rPr>
          <w:rFonts w:ascii="Arial" w:hAnsi="Arial" w:cs="Arial"/>
          <w:sz w:val="20"/>
          <w:szCs w:val="20"/>
        </w:rPr>
      </w:pPr>
      <w:r>
        <w:rPr>
          <w:rFonts w:ascii="Arial" w:hAnsi="Arial" w:cs="Arial"/>
          <w:b/>
          <w:bCs/>
          <w:sz w:val="20"/>
          <w:szCs w:val="20"/>
        </w:rPr>
        <w:t>V roce 2014 činila 1. redukční hranice 865 Kč, 2. redukční hranice 1 298 Kč, 3. redukční hranice 2 595 Kč.</w:t>
      </w:r>
    </w:p>
    <w:p w:rsidR="00246C58" w:rsidRDefault="00246C58" w:rsidP="00246C58">
      <w:pPr>
        <w:pStyle w:val="Normlnweb"/>
        <w:rPr>
          <w:rFonts w:ascii="Arial" w:hAnsi="Arial" w:cs="Arial"/>
          <w:sz w:val="20"/>
          <w:szCs w:val="20"/>
        </w:rPr>
      </w:pPr>
      <w:r>
        <w:rPr>
          <w:rFonts w:ascii="Arial" w:hAnsi="Arial" w:cs="Arial"/>
          <w:b/>
          <w:bCs/>
          <w:sz w:val="20"/>
          <w:szCs w:val="20"/>
        </w:rPr>
        <w:t>V roce 2015 činí 1. redukční hranice 888 Kč, 2. redukční hranice 1 331 Kč, 3. redukční hranice 2 662 Kč.</w:t>
      </w:r>
    </w:p>
    <w:p w:rsidR="00246C58" w:rsidRDefault="00246C58" w:rsidP="00246C58">
      <w:pPr>
        <w:pStyle w:val="Normlnweb"/>
        <w:rPr>
          <w:rFonts w:ascii="Arial" w:hAnsi="Arial" w:cs="Arial"/>
          <w:sz w:val="20"/>
          <w:szCs w:val="20"/>
        </w:rPr>
      </w:pPr>
      <w:r>
        <w:rPr>
          <w:rFonts w:ascii="Arial" w:hAnsi="Arial" w:cs="Arial"/>
          <w:b/>
          <w:bCs/>
          <w:sz w:val="20"/>
          <w:szCs w:val="20"/>
        </w:rPr>
        <w:t>Redukce se provede tak, že se započte</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do první redukční hranice </w:t>
      </w:r>
    </w:p>
    <w:p w:rsidR="00246C58" w:rsidRDefault="00246C58" w:rsidP="00246C58">
      <w:pPr>
        <w:numPr>
          <w:ilvl w:val="1"/>
          <w:numId w:val="30"/>
        </w:numPr>
        <w:spacing w:before="100" w:beforeAutospacing="1" w:after="100" w:afterAutospacing="1" w:line="240" w:lineRule="auto"/>
        <w:rPr>
          <w:rFonts w:cs="Arial"/>
          <w:szCs w:val="20"/>
        </w:rPr>
      </w:pPr>
      <w:r>
        <w:rPr>
          <w:rFonts w:cs="Arial"/>
          <w:b/>
          <w:bCs/>
          <w:szCs w:val="20"/>
        </w:rPr>
        <w:t>u nemocenského a ošetřovného 90 %</w:t>
      </w:r>
      <w:r>
        <w:rPr>
          <w:rFonts w:cs="Arial"/>
          <w:szCs w:val="20"/>
        </w:rPr>
        <w:t xml:space="preserve"> denního vyměřovacího základu,</w:t>
      </w:r>
    </w:p>
    <w:p w:rsidR="00246C58" w:rsidRDefault="00246C58" w:rsidP="00246C58">
      <w:pPr>
        <w:numPr>
          <w:ilvl w:val="1"/>
          <w:numId w:val="30"/>
        </w:numPr>
        <w:spacing w:before="100" w:beforeAutospacing="1" w:after="100" w:afterAutospacing="1" w:line="240" w:lineRule="auto"/>
        <w:rPr>
          <w:rFonts w:cs="Arial"/>
          <w:szCs w:val="20"/>
        </w:rPr>
      </w:pPr>
      <w:r>
        <w:rPr>
          <w:rFonts w:cs="Arial"/>
          <w:b/>
          <w:bCs/>
          <w:szCs w:val="20"/>
        </w:rPr>
        <w:t>u peněžité pomoci v mateřství a vyrovnávacího příspěvku v těhotenství a mateřství 100 % denního vyměřovacího základu</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z části denního vyměřovacího základu </w:t>
      </w:r>
      <w:r>
        <w:rPr>
          <w:rFonts w:cs="Arial"/>
          <w:b/>
          <w:bCs/>
          <w:szCs w:val="20"/>
        </w:rPr>
        <w:t>mezi první a druhou redukční hranicí</w:t>
      </w:r>
      <w:r>
        <w:rPr>
          <w:rFonts w:cs="Arial"/>
          <w:szCs w:val="20"/>
        </w:rPr>
        <w:t xml:space="preserve"> se započte </w:t>
      </w:r>
      <w:r>
        <w:rPr>
          <w:rFonts w:cs="Arial"/>
          <w:b/>
          <w:bCs/>
          <w:szCs w:val="20"/>
        </w:rPr>
        <w:t>60 %</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z části </w:t>
      </w:r>
      <w:r>
        <w:rPr>
          <w:rFonts w:cs="Arial"/>
          <w:b/>
          <w:bCs/>
          <w:szCs w:val="20"/>
        </w:rPr>
        <w:t>mezi druhou a třetí</w:t>
      </w:r>
      <w:r>
        <w:rPr>
          <w:rFonts w:cs="Arial"/>
          <w:szCs w:val="20"/>
        </w:rPr>
        <w:t xml:space="preserve"> redukční hranicí se započte </w:t>
      </w:r>
      <w:r>
        <w:rPr>
          <w:rFonts w:cs="Arial"/>
          <w:b/>
          <w:bCs/>
          <w:szCs w:val="20"/>
        </w:rPr>
        <w:t>30 %</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k části nad třetí redukční hranici se nepřihlédne.</w:t>
      </w:r>
    </w:p>
    <w:p w:rsidR="00246C58" w:rsidRDefault="00246C58" w:rsidP="00246C58">
      <w:pPr>
        <w:pStyle w:val="Nadpis3"/>
        <w:rPr>
          <w:rFonts w:cs="Arial"/>
          <w:sz w:val="20"/>
          <w:szCs w:val="20"/>
        </w:rPr>
      </w:pPr>
      <w:r>
        <w:rPr>
          <w:rFonts w:cs="Arial"/>
          <w:color w:val="000000"/>
          <w:sz w:val="20"/>
          <w:szCs w:val="20"/>
        </w:rPr>
        <w:t>Výše dávek nemocenského pojištění</w:t>
      </w:r>
    </w:p>
    <w:p w:rsidR="00246C58" w:rsidRDefault="00246C58" w:rsidP="00246C58">
      <w:pPr>
        <w:numPr>
          <w:ilvl w:val="0"/>
          <w:numId w:val="31"/>
        </w:numPr>
        <w:spacing w:before="100" w:beforeAutospacing="1" w:after="100" w:afterAutospacing="1" w:line="240" w:lineRule="auto"/>
        <w:rPr>
          <w:rFonts w:cs="Arial"/>
          <w:szCs w:val="20"/>
        </w:rPr>
      </w:pPr>
      <w:r>
        <w:rPr>
          <w:rFonts w:cs="Arial"/>
          <w:szCs w:val="20"/>
        </w:rPr>
        <w:t xml:space="preserve">Výše </w:t>
      </w:r>
      <w:r>
        <w:rPr>
          <w:rFonts w:cs="Arial"/>
          <w:b/>
          <w:bCs/>
          <w:szCs w:val="20"/>
        </w:rPr>
        <w:t>nemocenského</w:t>
      </w:r>
      <w:r>
        <w:rPr>
          <w:rFonts w:cs="Arial"/>
          <w:szCs w:val="20"/>
        </w:rPr>
        <w:t xml:space="preserve"> činí </w:t>
      </w:r>
      <w:r>
        <w:rPr>
          <w:rFonts w:cs="Arial"/>
          <w:b/>
          <w:bCs/>
          <w:szCs w:val="20"/>
        </w:rPr>
        <w:t>60 %</w:t>
      </w:r>
      <w:r>
        <w:rPr>
          <w:rFonts w:cs="Arial"/>
          <w:szCs w:val="20"/>
        </w:rPr>
        <w:t xml:space="preserve"> denního vyměřovacího základu od 15. kalendářního dne trvání dočasné pracovní neschopnosti.</w:t>
      </w:r>
    </w:p>
    <w:p w:rsidR="00246C58" w:rsidRDefault="00246C58" w:rsidP="00246C58">
      <w:pPr>
        <w:numPr>
          <w:ilvl w:val="0"/>
          <w:numId w:val="31"/>
        </w:numPr>
        <w:spacing w:before="100" w:beforeAutospacing="1" w:after="100" w:afterAutospacing="1" w:line="240" w:lineRule="auto"/>
        <w:rPr>
          <w:rFonts w:cs="Arial"/>
          <w:szCs w:val="20"/>
        </w:rPr>
      </w:pPr>
      <w:r>
        <w:rPr>
          <w:rFonts w:cs="Arial"/>
          <w:szCs w:val="20"/>
        </w:rPr>
        <w:t xml:space="preserve">Výše </w:t>
      </w:r>
      <w:r>
        <w:rPr>
          <w:rFonts w:cs="Arial"/>
          <w:b/>
          <w:bCs/>
          <w:szCs w:val="20"/>
        </w:rPr>
        <w:t>peněžité pomoci v mateřství</w:t>
      </w:r>
      <w:r>
        <w:rPr>
          <w:rFonts w:cs="Arial"/>
          <w:szCs w:val="20"/>
        </w:rPr>
        <w:t xml:space="preserve"> činí </w:t>
      </w:r>
      <w:r>
        <w:rPr>
          <w:rFonts w:cs="Arial"/>
          <w:b/>
          <w:bCs/>
          <w:szCs w:val="20"/>
        </w:rPr>
        <w:t>70 %</w:t>
      </w:r>
      <w:r>
        <w:rPr>
          <w:rFonts w:cs="Arial"/>
          <w:szCs w:val="20"/>
        </w:rPr>
        <w:t xml:space="preserve"> denního vyměřovacího základu.</w:t>
      </w:r>
    </w:p>
    <w:p w:rsidR="00246C58" w:rsidRDefault="00246C58" w:rsidP="00246C58">
      <w:pPr>
        <w:numPr>
          <w:ilvl w:val="0"/>
          <w:numId w:val="31"/>
        </w:numPr>
        <w:spacing w:before="100" w:beforeAutospacing="1" w:after="100" w:afterAutospacing="1" w:line="240" w:lineRule="auto"/>
        <w:rPr>
          <w:rFonts w:cs="Arial"/>
          <w:szCs w:val="20"/>
        </w:rPr>
      </w:pPr>
      <w:r>
        <w:rPr>
          <w:rFonts w:cs="Arial"/>
          <w:szCs w:val="20"/>
        </w:rPr>
        <w:t xml:space="preserve">Výše </w:t>
      </w:r>
      <w:r>
        <w:rPr>
          <w:rFonts w:cs="Arial"/>
          <w:b/>
          <w:bCs/>
          <w:szCs w:val="20"/>
        </w:rPr>
        <w:t>ošetřovného</w:t>
      </w:r>
      <w:r>
        <w:rPr>
          <w:rFonts w:cs="Arial"/>
          <w:szCs w:val="20"/>
        </w:rPr>
        <w:t xml:space="preserve"> činí </w:t>
      </w:r>
      <w:r>
        <w:rPr>
          <w:rFonts w:cs="Arial"/>
          <w:b/>
          <w:bCs/>
          <w:szCs w:val="20"/>
        </w:rPr>
        <w:t>60 %</w:t>
      </w:r>
      <w:r>
        <w:rPr>
          <w:rFonts w:cs="Arial"/>
          <w:szCs w:val="20"/>
        </w:rPr>
        <w:t xml:space="preserve"> denního vyměřovacího základu.</w:t>
      </w:r>
    </w:p>
    <w:p w:rsidR="00246C58" w:rsidRDefault="00246C58" w:rsidP="00246C58">
      <w:pPr>
        <w:numPr>
          <w:ilvl w:val="0"/>
          <w:numId w:val="31"/>
        </w:numPr>
        <w:spacing w:before="100" w:beforeAutospacing="1" w:after="100" w:afterAutospacing="1" w:line="240" w:lineRule="auto"/>
      </w:pPr>
      <w:r>
        <w:t xml:space="preserve">Výše </w:t>
      </w:r>
      <w:r>
        <w:rPr>
          <w:b/>
          <w:bCs/>
        </w:rPr>
        <w:t>vyrovnávacího příspěvku v těhotenství a mateřství</w:t>
      </w:r>
      <w:r>
        <w:t xml:space="preserve"> je stanovena ve výši rozdílu mezi denním vyměřovacím základem zjištěným ke dni převedení zaměstnankyně na jinou práci a průměrem jejích započitatelných příjmů připadajícím na jeden kalendářní den v jednotlivých kalendářních měsících po tomto převedení.</w:t>
      </w:r>
    </w:p>
    <w:p w:rsidR="00246C58" w:rsidRDefault="00246C58" w:rsidP="00246C58">
      <w:pPr>
        <w:jc w:val="both"/>
        <w:rPr>
          <w:rFonts w:cs="Arial"/>
          <w:b/>
          <w:szCs w:val="20"/>
        </w:rPr>
      </w:pPr>
    </w:p>
    <w:p w:rsidR="00246C58" w:rsidRPr="00737057" w:rsidRDefault="00246C58" w:rsidP="00246C58">
      <w:pPr>
        <w:pStyle w:val="Nadpis1"/>
        <w:rPr>
          <w:rStyle w:val="Hypertextovodkaz"/>
          <w:rFonts w:cs="Arial"/>
          <w:b w:val="0"/>
          <w:bCs w:val="0"/>
          <w:sz w:val="20"/>
          <w:szCs w:val="20"/>
        </w:rPr>
      </w:pPr>
      <w:r w:rsidRPr="00737057">
        <w:rPr>
          <w:rFonts w:cs="Arial"/>
          <w:b w:val="0"/>
          <w:color w:val="auto"/>
          <w:sz w:val="20"/>
          <w:szCs w:val="20"/>
        </w:rPr>
        <w:t>Další informace k nemocenskému pojištění na adrese</w:t>
      </w:r>
      <w:r w:rsidRPr="00737057">
        <w:rPr>
          <w:color w:val="auto"/>
          <w:sz w:val="20"/>
          <w:szCs w:val="20"/>
        </w:rPr>
        <w:t xml:space="preserve"> </w:t>
      </w:r>
      <w:r w:rsidRPr="00737057">
        <w:rPr>
          <w:rStyle w:val="Hypertextovodkaz"/>
          <w:rFonts w:cs="Arial"/>
          <w:b w:val="0"/>
          <w:bCs w:val="0"/>
          <w:sz w:val="20"/>
          <w:szCs w:val="20"/>
        </w:rPr>
        <w:t>http://www.mpsv.cz/cs/7</w:t>
      </w:r>
    </w:p>
    <w:p w:rsidR="00246C58" w:rsidRDefault="00246C58" w:rsidP="00246C58"/>
    <w:p w:rsidR="00CC5827" w:rsidRDefault="00CC5827" w:rsidP="00246C58">
      <w:pPr>
        <w:spacing w:before="100" w:beforeAutospacing="1" w:after="100" w:afterAutospacing="1" w:line="240" w:lineRule="auto"/>
        <w:jc w:val="both"/>
        <w:rPr>
          <w:rFonts w:cs="Arial"/>
          <w:b/>
          <w:sz w:val="28"/>
        </w:rPr>
      </w:pPr>
    </w:p>
    <w:p w:rsidR="00246C58" w:rsidRDefault="00246C58" w:rsidP="00246C58">
      <w:pPr>
        <w:spacing w:before="100" w:beforeAutospacing="1" w:after="100" w:afterAutospacing="1" w:line="240" w:lineRule="auto"/>
        <w:jc w:val="both"/>
        <w:rPr>
          <w:rFonts w:cs="Arial"/>
          <w:b/>
          <w:sz w:val="28"/>
        </w:rPr>
      </w:pPr>
      <w:r>
        <w:rPr>
          <w:rFonts w:cs="Arial"/>
          <w:b/>
          <w:sz w:val="28"/>
        </w:rPr>
        <w:t>Příloha č. 2</w:t>
      </w:r>
    </w:p>
    <w:p w:rsidR="00246C58" w:rsidRDefault="00246C58" w:rsidP="00246C58">
      <w:pPr>
        <w:spacing w:before="100" w:beforeAutospacing="1" w:after="100" w:afterAutospacing="1" w:line="240" w:lineRule="auto"/>
        <w:jc w:val="both"/>
        <w:rPr>
          <w:rFonts w:eastAsia="MS Gothic" w:cs="Arial"/>
          <w:b/>
          <w:bCs/>
          <w:color w:val="000000"/>
          <w:sz w:val="28"/>
          <w:szCs w:val="28"/>
        </w:rPr>
      </w:pPr>
      <w:r>
        <w:rPr>
          <w:rFonts w:eastAsia="MS Gothic" w:cs="Arial"/>
          <w:b/>
          <w:bCs/>
          <w:color w:val="000000"/>
          <w:sz w:val="28"/>
          <w:szCs w:val="28"/>
        </w:rPr>
        <w:t>Legislativní změny v nemocenském pojištění v období 1999 - 2015</w:t>
      </w:r>
      <w:r w:rsidR="0032723C" w:rsidRPr="009B4B06">
        <w:rPr>
          <w:rFonts w:cs="Arial"/>
          <w:b/>
          <w:sz w:val="24"/>
          <w:vertAlign w:val="superscript"/>
        </w:rPr>
        <w:footnoteReference w:id="2"/>
      </w:r>
    </w:p>
    <w:p w:rsidR="00246C58" w:rsidRDefault="00246C58" w:rsidP="00246C58">
      <w:pPr>
        <w:jc w:val="both"/>
        <w:rPr>
          <w:rFonts w:cs="Arial"/>
          <w:b/>
          <w:szCs w:val="20"/>
        </w:rPr>
      </w:pPr>
      <w:r>
        <w:rPr>
          <w:rFonts w:cs="Arial"/>
          <w:b/>
          <w:szCs w:val="20"/>
        </w:rPr>
        <w:t>V roce 1999</w:t>
      </w:r>
    </w:p>
    <w:p w:rsidR="00246C58" w:rsidRDefault="00246C58" w:rsidP="00246C58">
      <w:pPr>
        <w:numPr>
          <w:ilvl w:val="0"/>
          <w:numId w:val="34"/>
        </w:numPr>
        <w:jc w:val="both"/>
        <w:rPr>
          <w:rFonts w:cs="Arial"/>
          <w:szCs w:val="20"/>
        </w:rPr>
      </w:pPr>
      <w:r>
        <w:rPr>
          <w:rFonts w:cs="Arial"/>
          <w:szCs w:val="20"/>
        </w:rPr>
        <w:t xml:space="preserve">Byl zaveden systém redukčních hranic pro stanovení výše nemocenského a jejich pravidelná valorizace (každoročně k 1.lednu)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2002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Bylo rozhodnuto (v souvislosti s řešením finančních dopadů povodně v roce 2002), že se redukční hranice pro stanovení výdělků rozhodných pro výpočet dávek nemocenského pojištění pro rok 2003 nezvýší. </w:t>
      </w: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r>
        <w:rPr>
          <w:rFonts w:cs="Arial"/>
          <w:b/>
          <w:szCs w:val="20"/>
        </w:rPr>
        <w:t>V roce 2003</w:t>
      </w:r>
    </w:p>
    <w:p w:rsidR="00246C58" w:rsidRDefault="00246C58" w:rsidP="00246C58">
      <w:pPr>
        <w:spacing w:line="240" w:lineRule="auto"/>
        <w:jc w:val="both"/>
        <w:rPr>
          <w:rFonts w:cs="Arial"/>
          <w:szCs w:val="20"/>
        </w:rPr>
      </w:pPr>
      <w:r>
        <w:rPr>
          <w:rFonts w:cs="Arial"/>
          <w:szCs w:val="20"/>
        </w:rPr>
        <w:t xml:space="preserve">S účinností od 1. ledna 2004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bylo prodlouženo rozhodné období, ze kterého se zjišťuje denní vyměřovací základ pro stanovení dávek nemocenského pojištění, z</w:t>
      </w:r>
    </w:p>
    <w:p w:rsidR="00246C58" w:rsidRDefault="00246C58" w:rsidP="00246C58">
      <w:pPr>
        <w:spacing w:line="240" w:lineRule="auto"/>
        <w:jc w:val="both"/>
        <w:rPr>
          <w:rFonts w:cs="Arial"/>
          <w:szCs w:val="20"/>
        </w:rPr>
      </w:pPr>
      <w:r>
        <w:rPr>
          <w:rFonts w:cs="Arial"/>
          <w:szCs w:val="20"/>
        </w:rPr>
        <w:t xml:space="preserve">kalendářního čtvrtletí na 12 kalendářních měsíců,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 snížen denní vyměřovací základ do první redukční hranice pro výpočet nemocenského a podpory při ošetřování člena rodiny za dobu prvních 14kalendářních dnů pracovní neschopnosti (karantény) nebo potřeby ošetřování</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byla snížena procentní sazba pro výpočet nemocenské ho z 50% na 25% za první tři kalendářní dny pracovní neschopnosti</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byla prodloužena doba, po kterou nebudou zvyšovány redukční hranice denního vyměřovacího základu, i na roky 2004 a 2005</w:t>
      </w:r>
    </w:p>
    <w:p w:rsidR="00246C58" w:rsidRDefault="00246C58" w:rsidP="00246C58">
      <w:pPr>
        <w:spacing w:line="240" w:lineRule="auto"/>
        <w:jc w:val="both"/>
        <w:rPr>
          <w:rFonts w:cs="Arial"/>
          <w:szCs w:val="20"/>
        </w:rPr>
      </w:pPr>
    </w:p>
    <w:p w:rsidR="00246C58" w:rsidRDefault="00246C58" w:rsidP="00246C58">
      <w:pPr>
        <w:spacing w:line="240" w:lineRule="auto"/>
        <w:jc w:val="both"/>
        <w:rPr>
          <w:rFonts w:cs="Arial"/>
          <w:b/>
          <w:szCs w:val="20"/>
        </w:rPr>
      </w:pPr>
      <w:r>
        <w:rPr>
          <w:rFonts w:cs="Arial"/>
          <w:b/>
          <w:szCs w:val="20"/>
        </w:rPr>
        <w:t>V roce 2006</w:t>
      </w:r>
    </w:p>
    <w:p w:rsidR="00246C58" w:rsidRDefault="00246C58" w:rsidP="00246C58">
      <w:pPr>
        <w:spacing w:line="240" w:lineRule="auto"/>
        <w:jc w:val="both"/>
        <w:rPr>
          <w:rFonts w:cs="Arial"/>
          <w:b/>
          <w:szCs w:val="20"/>
        </w:rPr>
      </w:pPr>
    </w:p>
    <w:p w:rsidR="00246C58" w:rsidRDefault="00246C58" w:rsidP="00246C58">
      <w:pPr>
        <w:pStyle w:val="Odstavecseseznamem"/>
        <w:numPr>
          <w:ilvl w:val="0"/>
          <w:numId w:val="36"/>
        </w:numPr>
        <w:spacing w:before="0" w:beforeAutospacing="0" w:after="0" w:afterAutospacing="0"/>
        <w:contextualSpacing/>
        <w:jc w:val="both"/>
        <w:rPr>
          <w:rFonts w:ascii="Arial" w:hAnsi="Arial" w:cs="Arial"/>
          <w:sz w:val="20"/>
          <w:szCs w:val="20"/>
        </w:rPr>
      </w:pPr>
      <w:r>
        <w:rPr>
          <w:rFonts w:ascii="Arial" w:hAnsi="Arial" w:cs="Arial"/>
          <w:sz w:val="20"/>
          <w:szCs w:val="20"/>
        </w:rPr>
        <w:t>Od 1. 1. 2006 byly zvýšeny redukční hranice pro výpočet denního vyměřovacího základu.</w:t>
      </w:r>
    </w:p>
    <w:p w:rsidR="00246C58" w:rsidRDefault="00246C58" w:rsidP="00246C58">
      <w:pPr>
        <w:pStyle w:val="Odstavecseseznamem"/>
        <w:numPr>
          <w:ilvl w:val="0"/>
          <w:numId w:val="36"/>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 Byl přijat nový zákon č. 187/2006 Sb., o nemocenském pojištění spolu se zákonem, kterým se mění některé zákony v souvislosti s přijetím zákona o nemocenském pojištění, byl schválen 25. dubna 2006. Jeho účinnost byla stanovena k 1. lednu 2007. Zákonem č. 585/2006 Sb. došlo k odložení účinnosti zákona č. 187/2006 Sb. o jeden rok, takže měl účinnosti nabýt dnem 1. ledna 2008. (Jeho účinnost však byla odložena ještě jednou až na 1. 1. 2009 - viz níže)</w:t>
      </w: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r>
        <w:rPr>
          <w:rFonts w:cs="Arial"/>
          <w:b/>
          <w:szCs w:val="20"/>
        </w:rPr>
        <w:t>V roce 2007</w:t>
      </w:r>
    </w:p>
    <w:p w:rsidR="00246C58" w:rsidRDefault="00246C58" w:rsidP="00246C58">
      <w:pPr>
        <w:pStyle w:val="Odstavecseseznamem"/>
        <w:numPr>
          <w:ilvl w:val="0"/>
          <w:numId w:val="37"/>
        </w:numPr>
        <w:spacing w:before="0" w:beforeAutospacing="0" w:after="0" w:afterAutospacing="0"/>
        <w:contextualSpacing/>
        <w:jc w:val="both"/>
        <w:rPr>
          <w:rFonts w:ascii="Arial" w:hAnsi="Arial" w:cs="Arial"/>
          <w:sz w:val="20"/>
          <w:szCs w:val="20"/>
        </w:rPr>
      </w:pPr>
      <w:r>
        <w:rPr>
          <w:rFonts w:ascii="Arial" w:hAnsi="Arial" w:cs="Arial"/>
          <w:sz w:val="20"/>
          <w:szCs w:val="20"/>
        </w:rPr>
        <w:t>Od 1. 1. 2007 se znovu zvýšily redukční hranice pro výpočet denního vyměřovacího základu.</w:t>
      </w:r>
    </w:p>
    <w:p w:rsidR="00246C58" w:rsidRDefault="00246C58" w:rsidP="00246C58">
      <w:pPr>
        <w:pStyle w:val="Odstavecseseznamem"/>
        <w:numPr>
          <w:ilvl w:val="0"/>
          <w:numId w:val="37"/>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Zákon č. 261/2007 Sb., o stabilizaci veřejných rozpočtů, s účinností od 1. ledna 2008 přinesl tyto změny </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zavedení karenční doby pro poskytování nemocenského, tzn. neposkytování nemocenského za období prvních tří kalendářních dnů trvání dočasné pracovní neschopnosti či nařízené karantény, nezvýšení redukčních hranic pro úpravu denního vyměřovacího základu pro rok 2008,</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ponechání redukce příjmu do výše první redukční hranice pro výpočet  nemocenské ho a podpory při ošetřování člena rodiny i po 14. dnu trvání sociální události, pro kterou tyto dávky náleží,</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úprava procentních sazeb denní výše nemocenského a podpory při ošetřování člena rodiny,</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lastRenderedPageBreak/>
        <w:t>zkrácení ochranné lhůty (obecná délka ochranné lhůty 42 kalendářních dnů byla zkrácena na 7 kalendářních dnů),</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zrušení nároku na podporu při ošetřování člena rodiny z ochranné lhůty, zrušení nároku na peněžitou pomoc v mateřství uchazeče o zaměstnání, </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zrušení „osamělosti“ jako podmínky pro prodloužení poskytování peněžité pomoci v mateřství z 28 na 37 týdnů,</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bylo zavedeno zachování denního vyměřovacího základu pro výpočet další peněžité pomoci v mateřství v případě opakovaného porodu; podmínkou je, že zaměstnankyně nastupuje na další mateřskou dovolenou za trvání téhož zaměstnání v době, kdy její předchozí dítě není starší 4 let a předchozí denní vyměřovací základ před redukcí je vyšší než denní vyměřovací základ před redukcí stanovený pro další peněžitou pomoc v mateřství.</w:t>
      </w:r>
    </w:p>
    <w:p w:rsidR="00246C58" w:rsidRDefault="00246C58" w:rsidP="00246C58">
      <w:pPr>
        <w:spacing w:line="240" w:lineRule="auto"/>
        <w:rPr>
          <w:rFonts w:cs="Arial"/>
          <w:szCs w:val="20"/>
        </w:rPr>
      </w:pPr>
    </w:p>
    <w:p w:rsidR="00246C58" w:rsidRDefault="00246C58" w:rsidP="00246C58">
      <w:pPr>
        <w:rPr>
          <w:rFonts w:cs="Arial"/>
          <w:b/>
          <w:szCs w:val="20"/>
        </w:rPr>
      </w:pPr>
      <w:r>
        <w:rPr>
          <w:rFonts w:cs="Arial"/>
          <w:b/>
          <w:szCs w:val="20"/>
        </w:rPr>
        <w:t xml:space="preserve">V roce 2008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Nálezem Ústavního soudu ze dne 23. dubna 2008 vyhlášeným pod č.166/2008 Sb. byla s účinností od 30. 6. 2008 zrušena úprava, kdy se neposkytovalo nemocenské v době prvních tří dnů dočasné pracovní neschopnosti.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lang w:eastAsia="en-US"/>
        </w:rPr>
      </w:pPr>
      <w:r>
        <w:rPr>
          <w:rFonts w:ascii="Arial" w:hAnsi="Arial" w:cs="Arial"/>
          <w:sz w:val="20"/>
          <w:szCs w:val="20"/>
        </w:rPr>
        <w:t xml:space="preserve">Zákon č. 305/2008 Sb., kterým se mění zákon č. 187/2006 Sb., o nemocenském pojištění, ve znění pozdějších předpisů, a některé další zákony, s účinností od 1. září 2008, přinesl zejména tyto změny: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byla snížena sazba pro výpočet nemocenského za první 3 kalendářní dny dočasné pracovní neschopnosti z 60 % na 25 %,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nemocenské náleží i při karanténě kratší než 4 dny,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vojákům z povolání a příslušníkům bezpečnostních sborů náleží nemocenské za první 3 kalendářní dny dočasné pracovní neschopnosti ke službě. </w:t>
      </w:r>
    </w:p>
    <w:p w:rsidR="00246C58" w:rsidRDefault="00246C58" w:rsidP="00246C58">
      <w:pPr>
        <w:rPr>
          <w:rFonts w:cs="Arial"/>
          <w:b/>
          <w:szCs w:val="20"/>
        </w:rPr>
      </w:pPr>
    </w:p>
    <w:p w:rsidR="00246C58" w:rsidRDefault="00246C58" w:rsidP="00246C58">
      <w:pPr>
        <w:jc w:val="both"/>
        <w:rPr>
          <w:rFonts w:cs="Arial"/>
          <w:b/>
          <w:szCs w:val="20"/>
        </w:rPr>
      </w:pPr>
      <w:r>
        <w:rPr>
          <w:rFonts w:cs="Arial"/>
          <w:b/>
          <w:szCs w:val="20"/>
        </w:rPr>
        <w:t xml:space="preserve">V roce 2009 </w:t>
      </w:r>
    </w:p>
    <w:p w:rsidR="00246C58" w:rsidRDefault="00246C58" w:rsidP="00246C58">
      <w:pPr>
        <w:pStyle w:val="Odstavecseseznamem"/>
        <w:numPr>
          <w:ilvl w:val="0"/>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Zákon o nemocenském pojištění č. 187/2006 Sb., s účinností od 1. 1. 2009: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přenesl provádění nemocenského pojištění z tzv. velkých organizací (organizace, které měly více než 25 zaměstnanců) na orgány nemocenského pojištění (ČSSZ a OSSZ),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posílil ochranné prvky proti zneužívání systému (karenční doba, náhrada mzdy),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 zajistil větší úměrnost výše dávek nemocenského pojištění zaplacenému pojistnému na nemocenské pojištění zvýšením počtu redukčních hranic pro výpočet denního vyměřovacího základu ze dvou na tři,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zainteresoval zaměstnavatele na vývoji pracovní neschopnosti zaměstnanců –zaměstnavatelé začali vyplácet náhradu mzdy za prvních 14 (později 21) dnů dočasné pracovní neschopnosti.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lang w:eastAsia="en-US"/>
        </w:rPr>
      </w:pPr>
      <w:r>
        <w:rPr>
          <w:rFonts w:ascii="Arial" w:hAnsi="Arial" w:cs="Arial"/>
          <w:sz w:val="20"/>
          <w:szCs w:val="20"/>
        </w:rPr>
        <w:t>V zákoně o pojistném na sociální zabezpečení:</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 byly upraveny sazby pojistného – zaměstnanci přestali odvádět pojistné na nemocenské pojištění a zaměstnavatelům byla snížena sazba pojistného (ze 4,4 %) na 2,3%, OSVČ byla snížena sazba pojistného na nemocenské pojištění (ze 4,4%) na 1,4%,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dále dostaly OSVČ možnost platit pojistné na nemocenské pojištění z měsíčního vyměřovacího základu, který si stanovily, minimálně z částky 4 000 Kč, a maximální roční výše vyměřovacího základu byla 48násobek průměrné měsíční mzdy (v roce 2009 činila 1 130 640 Kč).</w:t>
      </w:r>
    </w:p>
    <w:p w:rsidR="00246C58" w:rsidRDefault="00246C58" w:rsidP="00246C58">
      <w:pPr>
        <w:pStyle w:val="Odstavecseseznamem"/>
        <w:numPr>
          <w:ilvl w:val="2"/>
          <w:numId w:val="35"/>
        </w:numPr>
        <w:spacing w:before="0" w:beforeAutospacing="0" w:after="0" w:afterAutospacing="0"/>
        <w:ind w:left="1418" w:hanging="992"/>
        <w:contextualSpacing/>
        <w:jc w:val="both"/>
        <w:rPr>
          <w:rFonts w:ascii="Arial" w:hAnsi="Arial" w:cs="Arial"/>
          <w:sz w:val="20"/>
          <w:szCs w:val="20"/>
        </w:rPr>
      </w:pPr>
      <w:r>
        <w:rPr>
          <w:rFonts w:ascii="Arial" w:hAnsi="Arial" w:cs="Arial"/>
          <w:sz w:val="20"/>
          <w:szCs w:val="20"/>
        </w:rPr>
        <w:t xml:space="preserve">Od 1. prosince 2009 nabyl účinnosti zákon č. 302/2009 Sb. Tímto zákonem se </w:t>
      </w:r>
      <w:r>
        <w:rPr>
          <w:rFonts w:ascii="Arial" w:hAnsi="Arial" w:cs="Arial"/>
          <w:sz w:val="20"/>
          <w:szCs w:val="20"/>
          <w:lang w:eastAsia="en-US"/>
        </w:rPr>
        <w:t xml:space="preserve">změnily </w:t>
      </w:r>
      <w:r>
        <w:rPr>
          <w:rFonts w:ascii="Arial" w:hAnsi="Arial" w:cs="Arial"/>
          <w:sz w:val="20"/>
          <w:szCs w:val="20"/>
        </w:rPr>
        <w:t>n</w:t>
      </w:r>
      <w:r>
        <w:rPr>
          <w:rFonts w:ascii="Arial" w:hAnsi="Arial" w:cs="Arial"/>
          <w:sz w:val="20"/>
          <w:szCs w:val="20"/>
          <w:lang w:eastAsia="en-US"/>
        </w:rPr>
        <w:t xml:space="preserve">ěkteré povinnosti ošetřujícího lékaře a zaměstnavatele.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2010 </w:t>
      </w:r>
    </w:p>
    <w:p w:rsidR="00246C58" w:rsidRDefault="00246C58" w:rsidP="00246C58">
      <w:pPr>
        <w:pStyle w:val="Odstavecseseznamem"/>
        <w:numPr>
          <w:ilvl w:val="0"/>
          <w:numId w:val="35"/>
        </w:numPr>
        <w:spacing w:before="0" w:beforeAutospacing="0" w:after="200" w:afterAutospacing="0" w:line="276" w:lineRule="auto"/>
        <w:contextualSpacing/>
        <w:rPr>
          <w:rFonts w:ascii="Arial" w:hAnsi="Arial" w:cs="Arial"/>
          <w:sz w:val="20"/>
          <w:szCs w:val="20"/>
        </w:rPr>
      </w:pPr>
      <w:r>
        <w:rPr>
          <w:rFonts w:ascii="Arial" w:hAnsi="Arial" w:cs="Arial"/>
          <w:sz w:val="20"/>
          <w:szCs w:val="20"/>
        </w:rPr>
        <w:t>Zákon č. 362/2009 Sb., kterým se mění některé zákony v souvislosti s návrhem zákona o státním rozpočtu České republiky na rok 2010, přinesl opatření, která měla platit pouze pro rok 2010 a jejichž cílem bylo snížení deficitu státního rozpočtu.</w:t>
      </w:r>
    </w:p>
    <w:p w:rsidR="00246C58" w:rsidRDefault="00246C58" w:rsidP="00246C58">
      <w:pPr>
        <w:pStyle w:val="Odstavecseseznamem"/>
        <w:spacing w:before="0" w:beforeAutospacing="0" w:after="200" w:afterAutospacing="0" w:line="276" w:lineRule="auto"/>
        <w:ind w:left="360" w:firstLine="348"/>
        <w:contextualSpacing/>
        <w:rPr>
          <w:rFonts w:ascii="Arial" w:hAnsi="Arial" w:cs="Arial"/>
          <w:sz w:val="20"/>
          <w:szCs w:val="20"/>
        </w:rPr>
      </w:pPr>
      <w:r>
        <w:rPr>
          <w:rFonts w:ascii="Arial" w:hAnsi="Arial" w:cs="Arial"/>
          <w:sz w:val="20"/>
          <w:szCs w:val="20"/>
        </w:rPr>
        <w:t xml:space="preserve">Přehled změn v oblasti nemocenského pojištění: </w:t>
      </w:r>
    </w:p>
    <w:p w:rsidR="00246C58" w:rsidRDefault="00246C58" w:rsidP="00246C58">
      <w:pPr>
        <w:pStyle w:val="Odstavecseseznamem"/>
        <w:numPr>
          <w:ilvl w:val="1"/>
          <w:numId w:val="37"/>
        </w:numPr>
        <w:spacing w:before="0" w:beforeAutospacing="0" w:after="0" w:afterAutospacing="0"/>
        <w:ind w:left="1080"/>
        <w:contextualSpacing/>
        <w:jc w:val="both"/>
        <w:rPr>
          <w:rFonts w:ascii="Arial" w:hAnsi="Arial" w:cs="Arial"/>
          <w:sz w:val="20"/>
          <w:szCs w:val="20"/>
        </w:rPr>
      </w:pPr>
      <w:r>
        <w:rPr>
          <w:rFonts w:ascii="Arial" w:hAnsi="Arial" w:cs="Arial"/>
          <w:sz w:val="20"/>
          <w:szCs w:val="20"/>
        </w:rPr>
        <w:t xml:space="preserve">zavedení jednotné procentní sazby pro výpočet denní výše nemocenského ve výši 60 %, </w:t>
      </w:r>
    </w:p>
    <w:p w:rsidR="00246C58" w:rsidRDefault="00246C58" w:rsidP="00246C58">
      <w:pPr>
        <w:pStyle w:val="Odstavecseseznamem"/>
        <w:numPr>
          <w:ilvl w:val="1"/>
          <w:numId w:val="37"/>
        </w:numPr>
        <w:spacing w:before="0" w:beforeAutospacing="0" w:after="0" w:afterAutospacing="0"/>
        <w:ind w:left="1080"/>
        <w:contextualSpacing/>
        <w:jc w:val="both"/>
        <w:rPr>
          <w:rFonts w:ascii="Arial" w:hAnsi="Arial" w:cs="Arial"/>
          <w:sz w:val="20"/>
          <w:szCs w:val="20"/>
        </w:rPr>
      </w:pPr>
      <w:r>
        <w:rPr>
          <w:rFonts w:ascii="Arial" w:hAnsi="Arial" w:cs="Arial"/>
          <w:sz w:val="20"/>
          <w:szCs w:val="20"/>
        </w:rPr>
        <w:t xml:space="preserve">snížení zápočtu příjmu pro stanovení denního vyměřovacího základu do první  redukční hranice u peněžité pomoci v mateřství a vyrovnávacího příspěvku v těhotenství a mateřství ze 100 % na 90 %,  snížení procentní sazby pro výpočet peněžité pomoci v mateřství ze 70 % na </w:t>
      </w:r>
      <w:r>
        <w:rPr>
          <w:rFonts w:cs="Arial"/>
          <w:szCs w:val="20"/>
        </w:rPr>
        <w:t xml:space="preserve">60 %, </w:t>
      </w:r>
    </w:p>
    <w:p w:rsidR="00246C58" w:rsidRDefault="00246C58" w:rsidP="00246C58">
      <w:pPr>
        <w:pStyle w:val="Odstavecseseznamem"/>
        <w:numPr>
          <w:ilvl w:val="1"/>
          <w:numId w:val="37"/>
        </w:numPr>
        <w:spacing w:before="0" w:beforeAutospacing="0" w:after="0" w:afterAutospacing="0"/>
        <w:ind w:left="1080"/>
        <w:contextualSpacing/>
        <w:jc w:val="both"/>
        <w:rPr>
          <w:rFonts w:ascii="Arial" w:hAnsi="Arial" w:cs="Arial"/>
          <w:sz w:val="20"/>
          <w:szCs w:val="20"/>
        </w:rPr>
      </w:pPr>
      <w:r>
        <w:rPr>
          <w:rFonts w:ascii="Arial" w:hAnsi="Arial" w:cs="Arial"/>
          <w:sz w:val="20"/>
          <w:szCs w:val="20"/>
        </w:rPr>
        <w:t xml:space="preserve">zavedení třídenní karenční doby u ošetřovného.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lastRenderedPageBreak/>
        <w:t xml:space="preserve">Od 1. 6. 2010 nabyl účinnosti zákon č. 166/2010 Sb. Tímto zákonem byly zrušeny </w:t>
      </w:r>
      <w:r>
        <w:rPr>
          <w:rFonts w:cs="Arial"/>
          <w:szCs w:val="20"/>
        </w:rPr>
        <w:t xml:space="preserve">změny zavedené </w:t>
      </w:r>
      <w:r>
        <w:rPr>
          <w:rFonts w:ascii="Arial" w:hAnsi="Arial" w:cs="Arial"/>
          <w:sz w:val="20"/>
          <w:szCs w:val="20"/>
        </w:rPr>
        <w:t xml:space="preserve">zákonem č. 362/2009 Sb., které byly účinné od 1. 1. 2010 a týkaly se výše peněžité pomoci v mateřství, ošetřovného a vyrovnávacího příspěvku v těhotenství a mateřství, byla zrušena ustanovení § 21a, § 37a a § 40a. </w:t>
      </w:r>
    </w:p>
    <w:p w:rsidR="00246C58" w:rsidRDefault="00246C58" w:rsidP="00246C58">
      <w:pPr>
        <w:jc w:val="both"/>
        <w:rPr>
          <w:rFonts w:cs="Arial"/>
          <w:szCs w:val="20"/>
        </w:rPr>
      </w:pPr>
    </w:p>
    <w:p w:rsidR="00246C58" w:rsidRDefault="00246C58" w:rsidP="00246C58">
      <w:pPr>
        <w:rPr>
          <w:rFonts w:cs="Arial"/>
          <w:szCs w:val="20"/>
        </w:rPr>
      </w:pPr>
    </w:p>
    <w:p w:rsidR="00246C58" w:rsidRDefault="00246C58" w:rsidP="00246C58">
      <w:pPr>
        <w:spacing w:line="240" w:lineRule="auto"/>
        <w:jc w:val="both"/>
        <w:rPr>
          <w:rFonts w:cs="Arial"/>
          <w:b/>
          <w:szCs w:val="20"/>
        </w:rPr>
      </w:pPr>
      <w:r>
        <w:rPr>
          <w:rFonts w:cs="Arial"/>
          <w:b/>
          <w:szCs w:val="20"/>
        </w:rPr>
        <w:t xml:space="preserve">V roce 2011 </w:t>
      </w:r>
    </w:p>
    <w:p w:rsidR="00246C58" w:rsidRDefault="00246C58" w:rsidP="00246C58">
      <w:pPr>
        <w:numPr>
          <w:ilvl w:val="0"/>
          <w:numId w:val="35"/>
        </w:numPr>
        <w:jc w:val="both"/>
        <w:rPr>
          <w:rFonts w:cs="Arial"/>
          <w:szCs w:val="20"/>
        </w:rPr>
      </w:pPr>
      <w:r>
        <w:rPr>
          <w:rFonts w:cs="Arial"/>
          <w:szCs w:val="20"/>
        </w:rPr>
        <w:t xml:space="preserve">Od 1. 1. 2011 nabyl účinnosti zákon č. 347/2010 Sb., kterým se měnily některé zákony v souvislosti s úspornými opatřeními v působnosti Ministerstva práce a sociálních věcí. Došlo k těmto změnám: </w:t>
      </w:r>
    </w:p>
    <w:p w:rsidR="00246C58" w:rsidRDefault="00246C58" w:rsidP="00246C58">
      <w:pPr>
        <w:numPr>
          <w:ilvl w:val="1"/>
          <w:numId w:val="35"/>
        </w:numPr>
        <w:ind w:left="1080"/>
        <w:jc w:val="both"/>
        <w:rPr>
          <w:rFonts w:cs="Arial"/>
          <w:szCs w:val="20"/>
        </w:rPr>
      </w:pPr>
      <w:r>
        <w:rPr>
          <w:rFonts w:cs="Arial"/>
          <w:szCs w:val="20"/>
        </w:rPr>
        <w:t xml:space="preserve"> podpůrčí doba u nemocenského začíná 22. kalendářním dnem trvání dočasné pracovní neschopnosti (nebo karantény), v období prvních 21 kalendářních dnů trvání dočasné pracovní neschopnosti či nařízené karantény poskytuje zaměstnavatel zaměstnanci náhradu mzdy podle zákoníku práce (toto opatření platí do 31. 12. 2013), </w:t>
      </w:r>
    </w:p>
    <w:p w:rsidR="00246C58" w:rsidRDefault="00246C58" w:rsidP="00246C58">
      <w:pPr>
        <w:numPr>
          <w:ilvl w:val="1"/>
          <w:numId w:val="35"/>
        </w:numPr>
        <w:ind w:left="1080"/>
        <w:jc w:val="both"/>
        <w:rPr>
          <w:rFonts w:cs="Arial"/>
          <w:szCs w:val="20"/>
        </w:rPr>
      </w:pPr>
      <w:r>
        <w:rPr>
          <w:rFonts w:cs="Arial"/>
          <w:szCs w:val="20"/>
        </w:rPr>
        <w:t xml:space="preserve">výše nemocenského za kalendářní den činí i nadále jako v roce 2010 60 % denního vyměřovacího základu (bez časového omezení), </w:t>
      </w:r>
    </w:p>
    <w:p w:rsidR="00246C58" w:rsidRDefault="00246C58" w:rsidP="00246C58">
      <w:pPr>
        <w:numPr>
          <w:ilvl w:val="1"/>
          <w:numId w:val="35"/>
        </w:numPr>
        <w:ind w:left="1080"/>
        <w:jc w:val="both"/>
        <w:rPr>
          <w:rFonts w:cs="Arial"/>
          <w:szCs w:val="20"/>
        </w:rPr>
      </w:pPr>
      <w:r>
        <w:rPr>
          <w:rFonts w:cs="Arial"/>
          <w:szCs w:val="20"/>
        </w:rPr>
        <w:t xml:space="preserve">zaměstnavatelé zaměstnávající méně než 26 zaměstnanců mohou využít možnosti přihlášení se k vyšší sazbě pojistného na nemocenské pojištění (z 2,3 % na 3,3 %) a je jim refundována polovina náhrady mzdy vyplacené zaměstnancům. </w:t>
      </w:r>
    </w:p>
    <w:p w:rsidR="00246C58" w:rsidRDefault="00246C58" w:rsidP="00246C58">
      <w:pPr>
        <w:numPr>
          <w:ilvl w:val="0"/>
          <w:numId w:val="35"/>
        </w:numPr>
        <w:jc w:val="both"/>
        <w:rPr>
          <w:rFonts w:cs="Arial"/>
          <w:szCs w:val="20"/>
        </w:rPr>
      </w:pPr>
      <w:r>
        <w:rPr>
          <w:rFonts w:cs="Arial"/>
          <w:szCs w:val="20"/>
        </w:rPr>
        <w:t xml:space="preserve">OSVČ si již nemohou dobrovolně stanovit vyšší měsíční vyměřovací základ pro platbu pojistného na nemocenské pojištění. Jejich vyměřovací základ pro pojistné na nemocenské pojištění nesmí být vyšší než vyměřovací základ pro pojistné na důchodové pojištění. </w:t>
      </w:r>
    </w:p>
    <w:p w:rsidR="00246C58" w:rsidRDefault="00246C58" w:rsidP="00246C58">
      <w:pPr>
        <w:numPr>
          <w:ilvl w:val="0"/>
          <w:numId w:val="35"/>
        </w:numPr>
        <w:jc w:val="both"/>
        <w:rPr>
          <w:rFonts w:cs="Arial"/>
          <w:szCs w:val="20"/>
        </w:rPr>
      </w:pPr>
      <w:r>
        <w:rPr>
          <w:rFonts w:cs="Arial"/>
          <w:szCs w:val="20"/>
        </w:rPr>
        <w:t xml:space="preserve">Nález Ústavního soudu Pl. ÚS 55/10 vyhlášený pod č. 80/2011 Sb. - zrušil některá ustanovení zákona č. 347/2010 Sb., kterým se měnily některé zákony v souvislosti s úspornými opatřeními v působnosti MPSV, uplynutím dne 31. prosince 2011. </w:t>
      </w:r>
    </w:p>
    <w:p w:rsidR="00246C58" w:rsidRDefault="00246C58" w:rsidP="00246C58">
      <w:pPr>
        <w:rPr>
          <w:rFonts w:cs="Arial"/>
          <w:szCs w:val="20"/>
        </w:rPr>
      </w:pPr>
    </w:p>
    <w:p w:rsidR="00246C58" w:rsidRDefault="00246C58" w:rsidP="00246C58">
      <w:pPr>
        <w:spacing w:line="240" w:lineRule="auto"/>
        <w:jc w:val="both"/>
        <w:rPr>
          <w:rFonts w:cs="Arial"/>
          <w:b/>
          <w:szCs w:val="20"/>
        </w:rPr>
      </w:pPr>
      <w:r>
        <w:rPr>
          <w:rFonts w:cs="Arial"/>
          <w:b/>
          <w:szCs w:val="20"/>
        </w:rPr>
        <w:t xml:space="preserve">V roce 2012 </w:t>
      </w:r>
    </w:p>
    <w:p w:rsidR="00246C58" w:rsidRDefault="00246C58" w:rsidP="00246C58">
      <w:pPr>
        <w:numPr>
          <w:ilvl w:val="0"/>
          <w:numId w:val="39"/>
        </w:numPr>
        <w:jc w:val="both"/>
        <w:rPr>
          <w:rFonts w:cs="Arial"/>
          <w:szCs w:val="20"/>
        </w:rPr>
      </w:pPr>
      <w:r>
        <w:rPr>
          <w:rFonts w:cs="Arial"/>
          <w:szCs w:val="20"/>
        </w:rPr>
        <w:t xml:space="preserve">Podle zákona č. 364/2011 Sb., kterým se měnily některé zákony v souvislosti s úspornými opatřeními v působnosti Ministerstva práce a sociálních věcí, změny přijaté zákonem č. 347/2010 Sb. platí i nadále od 1. 1. 2012. </w:t>
      </w:r>
    </w:p>
    <w:p w:rsidR="00246C58" w:rsidRDefault="00246C58" w:rsidP="00246C58">
      <w:pPr>
        <w:numPr>
          <w:ilvl w:val="0"/>
          <w:numId w:val="39"/>
        </w:numPr>
        <w:jc w:val="both"/>
        <w:rPr>
          <w:rFonts w:cs="Arial"/>
          <w:szCs w:val="20"/>
        </w:rPr>
      </w:pPr>
      <w:r>
        <w:rPr>
          <w:rFonts w:cs="Arial"/>
          <w:szCs w:val="20"/>
        </w:rPr>
        <w:t xml:space="preserve">Zákonem č. 365/2011 Sb., kterým se měnil zákon č. 262/2006 Sb., zákoník práce, ve znění pozdějších předpisů, a další související zákony, byl od 1. 1. 2012 novelizován také zákon č. 187/2006 Sb., o nemocenském pojištění. Touto novelou se rozšířil okruh nemocensky pojištěných osob o zaměstnance činné na základě dohody o provedení práce. U zaměstnance činného na základě dohody o provedení práce vznikne povinná účast na nemocenském pojištění, pokud splňuje dvě podmínky, a to jednak výkon práce na území ČR a jednak, že v kalendářním měsíci, v němž dohoda o provedení práce trvá, dosáhne započitatelného příjmu v částce vyšší než 10 000 Kč. </w:t>
      </w:r>
    </w:p>
    <w:p w:rsidR="00246C58" w:rsidRDefault="00246C58" w:rsidP="00246C58">
      <w:pPr>
        <w:numPr>
          <w:ilvl w:val="0"/>
          <w:numId w:val="39"/>
        </w:numPr>
        <w:jc w:val="both"/>
        <w:rPr>
          <w:rFonts w:cs="Arial"/>
          <w:szCs w:val="20"/>
        </w:rPr>
      </w:pPr>
      <w:r>
        <w:rPr>
          <w:rFonts w:cs="Arial"/>
          <w:szCs w:val="20"/>
        </w:rPr>
        <w:t xml:space="preserve">Zákon č. 470/2011 Sb., kterým se měnil zákon o nemocenském pojištění, ve znění pozdějších předpisů, a některé další zákony - nabyl účinnosti 1. 1. 2012. Tato technická novela zákona přinesla řadu změn, zejména znovu rozšířila okruh nemocensky pojištěných osob. </w:t>
      </w:r>
    </w:p>
    <w:p w:rsidR="00246C58" w:rsidRDefault="00246C58" w:rsidP="00246C58">
      <w:pPr>
        <w:ind w:firstLine="708"/>
        <w:jc w:val="both"/>
        <w:rPr>
          <w:rFonts w:cs="Arial"/>
          <w:szCs w:val="20"/>
        </w:rPr>
      </w:pPr>
      <w:r>
        <w:rPr>
          <w:rFonts w:cs="Arial"/>
          <w:szCs w:val="20"/>
        </w:rPr>
        <w:t xml:space="preserve">Další změny v oblasti nemocenského pojištění: </w:t>
      </w:r>
    </w:p>
    <w:p w:rsidR="00246C58" w:rsidRDefault="00246C58" w:rsidP="00246C58">
      <w:pPr>
        <w:numPr>
          <w:ilvl w:val="0"/>
          <w:numId w:val="40"/>
        </w:numPr>
        <w:jc w:val="both"/>
        <w:rPr>
          <w:rFonts w:cs="Arial"/>
          <w:szCs w:val="20"/>
        </w:rPr>
      </w:pPr>
      <w:r>
        <w:rPr>
          <w:rFonts w:cs="Arial"/>
          <w:szCs w:val="20"/>
        </w:rPr>
        <w:t xml:space="preserve">do vyloučených dnů se nově zahrnují dny neplaceného pracovního volna, </w:t>
      </w:r>
    </w:p>
    <w:p w:rsidR="00246C58" w:rsidRDefault="00246C58" w:rsidP="00246C58">
      <w:pPr>
        <w:numPr>
          <w:ilvl w:val="0"/>
          <w:numId w:val="40"/>
        </w:numPr>
        <w:jc w:val="both"/>
        <w:rPr>
          <w:rFonts w:cs="Arial"/>
          <w:szCs w:val="20"/>
        </w:rPr>
      </w:pPr>
      <w:r>
        <w:rPr>
          <w:rFonts w:cs="Arial"/>
          <w:szCs w:val="20"/>
        </w:rPr>
        <w:t xml:space="preserve">změny v úpravě při stanovování rozhodného období a pravděpodobného příjmu, </w:t>
      </w:r>
    </w:p>
    <w:p w:rsidR="00246C58" w:rsidRDefault="00246C58" w:rsidP="00246C58">
      <w:pPr>
        <w:numPr>
          <w:ilvl w:val="0"/>
          <w:numId w:val="40"/>
        </w:numPr>
        <w:jc w:val="both"/>
        <w:rPr>
          <w:rFonts w:cs="Arial"/>
          <w:szCs w:val="20"/>
        </w:rPr>
      </w:pPr>
      <w:r>
        <w:rPr>
          <w:rFonts w:cs="Arial"/>
          <w:szCs w:val="20"/>
        </w:rPr>
        <w:t xml:space="preserve">doba studia, pokud bylo úspěšně ukončeno, se započítává jako doba účasti na nemocenském pojištění při zjišťování podmínky 270 dnů účasti na nemocenském pojištění v posledních dvou letech před nástupem na peněžitou pomoc v mateřství,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2013 </w:t>
      </w:r>
    </w:p>
    <w:p w:rsidR="00246C58" w:rsidRDefault="00246C58" w:rsidP="00246C58">
      <w:pPr>
        <w:ind w:firstLine="708"/>
        <w:jc w:val="both"/>
        <w:rPr>
          <w:rFonts w:cs="Arial"/>
          <w:szCs w:val="20"/>
        </w:rPr>
      </w:pPr>
      <w:r>
        <w:rPr>
          <w:rFonts w:cs="Arial"/>
          <w:szCs w:val="20"/>
        </w:rPr>
        <w:t>V roce 2013</w:t>
      </w:r>
      <w:r>
        <w:rPr>
          <w:rFonts w:cs="Arial"/>
          <w:b/>
          <w:szCs w:val="20"/>
        </w:rPr>
        <w:t xml:space="preserve"> </w:t>
      </w:r>
      <w:r>
        <w:rPr>
          <w:rFonts w:cs="Arial"/>
          <w:szCs w:val="20"/>
        </w:rPr>
        <w:t xml:space="preserve">nedošlo k žádným zásadním právním úpravám systému nemocenského pojištění. </w:t>
      </w:r>
    </w:p>
    <w:p w:rsidR="00246C58" w:rsidRDefault="00246C58" w:rsidP="00246C58">
      <w:pPr>
        <w:numPr>
          <w:ilvl w:val="0"/>
          <w:numId w:val="41"/>
        </w:numPr>
        <w:jc w:val="both"/>
        <w:rPr>
          <w:rFonts w:cs="Arial"/>
          <w:szCs w:val="20"/>
        </w:rPr>
      </w:pPr>
      <w:r>
        <w:rPr>
          <w:rFonts w:cs="Arial"/>
          <w:szCs w:val="20"/>
        </w:rPr>
        <w:t xml:space="preserve">Zaměstnanec, který je uznán ošetřujícím lékařem dočasně práce neschopným, má při splnění všech podmínek nárok na nemocenské od 22. kalendářního dne trvání jeho dočasné pracovní neschopnosti do konce dočasné pracovní neschopnosti, maximálně však 380 kalendářních dnů </w:t>
      </w:r>
      <w:r>
        <w:rPr>
          <w:rFonts w:cs="Arial"/>
          <w:szCs w:val="20"/>
        </w:rPr>
        <w:lastRenderedPageBreak/>
        <w:t xml:space="preserve">počítaných od vzniku dočasné pracovní neschopnosti (včetně zápočtů předchozí doby trvání dočasné pracovní neschopnosti). </w:t>
      </w:r>
    </w:p>
    <w:p w:rsidR="00246C58" w:rsidRDefault="00246C58" w:rsidP="00246C58">
      <w:pPr>
        <w:numPr>
          <w:ilvl w:val="0"/>
          <w:numId w:val="41"/>
        </w:numPr>
        <w:jc w:val="both"/>
        <w:rPr>
          <w:rFonts w:cs="Arial"/>
          <w:szCs w:val="20"/>
        </w:rPr>
      </w:pPr>
      <w:r>
        <w:rPr>
          <w:rFonts w:cs="Arial"/>
          <w:szCs w:val="20"/>
        </w:rPr>
        <w:t xml:space="preserve">Po dobu prvních 21 kalendářních dnů je zaměstnanec, kterému trvá pracovní vztah zakládající účast na nemocenském pojištění, zabezpečen náhradou mzdy, kterou poskytuje zaměstnavatel podle zákoníku práce. Náhrada mzdy náleží za pracovní dny a to při dočasné pracovní neschopnosti od 4. pracovního dne (při karanténě od prvního pracovního dne). </w:t>
      </w:r>
    </w:p>
    <w:p w:rsidR="00EA6687" w:rsidRDefault="00EA6687" w:rsidP="00246C58">
      <w:pPr>
        <w:rPr>
          <w:rFonts w:cs="Arial"/>
          <w:b/>
          <w:szCs w:val="20"/>
        </w:rPr>
      </w:pPr>
    </w:p>
    <w:p w:rsidR="00246C58" w:rsidRDefault="00246C58" w:rsidP="00246C58">
      <w:pPr>
        <w:rPr>
          <w:rFonts w:cs="Arial"/>
          <w:b/>
          <w:szCs w:val="20"/>
        </w:rPr>
      </w:pPr>
      <w:r>
        <w:rPr>
          <w:rFonts w:cs="Arial"/>
          <w:b/>
          <w:szCs w:val="20"/>
        </w:rPr>
        <w:t xml:space="preserve">V roce 2014 </w:t>
      </w:r>
    </w:p>
    <w:p w:rsidR="00246C58" w:rsidRDefault="00246C58" w:rsidP="00246C58">
      <w:pPr>
        <w:jc w:val="both"/>
        <w:rPr>
          <w:rFonts w:cs="Arial"/>
          <w:szCs w:val="20"/>
        </w:rPr>
      </w:pPr>
      <w:r>
        <w:rPr>
          <w:rFonts w:cs="Arial"/>
          <w:szCs w:val="20"/>
        </w:rPr>
        <w:t xml:space="preserve">Ani v roce 2014 nedošlo k podstatným právním úpravám systému nemocenského pojištění. Menší změnou bylo ukončení platnosti přechodného ustanovení, které se týkalo délky poskytování náhrady mzdy. </w:t>
      </w:r>
    </w:p>
    <w:p w:rsidR="00246C58" w:rsidRDefault="00246C58" w:rsidP="00246C58">
      <w:pPr>
        <w:numPr>
          <w:ilvl w:val="0"/>
          <w:numId w:val="42"/>
        </w:numPr>
        <w:jc w:val="both"/>
        <w:rPr>
          <w:rFonts w:cs="Arial"/>
          <w:szCs w:val="20"/>
        </w:rPr>
      </w:pPr>
      <w:r>
        <w:rPr>
          <w:rFonts w:cs="Arial"/>
          <w:szCs w:val="20"/>
        </w:rPr>
        <w:t xml:space="preserve">Zaměstnanec, který je uznán ošetřujícím lékařem dočasně práce neschopným,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numPr>
          <w:ilvl w:val="0"/>
          <w:numId w:val="42"/>
        </w:numPr>
        <w:jc w:val="both"/>
        <w:rPr>
          <w:rFonts w:cs="Arial"/>
          <w:szCs w:val="20"/>
        </w:rPr>
      </w:pPr>
      <w:r>
        <w:rPr>
          <w:rFonts w:cs="Arial"/>
          <w:szCs w:val="20"/>
        </w:rPr>
        <w:t xml:space="preserve">Byly nově definovány některé pojmy </w:t>
      </w:r>
    </w:p>
    <w:p w:rsidR="00246C58" w:rsidRDefault="00246C58" w:rsidP="00246C58">
      <w:pPr>
        <w:numPr>
          <w:ilvl w:val="0"/>
          <w:numId w:val="43"/>
        </w:numPr>
        <w:jc w:val="both"/>
        <w:rPr>
          <w:rFonts w:cs="Arial"/>
          <w:szCs w:val="20"/>
        </w:rPr>
      </w:pPr>
      <w:r>
        <w:rPr>
          <w:rFonts w:cs="Arial"/>
          <w:szCs w:val="20"/>
        </w:rPr>
        <w:t xml:space="preserve">Nově se za zaměstnání považuje činnost zaměstnance pro zaměstnavatele, z níž mu plynou nebo by mohly plynout od zaměstnavatele příjmy ze závislé činnosti bez ohledu na druh pracovního vztahu. </w:t>
      </w:r>
    </w:p>
    <w:p w:rsidR="00246C58" w:rsidRDefault="00246C58" w:rsidP="00246C58">
      <w:pPr>
        <w:numPr>
          <w:ilvl w:val="0"/>
          <w:numId w:val="43"/>
        </w:numPr>
        <w:jc w:val="both"/>
        <w:rPr>
          <w:rFonts w:cs="Arial"/>
          <w:szCs w:val="20"/>
        </w:rPr>
      </w:pPr>
      <w:r>
        <w:rPr>
          <w:rFonts w:cs="Arial"/>
          <w:szCs w:val="20"/>
        </w:rPr>
        <w:t xml:space="preserve">Zaměstnanci se rozumí osoby v době zaměstnání, pokud jim plynou nebo by mohly plynout příjmy ze závislé činnosti, které jsou nebo by byly, pokud by podléhaly zdanění v ČR, předmětem daně a nejsou od této daně osvobozeny. 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w:t>
      </w:r>
    </w:p>
    <w:p w:rsidR="00246C58" w:rsidRDefault="00246C58" w:rsidP="00246C58">
      <w:pPr>
        <w:numPr>
          <w:ilvl w:val="0"/>
          <w:numId w:val="44"/>
        </w:numPr>
        <w:ind w:left="709"/>
        <w:jc w:val="both"/>
        <w:rPr>
          <w:rFonts w:cs="Arial"/>
          <w:szCs w:val="20"/>
        </w:rPr>
      </w:pPr>
      <w:r>
        <w:rPr>
          <w:rFonts w:cs="Arial"/>
          <w:szCs w:val="20"/>
        </w:rPr>
        <w:t xml:space="preserve">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 </w:t>
      </w:r>
    </w:p>
    <w:p w:rsidR="00246C58" w:rsidRDefault="00246C58" w:rsidP="00246C58">
      <w:pPr>
        <w:numPr>
          <w:ilvl w:val="0"/>
          <w:numId w:val="44"/>
        </w:numPr>
        <w:ind w:left="709"/>
        <w:jc w:val="both"/>
        <w:rPr>
          <w:rFonts w:cs="Arial"/>
          <w:szCs w:val="20"/>
        </w:rPr>
      </w:pPr>
      <w:r>
        <w:rPr>
          <w:rFonts w:cs="Arial"/>
          <w:szCs w:val="20"/>
        </w:rPr>
        <w:t>Zvláštní podmínky účasti zaměstnanců na nemocenském pojištění jsou stanoveny při výkonu zaměstnání malého rozsahu.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(2 500 Kč), anebo měsíční příjem nebyl sjednán vůbec. Při výkonu zaměstnání malého rozsahu je zaměstnanec pojištěn jen v těch kalendářních měsících, v nichž dosáhl aspoň příjmu v příslušné rozhodné výši.</w:t>
      </w:r>
    </w:p>
    <w:p w:rsidR="00246C58" w:rsidRDefault="00246C58" w:rsidP="00246C58">
      <w:pPr>
        <w:numPr>
          <w:ilvl w:val="0"/>
          <w:numId w:val="44"/>
        </w:numPr>
        <w:ind w:left="709"/>
        <w:jc w:val="both"/>
        <w:rPr>
          <w:rFonts w:cs="Arial"/>
          <w:szCs w:val="20"/>
        </w:rPr>
      </w:pPr>
      <w:r>
        <w:rPr>
          <w:rFonts w:cs="Arial"/>
          <w:szCs w:val="20"/>
        </w:rPr>
        <w:t xml:space="preserve">OSVČ, která je účastna nemocenského pojištění OSVČ, již není z tohoto důvodu považována vždy za OSVČ vykonávající hlavní samostatnou výdělečnou činnost. Minimální měsíční základ, který si může OSVČ určit pro placení pojistného na nemocenské pojištění, činí 5 000 Kč (od 1. 1. 2012). Při sazbě 2,3 % činí minimální pojistné na nemocenské pojištění 115 Kč za kalendářní měsíc. </w:t>
      </w:r>
    </w:p>
    <w:p w:rsidR="00246C58" w:rsidRDefault="00246C58" w:rsidP="00246C58">
      <w:pPr>
        <w:numPr>
          <w:ilvl w:val="0"/>
          <w:numId w:val="44"/>
        </w:numPr>
        <w:ind w:left="709"/>
        <w:jc w:val="both"/>
        <w:rPr>
          <w:rFonts w:cs="Arial"/>
          <w:szCs w:val="20"/>
        </w:rPr>
      </w:pPr>
      <w:r>
        <w:rPr>
          <w:rFonts w:cs="Arial"/>
          <w:szCs w:val="20"/>
        </w:rPr>
        <w:t xml:space="preserve">OSVČ pro získání nároku na nemocenské musí být účastna dobrovolného nemocenského pojištění OSVČ alespoň po dobu 3 měsíců bezprostředně předcházejících dni vzniku dočasné pracovní neschopnosti. OSVČ, která je uznána ošetřujícím lékařem dočasně práce neschopnou,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jc w:val="both"/>
        <w:rPr>
          <w:rFonts w:cs="Arial"/>
          <w:szCs w:val="20"/>
        </w:rPr>
      </w:pPr>
    </w:p>
    <w:p w:rsidR="0051366C" w:rsidRDefault="0051366C" w:rsidP="00246C58">
      <w:pPr>
        <w:ind w:left="709" w:hanging="709"/>
        <w:rPr>
          <w:rFonts w:cs="Arial"/>
          <w:b/>
          <w:sz w:val="24"/>
        </w:rPr>
      </w:pPr>
    </w:p>
    <w:p w:rsidR="0051366C" w:rsidRDefault="0051366C" w:rsidP="00246C58">
      <w:pPr>
        <w:ind w:left="709" w:hanging="709"/>
        <w:rPr>
          <w:rFonts w:cs="Arial"/>
          <w:b/>
          <w:sz w:val="24"/>
        </w:rPr>
      </w:pPr>
    </w:p>
    <w:p w:rsidR="00246C58" w:rsidRDefault="00246C58" w:rsidP="00246C58">
      <w:pPr>
        <w:ind w:left="709" w:hanging="709"/>
        <w:rPr>
          <w:rFonts w:cs="Arial"/>
          <w:b/>
          <w:sz w:val="24"/>
        </w:rPr>
      </w:pPr>
      <w:r>
        <w:rPr>
          <w:rFonts w:cs="Arial"/>
          <w:b/>
          <w:sz w:val="24"/>
        </w:rPr>
        <w:lastRenderedPageBreak/>
        <w:t>V roce 2015</w:t>
      </w:r>
    </w:p>
    <w:p w:rsidR="00246C58" w:rsidRDefault="00246C58" w:rsidP="00246C58">
      <w:pPr>
        <w:numPr>
          <w:ilvl w:val="0"/>
          <w:numId w:val="45"/>
        </w:numPr>
        <w:ind w:left="567"/>
        <w:jc w:val="both"/>
        <w:rPr>
          <w:rFonts w:cs="Arial"/>
          <w:szCs w:val="20"/>
        </w:rPr>
      </w:pPr>
      <w:r>
        <w:rPr>
          <w:rFonts w:cs="Arial"/>
          <w:szCs w:val="20"/>
        </w:rPr>
        <w:t>V roce 2015 je zrušena zvýšená sazba pojistného na sociální zabezpečení pro zaměstnavatele s počtem zaměstnanců menším než 26 a navazující úprava, kdy si takový zaměstnavatel mohl od pojistného odečíst polovinu ze zúčtované a vyplacené náhrady mzdy za dobu trvání dočasné pracovní neschopnosti jeho zaměstnanců.</w:t>
      </w:r>
    </w:p>
    <w:p w:rsidR="00246C58" w:rsidRDefault="00246C58" w:rsidP="00246C58">
      <w:pPr>
        <w:pStyle w:val="Nadpis1"/>
        <w:pageBreakBefore/>
      </w:pPr>
      <w:r>
        <w:rPr>
          <w:rFonts w:cs="Arial"/>
          <w:sz w:val="28"/>
        </w:rPr>
        <w:lastRenderedPageBreak/>
        <w:t>Použité značky</w:t>
      </w:r>
    </w:p>
    <w:p w:rsidR="00246C58" w:rsidRDefault="00246C58" w:rsidP="00246C58">
      <w:pPr>
        <w:pStyle w:val="Zkladntextodsazen"/>
        <w:ind w:left="0"/>
        <w:jc w:val="both"/>
        <w:rPr>
          <w:rFonts w:cs="Arial"/>
        </w:rPr>
      </w:pPr>
      <w:r>
        <w:rPr>
          <w:rFonts w:cs="Arial"/>
        </w:rPr>
        <w:t>-</w:t>
      </w:r>
      <w:r>
        <w:rPr>
          <w:rFonts w:cs="Arial"/>
        </w:rPr>
        <w:tab/>
        <w:t>ležatá čárka na místě čísla značí, že se jev nevyskytoval</w:t>
      </w:r>
    </w:p>
    <w:p w:rsidR="00246C58" w:rsidRDefault="00246C58" w:rsidP="00246C58">
      <w:pPr>
        <w:pStyle w:val="Zkladntextodsazen"/>
        <w:ind w:left="0"/>
        <w:jc w:val="both"/>
        <w:rPr>
          <w:rFonts w:cs="Arial"/>
        </w:rPr>
      </w:pPr>
      <w:r>
        <w:rPr>
          <w:rFonts w:cs="Arial"/>
        </w:rPr>
        <w:t>x</w:t>
      </w:r>
      <w:r>
        <w:rPr>
          <w:rFonts w:cs="Arial"/>
        </w:rPr>
        <w:tab/>
        <w:t>ležatý křížek na místě čísla značí, že zápis není možný z logických důvodů</w:t>
      </w:r>
    </w:p>
    <w:p w:rsidR="00246C58" w:rsidRDefault="00246C58" w:rsidP="00246C58">
      <w:pPr>
        <w:pStyle w:val="Zkladntextodsazen"/>
        <w:ind w:left="0"/>
        <w:jc w:val="both"/>
        <w:rPr>
          <w:rFonts w:cs="Arial"/>
        </w:rPr>
      </w:pPr>
      <w:r>
        <w:rPr>
          <w:rFonts w:cs="Arial"/>
        </w:rPr>
        <w:t>i. d.</w:t>
      </w:r>
      <w:r>
        <w:rPr>
          <w:rFonts w:cs="Arial"/>
        </w:rPr>
        <w:tab/>
        <w:t>individuální data</w:t>
      </w:r>
    </w:p>
    <w:p w:rsidR="00AA1F1F" w:rsidRDefault="00AA1F1F" w:rsidP="00246C58">
      <w:pPr>
        <w:pStyle w:val="Obsah"/>
        <w:rPr>
          <w:rFonts w:cs="Arial"/>
          <w:szCs w:val="20"/>
        </w:rPr>
      </w:pPr>
    </w:p>
    <w:p w:rsidR="00783300" w:rsidRDefault="00783300" w:rsidP="00783300"/>
    <w:p w:rsidR="000041CD" w:rsidRPr="000041CD" w:rsidRDefault="000041CD" w:rsidP="000041CD"/>
    <w:sectPr w:rsidR="000041CD" w:rsidRPr="000041CD" w:rsidSect="00473A15">
      <w:headerReference w:type="even" r:id="rId21"/>
      <w:headerReference w:type="default" r:id="rId22"/>
      <w:footerReference w:type="even" r:id="rId23"/>
      <w:footerReference w:type="default" r:id="rId24"/>
      <w:pgSz w:w="11906" w:h="16838" w:code="9"/>
      <w:pgMar w:top="993"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916" w:rsidRDefault="006C5916" w:rsidP="00E71A58">
      <w:r>
        <w:separator/>
      </w:r>
    </w:p>
  </w:endnote>
  <w:endnote w:type="continuationSeparator" w:id="0">
    <w:p w:rsidR="006C5916" w:rsidRDefault="006C591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29" w:rsidRDefault="004D514D" w:rsidP="003A6B38">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alt="Description: 3" style="position:absolute;margin-left:445.7pt;margin-top:-4.1pt;width:36.75pt;height:17.25pt;z-index:2;visibility:visible">
          <v:imagedata r:id="rId1" o:title=""/>
        </v:shape>
      </w:pict>
    </w:r>
    <w:r w:rsidRPr="005A21E0">
      <w:rPr>
        <w:rFonts w:ascii="Arial" w:hAnsi="Arial" w:cs="Arial"/>
        <w:sz w:val="16"/>
        <w:szCs w:val="16"/>
      </w:rPr>
      <w:fldChar w:fldCharType="begin"/>
    </w:r>
    <w:r w:rsidR="00FC5629" w:rsidRPr="005A21E0">
      <w:rPr>
        <w:rFonts w:ascii="Arial" w:hAnsi="Arial" w:cs="Arial"/>
        <w:sz w:val="16"/>
        <w:szCs w:val="16"/>
      </w:rPr>
      <w:instrText>PAGE   \* MERGEFORMAT</w:instrText>
    </w:r>
    <w:r w:rsidRPr="005A21E0">
      <w:rPr>
        <w:rFonts w:ascii="Arial" w:hAnsi="Arial" w:cs="Arial"/>
        <w:sz w:val="16"/>
        <w:szCs w:val="16"/>
      </w:rPr>
      <w:fldChar w:fldCharType="separate"/>
    </w:r>
    <w:r w:rsidR="004F40FF">
      <w:rPr>
        <w:rFonts w:ascii="Arial" w:hAnsi="Arial" w:cs="Arial"/>
        <w:noProof/>
        <w:sz w:val="16"/>
        <w:szCs w:val="16"/>
      </w:rPr>
      <w:t>2</w:t>
    </w:r>
    <w:r w:rsidRPr="005A21E0">
      <w:rPr>
        <w:rFonts w:ascii="Arial" w:hAnsi="Arial" w:cs="Arial"/>
        <w:sz w:val="16"/>
        <w:szCs w:val="16"/>
      </w:rPr>
      <w:fldChar w:fldCharType="end"/>
    </w:r>
    <w:r w:rsidR="00FC5629">
      <w:rPr>
        <w:rFonts w:ascii="Arial" w:hAnsi="Arial" w:cs="Arial"/>
        <w:sz w:val="16"/>
        <w:szCs w:val="16"/>
      </w:rPr>
      <w:tab/>
      <w:t>2015</w:t>
    </w:r>
    <w:r w:rsidR="00FC5629">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29" w:rsidRDefault="004D514D" w:rsidP="003A6B38">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50" type="#_x0000_t75" alt="Description: 3" style="position:absolute;margin-left:.3pt;margin-top:7.1pt;width:39pt;height:21pt;z-index:1;visibility:visible">
          <v:imagedata r:id="rId1" o:title=""/>
        </v:shape>
      </w:pict>
    </w:r>
    <w:r w:rsidR="00FC5629">
      <w:tab/>
    </w:r>
    <w:r w:rsidR="00FC5629">
      <w:tab/>
    </w:r>
    <w:r w:rsidR="00FC5629" w:rsidRPr="00DC5B3B">
      <w:t xml:space="preserve">                              </w:t>
    </w:r>
  </w:p>
  <w:p w:rsidR="00FC5629" w:rsidRDefault="00FC5629"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tab/>
    </w:r>
    <w:r>
      <w:tab/>
    </w:r>
    <w:r w:rsidR="004D514D" w:rsidRPr="00B6608F">
      <w:rPr>
        <w:rFonts w:ascii="Arial" w:hAnsi="Arial" w:cs="Arial"/>
        <w:sz w:val="16"/>
        <w:szCs w:val="16"/>
      </w:rPr>
      <w:fldChar w:fldCharType="begin"/>
    </w:r>
    <w:r w:rsidRPr="00B6608F">
      <w:rPr>
        <w:rFonts w:ascii="Arial" w:hAnsi="Arial" w:cs="Arial"/>
        <w:sz w:val="16"/>
        <w:szCs w:val="16"/>
      </w:rPr>
      <w:instrText>PAGE   \* MERGEFORMAT</w:instrText>
    </w:r>
    <w:r w:rsidR="004D514D" w:rsidRPr="00B6608F">
      <w:rPr>
        <w:rFonts w:ascii="Arial" w:hAnsi="Arial" w:cs="Arial"/>
        <w:sz w:val="16"/>
        <w:szCs w:val="16"/>
      </w:rPr>
      <w:fldChar w:fldCharType="separate"/>
    </w:r>
    <w:r w:rsidR="004F40FF">
      <w:rPr>
        <w:rFonts w:ascii="Arial" w:hAnsi="Arial" w:cs="Arial"/>
        <w:noProof/>
        <w:sz w:val="16"/>
        <w:szCs w:val="16"/>
      </w:rPr>
      <w:t>1</w:t>
    </w:r>
    <w:r w:rsidR="004D514D"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916" w:rsidRDefault="006C5916" w:rsidP="00E71A58">
      <w:r>
        <w:separator/>
      </w:r>
    </w:p>
  </w:footnote>
  <w:footnote w:type="continuationSeparator" w:id="0">
    <w:p w:rsidR="006C5916" w:rsidRDefault="006C5916" w:rsidP="00E71A58">
      <w:r>
        <w:continuationSeparator/>
      </w:r>
    </w:p>
  </w:footnote>
  <w:footnote w:id="1">
    <w:p w:rsidR="00547C98" w:rsidRDefault="00547C98" w:rsidP="00547C98">
      <w:pPr>
        <w:jc w:val="both"/>
      </w:pPr>
      <w:r>
        <w:rPr>
          <w:rStyle w:val="Znakapoznpodarou"/>
        </w:rPr>
        <w:footnoteRef/>
      </w:r>
      <w:r>
        <w:t xml:space="preserve"> </w:t>
      </w:r>
      <w:hyperlink r:id="rId1" w:history="1">
        <w:r w:rsidR="0032723C" w:rsidRPr="007165AB">
          <w:rPr>
            <w:rStyle w:val="Hypertextovodkaz"/>
          </w:rPr>
          <w:t>http://www.mpsv.cz/cs/7</w:t>
        </w:r>
      </w:hyperlink>
    </w:p>
    <w:p w:rsidR="0032723C" w:rsidRDefault="0032723C" w:rsidP="00547C98">
      <w:pPr>
        <w:jc w:val="both"/>
        <w:rPr>
          <w:rFonts w:cs="Arial"/>
          <w:szCs w:val="20"/>
        </w:rPr>
      </w:pPr>
    </w:p>
    <w:p w:rsidR="00547C98" w:rsidRDefault="00547C98" w:rsidP="00547C98">
      <w:pPr>
        <w:spacing w:before="100" w:beforeAutospacing="1" w:after="100" w:afterAutospacing="1" w:line="240" w:lineRule="auto"/>
        <w:jc w:val="both"/>
      </w:pPr>
    </w:p>
  </w:footnote>
  <w:footnote w:id="2">
    <w:p w:rsidR="0032723C" w:rsidRDefault="0032723C" w:rsidP="0032723C">
      <w:pPr>
        <w:jc w:val="both"/>
      </w:pPr>
      <w:r>
        <w:rPr>
          <w:rStyle w:val="Znakapoznpodarou"/>
        </w:rPr>
        <w:footnoteRef/>
      </w:r>
      <w:r>
        <w:t xml:space="preserve"> </w:t>
      </w:r>
      <w:hyperlink r:id="rId2" w:history="1">
        <w:r w:rsidRPr="007165AB">
          <w:rPr>
            <w:rStyle w:val="Hypertextovodkaz"/>
          </w:rPr>
          <w:t>http://www.mpsv.cz/files/clanky/23180/Analyza_nemocenskeho_pojisteni_2015.pdf</w:t>
        </w:r>
      </w:hyperlink>
    </w:p>
    <w:p w:rsidR="0032723C" w:rsidRDefault="0032723C" w:rsidP="0032723C">
      <w:pPr>
        <w:jc w:val="both"/>
        <w:rPr>
          <w:rFonts w:cs="Arial"/>
          <w:szCs w:val="20"/>
        </w:rPr>
      </w:pPr>
    </w:p>
    <w:p w:rsidR="0032723C" w:rsidRDefault="0032723C" w:rsidP="0032723C">
      <w:pPr>
        <w:spacing w:before="100" w:beforeAutospacing="1" w:after="100" w:afterAutospacing="1"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29" w:rsidRPr="00DC5B3B" w:rsidRDefault="00FC5629" w:rsidP="00D16208">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rok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29" w:rsidRPr="00DC5B3B" w:rsidRDefault="00FC5629"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rok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70"/>
    <w:multiLevelType w:val="multilevel"/>
    <w:tmpl w:val="04D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4193A"/>
    <w:multiLevelType w:val="multilevel"/>
    <w:tmpl w:val="E3B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27748"/>
    <w:multiLevelType w:val="multilevel"/>
    <w:tmpl w:val="9A5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219CF"/>
    <w:multiLevelType w:val="multilevel"/>
    <w:tmpl w:val="918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30231"/>
    <w:multiLevelType w:val="hybridMultilevel"/>
    <w:tmpl w:val="68A4E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962968"/>
    <w:multiLevelType w:val="hybridMultilevel"/>
    <w:tmpl w:val="86969A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237C0EAC"/>
    <w:multiLevelType w:val="hybridMultilevel"/>
    <w:tmpl w:val="340613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FF752AD"/>
    <w:multiLevelType w:val="hybridMultilevel"/>
    <w:tmpl w:val="867827F2"/>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AE5878"/>
    <w:multiLevelType w:val="hybridMultilevel"/>
    <w:tmpl w:val="62B66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7B229E"/>
    <w:multiLevelType w:val="hybridMultilevel"/>
    <w:tmpl w:val="A3022A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36C9704A"/>
    <w:multiLevelType w:val="hybridMultilevel"/>
    <w:tmpl w:val="0A525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8867D3F"/>
    <w:multiLevelType w:val="multilevel"/>
    <w:tmpl w:val="5F3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E18E0"/>
    <w:multiLevelType w:val="hybridMultilevel"/>
    <w:tmpl w:val="025CE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046E09"/>
    <w:multiLevelType w:val="hybridMultilevel"/>
    <w:tmpl w:val="6CAC862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4C6582"/>
    <w:multiLevelType w:val="hybridMultilevel"/>
    <w:tmpl w:val="0AD4D41A"/>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52D63313"/>
    <w:multiLevelType w:val="multilevel"/>
    <w:tmpl w:val="378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F06E5"/>
    <w:multiLevelType w:val="hybridMultilevel"/>
    <w:tmpl w:val="34C038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EDF539D"/>
    <w:multiLevelType w:val="multilevel"/>
    <w:tmpl w:val="B2141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E6117"/>
    <w:multiLevelType w:val="hybridMultilevel"/>
    <w:tmpl w:val="1550FFDC"/>
    <w:lvl w:ilvl="0" w:tplc="04050001">
      <w:start w:val="1"/>
      <w:numFmt w:val="bullet"/>
      <w:lvlText w:val=""/>
      <w:lvlJc w:val="left"/>
      <w:pPr>
        <w:ind w:left="862"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69FA59C7"/>
    <w:multiLevelType w:val="multilevel"/>
    <w:tmpl w:val="C4CA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A099D"/>
    <w:multiLevelType w:val="hybridMultilevel"/>
    <w:tmpl w:val="1A5C82C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6D0111E9"/>
    <w:multiLevelType w:val="multilevel"/>
    <w:tmpl w:val="9B5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DD3F8F"/>
    <w:multiLevelType w:val="hybridMultilevel"/>
    <w:tmpl w:val="17DEEB9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7F25E04"/>
    <w:multiLevelType w:val="hybridMultilevel"/>
    <w:tmpl w:val="505EA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80F3548"/>
    <w:multiLevelType w:val="multilevel"/>
    <w:tmpl w:val="8FB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E7806D0"/>
    <w:multiLevelType w:val="hybridMultilevel"/>
    <w:tmpl w:val="F768F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6"/>
  </w:num>
  <w:num w:numId="4">
    <w:abstractNumId w:val="2"/>
  </w:num>
  <w:num w:numId="5">
    <w:abstractNumId w:val="3"/>
  </w:num>
  <w:num w:numId="6">
    <w:abstractNumId w:val="25"/>
  </w:num>
  <w:num w:numId="7">
    <w:abstractNumId w:val="0"/>
  </w:num>
  <w:num w:numId="8">
    <w:abstractNumId w:val="12"/>
  </w:num>
  <w:num w:numId="9">
    <w:abstractNumId w:val="18"/>
  </w:num>
  <w:num w:numId="10">
    <w:abstractNumId w:val="16"/>
  </w:num>
  <w:num w:numId="11">
    <w:abstractNumId w:val="22"/>
  </w:num>
  <w:num w:numId="12">
    <w:abstractNumId w:val="20"/>
  </w:num>
  <w:num w:numId="13">
    <w:abstractNumId w:val="1"/>
  </w:num>
  <w:num w:numId="14">
    <w:abstractNumId w:val="23"/>
  </w:num>
  <w:num w:numId="15">
    <w:abstractNumId w:val="10"/>
  </w:num>
  <w:num w:numId="16">
    <w:abstractNumId w:val="7"/>
  </w:num>
  <w:num w:numId="17">
    <w:abstractNumId w:val="14"/>
  </w:num>
  <w:num w:numId="18">
    <w:abstractNumId w:val="8"/>
  </w:num>
  <w:num w:numId="19">
    <w:abstractNumId w:val="15"/>
  </w:num>
  <w:num w:numId="20">
    <w:abstractNumId w:val="13"/>
  </w:num>
  <w:num w:numId="21">
    <w:abstractNumId w:val="27"/>
  </w:num>
  <w:num w:numId="22">
    <w:abstractNumId w:val="21"/>
  </w:num>
  <w:num w:numId="23">
    <w:abstractNumId w:val="9"/>
  </w:num>
  <w:num w:numId="24">
    <w:abstractNumId w:val="4"/>
  </w:num>
  <w:num w:numId="25">
    <w:abstractNumId w:val="24"/>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331"/>
    <w:rsid w:val="000012F1"/>
    <w:rsid w:val="000012FC"/>
    <w:rsid w:val="000031A1"/>
    <w:rsid w:val="00003419"/>
    <w:rsid w:val="00004071"/>
    <w:rsid w:val="000041CD"/>
    <w:rsid w:val="0000767A"/>
    <w:rsid w:val="00010702"/>
    <w:rsid w:val="0001229B"/>
    <w:rsid w:val="000141DB"/>
    <w:rsid w:val="000145B9"/>
    <w:rsid w:val="00016590"/>
    <w:rsid w:val="000176AF"/>
    <w:rsid w:val="0002084D"/>
    <w:rsid w:val="00022244"/>
    <w:rsid w:val="00022A50"/>
    <w:rsid w:val="00022BCD"/>
    <w:rsid w:val="00025516"/>
    <w:rsid w:val="000263AE"/>
    <w:rsid w:val="00026EEA"/>
    <w:rsid w:val="000328A0"/>
    <w:rsid w:val="000336DA"/>
    <w:rsid w:val="00035CF5"/>
    <w:rsid w:val="00040429"/>
    <w:rsid w:val="00040611"/>
    <w:rsid w:val="00044760"/>
    <w:rsid w:val="0004694F"/>
    <w:rsid w:val="00053A26"/>
    <w:rsid w:val="00054569"/>
    <w:rsid w:val="000548E7"/>
    <w:rsid w:val="0005744F"/>
    <w:rsid w:val="000605DF"/>
    <w:rsid w:val="00062EC5"/>
    <w:rsid w:val="000675C6"/>
    <w:rsid w:val="00067BF8"/>
    <w:rsid w:val="00072E05"/>
    <w:rsid w:val="00076813"/>
    <w:rsid w:val="00083703"/>
    <w:rsid w:val="00086040"/>
    <w:rsid w:val="0008638A"/>
    <w:rsid w:val="00087634"/>
    <w:rsid w:val="000903A2"/>
    <w:rsid w:val="00091B1C"/>
    <w:rsid w:val="0009204C"/>
    <w:rsid w:val="000976E6"/>
    <w:rsid w:val="000A1183"/>
    <w:rsid w:val="000A1574"/>
    <w:rsid w:val="000A21D5"/>
    <w:rsid w:val="000A57C3"/>
    <w:rsid w:val="000A70E0"/>
    <w:rsid w:val="000B0711"/>
    <w:rsid w:val="000B0E7E"/>
    <w:rsid w:val="000B2E68"/>
    <w:rsid w:val="000B3261"/>
    <w:rsid w:val="000B32BD"/>
    <w:rsid w:val="000B3371"/>
    <w:rsid w:val="000B45A1"/>
    <w:rsid w:val="000B595D"/>
    <w:rsid w:val="000B5FD8"/>
    <w:rsid w:val="000B64D3"/>
    <w:rsid w:val="000B6C8F"/>
    <w:rsid w:val="000C17A4"/>
    <w:rsid w:val="000C1DAF"/>
    <w:rsid w:val="000C2173"/>
    <w:rsid w:val="000C2DFD"/>
    <w:rsid w:val="000C3408"/>
    <w:rsid w:val="000C36C8"/>
    <w:rsid w:val="000C4313"/>
    <w:rsid w:val="000C4534"/>
    <w:rsid w:val="000C4FAA"/>
    <w:rsid w:val="000C52CB"/>
    <w:rsid w:val="000C6357"/>
    <w:rsid w:val="000C69F1"/>
    <w:rsid w:val="000D1ABF"/>
    <w:rsid w:val="000D21E1"/>
    <w:rsid w:val="000D5C92"/>
    <w:rsid w:val="000D77FA"/>
    <w:rsid w:val="000D78F0"/>
    <w:rsid w:val="000D7C1A"/>
    <w:rsid w:val="000E05B5"/>
    <w:rsid w:val="000E1B94"/>
    <w:rsid w:val="000E2493"/>
    <w:rsid w:val="000E61C7"/>
    <w:rsid w:val="000E782E"/>
    <w:rsid w:val="000F14DF"/>
    <w:rsid w:val="000F4AD6"/>
    <w:rsid w:val="000F5047"/>
    <w:rsid w:val="000F5A3B"/>
    <w:rsid w:val="000F64F1"/>
    <w:rsid w:val="000F6588"/>
    <w:rsid w:val="00100014"/>
    <w:rsid w:val="00100A2D"/>
    <w:rsid w:val="001017DC"/>
    <w:rsid w:val="001064D8"/>
    <w:rsid w:val="00110210"/>
    <w:rsid w:val="00112612"/>
    <w:rsid w:val="00112865"/>
    <w:rsid w:val="00113A10"/>
    <w:rsid w:val="001160B9"/>
    <w:rsid w:val="0012008E"/>
    <w:rsid w:val="00120F87"/>
    <w:rsid w:val="001228A1"/>
    <w:rsid w:val="0012333C"/>
    <w:rsid w:val="00123D2E"/>
    <w:rsid w:val="00124045"/>
    <w:rsid w:val="001255DA"/>
    <w:rsid w:val="00125DD9"/>
    <w:rsid w:val="00127662"/>
    <w:rsid w:val="00130264"/>
    <w:rsid w:val="00130A0C"/>
    <w:rsid w:val="00131E4D"/>
    <w:rsid w:val="00133E15"/>
    <w:rsid w:val="001342E7"/>
    <w:rsid w:val="00136DA2"/>
    <w:rsid w:val="00140161"/>
    <w:rsid w:val="00140301"/>
    <w:rsid w:val="001405FA"/>
    <w:rsid w:val="0014113C"/>
    <w:rsid w:val="00142457"/>
    <w:rsid w:val="001425C3"/>
    <w:rsid w:val="0014265F"/>
    <w:rsid w:val="00142DA3"/>
    <w:rsid w:val="00143578"/>
    <w:rsid w:val="00146FD6"/>
    <w:rsid w:val="0014770C"/>
    <w:rsid w:val="001502C7"/>
    <w:rsid w:val="00150D8A"/>
    <w:rsid w:val="0015263F"/>
    <w:rsid w:val="00152D2E"/>
    <w:rsid w:val="001566F6"/>
    <w:rsid w:val="001616E6"/>
    <w:rsid w:val="001624AB"/>
    <w:rsid w:val="00163793"/>
    <w:rsid w:val="00163939"/>
    <w:rsid w:val="00163A41"/>
    <w:rsid w:val="001643C7"/>
    <w:rsid w:val="00165405"/>
    <w:rsid w:val="001676A9"/>
    <w:rsid w:val="00170E8F"/>
    <w:rsid w:val="001714F2"/>
    <w:rsid w:val="00171ACB"/>
    <w:rsid w:val="001762A9"/>
    <w:rsid w:val="001812C0"/>
    <w:rsid w:val="00183DAA"/>
    <w:rsid w:val="00183FBE"/>
    <w:rsid w:val="0018462B"/>
    <w:rsid w:val="00184CBE"/>
    <w:rsid w:val="00185010"/>
    <w:rsid w:val="0019131C"/>
    <w:rsid w:val="001931C4"/>
    <w:rsid w:val="00193560"/>
    <w:rsid w:val="00193D75"/>
    <w:rsid w:val="00194573"/>
    <w:rsid w:val="00194829"/>
    <w:rsid w:val="00196116"/>
    <w:rsid w:val="00197A4E"/>
    <w:rsid w:val="001A0EDD"/>
    <w:rsid w:val="001A355C"/>
    <w:rsid w:val="001A4401"/>
    <w:rsid w:val="001A552F"/>
    <w:rsid w:val="001A5582"/>
    <w:rsid w:val="001A73DC"/>
    <w:rsid w:val="001B03BF"/>
    <w:rsid w:val="001B1727"/>
    <w:rsid w:val="001B3101"/>
    <w:rsid w:val="001B3110"/>
    <w:rsid w:val="001B6996"/>
    <w:rsid w:val="001B6A85"/>
    <w:rsid w:val="001C020D"/>
    <w:rsid w:val="001C0354"/>
    <w:rsid w:val="001D2C44"/>
    <w:rsid w:val="001D52AD"/>
    <w:rsid w:val="001E2378"/>
    <w:rsid w:val="001E559D"/>
    <w:rsid w:val="001E6714"/>
    <w:rsid w:val="001E7620"/>
    <w:rsid w:val="001E7D6B"/>
    <w:rsid w:val="001F0856"/>
    <w:rsid w:val="001F1E34"/>
    <w:rsid w:val="001F4597"/>
    <w:rsid w:val="001F5340"/>
    <w:rsid w:val="001F60D8"/>
    <w:rsid w:val="001F6220"/>
    <w:rsid w:val="001F798B"/>
    <w:rsid w:val="0020116E"/>
    <w:rsid w:val="002034CE"/>
    <w:rsid w:val="002041FF"/>
    <w:rsid w:val="00204B95"/>
    <w:rsid w:val="00205038"/>
    <w:rsid w:val="00207535"/>
    <w:rsid w:val="002107A4"/>
    <w:rsid w:val="00210AA5"/>
    <w:rsid w:val="002146F1"/>
    <w:rsid w:val="00215DB9"/>
    <w:rsid w:val="00217F28"/>
    <w:rsid w:val="0022028E"/>
    <w:rsid w:val="0022094E"/>
    <w:rsid w:val="0022139E"/>
    <w:rsid w:val="00221472"/>
    <w:rsid w:val="00222A8F"/>
    <w:rsid w:val="002230DD"/>
    <w:rsid w:val="00224074"/>
    <w:rsid w:val="002241E3"/>
    <w:rsid w:val="002252E0"/>
    <w:rsid w:val="002255F6"/>
    <w:rsid w:val="00227719"/>
    <w:rsid w:val="0023322D"/>
    <w:rsid w:val="00233E0C"/>
    <w:rsid w:val="00235FA8"/>
    <w:rsid w:val="00236443"/>
    <w:rsid w:val="00236C21"/>
    <w:rsid w:val="00240825"/>
    <w:rsid w:val="00241140"/>
    <w:rsid w:val="002429D9"/>
    <w:rsid w:val="002436BA"/>
    <w:rsid w:val="00244A15"/>
    <w:rsid w:val="002469A6"/>
    <w:rsid w:val="00246C58"/>
    <w:rsid w:val="0024799E"/>
    <w:rsid w:val="00250015"/>
    <w:rsid w:val="00250574"/>
    <w:rsid w:val="0025545E"/>
    <w:rsid w:val="00257D06"/>
    <w:rsid w:val="00260560"/>
    <w:rsid w:val="00264C1E"/>
    <w:rsid w:val="00265B1F"/>
    <w:rsid w:val="00267094"/>
    <w:rsid w:val="0027024A"/>
    <w:rsid w:val="00270EE0"/>
    <w:rsid w:val="00275B7D"/>
    <w:rsid w:val="00275BE3"/>
    <w:rsid w:val="002806F4"/>
    <w:rsid w:val="00280755"/>
    <w:rsid w:val="00280C1F"/>
    <w:rsid w:val="00281765"/>
    <w:rsid w:val="00282FA5"/>
    <w:rsid w:val="00287172"/>
    <w:rsid w:val="00287D99"/>
    <w:rsid w:val="0029251E"/>
    <w:rsid w:val="002979AB"/>
    <w:rsid w:val="002A079D"/>
    <w:rsid w:val="002A76B2"/>
    <w:rsid w:val="002A7959"/>
    <w:rsid w:val="002B086D"/>
    <w:rsid w:val="002B0EA7"/>
    <w:rsid w:val="002B1631"/>
    <w:rsid w:val="002B2243"/>
    <w:rsid w:val="002C0C19"/>
    <w:rsid w:val="002C234B"/>
    <w:rsid w:val="002C43BD"/>
    <w:rsid w:val="002C60CA"/>
    <w:rsid w:val="002C6DAD"/>
    <w:rsid w:val="002D0842"/>
    <w:rsid w:val="002D0904"/>
    <w:rsid w:val="002D1B20"/>
    <w:rsid w:val="002D2B17"/>
    <w:rsid w:val="002D2C04"/>
    <w:rsid w:val="002D2C08"/>
    <w:rsid w:val="002D3003"/>
    <w:rsid w:val="002D374C"/>
    <w:rsid w:val="002D7329"/>
    <w:rsid w:val="002D75C3"/>
    <w:rsid w:val="002E02A1"/>
    <w:rsid w:val="002E2FB1"/>
    <w:rsid w:val="002E782F"/>
    <w:rsid w:val="002E7865"/>
    <w:rsid w:val="002F195F"/>
    <w:rsid w:val="002F6C06"/>
    <w:rsid w:val="00304771"/>
    <w:rsid w:val="0030518D"/>
    <w:rsid w:val="00306C5B"/>
    <w:rsid w:val="00307C5A"/>
    <w:rsid w:val="00311F37"/>
    <w:rsid w:val="0031315E"/>
    <w:rsid w:val="00314C56"/>
    <w:rsid w:val="00320068"/>
    <w:rsid w:val="00320214"/>
    <w:rsid w:val="003209D6"/>
    <w:rsid w:val="00322F99"/>
    <w:rsid w:val="0032607C"/>
    <w:rsid w:val="0032723C"/>
    <w:rsid w:val="00334715"/>
    <w:rsid w:val="0033664A"/>
    <w:rsid w:val="00336B3C"/>
    <w:rsid w:val="00336BBF"/>
    <w:rsid w:val="00337B23"/>
    <w:rsid w:val="00342198"/>
    <w:rsid w:val="00343389"/>
    <w:rsid w:val="00343F93"/>
    <w:rsid w:val="003464CE"/>
    <w:rsid w:val="00346FE5"/>
    <w:rsid w:val="00347835"/>
    <w:rsid w:val="00354D98"/>
    <w:rsid w:val="00360561"/>
    <w:rsid w:val="00361EA2"/>
    <w:rsid w:val="00362B1B"/>
    <w:rsid w:val="003657F3"/>
    <w:rsid w:val="00365FF3"/>
    <w:rsid w:val="003666FE"/>
    <w:rsid w:val="0036696D"/>
    <w:rsid w:val="00372277"/>
    <w:rsid w:val="00372888"/>
    <w:rsid w:val="003749A1"/>
    <w:rsid w:val="0038219B"/>
    <w:rsid w:val="0038266F"/>
    <w:rsid w:val="00383357"/>
    <w:rsid w:val="00385D98"/>
    <w:rsid w:val="00386537"/>
    <w:rsid w:val="00386725"/>
    <w:rsid w:val="00386CF2"/>
    <w:rsid w:val="0039058D"/>
    <w:rsid w:val="003914AF"/>
    <w:rsid w:val="00391562"/>
    <w:rsid w:val="00391963"/>
    <w:rsid w:val="003926FD"/>
    <w:rsid w:val="00393DB9"/>
    <w:rsid w:val="003948F3"/>
    <w:rsid w:val="00394C4E"/>
    <w:rsid w:val="003953AF"/>
    <w:rsid w:val="003A0EEE"/>
    <w:rsid w:val="003A253D"/>
    <w:rsid w:val="003A2B4D"/>
    <w:rsid w:val="003A3E04"/>
    <w:rsid w:val="003A478C"/>
    <w:rsid w:val="003A4AA5"/>
    <w:rsid w:val="003A5525"/>
    <w:rsid w:val="003A6B38"/>
    <w:rsid w:val="003A7B24"/>
    <w:rsid w:val="003B18D0"/>
    <w:rsid w:val="003B3F54"/>
    <w:rsid w:val="003B5267"/>
    <w:rsid w:val="003B54D5"/>
    <w:rsid w:val="003B5A32"/>
    <w:rsid w:val="003B5DF6"/>
    <w:rsid w:val="003B666B"/>
    <w:rsid w:val="003B6A6B"/>
    <w:rsid w:val="003C0124"/>
    <w:rsid w:val="003C0A7B"/>
    <w:rsid w:val="003C0B7C"/>
    <w:rsid w:val="003C1488"/>
    <w:rsid w:val="003C2710"/>
    <w:rsid w:val="003C6300"/>
    <w:rsid w:val="003C6521"/>
    <w:rsid w:val="003C6C12"/>
    <w:rsid w:val="003C6CC2"/>
    <w:rsid w:val="003C7F3A"/>
    <w:rsid w:val="003D2F8C"/>
    <w:rsid w:val="003D366C"/>
    <w:rsid w:val="003D4277"/>
    <w:rsid w:val="003D4677"/>
    <w:rsid w:val="003D51D3"/>
    <w:rsid w:val="003D59C3"/>
    <w:rsid w:val="003D5B07"/>
    <w:rsid w:val="003D7CA8"/>
    <w:rsid w:val="003E05EC"/>
    <w:rsid w:val="003E13B6"/>
    <w:rsid w:val="003E145A"/>
    <w:rsid w:val="003E2412"/>
    <w:rsid w:val="003E5416"/>
    <w:rsid w:val="003E6BEA"/>
    <w:rsid w:val="003F313C"/>
    <w:rsid w:val="003F382B"/>
    <w:rsid w:val="003F60A2"/>
    <w:rsid w:val="003F61D7"/>
    <w:rsid w:val="004004F4"/>
    <w:rsid w:val="0040219C"/>
    <w:rsid w:val="00405023"/>
    <w:rsid w:val="004102A7"/>
    <w:rsid w:val="00411820"/>
    <w:rsid w:val="0041347C"/>
    <w:rsid w:val="00415A33"/>
    <w:rsid w:val="00417E55"/>
    <w:rsid w:val="00421C9C"/>
    <w:rsid w:val="004247EC"/>
    <w:rsid w:val="00426361"/>
    <w:rsid w:val="0043360F"/>
    <w:rsid w:val="00434B00"/>
    <w:rsid w:val="004376B2"/>
    <w:rsid w:val="00440AD7"/>
    <w:rsid w:val="0044103B"/>
    <w:rsid w:val="00441B31"/>
    <w:rsid w:val="00441C15"/>
    <w:rsid w:val="00442D47"/>
    <w:rsid w:val="004430B0"/>
    <w:rsid w:val="00443460"/>
    <w:rsid w:val="00444341"/>
    <w:rsid w:val="00446423"/>
    <w:rsid w:val="004475A3"/>
    <w:rsid w:val="00451DCD"/>
    <w:rsid w:val="004521A2"/>
    <w:rsid w:val="004559AB"/>
    <w:rsid w:val="00455DF3"/>
    <w:rsid w:val="004565AA"/>
    <w:rsid w:val="00456A8A"/>
    <w:rsid w:val="00456C25"/>
    <w:rsid w:val="00461E59"/>
    <w:rsid w:val="004650FE"/>
    <w:rsid w:val="00467D78"/>
    <w:rsid w:val="004720EB"/>
    <w:rsid w:val="00473A15"/>
    <w:rsid w:val="00475E25"/>
    <w:rsid w:val="00476265"/>
    <w:rsid w:val="0048086F"/>
    <w:rsid w:val="0048139F"/>
    <w:rsid w:val="004826D3"/>
    <w:rsid w:val="00494907"/>
    <w:rsid w:val="00494D14"/>
    <w:rsid w:val="004955C3"/>
    <w:rsid w:val="0049709E"/>
    <w:rsid w:val="004A0EA0"/>
    <w:rsid w:val="004A1330"/>
    <w:rsid w:val="004A2506"/>
    <w:rsid w:val="004A3BB1"/>
    <w:rsid w:val="004A77DF"/>
    <w:rsid w:val="004B04A4"/>
    <w:rsid w:val="004B3C25"/>
    <w:rsid w:val="004B55B7"/>
    <w:rsid w:val="004B5E7F"/>
    <w:rsid w:val="004B6BC4"/>
    <w:rsid w:val="004B7299"/>
    <w:rsid w:val="004B735D"/>
    <w:rsid w:val="004C0027"/>
    <w:rsid w:val="004C28E8"/>
    <w:rsid w:val="004C320B"/>
    <w:rsid w:val="004C3867"/>
    <w:rsid w:val="004C4662"/>
    <w:rsid w:val="004C4CD0"/>
    <w:rsid w:val="004C50E6"/>
    <w:rsid w:val="004C5373"/>
    <w:rsid w:val="004C7068"/>
    <w:rsid w:val="004C70DC"/>
    <w:rsid w:val="004D0211"/>
    <w:rsid w:val="004D09ED"/>
    <w:rsid w:val="004D198D"/>
    <w:rsid w:val="004D514D"/>
    <w:rsid w:val="004D6921"/>
    <w:rsid w:val="004D77C2"/>
    <w:rsid w:val="004E08AB"/>
    <w:rsid w:val="004E2AE4"/>
    <w:rsid w:val="004E30D4"/>
    <w:rsid w:val="004E46CC"/>
    <w:rsid w:val="004E48AF"/>
    <w:rsid w:val="004F06F5"/>
    <w:rsid w:val="004F077E"/>
    <w:rsid w:val="004F1EAD"/>
    <w:rsid w:val="004F2EF0"/>
    <w:rsid w:val="004F3581"/>
    <w:rsid w:val="004F40FF"/>
    <w:rsid w:val="004F4610"/>
    <w:rsid w:val="004F578F"/>
    <w:rsid w:val="004F6A6F"/>
    <w:rsid w:val="004F7606"/>
    <w:rsid w:val="00500146"/>
    <w:rsid w:val="00501034"/>
    <w:rsid w:val="00502FE3"/>
    <w:rsid w:val="00504BC1"/>
    <w:rsid w:val="00505138"/>
    <w:rsid w:val="00506B0A"/>
    <w:rsid w:val="00507287"/>
    <w:rsid w:val="005108C0"/>
    <w:rsid w:val="00511873"/>
    <w:rsid w:val="0051366C"/>
    <w:rsid w:val="00513963"/>
    <w:rsid w:val="00513B7E"/>
    <w:rsid w:val="005154B1"/>
    <w:rsid w:val="0052224A"/>
    <w:rsid w:val="00525137"/>
    <w:rsid w:val="005251DD"/>
    <w:rsid w:val="005269D4"/>
    <w:rsid w:val="00526E54"/>
    <w:rsid w:val="005275EE"/>
    <w:rsid w:val="005302C8"/>
    <w:rsid w:val="0053051B"/>
    <w:rsid w:val="00531128"/>
    <w:rsid w:val="00531D0D"/>
    <w:rsid w:val="005321F9"/>
    <w:rsid w:val="0053471C"/>
    <w:rsid w:val="00534808"/>
    <w:rsid w:val="00535595"/>
    <w:rsid w:val="0053613B"/>
    <w:rsid w:val="00537828"/>
    <w:rsid w:val="00542195"/>
    <w:rsid w:val="00542D4E"/>
    <w:rsid w:val="00543140"/>
    <w:rsid w:val="00545CF7"/>
    <w:rsid w:val="00547C98"/>
    <w:rsid w:val="005517D1"/>
    <w:rsid w:val="00554C67"/>
    <w:rsid w:val="00555D0F"/>
    <w:rsid w:val="00561B23"/>
    <w:rsid w:val="0056505B"/>
    <w:rsid w:val="005654E8"/>
    <w:rsid w:val="00566941"/>
    <w:rsid w:val="005705DE"/>
    <w:rsid w:val="005705EF"/>
    <w:rsid w:val="0057258F"/>
    <w:rsid w:val="005775FA"/>
    <w:rsid w:val="00583744"/>
    <w:rsid w:val="00583FFD"/>
    <w:rsid w:val="005857CB"/>
    <w:rsid w:val="00585A1E"/>
    <w:rsid w:val="005863BE"/>
    <w:rsid w:val="00587959"/>
    <w:rsid w:val="00590A81"/>
    <w:rsid w:val="00591741"/>
    <w:rsid w:val="00591D86"/>
    <w:rsid w:val="00593152"/>
    <w:rsid w:val="00593884"/>
    <w:rsid w:val="005A1910"/>
    <w:rsid w:val="005A21E0"/>
    <w:rsid w:val="005A3A03"/>
    <w:rsid w:val="005A5817"/>
    <w:rsid w:val="005B00B8"/>
    <w:rsid w:val="005B17D9"/>
    <w:rsid w:val="005B52F8"/>
    <w:rsid w:val="005B5D38"/>
    <w:rsid w:val="005C1664"/>
    <w:rsid w:val="005C50C5"/>
    <w:rsid w:val="005C6D5B"/>
    <w:rsid w:val="005D481A"/>
    <w:rsid w:val="005D5802"/>
    <w:rsid w:val="005D608A"/>
    <w:rsid w:val="005E0178"/>
    <w:rsid w:val="005E195A"/>
    <w:rsid w:val="005E214D"/>
    <w:rsid w:val="005E74A3"/>
    <w:rsid w:val="005E7AA3"/>
    <w:rsid w:val="005F169E"/>
    <w:rsid w:val="005F2025"/>
    <w:rsid w:val="005F2240"/>
    <w:rsid w:val="005F342C"/>
    <w:rsid w:val="005F3C2F"/>
    <w:rsid w:val="005F4465"/>
    <w:rsid w:val="005F46B4"/>
    <w:rsid w:val="005F4AA9"/>
    <w:rsid w:val="005F5CF1"/>
    <w:rsid w:val="005F694F"/>
    <w:rsid w:val="005F6D33"/>
    <w:rsid w:val="00600911"/>
    <w:rsid w:val="006033E3"/>
    <w:rsid w:val="00603E59"/>
    <w:rsid w:val="00604307"/>
    <w:rsid w:val="0060487F"/>
    <w:rsid w:val="00604C2A"/>
    <w:rsid w:val="00605B94"/>
    <w:rsid w:val="006132BC"/>
    <w:rsid w:val="006133E2"/>
    <w:rsid w:val="00615351"/>
    <w:rsid w:val="006158FC"/>
    <w:rsid w:val="006166C8"/>
    <w:rsid w:val="00616964"/>
    <w:rsid w:val="00621C6D"/>
    <w:rsid w:val="00622A1E"/>
    <w:rsid w:val="00622C6F"/>
    <w:rsid w:val="00624093"/>
    <w:rsid w:val="006257B2"/>
    <w:rsid w:val="00625DB3"/>
    <w:rsid w:val="0062639A"/>
    <w:rsid w:val="006265B2"/>
    <w:rsid w:val="00630DC5"/>
    <w:rsid w:val="00633AB4"/>
    <w:rsid w:val="00633CB5"/>
    <w:rsid w:val="00637416"/>
    <w:rsid w:val="00637474"/>
    <w:rsid w:val="00637F35"/>
    <w:rsid w:val="006404A7"/>
    <w:rsid w:val="006406BC"/>
    <w:rsid w:val="00640E2C"/>
    <w:rsid w:val="00641AF4"/>
    <w:rsid w:val="00643823"/>
    <w:rsid w:val="00643E8B"/>
    <w:rsid w:val="006451E4"/>
    <w:rsid w:val="00645226"/>
    <w:rsid w:val="00645C1D"/>
    <w:rsid w:val="0064669C"/>
    <w:rsid w:val="00652BFD"/>
    <w:rsid w:val="00654933"/>
    <w:rsid w:val="00654EE1"/>
    <w:rsid w:val="0065552E"/>
    <w:rsid w:val="00655623"/>
    <w:rsid w:val="006579F6"/>
    <w:rsid w:val="00657E87"/>
    <w:rsid w:val="006623E3"/>
    <w:rsid w:val="006638DB"/>
    <w:rsid w:val="00663977"/>
    <w:rsid w:val="00664D83"/>
    <w:rsid w:val="00666853"/>
    <w:rsid w:val="00667062"/>
    <w:rsid w:val="00667B13"/>
    <w:rsid w:val="00670992"/>
    <w:rsid w:val="006710C9"/>
    <w:rsid w:val="00671720"/>
    <w:rsid w:val="006719A4"/>
    <w:rsid w:val="006719A5"/>
    <w:rsid w:val="006723EE"/>
    <w:rsid w:val="0067277F"/>
    <w:rsid w:val="00672828"/>
    <w:rsid w:val="00672B64"/>
    <w:rsid w:val="00675B1C"/>
    <w:rsid w:val="00675E37"/>
    <w:rsid w:val="00680CE9"/>
    <w:rsid w:val="00681F2F"/>
    <w:rsid w:val="0068260E"/>
    <w:rsid w:val="00682729"/>
    <w:rsid w:val="00682A3E"/>
    <w:rsid w:val="00683156"/>
    <w:rsid w:val="00686855"/>
    <w:rsid w:val="00687608"/>
    <w:rsid w:val="0069007E"/>
    <w:rsid w:val="0069264C"/>
    <w:rsid w:val="00693807"/>
    <w:rsid w:val="00694A22"/>
    <w:rsid w:val="00695BEF"/>
    <w:rsid w:val="00696514"/>
    <w:rsid w:val="0069732C"/>
    <w:rsid w:val="006977F6"/>
    <w:rsid w:val="00697A13"/>
    <w:rsid w:val="006A109C"/>
    <w:rsid w:val="006A16FE"/>
    <w:rsid w:val="006A3DCB"/>
    <w:rsid w:val="006A4E2D"/>
    <w:rsid w:val="006A6F16"/>
    <w:rsid w:val="006B0C80"/>
    <w:rsid w:val="006B32AD"/>
    <w:rsid w:val="006B3DF1"/>
    <w:rsid w:val="006B4E46"/>
    <w:rsid w:val="006B6A86"/>
    <w:rsid w:val="006B78D8"/>
    <w:rsid w:val="006C0070"/>
    <w:rsid w:val="006C083E"/>
    <w:rsid w:val="006C0D7D"/>
    <w:rsid w:val="006C113F"/>
    <w:rsid w:val="006C3774"/>
    <w:rsid w:val="006C43A8"/>
    <w:rsid w:val="006C5577"/>
    <w:rsid w:val="006C5916"/>
    <w:rsid w:val="006C6C06"/>
    <w:rsid w:val="006C748A"/>
    <w:rsid w:val="006D3889"/>
    <w:rsid w:val="006D47FF"/>
    <w:rsid w:val="006D4B5D"/>
    <w:rsid w:val="006D53CB"/>
    <w:rsid w:val="006D5820"/>
    <w:rsid w:val="006D61F6"/>
    <w:rsid w:val="006D69DE"/>
    <w:rsid w:val="006D6AC4"/>
    <w:rsid w:val="006D7852"/>
    <w:rsid w:val="006E279A"/>
    <w:rsid w:val="006E313B"/>
    <w:rsid w:val="006F51DA"/>
    <w:rsid w:val="006F675B"/>
    <w:rsid w:val="007010D1"/>
    <w:rsid w:val="00702A86"/>
    <w:rsid w:val="00702C83"/>
    <w:rsid w:val="007031B7"/>
    <w:rsid w:val="00706028"/>
    <w:rsid w:val="007068D8"/>
    <w:rsid w:val="00707E1A"/>
    <w:rsid w:val="00710E7A"/>
    <w:rsid w:val="0071229A"/>
    <w:rsid w:val="00712B28"/>
    <w:rsid w:val="00715790"/>
    <w:rsid w:val="00720CB2"/>
    <w:rsid w:val="007211F5"/>
    <w:rsid w:val="00722DB2"/>
    <w:rsid w:val="00724673"/>
    <w:rsid w:val="00724E61"/>
    <w:rsid w:val="007252CC"/>
    <w:rsid w:val="007254C4"/>
    <w:rsid w:val="00725987"/>
    <w:rsid w:val="00725A5E"/>
    <w:rsid w:val="00727901"/>
    <w:rsid w:val="00727DB3"/>
    <w:rsid w:val="00730AE8"/>
    <w:rsid w:val="00730D5A"/>
    <w:rsid w:val="0073198C"/>
    <w:rsid w:val="0073443E"/>
    <w:rsid w:val="00734B6D"/>
    <w:rsid w:val="00741493"/>
    <w:rsid w:val="007418AE"/>
    <w:rsid w:val="00741BE5"/>
    <w:rsid w:val="00744016"/>
    <w:rsid w:val="00746464"/>
    <w:rsid w:val="00752180"/>
    <w:rsid w:val="007521A6"/>
    <w:rsid w:val="007525ED"/>
    <w:rsid w:val="00753451"/>
    <w:rsid w:val="00754A14"/>
    <w:rsid w:val="00755C5A"/>
    <w:rsid w:val="00755D3A"/>
    <w:rsid w:val="00757802"/>
    <w:rsid w:val="007609C6"/>
    <w:rsid w:val="007617F8"/>
    <w:rsid w:val="007623FB"/>
    <w:rsid w:val="00763A76"/>
    <w:rsid w:val="00770F45"/>
    <w:rsid w:val="00772A92"/>
    <w:rsid w:val="0077362C"/>
    <w:rsid w:val="00775A0F"/>
    <w:rsid w:val="00776527"/>
    <w:rsid w:val="0078095F"/>
    <w:rsid w:val="00781C91"/>
    <w:rsid w:val="00782478"/>
    <w:rsid w:val="007827F7"/>
    <w:rsid w:val="00782DF3"/>
    <w:rsid w:val="00783208"/>
    <w:rsid w:val="00783300"/>
    <w:rsid w:val="0078395C"/>
    <w:rsid w:val="00783B95"/>
    <w:rsid w:val="0078482F"/>
    <w:rsid w:val="00784EF4"/>
    <w:rsid w:val="00785496"/>
    <w:rsid w:val="00787542"/>
    <w:rsid w:val="00787676"/>
    <w:rsid w:val="00790AD7"/>
    <w:rsid w:val="00792E3E"/>
    <w:rsid w:val="0079385C"/>
    <w:rsid w:val="007951A7"/>
    <w:rsid w:val="0079547B"/>
    <w:rsid w:val="00795E97"/>
    <w:rsid w:val="007971B7"/>
    <w:rsid w:val="007A09C0"/>
    <w:rsid w:val="007A26C3"/>
    <w:rsid w:val="007A4E8B"/>
    <w:rsid w:val="007A6A81"/>
    <w:rsid w:val="007A6B37"/>
    <w:rsid w:val="007B1C96"/>
    <w:rsid w:val="007B363F"/>
    <w:rsid w:val="007B47EE"/>
    <w:rsid w:val="007B5D4E"/>
    <w:rsid w:val="007B60D9"/>
    <w:rsid w:val="007B675D"/>
    <w:rsid w:val="007C0AA8"/>
    <w:rsid w:val="007C134C"/>
    <w:rsid w:val="007C427E"/>
    <w:rsid w:val="007C43A8"/>
    <w:rsid w:val="007C4B4C"/>
    <w:rsid w:val="007C596C"/>
    <w:rsid w:val="007D071C"/>
    <w:rsid w:val="007D1C91"/>
    <w:rsid w:val="007D20CD"/>
    <w:rsid w:val="007D4441"/>
    <w:rsid w:val="007D474A"/>
    <w:rsid w:val="007D6AB5"/>
    <w:rsid w:val="007E060A"/>
    <w:rsid w:val="007E0D42"/>
    <w:rsid w:val="007E12CE"/>
    <w:rsid w:val="007E260F"/>
    <w:rsid w:val="007E710D"/>
    <w:rsid w:val="007E7DDE"/>
    <w:rsid w:val="007E7E61"/>
    <w:rsid w:val="007F7478"/>
    <w:rsid w:val="00800576"/>
    <w:rsid w:val="00800F0D"/>
    <w:rsid w:val="008025FB"/>
    <w:rsid w:val="00805966"/>
    <w:rsid w:val="00806124"/>
    <w:rsid w:val="00807427"/>
    <w:rsid w:val="00810074"/>
    <w:rsid w:val="008120C8"/>
    <w:rsid w:val="00814273"/>
    <w:rsid w:val="0081713A"/>
    <w:rsid w:val="00817307"/>
    <w:rsid w:val="00821B0E"/>
    <w:rsid w:val="00821FF6"/>
    <w:rsid w:val="008253B9"/>
    <w:rsid w:val="008301CD"/>
    <w:rsid w:val="008302D3"/>
    <w:rsid w:val="008309B1"/>
    <w:rsid w:val="00830FC6"/>
    <w:rsid w:val="0083143E"/>
    <w:rsid w:val="00834045"/>
    <w:rsid w:val="00834257"/>
    <w:rsid w:val="00834FAA"/>
    <w:rsid w:val="00835005"/>
    <w:rsid w:val="008352E9"/>
    <w:rsid w:val="00836086"/>
    <w:rsid w:val="00836A55"/>
    <w:rsid w:val="00840020"/>
    <w:rsid w:val="00840BFD"/>
    <w:rsid w:val="00841720"/>
    <w:rsid w:val="00841D9F"/>
    <w:rsid w:val="00845A8D"/>
    <w:rsid w:val="008510F6"/>
    <w:rsid w:val="00851B11"/>
    <w:rsid w:val="00853A2E"/>
    <w:rsid w:val="00855636"/>
    <w:rsid w:val="0085740B"/>
    <w:rsid w:val="008604CE"/>
    <w:rsid w:val="00860936"/>
    <w:rsid w:val="00861654"/>
    <w:rsid w:val="0086201C"/>
    <w:rsid w:val="008624E1"/>
    <w:rsid w:val="0086292E"/>
    <w:rsid w:val="00865ABE"/>
    <w:rsid w:val="00867BDC"/>
    <w:rsid w:val="008720A9"/>
    <w:rsid w:val="008738D6"/>
    <w:rsid w:val="008742EB"/>
    <w:rsid w:val="00874AB0"/>
    <w:rsid w:val="00876086"/>
    <w:rsid w:val="008766F3"/>
    <w:rsid w:val="00876DA8"/>
    <w:rsid w:val="00877B11"/>
    <w:rsid w:val="00881C75"/>
    <w:rsid w:val="00890918"/>
    <w:rsid w:val="008919CC"/>
    <w:rsid w:val="00892989"/>
    <w:rsid w:val="008938EA"/>
    <w:rsid w:val="00897167"/>
    <w:rsid w:val="008A1624"/>
    <w:rsid w:val="008A24DB"/>
    <w:rsid w:val="008A3A2D"/>
    <w:rsid w:val="008A3FB9"/>
    <w:rsid w:val="008A4331"/>
    <w:rsid w:val="008A65EA"/>
    <w:rsid w:val="008A68E2"/>
    <w:rsid w:val="008B1D00"/>
    <w:rsid w:val="008B206F"/>
    <w:rsid w:val="008B5972"/>
    <w:rsid w:val="008B6A77"/>
    <w:rsid w:val="008B7C02"/>
    <w:rsid w:val="008C0E88"/>
    <w:rsid w:val="008C4062"/>
    <w:rsid w:val="008D1040"/>
    <w:rsid w:val="008D1F8F"/>
    <w:rsid w:val="008D22B1"/>
    <w:rsid w:val="008D2A16"/>
    <w:rsid w:val="008D40DC"/>
    <w:rsid w:val="008D54E8"/>
    <w:rsid w:val="008D6C74"/>
    <w:rsid w:val="008E07C0"/>
    <w:rsid w:val="008E29B7"/>
    <w:rsid w:val="008E2B9B"/>
    <w:rsid w:val="008E31FF"/>
    <w:rsid w:val="008E3259"/>
    <w:rsid w:val="008E4251"/>
    <w:rsid w:val="008E5341"/>
    <w:rsid w:val="008E5973"/>
    <w:rsid w:val="008E72F6"/>
    <w:rsid w:val="008F0B0C"/>
    <w:rsid w:val="008F1955"/>
    <w:rsid w:val="008F1AA7"/>
    <w:rsid w:val="008F44CA"/>
    <w:rsid w:val="008F6703"/>
    <w:rsid w:val="008F6865"/>
    <w:rsid w:val="009003A4"/>
    <w:rsid w:val="009003A8"/>
    <w:rsid w:val="00902EFF"/>
    <w:rsid w:val="0090382A"/>
    <w:rsid w:val="00904E12"/>
    <w:rsid w:val="00906CF5"/>
    <w:rsid w:val="00907B8E"/>
    <w:rsid w:val="00907C0E"/>
    <w:rsid w:val="009125EE"/>
    <w:rsid w:val="00915C43"/>
    <w:rsid w:val="00916991"/>
    <w:rsid w:val="0092098A"/>
    <w:rsid w:val="00920D57"/>
    <w:rsid w:val="00921F14"/>
    <w:rsid w:val="009242D7"/>
    <w:rsid w:val="00926A4B"/>
    <w:rsid w:val="009272A3"/>
    <w:rsid w:val="009277C8"/>
    <w:rsid w:val="00930030"/>
    <w:rsid w:val="009327DF"/>
    <w:rsid w:val="00933610"/>
    <w:rsid w:val="00933B6E"/>
    <w:rsid w:val="0093776A"/>
    <w:rsid w:val="009403FC"/>
    <w:rsid w:val="00943AEC"/>
    <w:rsid w:val="0094427A"/>
    <w:rsid w:val="00946C2B"/>
    <w:rsid w:val="00947FF0"/>
    <w:rsid w:val="00951FD1"/>
    <w:rsid w:val="00955E73"/>
    <w:rsid w:val="0095628D"/>
    <w:rsid w:val="009566CA"/>
    <w:rsid w:val="00956FEF"/>
    <w:rsid w:val="00961168"/>
    <w:rsid w:val="00961950"/>
    <w:rsid w:val="00962DE1"/>
    <w:rsid w:val="00963A1F"/>
    <w:rsid w:val="0096405C"/>
    <w:rsid w:val="00964C02"/>
    <w:rsid w:val="00964D03"/>
    <w:rsid w:val="009732BA"/>
    <w:rsid w:val="00973454"/>
    <w:rsid w:val="009744FB"/>
    <w:rsid w:val="00974923"/>
    <w:rsid w:val="0098121F"/>
    <w:rsid w:val="00981EE2"/>
    <w:rsid w:val="00982217"/>
    <w:rsid w:val="00983D68"/>
    <w:rsid w:val="0098703B"/>
    <w:rsid w:val="009875D5"/>
    <w:rsid w:val="00991FEE"/>
    <w:rsid w:val="009920FC"/>
    <w:rsid w:val="0099304A"/>
    <w:rsid w:val="00993F3E"/>
    <w:rsid w:val="009958F2"/>
    <w:rsid w:val="0099696B"/>
    <w:rsid w:val="0099716B"/>
    <w:rsid w:val="009A0EB3"/>
    <w:rsid w:val="009A1420"/>
    <w:rsid w:val="009A2341"/>
    <w:rsid w:val="009A2CEF"/>
    <w:rsid w:val="009A38A0"/>
    <w:rsid w:val="009A6C2D"/>
    <w:rsid w:val="009A7078"/>
    <w:rsid w:val="009B04D0"/>
    <w:rsid w:val="009B0EE0"/>
    <w:rsid w:val="009B25C2"/>
    <w:rsid w:val="009B4B06"/>
    <w:rsid w:val="009B5F68"/>
    <w:rsid w:val="009B607D"/>
    <w:rsid w:val="009B6FD3"/>
    <w:rsid w:val="009B75F0"/>
    <w:rsid w:val="009B7DCE"/>
    <w:rsid w:val="009C0493"/>
    <w:rsid w:val="009C04C1"/>
    <w:rsid w:val="009C0E26"/>
    <w:rsid w:val="009C1FED"/>
    <w:rsid w:val="009C246A"/>
    <w:rsid w:val="009C38F9"/>
    <w:rsid w:val="009C49AF"/>
    <w:rsid w:val="009C5CBF"/>
    <w:rsid w:val="009D221F"/>
    <w:rsid w:val="009D28AE"/>
    <w:rsid w:val="009D4F97"/>
    <w:rsid w:val="009D7AE2"/>
    <w:rsid w:val="009E32E4"/>
    <w:rsid w:val="009E3876"/>
    <w:rsid w:val="009E4939"/>
    <w:rsid w:val="009E4D26"/>
    <w:rsid w:val="009E4FFE"/>
    <w:rsid w:val="009E72E5"/>
    <w:rsid w:val="009E74D7"/>
    <w:rsid w:val="009F172A"/>
    <w:rsid w:val="009F1E71"/>
    <w:rsid w:val="009F2BD2"/>
    <w:rsid w:val="009F2DD1"/>
    <w:rsid w:val="009F3532"/>
    <w:rsid w:val="009F359B"/>
    <w:rsid w:val="009F3C5C"/>
    <w:rsid w:val="009F46EB"/>
    <w:rsid w:val="009F5EC4"/>
    <w:rsid w:val="00A01B0E"/>
    <w:rsid w:val="00A027E4"/>
    <w:rsid w:val="00A04CF1"/>
    <w:rsid w:val="00A050F4"/>
    <w:rsid w:val="00A055B9"/>
    <w:rsid w:val="00A05F1D"/>
    <w:rsid w:val="00A0613F"/>
    <w:rsid w:val="00A06AD3"/>
    <w:rsid w:val="00A10D66"/>
    <w:rsid w:val="00A116C7"/>
    <w:rsid w:val="00A12C61"/>
    <w:rsid w:val="00A12F76"/>
    <w:rsid w:val="00A13C46"/>
    <w:rsid w:val="00A14B8B"/>
    <w:rsid w:val="00A14CD4"/>
    <w:rsid w:val="00A15EE3"/>
    <w:rsid w:val="00A203AF"/>
    <w:rsid w:val="00A20732"/>
    <w:rsid w:val="00A22035"/>
    <w:rsid w:val="00A23E43"/>
    <w:rsid w:val="00A242A0"/>
    <w:rsid w:val="00A25B7A"/>
    <w:rsid w:val="00A27D05"/>
    <w:rsid w:val="00A27D68"/>
    <w:rsid w:val="00A301C8"/>
    <w:rsid w:val="00A33EFD"/>
    <w:rsid w:val="00A35033"/>
    <w:rsid w:val="00A36440"/>
    <w:rsid w:val="00A375DD"/>
    <w:rsid w:val="00A418F4"/>
    <w:rsid w:val="00A419C3"/>
    <w:rsid w:val="00A4407F"/>
    <w:rsid w:val="00A4637C"/>
    <w:rsid w:val="00A46DE0"/>
    <w:rsid w:val="00A51D29"/>
    <w:rsid w:val="00A52AD5"/>
    <w:rsid w:val="00A54313"/>
    <w:rsid w:val="00A56434"/>
    <w:rsid w:val="00A564D5"/>
    <w:rsid w:val="00A62CE1"/>
    <w:rsid w:val="00A6375A"/>
    <w:rsid w:val="00A65533"/>
    <w:rsid w:val="00A67765"/>
    <w:rsid w:val="00A72613"/>
    <w:rsid w:val="00A72D14"/>
    <w:rsid w:val="00A75E40"/>
    <w:rsid w:val="00A8078B"/>
    <w:rsid w:val="00A83FBF"/>
    <w:rsid w:val="00A8492D"/>
    <w:rsid w:val="00A857C0"/>
    <w:rsid w:val="00A8786B"/>
    <w:rsid w:val="00A87CB4"/>
    <w:rsid w:val="00A9070E"/>
    <w:rsid w:val="00A90BFD"/>
    <w:rsid w:val="00A90D0B"/>
    <w:rsid w:val="00A90D40"/>
    <w:rsid w:val="00A91BD7"/>
    <w:rsid w:val="00A932AB"/>
    <w:rsid w:val="00A9335E"/>
    <w:rsid w:val="00A933FF"/>
    <w:rsid w:val="00A935A3"/>
    <w:rsid w:val="00A9379E"/>
    <w:rsid w:val="00A97962"/>
    <w:rsid w:val="00A97D4B"/>
    <w:rsid w:val="00AA1814"/>
    <w:rsid w:val="00AA1F1F"/>
    <w:rsid w:val="00AA2EA8"/>
    <w:rsid w:val="00AA48DC"/>
    <w:rsid w:val="00AA559A"/>
    <w:rsid w:val="00AA58B2"/>
    <w:rsid w:val="00AA5EAA"/>
    <w:rsid w:val="00AA6C98"/>
    <w:rsid w:val="00AB0ECD"/>
    <w:rsid w:val="00AB148E"/>
    <w:rsid w:val="00AB1D4A"/>
    <w:rsid w:val="00AB2AF1"/>
    <w:rsid w:val="00AB387C"/>
    <w:rsid w:val="00AB434A"/>
    <w:rsid w:val="00AB4C22"/>
    <w:rsid w:val="00AB628F"/>
    <w:rsid w:val="00AB642F"/>
    <w:rsid w:val="00AC0B77"/>
    <w:rsid w:val="00AC2FF5"/>
    <w:rsid w:val="00AC400F"/>
    <w:rsid w:val="00AC50C6"/>
    <w:rsid w:val="00AC7271"/>
    <w:rsid w:val="00AD056F"/>
    <w:rsid w:val="00AD0D76"/>
    <w:rsid w:val="00AD13AC"/>
    <w:rsid w:val="00AD306C"/>
    <w:rsid w:val="00AD6539"/>
    <w:rsid w:val="00AE0CAF"/>
    <w:rsid w:val="00AE180A"/>
    <w:rsid w:val="00AE3A99"/>
    <w:rsid w:val="00AE5D67"/>
    <w:rsid w:val="00AF086E"/>
    <w:rsid w:val="00AF10BC"/>
    <w:rsid w:val="00AF1495"/>
    <w:rsid w:val="00AF2852"/>
    <w:rsid w:val="00AF3ABF"/>
    <w:rsid w:val="00AF3FEB"/>
    <w:rsid w:val="00B01C79"/>
    <w:rsid w:val="00B01CAD"/>
    <w:rsid w:val="00B03449"/>
    <w:rsid w:val="00B04302"/>
    <w:rsid w:val="00B06315"/>
    <w:rsid w:val="00B07686"/>
    <w:rsid w:val="00B10764"/>
    <w:rsid w:val="00B109CB"/>
    <w:rsid w:val="00B12D7D"/>
    <w:rsid w:val="00B14400"/>
    <w:rsid w:val="00B17E71"/>
    <w:rsid w:val="00B17FDE"/>
    <w:rsid w:val="00B2106C"/>
    <w:rsid w:val="00B24D48"/>
    <w:rsid w:val="00B25DE5"/>
    <w:rsid w:val="00B27293"/>
    <w:rsid w:val="00B31221"/>
    <w:rsid w:val="00B315AC"/>
    <w:rsid w:val="00B31878"/>
    <w:rsid w:val="00B31D5F"/>
    <w:rsid w:val="00B32DDB"/>
    <w:rsid w:val="00B3437F"/>
    <w:rsid w:val="00B34B36"/>
    <w:rsid w:val="00B35B5B"/>
    <w:rsid w:val="00B37117"/>
    <w:rsid w:val="00B37555"/>
    <w:rsid w:val="00B41931"/>
    <w:rsid w:val="00B41D57"/>
    <w:rsid w:val="00B43816"/>
    <w:rsid w:val="00B43EA0"/>
    <w:rsid w:val="00B46711"/>
    <w:rsid w:val="00B4693C"/>
    <w:rsid w:val="00B526C5"/>
    <w:rsid w:val="00B52F6E"/>
    <w:rsid w:val="00B53D96"/>
    <w:rsid w:val="00B60042"/>
    <w:rsid w:val="00B6151D"/>
    <w:rsid w:val="00B620F5"/>
    <w:rsid w:val="00B6608F"/>
    <w:rsid w:val="00B66B81"/>
    <w:rsid w:val="00B671CA"/>
    <w:rsid w:val="00B7020D"/>
    <w:rsid w:val="00B71F9B"/>
    <w:rsid w:val="00B73769"/>
    <w:rsid w:val="00B747F4"/>
    <w:rsid w:val="00B75C01"/>
    <w:rsid w:val="00B76D1E"/>
    <w:rsid w:val="00B77653"/>
    <w:rsid w:val="00B840C4"/>
    <w:rsid w:val="00B85458"/>
    <w:rsid w:val="00B85A4C"/>
    <w:rsid w:val="00B87022"/>
    <w:rsid w:val="00B87885"/>
    <w:rsid w:val="00B90353"/>
    <w:rsid w:val="00B9468E"/>
    <w:rsid w:val="00B95940"/>
    <w:rsid w:val="00B95E77"/>
    <w:rsid w:val="00B95F50"/>
    <w:rsid w:val="00B96972"/>
    <w:rsid w:val="00B96E22"/>
    <w:rsid w:val="00B9716B"/>
    <w:rsid w:val="00B97BEC"/>
    <w:rsid w:val="00BA28C7"/>
    <w:rsid w:val="00BA2A94"/>
    <w:rsid w:val="00BA3160"/>
    <w:rsid w:val="00BA3E7F"/>
    <w:rsid w:val="00BA493B"/>
    <w:rsid w:val="00BA59D7"/>
    <w:rsid w:val="00BA7AF4"/>
    <w:rsid w:val="00BB0609"/>
    <w:rsid w:val="00BB10D4"/>
    <w:rsid w:val="00BB2AC8"/>
    <w:rsid w:val="00BB466D"/>
    <w:rsid w:val="00BB4DD5"/>
    <w:rsid w:val="00BB4E85"/>
    <w:rsid w:val="00BB5761"/>
    <w:rsid w:val="00BB7D4A"/>
    <w:rsid w:val="00BC054A"/>
    <w:rsid w:val="00BC327F"/>
    <w:rsid w:val="00BC3543"/>
    <w:rsid w:val="00BD018C"/>
    <w:rsid w:val="00BD03C7"/>
    <w:rsid w:val="00BD366B"/>
    <w:rsid w:val="00BD459B"/>
    <w:rsid w:val="00BD6D50"/>
    <w:rsid w:val="00BD7BE5"/>
    <w:rsid w:val="00BD7D5F"/>
    <w:rsid w:val="00BE0293"/>
    <w:rsid w:val="00BE2AFF"/>
    <w:rsid w:val="00BE3C7B"/>
    <w:rsid w:val="00BE6F80"/>
    <w:rsid w:val="00BF32DC"/>
    <w:rsid w:val="00BF5892"/>
    <w:rsid w:val="00BF7B33"/>
    <w:rsid w:val="00C000ED"/>
    <w:rsid w:val="00C003E7"/>
    <w:rsid w:val="00C038B5"/>
    <w:rsid w:val="00C04880"/>
    <w:rsid w:val="00C050A9"/>
    <w:rsid w:val="00C05473"/>
    <w:rsid w:val="00C061E5"/>
    <w:rsid w:val="00C06547"/>
    <w:rsid w:val="00C06AE1"/>
    <w:rsid w:val="00C07690"/>
    <w:rsid w:val="00C10B1B"/>
    <w:rsid w:val="00C16E6D"/>
    <w:rsid w:val="00C1715A"/>
    <w:rsid w:val="00C21AE7"/>
    <w:rsid w:val="00C21F94"/>
    <w:rsid w:val="00C22EA3"/>
    <w:rsid w:val="00C236C5"/>
    <w:rsid w:val="00C23743"/>
    <w:rsid w:val="00C25137"/>
    <w:rsid w:val="00C258C7"/>
    <w:rsid w:val="00C25FE8"/>
    <w:rsid w:val="00C2616E"/>
    <w:rsid w:val="00C329DC"/>
    <w:rsid w:val="00C356FB"/>
    <w:rsid w:val="00C37053"/>
    <w:rsid w:val="00C374F9"/>
    <w:rsid w:val="00C37593"/>
    <w:rsid w:val="00C37C14"/>
    <w:rsid w:val="00C43B1F"/>
    <w:rsid w:val="00C43C36"/>
    <w:rsid w:val="00C44734"/>
    <w:rsid w:val="00C50A10"/>
    <w:rsid w:val="00C5568F"/>
    <w:rsid w:val="00C612EB"/>
    <w:rsid w:val="00C63A90"/>
    <w:rsid w:val="00C64B36"/>
    <w:rsid w:val="00C64F90"/>
    <w:rsid w:val="00C65421"/>
    <w:rsid w:val="00C66149"/>
    <w:rsid w:val="00C66848"/>
    <w:rsid w:val="00C67128"/>
    <w:rsid w:val="00C71DB4"/>
    <w:rsid w:val="00C73700"/>
    <w:rsid w:val="00C74B35"/>
    <w:rsid w:val="00C759E5"/>
    <w:rsid w:val="00C76434"/>
    <w:rsid w:val="00C77D3B"/>
    <w:rsid w:val="00C80B64"/>
    <w:rsid w:val="00C80F44"/>
    <w:rsid w:val="00C8111E"/>
    <w:rsid w:val="00C8182E"/>
    <w:rsid w:val="00C82D20"/>
    <w:rsid w:val="00C838BE"/>
    <w:rsid w:val="00C90CF4"/>
    <w:rsid w:val="00C911F0"/>
    <w:rsid w:val="00C91AFA"/>
    <w:rsid w:val="00C93389"/>
    <w:rsid w:val="00C946A7"/>
    <w:rsid w:val="00C94986"/>
    <w:rsid w:val="00C97DB5"/>
    <w:rsid w:val="00CA325C"/>
    <w:rsid w:val="00CA3F31"/>
    <w:rsid w:val="00CA4110"/>
    <w:rsid w:val="00CA66C2"/>
    <w:rsid w:val="00CB220D"/>
    <w:rsid w:val="00CB288B"/>
    <w:rsid w:val="00CB4D09"/>
    <w:rsid w:val="00CB7994"/>
    <w:rsid w:val="00CC02E1"/>
    <w:rsid w:val="00CC4A96"/>
    <w:rsid w:val="00CC5827"/>
    <w:rsid w:val="00CC5881"/>
    <w:rsid w:val="00CC5E55"/>
    <w:rsid w:val="00CC74E2"/>
    <w:rsid w:val="00CD5A95"/>
    <w:rsid w:val="00CD6B0B"/>
    <w:rsid w:val="00CD79BB"/>
    <w:rsid w:val="00CE2C98"/>
    <w:rsid w:val="00CE3C75"/>
    <w:rsid w:val="00CE4356"/>
    <w:rsid w:val="00CE46E0"/>
    <w:rsid w:val="00CE4C85"/>
    <w:rsid w:val="00CE7938"/>
    <w:rsid w:val="00CF1617"/>
    <w:rsid w:val="00CF2FF2"/>
    <w:rsid w:val="00CF51EC"/>
    <w:rsid w:val="00D00311"/>
    <w:rsid w:val="00D00792"/>
    <w:rsid w:val="00D01CFD"/>
    <w:rsid w:val="00D01F3E"/>
    <w:rsid w:val="00D02F7B"/>
    <w:rsid w:val="00D037F9"/>
    <w:rsid w:val="00D040DD"/>
    <w:rsid w:val="00D04895"/>
    <w:rsid w:val="00D05C33"/>
    <w:rsid w:val="00D069D7"/>
    <w:rsid w:val="00D06FA4"/>
    <w:rsid w:val="00D10426"/>
    <w:rsid w:val="00D10F37"/>
    <w:rsid w:val="00D15CFC"/>
    <w:rsid w:val="00D16208"/>
    <w:rsid w:val="00D17D92"/>
    <w:rsid w:val="00D206D6"/>
    <w:rsid w:val="00D253ED"/>
    <w:rsid w:val="00D26097"/>
    <w:rsid w:val="00D31445"/>
    <w:rsid w:val="00D32AAF"/>
    <w:rsid w:val="00D32B15"/>
    <w:rsid w:val="00D33828"/>
    <w:rsid w:val="00D377E2"/>
    <w:rsid w:val="00D37FAC"/>
    <w:rsid w:val="00D40AEA"/>
    <w:rsid w:val="00D416F2"/>
    <w:rsid w:val="00D43B23"/>
    <w:rsid w:val="00D43B96"/>
    <w:rsid w:val="00D4654E"/>
    <w:rsid w:val="00D47170"/>
    <w:rsid w:val="00D47FD7"/>
    <w:rsid w:val="00D53328"/>
    <w:rsid w:val="00D5422B"/>
    <w:rsid w:val="00D5571D"/>
    <w:rsid w:val="00D55A82"/>
    <w:rsid w:val="00D55E8E"/>
    <w:rsid w:val="00D56BBE"/>
    <w:rsid w:val="00D56EC8"/>
    <w:rsid w:val="00D57BF6"/>
    <w:rsid w:val="00D603AA"/>
    <w:rsid w:val="00D61709"/>
    <w:rsid w:val="00D61BD4"/>
    <w:rsid w:val="00D61F19"/>
    <w:rsid w:val="00D63DA8"/>
    <w:rsid w:val="00D644DC"/>
    <w:rsid w:val="00D64B32"/>
    <w:rsid w:val="00D666B9"/>
    <w:rsid w:val="00D67880"/>
    <w:rsid w:val="00D70EA2"/>
    <w:rsid w:val="00D71955"/>
    <w:rsid w:val="00D7226D"/>
    <w:rsid w:val="00D729A5"/>
    <w:rsid w:val="00D74FCF"/>
    <w:rsid w:val="00D7516F"/>
    <w:rsid w:val="00D754A4"/>
    <w:rsid w:val="00D7569E"/>
    <w:rsid w:val="00D75A1B"/>
    <w:rsid w:val="00D76D62"/>
    <w:rsid w:val="00D777F7"/>
    <w:rsid w:val="00D7788B"/>
    <w:rsid w:val="00D778DC"/>
    <w:rsid w:val="00D77B60"/>
    <w:rsid w:val="00D77E08"/>
    <w:rsid w:val="00D80442"/>
    <w:rsid w:val="00D811F6"/>
    <w:rsid w:val="00D81BFB"/>
    <w:rsid w:val="00D83872"/>
    <w:rsid w:val="00D83FCE"/>
    <w:rsid w:val="00D84B4E"/>
    <w:rsid w:val="00D90FF0"/>
    <w:rsid w:val="00D93AA1"/>
    <w:rsid w:val="00D93E22"/>
    <w:rsid w:val="00D94A31"/>
    <w:rsid w:val="00D95591"/>
    <w:rsid w:val="00D958F4"/>
    <w:rsid w:val="00D95B23"/>
    <w:rsid w:val="00D95C93"/>
    <w:rsid w:val="00D96295"/>
    <w:rsid w:val="00D9665D"/>
    <w:rsid w:val="00D97741"/>
    <w:rsid w:val="00D97DD9"/>
    <w:rsid w:val="00DA0725"/>
    <w:rsid w:val="00DA4222"/>
    <w:rsid w:val="00DA5C16"/>
    <w:rsid w:val="00DA7565"/>
    <w:rsid w:val="00DB08BC"/>
    <w:rsid w:val="00DB309F"/>
    <w:rsid w:val="00DB324C"/>
    <w:rsid w:val="00DB3566"/>
    <w:rsid w:val="00DB4725"/>
    <w:rsid w:val="00DB56E2"/>
    <w:rsid w:val="00DB5710"/>
    <w:rsid w:val="00DB5851"/>
    <w:rsid w:val="00DB68AC"/>
    <w:rsid w:val="00DC1051"/>
    <w:rsid w:val="00DC14E4"/>
    <w:rsid w:val="00DC1FA4"/>
    <w:rsid w:val="00DC3977"/>
    <w:rsid w:val="00DC5B3B"/>
    <w:rsid w:val="00DC68AD"/>
    <w:rsid w:val="00DC6D24"/>
    <w:rsid w:val="00DC7209"/>
    <w:rsid w:val="00DD08EC"/>
    <w:rsid w:val="00DD2F75"/>
    <w:rsid w:val="00DD303F"/>
    <w:rsid w:val="00DD3301"/>
    <w:rsid w:val="00DD3514"/>
    <w:rsid w:val="00DD36EC"/>
    <w:rsid w:val="00DD3D38"/>
    <w:rsid w:val="00DD79CB"/>
    <w:rsid w:val="00DE0A90"/>
    <w:rsid w:val="00DE0F48"/>
    <w:rsid w:val="00DE1100"/>
    <w:rsid w:val="00DE2C28"/>
    <w:rsid w:val="00DE4F25"/>
    <w:rsid w:val="00DF2875"/>
    <w:rsid w:val="00DF3AEC"/>
    <w:rsid w:val="00DF60FB"/>
    <w:rsid w:val="00E003DE"/>
    <w:rsid w:val="00E0107C"/>
    <w:rsid w:val="00E01C0E"/>
    <w:rsid w:val="00E02136"/>
    <w:rsid w:val="00E02762"/>
    <w:rsid w:val="00E04694"/>
    <w:rsid w:val="00E069D1"/>
    <w:rsid w:val="00E10315"/>
    <w:rsid w:val="00E1039F"/>
    <w:rsid w:val="00E1287D"/>
    <w:rsid w:val="00E21994"/>
    <w:rsid w:val="00E245ED"/>
    <w:rsid w:val="00E24FEB"/>
    <w:rsid w:val="00E252DE"/>
    <w:rsid w:val="00E27C25"/>
    <w:rsid w:val="00E35270"/>
    <w:rsid w:val="00E3584D"/>
    <w:rsid w:val="00E3695C"/>
    <w:rsid w:val="00E407F3"/>
    <w:rsid w:val="00E40C2B"/>
    <w:rsid w:val="00E41383"/>
    <w:rsid w:val="00E429A4"/>
    <w:rsid w:val="00E429BC"/>
    <w:rsid w:val="00E45211"/>
    <w:rsid w:val="00E45746"/>
    <w:rsid w:val="00E4696D"/>
    <w:rsid w:val="00E47E32"/>
    <w:rsid w:val="00E501DD"/>
    <w:rsid w:val="00E5091A"/>
    <w:rsid w:val="00E52557"/>
    <w:rsid w:val="00E52A84"/>
    <w:rsid w:val="00E548FD"/>
    <w:rsid w:val="00E54B26"/>
    <w:rsid w:val="00E604A0"/>
    <w:rsid w:val="00E62608"/>
    <w:rsid w:val="00E702B0"/>
    <w:rsid w:val="00E70FE0"/>
    <w:rsid w:val="00E71A58"/>
    <w:rsid w:val="00E7499F"/>
    <w:rsid w:val="00E753AE"/>
    <w:rsid w:val="00E775F1"/>
    <w:rsid w:val="00E77F3F"/>
    <w:rsid w:val="00E808FE"/>
    <w:rsid w:val="00E80A18"/>
    <w:rsid w:val="00E82441"/>
    <w:rsid w:val="00E83A7B"/>
    <w:rsid w:val="00E84373"/>
    <w:rsid w:val="00E869B6"/>
    <w:rsid w:val="00E90134"/>
    <w:rsid w:val="00E90FE6"/>
    <w:rsid w:val="00E950A4"/>
    <w:rsid w:val="00E952EA"/>
    <w:rsid w:val="00E955AE"/>
    <w:rsid w:val="00E9788A"/>
    <w:rsid w:val="00EA0C68"/>
    <w:rsid w:val="00EA19DA"/>
    <w:rsid w:val="00EA2E22"/>
    <w:rsid w:val="00EA2F7C"/>
    <w:rsid w:val="00EA363D"/>
    <w:rsid w:val="00EA4153"/>
    <w:rsid w:val="00EA6687"/>
    <w:rsid w:val="00EA7192"/>
    <w:rsid w:val="00EB0BB2"/>
    <w:rsid w:val="00EB18B6"/>
    <w:rsid w:val="00EB3117"/>
    <w:rsid w:val="00EB3407"/>
    <w:rsid w:val="00EB398F"/>
    <w:rsid w:val="00EB4762"/>
    <w:rsid w:val="00EB5CCC"/>
    <w:rsid w:val="00EB6456"/>
    <w:rsid w:val="00EC224C"/>
    <w:rsid w:val="00EC3D9C"/>
    <w:rsid w:val="00EC5826"/>
    <w:rsid w:val="00EC5A99"/>
    <w:rsid w:val="00EC7404"/>
    <w:rsid w:val="00ED286F"/>
    <w:rsid w:val="00ED2C72"/>
    <w:rsid w:val="00ED2ED7"/>
    <w:rsid w:val="00ED5151"/>
    <w:rsid w:val="00ED77F6"/>
    <w:rsid w:val="00ED7F34"/>
    <w:rsid w:val="00EE1A5B"/>
    <w:rsid w:val="00EE2CDA"/>
    <w:rsid w:val="00EE3E78"/>
    <w:rsid w:val="00EE4582"/>
    <w:rsid w:val="00EE47A7"/>
    <w:rsid w:val="00EE5FB4"/>
    <w:rsid w:val="00EE6CBF"/>
    <w:rsid w:val="00EE77B8"/>
    <w:rsid w:val="00EE7801"/>
    <w:rsid w:val="00EF0F48"/>
    <w:rsid w:val="00EF1F5A"/>
    <w:rsid w:val="00EF2479"/>
    <w:rsid w:val="00EF320B"/>
    <w:rsid w:val="00EF4D97"/>
    <w:rsid w:val="00EF5831"/>
    <w:rsid w:val="00EF5C0D"/>
    <w:rsid w:val="00EF6571"/>
    <w:rsid w:val="00EF79BF"/>
    <w:rsid w:val="00EF7C2E"/>
    <w:rsid w:val="00F044F1"/>
    <w:rsid w:val="00F04694"/>
    <w:rsid w:val="00F04804"/>
    <w:rsid w:val="00F04811"/>
    <w:rsid w:val="00F0488C"/>
    <w:rsid w:val="00F058FF"/>
    <w:rsid w:val="00F06363"/>
    <w:rsid w:val="00F10A7E"/>
    <w:rsid w:val="00F113AD"/>
    <w:rsid w:val="00F115E6"/>
    <w:rsid w:val="00F12378"/>
    <w:rsid w:val="00F15BEF"/>
    <w:rsid w:val="00F15EED"/>
    <w:rsid w:val="00F16579"/>
    <w:rsid w:val="00F21C88"/>
    <w:rsid w:val="00F23DD0"/>
    <w:rsid w:val="00F24FAA"/>
    <w:rsid w:val="00F259DF"/>
    <w:rsid w:val="00F26224"/>
    <w:rsid w:val="00F26A58"/>
    <w:rsid w:val="00F279F8"/>
    <w:rsid w:val="00F301D6"/>
    <w:rsid w:val="00F319D1"/>
    <w:rsid w:val="00F32D3A"/>
    <w:rsid w:val="00F3364D"/>
    <w:rsid w:val="00F349B5"/>
    <w:rsid w:val="00F34EE8"/>
    <w:rsid w:val="00F355C6"/>
    <w:rsid w:val="00F379A1"/>
    <w:rsid w:val="00F404BD"/>
    <w:rsid w:val="00F404FC"/>
    <w:rsid w:val="00F406C3"/>
    <w:rsid w:val="00F56403"/>
    <w:rsid w:val="00F61756"/>
    <w:rsid w:val="00F63090"/>
    <w:rsid w:val="00F6362E"/>
    <w:rsid w:val="00F63DDE"/>
    <w:rsid w:val="00F63FB7"/>
    <w:rsid w:val="00F66F51"/>
    <w:rsid w:val="00F73A0C"/>
    <w:rsid w:val="00F77D78"/>
    <w:rsid w:val="00F822DF"/>
    <w:rsid w:val="00F82460"/>
    <w:rsid w:val="00F8246C"/>
    <w:rsid w:val="00F836BE"/>
    <w:rsid w:val="00F83FEC"/>
    <w:rsid w:val="00F854A0"/>
    <w:rsid w:val="00F858E0"/>
    <w:rsid w:val="00F868CB"/>
    <w:rsid w:val="00F9137B"/>
    <w:rsid w:val="00F9187B"/>
    <w:rsid w:val="00F9299F"/>
    <w:rsid w:val="00F961E1"/>
    <w:rsid w:val="00F9656F"/>
    <w:rsid w:val="00F971C3"/>
    <w:rsid w:val="00FA3B93"/>
    <w:rsid w:val="00FA70C3"/>
    <w:rsid w:val="00FB24DA"/>
    <w:rsid w:val="00FB2E63"/>
    <w:rsid w:val="00FC0289"/>
    <w:rsid w:val="00FC0E5F"/>
    <w:rsid w:val="00FC1C23"/>
    <w:rsid w:val="00FC1F51"/>
    <w:rsid w:val="00FC20DE"/>
    <w:rsid w:val="00FC2599"/>
    <w:rsid w:val="00FC2F4E"/>
    <w:rsid w:val="00FC4284"/>
    <w:rsid w:val="00FC4ADC"/>
    <w:rsid w:val="00FC5629"/>
    <w:rsid w:val="00FC56DE"/>
    <w:rsid w:val="00FC60A3"/>
    <w:rsid w:val="00FC69EA"/>
    <w:rsid w:val="00FD09E5"/>
    <w:rsid w:val="00FD0E95"/>
    <w:rsid w:val="00FD11C8"/>
    <w:rsid w:val="00FD2A59"/>
    <w:rsid w:val="00FD4492"/>
    <w:rsid w:val="00FD6740"/>
    <w:rsid w:val="00FE0EFC"/>
    <w:rsid w:val="00FE250B"/>
    <w:rsid w:val="00FE2F78"/>
    <w:rsid w:val="00FE51CB"/>
    <w:rsid w:val="00FE5E80"/>
    <w:rsid w:val="00FE7AFD"/>
    <w:rsid w:val="00FF08A8"/>
    <w:rsid w:val="00FF092A"/>
    <w:rsid w:val="00FF1381"/>
    <w:rsid w:val="00FF205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basedOn w:val="Normln"/>
    <w:next w:val="Normln"/>
    <w:link w:val="Nadpis1Char"/>
    <w:uiPriority w:val="99"/>
    <w:qFormat/>
    <w:rsid w:val="00BC3543"/>
    <w:pPr>
      <w:keepNext/>
      <w:keepLines/>
      <w:spacing w:after="200"/>
      <w:outlineLvl w:val="0"/>
    </w:pPr>
    <w:rPr>
      <w:rFonts w:eastAsia="MS Gothic"/>
      <w:b/>
      <w:bCs/>
      <w:color w:val="BC091B"/>
      <w:sz w:val="32"/>
      <w:szCs w:val="28"/>
    </w:rPr>
  </w:style>
  <w:style w:type="paragraph" w:styleId="Nadpis2">
    <w:name w:val="heading 2"/>
    <w:basedOn w:val="Normln"/>
    <w:next w:val="Normln"/>
    <w:link w:val="Nadpis2Char"/>
    <w:uiPriority w:val="99"/>
    <w:qFormat/>
    <w:rsid w:val="00BC3543"/>
    <w:pPr>
      <w:keepNext/>
      <w:keepLines/>
      <w:outlineLvl w:val="1"/>
    </w:pPr>
    <w:rPr>
      <w:rFonts w:eastAsia="MS Gothic"/>
      <w:b/>
      <w:bCs/>
      <w:color w:val="BC091B"/>
      <w:sz w:val="28"/>
      <w:szCs w:val="26"/>
    </w:rPr>
  </w:style>
  <w:style w:type="paragraph" w:styleId="Nadpis3">
    <w:name w:val="heading 3"/>
    <w:basedOn w:val="Normln"/>
    <w:next w:val="Normln"/>
    <w:link w:val="Nadpis3Char"/>
    <w:uiPriority w:val="99"/>
    <w:qFormat/>
    <w:rsid w:val="00BC3543"/>
    <w:pPr>
      <w:keepNext/>
      <w:keepLines/>
      <w:outlineLvl w:val="2"/>
    </w:pPr>
    <w:rPr>
      <w:rFonts w:eastAsia="MS Gothic"/>
      <w:b/>
      <w:bCs/>
      <w:color w:val="BC091B"/>
      <w:sz w:val="24"/>
    </w:rPr>
  </w:style>
  <w:style w:type="paragraph" w:styleId="Nadpis4">
    <w:name w:val="heading 4"/>
    <w:basedOn w:val="Normln"/>
    <w:next w:val="Normln"/>
    <w:link w:val="Nadpis4Char"/>
    <w:uiPriority w:val="99"/>
    <w:qFormat/>
    <w:rsid w:val="005108C0"/>
    <w:pPr>
      <w:keepNext/>
      <w:keepLines/>
      <w:outlineLvl w:val="3"/>
    </w:pPr>
    <w:rPr>
      <w:rFonts w:eastAsia="MS Gothic"/>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3543"/>
    <w:rPr>
      <w:rFonts w:ascii="Arial" w:eastAsia="MS Gothic" w:hAnsi="Arial" w:cs="Times New Roman"/>
      <w:b/>
      <w:color w:val="BC091B"/>
      <w:sz w:val="28"/>
    </w:rPr>
  </w:style>
  <w:style w:type="character" w:customStyle="1" w:styleId="Nadpis2Char">
    <w:name w:val="Nadpis 2 Char"/>
    <w:basedOn w:val="Standardnpsmoodstavce"/>
    <w:link w:val="Nadpis2"/>
    <w:uiPriority w:val="99"/>
    <w:locked/>
    <w:rsid w:val="00BC3543"/>
    <w:rPr>
      <w:rFonts w:ascii="Arial" w:eastAsia="MS Gothic" w:hAnsi="Arial" w:cs="Times New Roman"/>
      <w:b/>
      <w:color w:val="BC091B"/>
      <w:sz w:val="26"/>
    </w:rPr>
  </w:style>
  <w:style w:type="character" w:customStyle="1" w:styleId="Nadpis3Char">
    <w:name w:val="Nadpis 3 Char"/>
    <w:basedOn w:val="Standardnpsmoodstavce"/>
    <w:link w:val="Nadpis3"/>
    <w:uiPriority w:val="99"/>
    <w:locked/>
    <w:rsid w:val="00BC3543"/>
    <w:rPr>
      <w:rFonts w:ascii="Arial" w:eastAsia="MS Gothic" w:hAnsi="Arial" w:cs="Times New Roman"/>
      <w:b/>
      <w:color w:val="BC091B"/>
      <w:sz w:val="24"/>
    </w:rPr>
  </w:style>
  <w:style w:type="character" w:customStyle="1" w:styleId="Nadpis4Char">
    <w:name w:val="Nadpis 4 Char"/>
    <w:basedOn w:val="Standardnpsmoodstavce"/>
    <w:link w:val="Nadpis4"/>
    <w:uiPriority w:val="99"/>
    <w:locked/>
    <w:rsid w:val="005108C0"/>
    <w:rPr>
      <w:rFonts w:ascii="Arial" w:eastAsia="MS Gothic" w:hAnsi="Arial" w:cs="Times New Roman"/>
      <w:b/>
      <w:sz w:val="24"/>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semiHidden/>
    <w:rsid w:val="00E71A5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szCs w:val="20"/>
      <w:lang/>
    </w:rPr>
  </w:style>
  <w:style w:type="paragraph" w:styleId="Nzev">
    <w:name w:val="Title"/>
    <w:basedOn w:val="Normln"/>
    <w:next w:val="Normln"/>
    <w:link w:val="NzevChar"/>
    <w:uiPriority w:val="99"/>
    <w:qFormat/>
    <w:rsid w:val="0048086F"/>
    <w:pPr>
      <w:contextualSpacing/>
      <w:outlineLvl w:val="0"/>
    </w:pPr>
    <w:rPr>
      <w:rFonts w:eastAsia="MS Gothic"/>
      <w:b/>
      <w:caps/>
      <w:color w:val="BC091B"/>
      <w:sz w:val="56"/>
      <w:szCs w:val="52"/>
    </w:rPr>
  </w:style>
  <w:style w:type="character" w:customStyle="1" w:styleId="NzevChar">
    <w:name w:val="Název Char"/>
    <w:basedOn w:val="Standardnpsmoodstavce"/>
    <w:link w:val="Nzev"/>
    <w:uiPriority w:val="99"/>
    <w:locked/>
    <w:rsid w:val="0048086F"/>
    <w:rPr>
      <w:rFonts w:ascii="Arial" w:eastAsia="MS Gothic" w:hAnsi="Arial" w:cs="Times New Roman"/>
      <w:b/>
      <w:caps/>
      <w:color w:val="BC091B"/>
      <w:sz w:val="52"/>
    </w:rPr>
  </w:style>
  <w:style w:type="paragraph" w:styleId="Podtitul">
    <w:name w:val="Subtitle"/>
    <w:basedOn w:val="Normln"/>
    <w:next w:val="Normln"/>
    <w:link w:val="PodtitulChar"/>
    <w:uiPriority w:val="99"/>
    <w:qFormat/>
    <w:rsid w:val="00BC3543"/>
    <w:pPr>
      <w:numPr>
        <w:ilvl w:val="1"/>
      </w:numPr>
    </w:pPr>
    <w:rPr>
      <w:rFonts w:eastAsia="MS Gothic"/>
      <w:b/>
      <w:iCs/>
      <w:color w:val="BC091B"/>
      <w:sz w:val="28"/>
    </w:rPr>
  </w:style>
  <w:style w:type="character" w:customStyle="1" w:styleId="PodtitulChar">
    <w:name w:val="Podtitul Char"/>
    <w:basedOn w:val="Standardnpsmoodstavce"/>
    <w:link w:val="Podtitul"/>
    <w:uiPriority w:val="99"/>
    <w:locked/>
    <w:rsid w:val="00BC3543"/>
    <w:rPr>
      <w:rFonts w:ascii="Arial" w:eastAsia="MS Gothic" w:hAnsi="Arial" w:cs="Times New Roman"/>
      <w:b/>
      <w:color w:val="BC091B"/>
      <w:sz w:val="24"/>
    </w:rPr>
  </w:style>
  <w:style w:type="paragraph" w:customStyle="1" w:styleId="Stednmka21">
    <w:name w:val="Střední mřížka 21"/>
    <w:aliases w:val="Bez zarážky"/>
    <w:link w:val="Stednmka2Char"/>
    <w:uiPriority w:val="99"/>
    <w:rsid w:val="008D2A16"/>
    <w:pPr>
      <w:spacing w:line="288" w:lineRule="auto"/>
    </w:pPr>
    <w:rPr>
      <w:rFonts w:ascii="Arial" w:hAnsi="Arial"/>
      <w:sz w:val="22"/>
      <w:szCs w:val="22"/>
    </w:rPr>
  </w:style>
  <w:style w:type="paragraph" w:customStyle="1" w:styleId="Box1">
    <w:name w:val="Box 1"/>
    <w:basedOn w:val="Zkladnodstavec"/>
    <w:next w:val="Normln"/>
    <w:uiPriority w:val="99"/>
    <w:rsid w:val="00BC3543"/>
    <w:pPr>
      <w:ind w:left="1134"/>
    </w:pPr>
    <w:rPr>
      <w:rFonts w:ascii="Arial" w:hAnsi="Arial" w:cs="Arial"/>
      <w:color w:val="BC091B"/>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210AA5"/>
    <w:pPr>
      <w:shd w:val="clear" w:color="auto" w:fill="F5DADD"/>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4F06F5"/>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210AA5"/>
    <w:rPr>
      <w:rFonts w:ascii="Arial" w:hAnsi="Arial"/>
      <w:color w:val="000000"/>
      <w:sz w:val="22"/>
      <w:szCs w:val="22"/>
      <w:shd w:val="clear" w:color="auto" w:fill="F5DADD"/>
      <w:lang w:bidi="ar-SA"/>
    </w:rPr>
  </w:style>
  <w:style w:type="paragraph" w:customStyle="1" w:styleId="TL-Identifikace">
    <w:name w:val="TL - Identifikace"/>
    <w:next w:val="Normln"/>
    <w:link w:val="TL-IdentifikaceChar"/>
    <w:uiPriority w:val="99"/>
    <w:rsid w:val="004F06F5"/>
    <w:pPr>
      <w:spacing w:after="200" w:line="288" w:lineRule="auto"/>
    </w:pPr>
    <w:rPr>
      <w:rFonts w:ascii="Arial" w:hAnsi="Arial"/>
      <w:sz w:val="22"/>
      <w:szCs w:val="22"/>
    </w:rPr>
  </w:style>
  <w:style w:type="character" w:customStyle="1" w:styleId="TL-KontaktyChar">
    <w:name w:val="TL - Kontakty Char"/>
    <w:link w:val="TL-Kontakty"/>
    <w:uiPriority w:val="99"/>
    <w:locked/>
    <w:rsid w:val="004F06F5"/>
    <w:rPr>
      <w:rFonts w:ascii="Arial" w:hAnsi="Arial"/>
      <w:b/>
      <w:caps/>
      <w:color w:val="BD1B21"/>
      <w:sz w:val="22"/>
      <w:szCs w:val="22"/>
      <w:lang w:bidi="ar-SA"/>
    </w:rPr>
  </w:style>
  <w:style w:type="character" w:customStyle="1" w:styleId="TL-IdentifikaceChar">
    <w:name w:val="TL - Identifikace Char"/>
    <w:link w:val="TL-Identifikace"/>
    <w:uiPriority w:val="99"/>
    <w:locked/>
    <w:rsid w:val="004F06F5"/>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99"/>
    <w:locked/>
    <w:rsid w:val="00EE3E78"/>
    <w:rPr>
      <w:rFonts w:ascii="Arial" w:hAnsi="Arial"/>
      <w:sz w:val="22"/>
      <w:szCs w:val="22"/>
      <w:lang w:bidi="ar-SA"/>
    </w:rPr>
  </w:style>
  <w:style w:type="paragraph" w:customStyle="1" w:styleId="TL-identifikace-sted">
    <w:name w:val="TL - identifikace - střed"/>
    <w:basedOn w:val="Normln"/>
    <w:link w:val="TL-identifikace-stedChar"/>
    <w:uiPriority w:val="99"/>
    <w:rsid w:val="006C113F"/>
    <w:pPr>
      <w:spacing w:after="200"/>
    </w:pPr>
    <w:rPr>
      <w:rFonts w:eastAsia="Calibri"/>
      <w:sz w:val="24"/>
      <w:szCs w:val="20"/>
      <w:lang/>
    </w:rPr>
  </w:style>
  <w:style w:type="paragraph" w:customStyle="1" w:styleId="TL-Identifikace-dole">
    <w:name w:val="TL - Identifikace - dole"/>
    <w:basedOn w:val="Normln"/>
    <w:link w:val="TL-Identifikace-doleChar"/>
    <w:uiPriority w:val="99"/>
    <w:rsid w:val="006C113F"/>
    <w:pPr>
      <w:spacing w:after="200"/>
    </w:pPr>
    <w:rPr>
      <w:rFonts w:eastAsia="Calibri"/>
      <w:szCs w:val="20"/>
      <w:lang w:eastAsia="ar-SA"/>
    </w:rPr>
  </w:style>
  <w:style w:type="character" w:customStyle="1" w:styleId="TL-identifikace-stedChar">
    <w:name w:val="TL - identifikace - střed Char"/>
    <w:link w:val="TL-identifikace-sted"/>
    <w:uiPriority w:val="99"/>
    <w:locked/>
    <w:rsid w:val="006C113F"/>
    <w:rPr>
      <w:rFonts w:ascii="Arial" w:hAnsi="Arial"/>
      <w:sz w:val="24"/>
    </w:rPr>
  </w:style>
  <w:style w:type="character" w:customStyle="1" w:styleId="TL-Identifikace-doleChar">
    <w:name w:val="TL - Identifikace - dole Char"/>
    <w:link w:val="TL-Identifikace-dole"/>
    <w:uiPriority w:val="99"/>
    <w:locked/>
    <w:rsid w:val="006C113F"/>
    <w:rPr>
      <w:rFonts w:ascii="Arial" w:hAnsi="Arial"/>
      <w:lang w:eastAsia="ar-SA" w:bidi="ar-SA"/>
    </w:rPr>
  </w:style>
  <w:style w:type="paragraph" w:customStyle="1" w:styleId="Box-Lideaspolecnost">
    <w:name w:val="Box - Lide a spolecnost"/>
    <w:next w:val="Normln"/>
    <w:link w:val="Box-LideaspolecnostChar"/>
    <w:uiPriority w:val="99"/>
    <w:rsid w:val="00BC3543"/>
    <w:pPr>
      <w:shd w:val="clear" w:color="auto" w:fill="F5DADD"/>
      <w:spacing w:line="288" w:lineRule="auto"/>
      <w:ind w:left="1134"/>
    </w:pPr>
    <w:rPr>
      <w:rFonts w:ascii="Arial" w:hAnsi="Arial"/>
      <w:sz w:val="22"/>
      <w:szCs w:val="22"/>
    </w:rPr>
  </w:style>
  <w:style w:type="character" w:customStyle="1" w:styleId="Box-LideaspolecnostChar">
    <w:name w:val="Box - Lide a spolecnost Char"/>
    <w:link w:val="Box-Lideaspolecnost"/>
    <w:uiPriority w:val="99"/>
    <w:locked/>
    <w:rsid w:val="00BC3543"/>
    <w:rPr>
      <w:rFonts w:ascii="Arial" w:hAnsi="Arial"/>
      <w:sz w:val="22"/>
      <w:szCs w:val="22"/>
      <w:shd w:val="clear" w:color="auto" w:fill="F5DADD"/>
      <w:lang w:val="cs-CZ" w:eastAsia="cs-CZ" w:bidi="ar-SA"/>
    </w:rPr>
  </w:style>
  <w:style w:type="paragraph" w:customStyle="1" w:styleId="Obsah">
    <w:name w:val="Obsah"/>
    <w:next w:val="Normln"/>
    <w:link w:val="ObsahChar"/>
    <w:uiPriority w:val="99"/>
    <w:rsid w:val="007B47EE"/>
    <w:pPr>
      <w:spacing w:after="200"/>
    </w:pPr>
    <w:rPr>
      <w:rFonts w:ascii="Arial" w:eastAsia="MS Gothic" w:hAnsi="Arial"/>
      <w:b/>
      <w:color w:val="BC091B"/>
      <w:sz w:val="22"/>
      <w:szCs w:val="22"/>
    </w:rPr>
  </w:style>
  <w:style w:type="character" w:customStyle="1" w:styleId="ObsahChar">
    <w:name w:val="Obsah Char"/>
    <w:link w:val="Obsah"/>
    <w:uiPriority w:val="99"/>
    <w:locked/>
    <w:rsid w:val="007B47EE"/>
    <w:rPr>
      <w:rFonts w:ascii="Arial" w:eastAsia="MS Gothic" w:hAnsi="Arial"/>
      <w:b/>
      <w:color w:val="BC091B"/>
      <w:sz w:val="22"/>
      <w:szCs w:val="22"/>
      <w:lang w:bidi="ar-SA"/>
    </w:rPr>
  </w:style>
  <w:style w:type="character" w:customStyle="1" w:styleId="content">
    <w:name w:val="content"/>
    <w:basedOn w:val="Standardnpsmoodstavce"/>
    <w:uiPriority w:val="99"/>
    <w:rsid w:val="008938EA"/>
    <w:rPr>
      <w:rFonts w:cs="Times New Roman"/>
    </w:rPr>
  </w:style>
  <w:style w:type="paragraph" w:styleId="Rozvrendokumentu">
    <w:name w:val="Document Map"/>
    <w:basedOn w:val="Normln"/>
    <w:link w:val="RozvrendokumentuChar"/>
    <w:uiPriority w:val="99"/>
    <w:semiHidden/>
    <w:rsid w:val="008938EA"/>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8938EA"/>
    <w:rPr>
      <w:rFonts w:ascii="Tahoma" w:hAnsi="Tahoma" w:cs="Tahoma"/>
      <w:sz w:val="16"/>
      <w:szCs w:val="16"/>
    </w:rPr>
  </w:style>
  <w:style w:type="paragraph" w:styleId="Zkladntextodsazen">
    <w:name w:val="Body Text Indent"/>
    <w:basedOn w:val="Normln"/>
    <w:link w:val="ZkladntextodsazenChar"/>
    <w:uiPriority w:val="99"/>
    <w:rsid w:val="00D16208"/>
    <w:pPr>
      <w:spacing w:line="240" w:lineRule="auto"/>
      <w:ind w:left="360"/>
    </w:pPr>
    <w:rPr>
      <w:szCs w:val="20"/>
    </w:rPr>
  </w:style>
  <w:style w:type="character" w:customStyle="1" w:styleId="ZkladntextodsazenChar">
    <w:name w:val="Základní text odsazený Char"/>
    <w:basedOn w:val="Standardnpsmoodstavce"/>
    <w:link w:val="Zkladntextodsazen"/>
    <w:uiPriority w:val="99"/>
    <w:locked/>
    <w:rsid w:val="00D16208"/>
    <w:rPr>
      <w:rFonts w:ascii="Arial" w:hAnsi="Arial" w:cs="Times New Roman"/>
    </w:rPr>
  </w:style>
  <w:style w:type="paragraph" w:styleId="Textpoznpodarou">
    <w:name w:val="footnote text"/>
    <w:basedOn w:val="Normln"/>
    <w:link w:val="TextpoznpodarouChar"/>
    <w:uiPriority w:val="99"/>
    <w:semiHidden/>
    <w:rsid w:val="00AF10BC"/>
    <w:rPr>
      <w:szCs w:val="20"/>
    </w:rPr>
  </w:style>
  <w:style w:type="character" w:customStyle="1" w:styleId="TextpoznpodarouChar">
    <w:name w:val="Text pozn. pod čarou Char"/>
    <w:basedOn w:val="Standardnpsmoodstavce"/>
    <w:link w:val="Textpoznpodarou"/>
    <w:uiPriority w:val="99"/>
    <w:semiHidden/>
    <w:locked/>
    <w:rsid w:val="00AF10BC"/>
    <w:rPr>
      <w:rFonts w:ascii="Arial" w:hAnsi="Arial" w:cs="Times New Roman"/>
    </w:rPr>
  </w:style>
  <w:style w:type="paragraph" w:styleId="Odstavecseseznamem">
    <w:name w:val="List Paragraph"/>
    <w:basedOn w:val="Normln"/>
    <w:uiPriority w:val="99"/>
    <w:qFormat/>
    <w:rsid w:val="00AF10BC"/>
    <w:pPr>
      <w:spacing w:before="100" w:beforeAutospacing="1" w:after="100" w:afterAutospacing="1" w:line="240" w:lineRule="auto"/>
      <w:ind w:left="720"/>
    </w:pPr>
    <w:rPr>
      <w:rFonts w:ascii="Times New Roman" w:hAnsi="Times New Roman"/>
      <w:sz w:val="24"/>
    </w:rPr>
  </w:style>
  <w:style w:type="paragraph" w:styleId="Normlnweb">
    <w:name w:val="Normal (Web)"/>
    <w:basedOn w:val="Normln"/>
    <w:uiPriority w:val="99"/>
    <w:semiHidden/>
    <w:rsid w:val="008E4251"/>
    <w:pPr>
      <w:spacing w:before="100" w:beforeAutospacing="1" w:after="100" w:afterAutospacing="1" w:line="240" w:lineRule="auto"/>
    </w:pPr>
    <w:rPr>
      <w:rFonts w:ascii="Times New Roman" w:hAnsi="Times New Roman"/>
      <w:sz w:val="24"/>
    </w:rPr>
  </w:style>
  <w:style w:type="character" w:styleId="Siln">
    <w:name w:val="Strong"/>
    <w:basedOn w:val="Standardnpsmoodstavce"/>
    <w:uiPriority w:val="22"/>
    <w:qFormat/>
    <w:rsid w:val="008E4251"/>
    <w:rPr>
      <w:rFonts w:cs="Times New Roman"/>
      <w:b/>
      <w:bCs/>
    </w:rPr>
  </w:style>
  <w:style w:type="paragraph" w:customStyle="1" w:styleId="Normln0">
    <w:name w:val="Norm‡ln’"/>
    <w:uiPriority w:val="99"/>
    <w:rsid w:val="00D754A4"/>
    <w:rPr>
      <w:rFonts w:ascii="Times New Roman" w:eastAsia="Times New Roman" w:hAnsi="Times New Roman"/>
    </w:rPr>
  </w:style>
  <w:style w:type="paragraph" w:customStyle="1" w:styleId="Default">
    <w:name w:val="Default"/>
    <w:uiPriority w:val="99"/>
    <w:rsid w:val="001B6A85"/>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rsid w:val="00991FEE"/>
    <w:rPr>
      <w:rFonts w:cs="Times New Roman"/>
      <w:sz w:val="16"/>
      <w:szCs w:val="16"/>
    </w:rPr>
  </w:style>
  <w:style w:type="paragraph" w:styleId="Textkomente">
    <w:name w:val="annotation text"/>
    <w:basedOn w:val="Normln"/>
    <w:link w:val="TextkomenteChar"/>
    <w:uiPriority w:val="99"/>
    <w:semiHidden/>
    <w:rsid w:val="00991FEE"/>
    <w:rPr>
      <w:szCs w:val="20"/>
    </w:rPr>
  </w:style>
  <w:style w:type="character" w:customStyle="1" w:styleId="TextkomenteChar">
    <w:name w:val="Text komentáře Char"/>
    <w:basedOn w:val="Standardnpsmoodstavce"/>
    <w:link w:val="Textkomente"/>
    <w:uiPriority w:val="99"/>
    <w:semiHidden/>
    <w:locked/>
    <w:rsid w:val="00991FEE"/>
    <w:rPr>
      <w:rFonts w:ascii="Arial" w:hAnsi="Arial" w:cs="Times New Roman"/>
    </w:rPr>
  </w:style>
  <w:style w:type="paragraph" w:styleId="Pedmtkomente">
    <w:name w:val="annotation subject"/>
    <w:basedOn w:val="Textkomente"/>
    <w:next w:val="Textkomente"/>
    <w:link w:val="PedmtkomenteChar"/>
    <w:uiPriority w:val="99"/>
    <w:semiHidden/>
    <w:rsid w:val="00991FEE"/>
    <w:rPr>
      <w:b/>
      <w:bCs/>
    </w:rPr>
  </w:style>
  <w:style w:type="character" w:customStyle="1" w:styleId="PedmtkomenteChar">
    <w:name w:val="Předmět komentáře Char"/>
    <w:basedOn w:val="TextkomenteChar"/>
    <w:link w:val="Pedmtkomente"/>
    <w:uiPriority w:val="99"/>
    <w:semiHidden/>
    <w:locked/>
    <w:rsid w:val="00991FEE"/>
    <w:rPr>
      <w:b/>
      <w:bCs/>
    </w:rPr>
  </w:style>
  <w:style w:type="character" w:styleId="Znakapoznpodarou">
    <w:name w:val="footnote reference"/>
    <w:uiPriority w:val="99"/>
    <w:semiHidden/>
    <w:unhideWhenUsed/>
    <w:rsid w:val="009A38A0"/>
    <w:rPr>
      <w:vertAlign w:val="superscript"/>
    </w:rPr>
  </w:style>
  <w:style w:type="paragraph" w:customStyle="1" w:styleId="Normlnsodsazenmprvndky">
    <w:name w:val="Normální s odsazením první řádky"/>
    <w:basedOn w:val="Normln"/>
    <w:uiPriority w:val="99"/>
    <w:rsid w:val="009C49AF"/>
    <w:pPr>
      <w:spacing w:after="60" w:line="240" w:lineRule="auto"/>
      <w:ind w:firstLine="709"/>
      <w:jc w:val="both"/>
    </w:pPr>
    <w:rPr>
      <w:sz w:val="24"/>
      <w:szCs w:val="20"/>
    </w:rPr>
  </w:style>
  <w:style w:type="character" w:styleId="Sledovanodkaz">
    <w:name w:val="FollowedHyperlink"/>
    <w:basedOn w:val="Standardnpsmoodstavce"/>
    <w:uiPriority w:val="99"/>
    <w:semiHidden/>
    <w:rsid w:val="00246C58"/>
    <w:rPr>
      <w:rFonts w:cs="Times New Roman"/>
      <w:color w:val="800080"/>
      <w:u w:val="single"/>
    </w:rPr>
  </w:style>
  <w:style w:type="table" w:styleId="Mkatabulky">
    <w:name w:val="Table Grid"/>
    <w:basedOn w:val="Normlntabulka"/>
    <w:uiPriority w:val="99"/>
    <w:locked/>
    <w:rsid w:val="00246C5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8467735">
      <w:bodyDiv w:val="1"/>
      <w:marLeft w:val="0"/>
      <w:marRight w:val="0"/>
      <w:marTop w:val="0"/>
      <w:marBottom w:val="0"/>
      <w:divBdr>
        <w:top w:val="none" w:sz="0" w:space="0" w:color="auto"/>
        <w:left w:val="none" w:sz="0" w:space="0" w:color="auto"/>
        <w:bottom w:val="none" w:sz="0" w:space="0" w:color="auto"/>
        <w:right w:val="none" w:sz="0" w:space="0" w:color="auto"/>
      </w:divBdr>
    </w:div>
    <w:div w:id="984505557">
      <w:bodyDiv w:val="1"/>
      <w:marLeft w:val="0"/>
      <w:marRight w:val="0"/>
      <w:marTop w:val="0"/>
      <w:marBottom w:val="0"/>
      <w:divBdr>
        <w:top w:val="none" w:sz="0" w:space="0" w:color="auto"/>
        <w:left w:val="none" w:sz="0" w:space="0" w:color="auto"/>
        <w:bottom w:val="none" w:sz="0" w:space="0" w:color="auto"/>
        <w:right w:val="none" w:sz="0" w:space="0" w:color="auto"/>
      </w:divBdr>
    </w:div>
    <w:div w:id="1044594488">
      <w:bodyDiv w:val="1"/>
      <w:marLeft w:val="0"/>
      <w:marRight w:val="0"/>
      <w:marTop w:val="0"/>
      <w:marBottom w:val="0"/>
      <w:divBdr>
        <w:top w:val="none" w:sz="0" w:space="0" w:color="auto"/>
        <w:left w:val="none" w:sz="0" w:space="0" w:color="auto"/>
        <w:bottom w:val="none" w:sz="0" w:space="0" w:color="auto"/>
        <w:right w:val="none" w:sz="0" w:space="0" w:color="auto"/>
      </w:divBdr>
    </w:div>
    <w:div w:id="1303733307">
      <w:bodyDiv w:val="1"/>
      <w:marLeft w:val="0"/>
      <w:marRight w:val="0"/>
      <w:marTop w:val="0"/>
      <w:marBottom w:val="0"/>
      <w:divBdr>
        <w:top w:val="none" w:sz="0" w:space="0" w:color="auto"/>
        <w:left w:val="none" w:sz="0" w:space="0" w:color="auto"/>
        <w:bottom w:val="none" w:sz="0" w:space="0" w:color="auto"/>
        <w:right w:val="none" w:sz="0" w:space="0" w:color="auto"/>
      </w:divBdr>
      <w:divsChild>
        <w:div w:id="1021738250">
          <w:marLeft w:val="0"/>
          <w:marRight w:val="0"/>
          <w:marTop w:val="0"/>
          <w:marBottom w:val="0"/>
          <w:divBdr>
            <w:top w:val="none" w:sz="0" w:space="0" w:color="auto"/>
            <w:left w:val="none" w:sz="0" w:space="0" w:color="auto"/>
            <w:bottom w:val="none" w:sz="0" w:space="0" w:color="auto"/>
            <w:right w:val="none" w:sz="0" w:space="0" w:color="auto"/>
          </w:divBdr>
        </w:div>
        <w:div w:id="613247330">
          <w:marLeft w:val="0"/>
          <w:marRight w:val="0"/>
          <w:marTop w:val="0"/>
          <w:marBottom w:val="0"/>
          <w:divBdr>
            <w:top w:val="none" w:sz="0" w:space="0" w:color="auto"/>
            <w:left w:val="none" w:sz="0" w:space="0" w:color="auto"/>
            <w:bottom w:val="none" w:sz="0" w:space="0" w:color="auto"/>
            <w:right w:val="none" w:sz="0" w:space="0" w:color="auto"/>
          </w:divBdr>
        </w:div>
        <w:div w:id="2087804073">
          <w:marLeft w:val="0"/>
          <w:marRight w:val="0"/>
          <w:marTop w:val="0"/>
          <w:marBottom w:val="0"/>
          <w:divBdr>
            <w:top w:val="none" w:sz="0" w:space="0" w:color="auto"/>
            <w:left w:val="none" w:sz="0" w:space="0" w:color="auto"/>
            <w:bottom w:val="none" w:sz="0" w:space="0" w:color="auto"/>
            <w:right w:val="none" w:sz="0" w:space="0" w:color="auto"/>
          </w:divBdr>
        </w:div>
        <w:div w:id="1938707217">
          <w:marLeft w:val="0"/>
          <w:marRight w:val="0"/>
          <w:marTop w:val="0"/>
          <w:marBottom w:val="0"/>
          <w:divBdr>
            <w:top w:val="none" w:sz="0" w:space="0" w:color="auto"/>
            <w:left w:val="none" w:sz="0" w:space="0" w:color="auto"/>
            <w:bottom w:val="none" w:sz="0" w:space="0" w:color="auto"/>
            <w:right w:val="none" w:sz="0" w:space="0" w:color="auto"/>
          </w:divBdr>
        </w:div>
        <w:div w:id="1184325778">
          <w:marLeft w:val="0"/>
          <w:marRight w:val="0"/>
          <w:marTop w:val="0"/>
          <w:marBottom w:val="0"/>
          <w:divBdr>
            <w:top w:val="none" w:sz="0" w:space="0" w:color="auto"/>
            <w:left w:val="none" w:sz="0" w:space="0" w:color="auto"/>
            <w:bottom w:val="none" w:sz="0" w:space="0" w:color="auto"/>
            <w:right w:val="none" w:sz="0" w:space="0" w:color="auto"/>
          </w:divBdr>
        </w:div>
        <w:div w:id="1528446380">
          <w:marLeft w:val="0"/>
          <w:marRight w:val="0"/>
          <w:marTop w:val="0"/>
          <w:marBottom w:val="0"/>
          <w:divBdr>
            <w:top w:val="none" w:sz="0" w:space="0" w:color="auto"/>
            <w:left w:val="none" w:sz="0" w:space="0" w:color="auto"/>
            <w:bottom w:val="none" w:sz="0" w:space="0" w:color="auto"/>
            <w:right w:val="none" w:sz="0" w:space="0" w:color="auto"/>
          </w:divBdr>
        </w:div>
        <w:div w:id="474180666">
          <w:marLeft w:val="0"/>
          <w:marRight w:val="0"/>
          <w:marTop w:val="0"/>
          <w:marBottom w:val="0"/>
          <w:divBdr>
            <w:top w:val="none" w:sz="0" w:space="0" w:color="auto"/>
            <w:left w:val="none" w:sz="0" w:space="0" w:color="auto"/>
            <w:bottom w:val="none" w:sz="0" w:space="0" w:color="auto"/>
            <w:right w:val="none" w:sz="0" w:space="0" w:color="auto"/>
          </w:divBdr>
        </w:div>
        <w:div w:id="675964945">
          <w:marLeft w:val="0"/>
          <w:marRight w:val="0"/>
          <w:marTop w:val="0"/>
          <w:marBottom w:val="0"/>
          <w:divBdr>
            <w:top w:val="none" w:sz="0" w:space="0" w:color="auto"/>
            <w:left w:val="none" w:sz="0" w:space="0" w:color="auto"/>
            <w:bottom w:val="none" w:sz="0" w:space="0" w:color="auto"/>
            <w:right w:val="none" w:sz="0" w:space="0" w:color="auto"/>
          </w:divBdr>
        </w:div>
        <w:div w:id="179437975">
          <w:marLeft w:val="0"/>
          <w:marRight w:val="0"/>
          <w:marTop w:val="0"/>
          <w:marBottom w:val="0"/>
          <w:divBdr>
            <w:top w:val="none" w:sz="0" w:space="0" w:color="auto"/>
            <w:left w:val="none" w:sz="0" w:space="0" w:color="auto"/>
            <w:bottom w:val="none" w:sz="0" w:space="0" w:color="auto"/>
            <w:right w:val="none" w:sz="0" w:space="0" w:color="auto"/>
          </w:divBdr>
        </w:div>
        <w:div w:id="2059894777">
          <w:marLeft w:val="0"/>
          <w:marRight w:val="0"/>
          <w:marTop w:val="0"/>
          <w:marBottom w:val="0"/>
          <w:divBdr>
            <w:top w:val="none" w:sz="0" w:space="0" w:color="auto"/>
            <w:left w:val="none" w:sz="0" w:space="0" w:color="auto"/>
            <w:bottom w:val="none" w:sz="0" w:space="0" w:color="auto"/>
            <w:right w:val="none" w:sz="0" w:space="0" w:color="auto"/>
          </w:divBdr>
        </w:div>
        <w:div w:id="843133179">
          <w:marLeft w:val="0"/>
          <w:marRight w:val="0"/>
          <w:marTop w:val="0"/>
          <w:marBottom w:val="0"/>
          <w:divBdr>
            <w:top w:val="none" w:sz="0" w:space="0" w:color="auto"/>
            <w:left w:val="none" w:sz="0" w:space="0" w:color="auto"/>
            <w:bottom w:val="none" w:sz="0" w:space="0" w:color="auto"/>
            <w:right w:val="none" w:sz="0" w:space="0" w:color="auto"/>
          </w:divBdr>
        </w:div>
        <w:div w:id="640353299">
          <w:marLeft w:val="0"/>
          <w:marRight w:val="0"/>
          <w:marTop w:val="0"/>
          <w:marBottom w:val="0"/>
          <w:divBdr>
            <w:top w:val="none" w:sz="0" w:space="0" w:color="auto"/>
            <w:left w:val="none" w:sz="0" w:space="0" w:color="auto"/>
            <w:bottom w:val="none" w:sz="0" w:space="0" w:color="auto"/>
            <w:right w:val="none" w:sz="0" w:space="0" w:color="auto"/>
          </w:divBdr>
        </w:div>
        <w:div w:id="1696806774">
          <w:marLeft w:val="0"/>
          <w:marRight w:val="0"/>
          <w:marTop w:val="0"/>
          <w:marBottom w:val="0"/>
          <w:divBdr>
            <w:top w:val="none" w:sz="0" w:space="0" w:color="auto"/>
            <w:left w:val="none" w:sz="0" w:space="0" w:color="auto"/>
            <w:bottom w:val="none" w:sz="0" w:space="0" w:color="auto"/>
            <w:right w:val="none" w:sz="0" w:space="0" w:color="auto"/>
          </w:divBdr>
        </w:div>
        <w:div w:id="1104496246">
          <w:marLeft w:val="0"/>
          <w:marRight w:val="0"/>
          <w:marTop w:val="0"/>
          <w:marBottom w:val="0"/>
          <w:divBdr>
            <w:top w:val="none" w:sz="0" w:space="0" w:color="auto"/>
            <w:left w:val="none" w:sz="0" w:space="0" w:color="auto"/>
            <w:bottom w:val="none" w:sz="0" w:space="0" w:color="auto"/>
            <w:right w:val="none" w:sz="0" w:space="0" w:color="auto"/>
          </w:divBdr>
        </w:div>
        <w:div w:id="1065570642">
          <w:marLeft w:val="0"/>
          <w:marRight w:val="0"/>
          <w:marTop w:val="0"/>
          <w:marBottom w:val="0"/>
          <w:divBdr>
            <w:top w:val="none" w:sz="0" w:space="0" w:color="auto"/>
            <w:left w:val="none" w:sz="0" w:space="0" w:color="auto"/>
            <w:bottom w:val="none" w:sz="0" w:space="0" w:color="auto"/>
            <w:right w:val="none" w:sz="0" w:space="0" w:color="auto"/>
          </w:divBdr>
        </w:div>
        <w:div w:id="1641882556">
          <w:marLeft w:val="0"/>
          <w:marRight w:val="0"/>
          <w:marTop w:val="0"/>
          <w:marBottom w:val="0"/>
          <w:divBdr>
            <w:top w:val="none" w:sz="0" w:space="0" w:color="auto"/>
            <w:left w:val="none" w:sz="0" w:space="0" w:color="auto"/>
            <w:bottom w:val="none" w:sz="0" w:space="0" w:color="auto"/>
            <w:right w:val="none" w:sz="0" w:space="0" w:color="auto"/>
          </w:divBdr>
        </w:div>
        <w:div w:id="1902590734">
          <w:marLeft w:val="0"/>
          <w:marRight w:val="0"/>
          <w:marTop w:val="0"/>
          <w:marBottom w:val="0"/>
          <w:divBdr>
            <w:top w:val="none" w:sz="0" w:space="0" w:color="auto"/>
            <w:left w:val="none" w:sz="0" w:space="0" w:color="auto"/>
            <w:bottom w:val="none" w:sz="0" w:space="0" w:color="auto"/>
            <w:right w:val="none" w:sz="0" w:space="0" w:color="auto"/>
          </w:divBdr>
        </w:div>
        <w:div w:id="483476073">
          <w:marLeft w:val="0"/>
          <w:marRight w:val="0"/>
          <w:marTop w:val="0"/>
          <w:marBottom w:val="0"/>
          <w:divBdr>
            <w:top w:val="none" w:sz="0" w:space="0" w:color="auto"/>
            <w:left w:val="none" w:sz="0" w:space="0" w:color="auto"/>
            <w:bottom w:val="none" w:sz="0" w:space="0" w:color="auto"/>
            <w:right w:val="none" w:sz="0" w:space="0" w:color="auto"/>
          </w:divBdr>
        </w:div>
      </w:divsChild>
    </w:div>
    <w:div w:id="1467046058">
      <w:bodyDiv w:val="1"/>
      <w:marLeft w:val="0"/>
      <w:marRight w:val="0"/>
      <w:marTop w:val="0"/>
      <w:marBottom w:val="0"/>
      <w:divBdr>
        <w:top w:val="none" w:sz="0" w:space="0" w:color="auto"/>
        <w:left w:val="none" w:sz="0" w:space="0" w:color="auto"/>
        <w:bottom w:val="none" w:sz="0" w:space="0" w:color="auto"/>
        <w:right w:val="none" w:sz="0" w:space="0" w:color="auto"/>
      </w:divBdr>
    </w:div>
    <w:div w:id="1481926934">
      <w:bodyDiv w:val="1"/>
      <w:marLeft w:val="0"/>
      <w:marRight w:val="0"/>
      <w:marTop w:val="0"/>
      <w:marBottom w:val="0"/>
      <w:divBdr>
        <w:top w:val="none" w:sz="0" w:space="0" w:color="auto"/>
        <w:left w:val="none" w:sz="0" w:space="0" w:color="auto"/>
        <w:bottom w:val="none" w:sz="0" w:space="0" w:color="auto"/>
        <w:right w:val="none" w:sz="0" w:space="0" w:color="auto"/>
      </w:divBdr>
    </w:div>
    <w:div w:id="1501040133">
      <w:bodyDiv w:val="1"/>
      <w:marLeft w:val="0"/>
      <w:marRight w:val="0"/>
      <w:marTop w:val="0"/>
      <w:marBottom w:val="0"/>
      <w:divBdr>
        <w:top w:val="none" w:sz="0" w:space="0" w:color="auto"/>
        <w:left w:val="none" w:sz="0" w:space="0" w:color="auto"/>
        <w:bottom w:val="none" w:sz="0" w:space="0" w:color="auto"/>
        <w:right w:val="none" w:sz="0" w:space="0" w:color="auto"/>
      </w:divBdr>
    </w:div>
    <w:div w:id="1661275578">
      <w:bodyDiv w:val="1"/>
      <w:marLeft w:val="0"/>
      <w:marRight w:val="0"/>
      <w:marTop w:val="0"/>
      <w:marBottom w:val="0"/>
      <w:divBdr>
        <w:top w:val="none" w:sz="0" w:space="0" w:color="auto"/>
        <w:left w:val="none" w:sz="0" w:space="0" w:color="auto"/>
        <w:bottom w:val="none" w:sz="0" w:space="0" w:color="auto"/>
        <w:right w:val="none" w:sz="0" w:space="0" w:color="auto"/>
      </w:divBdr>
    </w:div>
    <w:div w:id="1717973933">
      <w:bodyDiv w:val="1"/>
      <w:marLeft w:val="0"/>
      <w:marRight w:val="0"/>
      <w:marTop w:val="0"/>
      <w:marBottom w:val="0"/>
      <w:divBdr>
        <w:top w:val="none" w:sz="0" w:space="0" w:color="auto"/>
        <w:left w:val="none" w:sz="0" w:space="0" w:color="auto"/>
        <w:bottom w:val="none" w:sz="0" w:space="0" w:color="auto"/>
        <w:right w:val="none" w:sz="0" w:space="0" w:color="auto"/>
      </w:divBdr>
    </w:div>
    <w:div w:id="1902982061">
      <w:bodyDiv w:val="1"/>
      <w:marLeft w:val="0"/>
      <w:marRight w:val="0"/>
      <w:marTop w:val="0"/>
      <w:marBottom w:val="0"/>
      <w:divBdr>
        <w:top w:val="none" w:sz="0" w:space="0" w:color="auto"/>
        <w:left w:val="none" w:sz="0" w:space="0" w:color="auto"/>
        <w:bottom w:val="none" w:sz="0" w:space="0" w:color="auto"/>
        <w:right w:val="none" w:sz="0" w:space="0" w:color="auto"/>
      </w:divBdr>
    </w:div>
    <w:div w:id="2008055484">
      <w:bodyDiv w:val="1"/>
      <w:marLeft w:val="0"/>
      <w:marRight w:val="0"/>
      <w:marTop w:val="0"/>
      <w:marBottom w:val="0"/>
      <w:divBdr>
        <w:top w:val="none" w:sz="0" w:space="0" w:color="auto"/>
        <w:left w:val="none" w:sz="0" w:space="0" w:color="auto"/>
        <w:bottom w:val="none" w:sz="0" w:space="0" w:color="auto"/>
        <w:right w:val="none" w:sz="0" w:space="0" w:color="auto"/>
      </w:divBdr>
    </w:div>
    <w:div w:id="2016688315">
      <w:marLeft w:val="0"/>
      <w:marRight w:val="0"/>
      <w:marTop w:val="0"/>
      <w:marBottom w:val="0"/>
      <w:divBdr>
        <w:top w:val="none" w:sz="0" w:space="0" w:color="auto"/>
        <w:left w:val="none" w:sz="0" w:space="0" w:color="auto"/>
        <w:bottom w:val="none" w:sz="0" w:space="0" w:color="auto"/>
        <w:right w:val="none" w:sz="0" w:space="0" w:color="auto"/>
      </w:divBdr>
    </w:div>
    <w:div w:id="2016688316">
      <w:marLeft w:val="0"/>
      <w:marRight w:val="0"/>
      <w:marTop w:val="0"/>
      <w:marBottom w:val="0"/>
      <w:divBdr>
        <w:top w:val="none" w:sz="0" w:space="0" w:color="auto"/>
        <w:left w:val="none" w:sz="0" w:space="0" w:color="auto"/>
        <w:bottom w:val="none" w:sz="0" w:space="0" w:color="auto"/>
        <w:right w:val="none" w:sz="0" w:space="0" w:color="auto"/>
      </w:divBdr>
    </w:div>
    <w:div w:id="2016688317">
      <w:marLeft w:val="0"/>
      <w:marRight w:val="0"/>
      <w:marTop w:val="0"/>
      <w:marBottom w:val="0"/>
      <w:divBdr>
        <w:top w:val="none" w:sz="0" w:space="0" w:color="auto"/>
        <w:left w:val="none" w:sz="0" w:space="0" w:color="auto"/>
        <w:bottom w:val="none" w:sz="0" w:space="0" w:color="auto"/>
        <w:right w:val="none" w:sz="0" w:space="0" w:color="auto"/>
      </w:divBdr>
    </w:div>
    <w:div w:id="2016688318">
      <w:marLeft w:val="0"/>
      <w:marRight w:val="0"/>
      <w:marTop w:val="0"/>
      <w:marBottom w:val="0"/>
      <w:divBdr>
        <w:top w:val="none" w:sz="0" w:space="0" w:color="auto"/>
        <w:left w:val="none" w:sz="0" w:space="0" w:color="auto"/>
        <w:bottom w:val="none" w:sz="0" w:space="0" w:color="auto"/>
        <w:right w:val="none" w:sz="0" w:space="0" w:color="auto"/>
      </w:divBdr>
    </w:div>
    <w:div w:id="2016688319">
      <w:marLeft w:val="0"/>
      <w:marRight w:val="0"/>
      <w:marTop w:val="0"/>
      <w:marBottom w:val="0"/>
      <w:divBdr>
        <w:top w:val="none" w:sz="0" w:space="0" w:color="auto"/>
        <w:left w:val="none" w:sz="0" w:space="0" w:color="auto"/>
        <w:bottom w:val="none" w:sz="0" w:space="0" w:color="auto"/>
        <w:right w:val="none" w:sz="0" w:space="0" w:color="auto"/>
      </w:divBdr>
    </w:div>
    <w:div w:id="2016688320">
      <w:marLeft w:val="0"/>
      <w:marRight w:val="0"/>
      <w:marTop w:val="0"/>
      <w:marBottom w:val="0"/>
      <w:divBdr>
        <w:top w:val="none" w:sz="0" w:space="0" w:color="auto"/>
        <w:left w:val="none" w:sz="0" w:space="0" w:color="auto"/>
        <w:bottom w:val="none" w:sz="0" w:space="0" w:color="auto"/>
        <w:right w:val="none" w:sz="0" w:space="0" w:color="auto"/>
      </w:divBdr>
    </w:div>
    <w:div w:id="2016688321">
      <w:marLeft w:val="0"/>
      <w:marRight w:val="0"/>
      <w:marTop w:val="0"/>
      <w:marBottom w:val="0"/>
      <w:divBdr>
        <w:top w:val="none" w:sz="0" w:space="0" w:color="auto"/>
        <w:left w:val="none" w:sz="0" w:space="0" w:color="auto"/>
        <w:bottom w:val="none" w:sz="0" w:space="0" w:color="auto"/>
        <w:right w:val="none" w:sz="0" w:space="0" w:color="auto"/>
      </w:divBdr>
    </w:div>
    <w:div w:id="2016688322">
      <w:marLeft w:val="0"/>
      <w:marRight w:val="0"/>
      <w:marTop w:val="0"/>
      <w:marBottom w:val="0"/>
      <w:divBdr>
        <w:top w:val="none" w:sz="0" w:space="0" w:color="auto"/>
        <w:left w:val="none" w:sz="0" w:space="0" w:color="auto"/>
        <w:bottom w:val="none" w:sz="0" w:space="0" w:color="auto"/>
        <w:right w:val="none" w:sz="0" w:space="0" w:color="auto"/>
      </w:divBdr>
    </w:div>
    <w:div w:id="2016688323">
      <w:marLeft w:val="0"/>
      <w:marRight w:val="0"/>
      <w:marTop w:val="0"/>
      <w:marBottom w:val="0"/>
      <w:divBdr>
        <w:top w:val="none" w:sz="0" w:space="0" w:color="auto"/>
        <w:left w:val="none" w:sz="0" w:space="0" w:color="auto"/>
        <w:bottom w:val="none" w:sz="0" w:space="0" w:color="auto"/>
        <w:right w:val="none" w:sz="0" w:space="0" w:color="auto"/>
      </w:divBdr>
    </w:div>
    <w:div w:id="2016688324">
      <w:marLeft w:val="0"/>
      <w:marRight w:val="0"/>
      <w:marTop w:val="0"/>
      <w:marBottom w:val="0"/>
      <w:divBdr>
        <w:top w:val="none" w:sz="0" w:space="0" w:color="auto"/>
        <w:left w:val="none" w:sz="0" w:space="0" w:color="auto"/>
        <w:bottom w:val="none" w:sz="0" w:space="0" w:color="auto"/>
        <w:right w:val="none" w:sz="0" w:space="0" w:color="auto"/>
      </w:divBdr>
    </w:div>
    <w:div w:id="2016688334">
      <w:marLeft w:val="0"/>
      <w:marRight w:val="0"/>
      <w:marTop w:val="0"/>
      <w:marBottom w:val="0"/>
      <w:divBdr>
        <w:top w:val="none" w:sz="0" w:space="0" w:color="auto"/>
        <w:left w:val="none" w:sz="0" w:space="0" w:color="auto"/>
        <w:bottom w:val="none" w:sz="0" w:space="0" w:color="auto"/>
        <w:right w:val="none" w:sz="0" w:space="0" w:color="auto"/>
      </w:divBdr>
    </w:div>
    <w:div w:id="2016688338">
      <w:marLeft w:val="0"/>
      <w:marRight w:val="0"/>
      <w:marTop w:val="0"/>
      <w:marBottom w:val="0"/>
      <w:divBdr>
        <w:top w:val="none" w:sz="0" w:space="0" w:color="auto"/>
        <w:left w:val="none" w:sz="0" w:space="0" w:color="auto"/>
        <w:bottom w:val="none" w:sz="0" w:space="0" w:color="auto"/>
        <w:right w:val="none" w:sz="0" w:space="0" w:color="auto"/>
      </w:divBdr>
    </w:div>
    <w:div w:id="2016688355">
      <w:marLeft w:val="0"/>
      <w:marRight w:val="0"/>
      <w:marTop w:val="0"/>
      <w:marBottom w:val="0"/>
      <w:divBdr>
        <w:top w:val="none" w:sz="0" w:space="0" w:color="auto"/>
        <w:left w:val="none" w:sz="0" w:space="0" w:color="auto"/>
        <w:bottom w:val="none" w:sz="0" w:space="0" w:color="auto"/>
        <w:right w:val="none" w:sz="0" w:space="0" w:color="auto"/>
      </w:divBdr>
    </w:div>
    <w:div w:id="2016688357">
      <w:marLeft w:val="0"/>
      <w:marRight w:val="0"/>
      <w:marTop w:val="0"/>
      <w:marBottom w:val="0"/>
      <w:divBdr>
        <w:top w:val="none" w:sz="0" w:space="0" w:color="auto"/>
        <w:left w:val="none" w:sz="0" w:space="0" w:color="auto"/>
        <w:bottom w:val="none" w:sz="0" w:space="0" w:color="auto"/>
        <w:right w:val="none" w:sz="0" w:space="0" w:color="auto"/>
      </w:divBdr>
    </w:div>
    <w:div w:id="2016688361">
      <w:marLeft w:val="0"/>
      <w:marRight w:val="0"/>
      <w:marTop w:val="0"/>
      <w:marBottom w:val="0"/>
      <w:divBdr>
        <w:top w:val="none" w:sz="0" w:space="0" w:color="auto"/>
        <w:left w:val="none" w:sz="0" w:space="0" w:color="auto"/>
        <w:bottom w:val="none" w:sz="0" w:space="0" w:color="auto"/>
        <w:right w:val="none" w:sz="0" w:space="0" w:color="auto"/>
      </w:divBdr>
    </w:div>
    <w:div w:id="2016688367">
      <w:marLeft w:val="0"/>
      <w:marRight w:val="0"/>
      <w:marTop w:val="0"/>
      <w:marBottom w:val="0"/>
      <w:divBdr>
        <w:top w:val="none" w:sz="0" w:space="0" w:color="auto"/>
        <w:left w:val="none" w:sz="0" w:space="0" w:color="auto"/>
        <w:bottom w:val="none" w:sz="0" w:space="0" w:color="auto"/>
        <w:right w:val="none" w:sz="0" w:space="0" w:color="auto"/>
      </w:divBdr>
    </w:div>
    <w:div w:id="2016688368">
      <w:marLeft w:val="0"/>
      <w:marRight w:val="0"/>
      <w:marTop w:val="0"/>
      <w:marBottom w:val="0"/>
      <w:divBdr>
        <w:top w:val="none" w:sz="0" w:space="0" w:color="auto"/>
        <w:left w:val="none" w:sz="0" w:space="0" w:color="auto"/>
        <w:bottom w:val="none" w:sz="0" w:space="0" w:color="auto"/>
        <w:right w:val="none" w:sz="0" w:space="0" w:color="auto"/>
      </w:divBdr>
    </w:div>
    <w:div w:id="2016688371">
      <w:marLeft w:val="0"/>
      <w:marRight w:val="0"/>
      <w:marTop w:val="0"/>
      <w:marBottom w:val="0"/>
      <w:divBdr>
        <w:top w:val="none" w:sz="0" w:space="0" w:color="auto"/>
        <w:left w:val="none" w:sz="0" w:space="0" w:color="auto"/>
        <w:bottom w:val="none" w:sz="0" w:space="0" w:color="auto"/>
        <w:right w:val="none" w:sz="0" w:space="0" w:color="auto"/>
      </w:divBdr>
    </w:div>
    <w:div w:id="2016688376">
      <w:marLeft w:val="0"/>
      <w:marRight w:val="0"/>
      <w:marTop w:val="0"/>
      <w:marBottom w:val="0"/>
      <w:divBdr>
        <w:top w:val="none" w:sz="0" w:space="0" w:color="auto"/>
        <w:left w:val="none" w:sz="0" w:space="0" w:color="auto"/>
        <w:bottom w:val="none" w:sz="0" w:space="0" w:color="auto"/>
        <w:right w:val="none" w:sz="0" w:space="0" w:color="auto"/>
      </w:divBdr>
    </w:div>
    <w:div w:id="2016688377">
      <w:marLeft w:val="0"/>
      <w:marRight w:val="0"/>
      <w:marTop w:val="0"/>
      <w:marBottom w:val="0"/>
      <w:divBdr>
        <w:top w:val="none" w:sz="0" w:space="0" w:color="auto"/>
        <w:left w:val="none" w:sz="0" w:space="0" w:color="auto"/>
        <w:bottom w:val="none" w:sz="0" w:space="0" w:color="auto"/>
        <w:right w:val="none" w:sz="0" w:space="0" w:color="auto"/>
      </w:divBdr>
    </w:div>
    <w:div w:id="2016688387">
      <w:marLeft w:val="0"/>
      <w:marRight w:val="0"/>
      <w:marTop w:val="0"/>
      <w:marBottom w:val="0"/>
      <w:divBdr>
        <w:top w:val="none" w:sz="0" w:space="0" w:color="auto"/>
        <w:left w:val="none" w:sz="0" w:space="0" w:color="auto"/>
        <w:bottom w:val="none" w:sz="0" w:space="0" w:color="auto"/>
        <w:right w:val="none" w:sz="0" w:space="0" w:color="auto"/>
      </w:divBdr>
    </w:div>
    <w:div w:id="2016688390">
      <w:marLeft w:val="0"/>
      <w:marRight w:val="0"/>
      <w:marTop w:val="0"/>
      <w:marBottom w:val="0"/>
      <w:divBdr>
        <w:top w:val="none" w:sz="0" w:space="0" w:color="auto"/>
        <w:left w:val="none" w:sz="0" w:space="0" w:color="auto"/>
        <w:bottom w:val="none" w:sz="0" w:space="0" w:color="auto"/>
        <w:right w:val="none" w:sz="0" w:space="0" w:color="auto"/>
      </w:divBdr>
    </w:div>
    <w:div w:id="2016688406">
      <w:marLeft w:val="0"/>
      <w:marRight w:val="0"/>
      <w:marTop w:val="0"/>
      <w:marBottom w:val="0"/>
      <w:divBdr>
        <w:top w:val="none" w:sz="0" w:space="0" w:color="auto"/>
        <w:left w:val="none" w:sz="0" w:space="0" w:color="auto"/>
        <w:bottom w:val="none" w:sz="0" w:space="0" w:color="auto"/>
        <w:right w:val="none" w:sz="0" w:space="0" w:color="auto"/>
      </w:divBdr>
    </w:div>
    <w:div w:id="2016688411">
      <w:marLeft w:val="0"/>
      <w:marRight w:val="0"/>
      <w:marTop w:val="0"/>
      <w:marBottom w:val="0"/>
      <w:divBdr>
        <w:top w:val="none" w:sz="0" w:space="0" w:color="auto"/>
        <w:left w:val="none" w:sz="0" w:space="0" w:color="auto"/>
        <w:bottom w:val="none" w:sz="0" w:space="0" w:color="auto"/>
        <w:right w:val="none" w:sz="0" w:space="0" w:color="auto"/>
      </w:divBdr>
    </w:div>
    <w:div w:id="2016688420">
      <w:marLeft w:val="0"/>
      <w:marRight w:val="0"/>
      <w:marTop w:val="0"/>
      <w:marBottom w:val="0"/>
      <w:divBdr>
        <w:top w:val="none" w:sz="0" w:space="0" w:color="auto"/>
        <w:left w:val="none" w:sz="0" w:space="0" w:color="auto"/>
        <w:bottom w:val="none" w:sz="0" w:space="0" w:color="auto"/>
        <w:right w:val="none" w:sz="0" w:space="0" w:color="auto"/>
      </w:divBdr>
      <w:divsChild>
        <w:div w:id="2016688331">
          <w:marLeft w:val="0"/>
          <w:marRight w:val="0"/>
          <w:marTop w:val="0"/>
          <w:marBottom w:val="0"/>
          <w:divBdr>
            <w:top w:val="none" w:sz="0" w:space="0" w:color="auto"/>
            <w:left w:val="none" w:sz="0" w:space="0" w:color="auto"/>
            <w:bottom w:val="none" w:sz="0" w:space="0" w:color="auto"/>
            <w:right w:val="none" w:sz="0" w:space="0" w:color="auto"/>
          </w:divBdr>
        </w:div>
        <w:div w:id="2016688332">
          <w:marLeft w:val="0"/>
          <w:marRight w:val="0"/>
          <w:marTop w:val="0"/>
          <w:marBottom w:val="0"/>
          <w:divBdr>
            <w:top w:val="none" w:sz="0" w:space="0" w:color="auto"/>
            <w:left w:val="none" w:sz="0" w:space="0" w:color="auto"/>
            <w:bottom w:val="none" w:sz="0" w:space="0" w:color="auto"/>
            <w:right w:val="none" w:sz="0" w:space="0" w:color="auto"/>
          </w:divBdr>
        </w:div>
        <w:div w:id="2016688336">
          <w:marLeft w:val="0"/>
          <w:marRight w:val="0"/>
          <w:marTop w:val="0"/>
          <w:marBottom w:val="0"/>
          <w:divBdr>
            <w:top w:val="none" w:sz="0" w:space="0" w:color="auto"/>
            <w:left w:val="none" w:sz="0" w:space="0" w:color="auto"/>
            <w:bottom w:val="none" w:sz="0" w:space="0" w:color="auto"/>
            <w:right w:val="none" w:sz="0" w:space="0" w:color="auto"/>
          </w:divBdr>
        </w:div>
        <w:div w:id="2016688339">
          <w:marLeft w:val="0"/>
          <w:marRight w:val="0"/>
          <w:marTop w:val="0"/>
          <w:marBottom w:val="0"/>
          <w:divBdr>
            <w:top w:val="none" w:sz="0" w:space="0" w:color="auto"/>
            <w:left w:val="none" w:sz="0" w:space="0" w:color="auto"/>
            <w:bottom w:val="none" w:sz="0" w:space="0" w:color="auto"/>
            <w:right w:val="none" w:sz="0" w:space="0" w:color="auto"/>
          </w:divBdr>
        </w:div>
        <w:div w:id="2016688346">
          <w:marLeft w:val="0"/>
          <w:marRight w:val="0"/>
          <w:marTop w:val="0"/>
          <w:marBottom w:val="0"/>
          <w:divBdr>
            <w:top w:val="none" w:sz="0" w:space="0" w:color="auto"/>
            <w:left w:val="none" w:sz="0" w:space="0" w:color="auto"/>
            <w:bottom w:val="none" w:sz="0" w:space="0" w:color="auto"/>
            <w:right w:val="none" w:sz="0" w:space="0" w:color="auto"/>
          </w:divBdr>
        </w:div>
        <w:div w:id="2016688347">
          <w:marLeft w:val="0"/>
          <w:marRight w:val="0"/>
          <w:marTop w:val="0"/>
          <w:marBottom w:val="0"/>
          <w:divBdr>
            <w:top w:val="none" w:sz="0" w:space="0" w:color="auto"/>
            <w:left w:val="none" w:sz="0" w:space="0" w:color="auto"/>
            <w:bottom w:val="none" w:sz="0" w:space="0" w:color="auto"/>
            <w:right w:val="none" w:sz="0" w:space="0" w:color="auto"/>
          </w:divBdr>
        </w:div>
        <w:div w:id="2016688353">
          <w:marLeft w:val="0"/>
          <w:marRight w:val="0"/>
          <w:marTop w:val="0"/>
          <w:marBottom w:val="0"/>
          <w:divBdr>
            <w:top w:val="none" w:sz="0" w:space="0" w:color="auto"/>
            <w:left w:val="none" w:sz="0" w:space="0" w:color="auto"/>
            <w:bottom w:val="none" w:sz="0" w:space="0" w:color="auto"/>
            <w:right w:val="none" w:sz="0" w:space="0" w:color="auto"/>
          </w:divBdr>
        </w:div>
        <w:div w:id="2016688356">
          <w:marLeft w:val="0"/>
          <w:marRight w:val="0"/>
          <w:marTop w:val="0"/>
          <w:marBottom w:val="0"/>
          <w:divBdr>
            <w:top w:val="none" w:sz="0" w:space="0" w:color="auto"/>
            <w:left w:val="none" w:sz="0" w:space="0" w:color="auto"/>
            <w:bottom w:val="none" w:sz="0" w:space="0" w:color="auto"/>
            <w:right w:val="none" w:sz="0" w:space="0" w:color="auto"/>
          </w:divBdr>
        </w:div>
        <w:div w:id="2016688358">
          <w:marLeft w:val="0"/>
          <w:marRight w:val="0"/>
          <w:marTop w:val="0"/>
          <w:marBottom w:val="0"/>
          <w:divBdr>
            <w:top w:val="none" w:sz="0" w:space="0" w:color="auto"/>
            <w:left w:val="none" w:sz="0" w:space="0" w:color="auto"/>
            <w:bottom w:val="none" w:sz="0" w:space="0" w:color="auto"/>
            <w:right w:val="none" w:sz="0" w:space="0" w:color="auto"/>
          </w:divBdr>
        </w:div>
        <w:div w:id="2016688360">
          <w:marLeft w:val="0"/>
          <w:marRight w:val="0"/>
          <w:marTop w:val="0"/>
          <w:marBottom w:val="0"/>
          <w:divBdr>
            <w:top w:val="none" w:sz="0" w:space="0" w:color="auto"/>
            <w:left w:val="none" w:sz="0" w:space="0" w:color="auto"/>
            <w:bottom w:val="none" w:sz="0" w:space="0" w:color="auto"/>
            <w:right w:val="none" w:sz="0" w:space="0" w:color="auto"/>
          </w:divBdr>
        </w:div>
        <w:div w:id="2016688362">
          <w:marLeft w:val="0"/>
          <w:marRight w:val="0"/>
          <w:marTop w:val="0"/>
          <w:marBottom w:val="0"/>
          <w:divBdr>
            <w:top w:val="none" w:sz="0" w:space="0" w:color="auto"/>
            <w:left w:val="none" w:sz="0" w:space="0" w:color="auto"/>
            <w:bottom w:val="none" w:sz="0" w:space="0" w:color="auto"/>
            <w:right w:val="none" w:sz="0" w:space="0" w:color="auto"/>
          </w:divBdr>
        </w:div>
        <w:div w:id="2016688363">
          <w:marLeft w:val="0"/>
          <w:marRight w:val="0"/>
          <w:marTop w:val="0"/>
          <w:marBottom w:val="0"/>
          <w:divBdr>
            <w:top w:val="none" w:sz="0" w:space="0" w:color="auto"/>
            <w:left w:val="none" w:sz="0" w:space="0" w:color="auto"/>
            <w:bottom w:val="none" w:sz="0" w:space="0" w:color="auto"/>
            <w:right w:val="none" w:sz="0" w:space="0" w:color="auto"/>
          </w:divBdr>
        </w:div>
        <w:div w:id="2016688364">
          <w:marLeft w:val="0"/>
          <w:marRight w:val="0"/>
          <w:marTop w:val="0"/>
          <w:marBottom w:val="0"/>
          <w:divBdr>
            <w:top w:val="none" w:sz="0" w:space="0" w:color="auto"/>
            <w:left w:val="none" w:sz="0" w:space="0" w:color="auto"/>
            <w:bottom w:val="none" w:sz="0" w:space="0" w:color="auto"/>
            <w:right w:val="none" w:sz="0" w:space="0" w:color="auto"/>
          </w:divBdr>
        </w:div>
        <w:div w:id="2016688370">
          <w:marLeft w:val="0"/>
          <w:marRight w:val="0"/>
          <w:marTop w:val="0"/>
          <w:marBottom w:val="0"/>
          <w:divBdr>
            <w:top w:val="none" w:sz="0" w:space="0" w:color="auto"/>
            <w:left w:val="none" w:sz="0" w:space="0" w:color="auto"/>
            <w:bottom w:val="none" w:sz="0" w:space="0" w:color="auto"/>
            <w:right w:val="none" w:sz="0" w:space="0" w:color="auto"/>
          </w:divBdr>
        </w:div>
        <w:div w:id="2016688378">
          <w:marLeft w:val="0"/>
          <w:marRight w:val="0"/>
          <w:marTop w:val="0"/>
          <w:marBottom w:val="0"/>
          <w:divBdr>
            <w:top w:val="none" w:sz="0" w:space="0" w:color="auto"/>
            <w:left w:val="none" w:sz="0" w:space="0" w:color="auto"/>
            <w:bottom w:val="none" w:sz="0" w:space="0" w:color="auto"/>
            <w:right w:val="none" w:sz="0" w:space="0" w:color="auto"/>
          </w:divBdr>
        </w:div>
        <w:div w:id="2016688379">
          <w:marLeft w:val="0"/>
          <w:marRight w:val="0"/>
          <w:marTop w:val="0"/>
          <w:marBottom w:val="0"/>
          <w:divBdr>
            <w:top w:val="none" w:sz="0" w:space="0" w:color="auto"/>
            <w:left w:val="none" w:sz="0" w:space="0" w:color="auto"/>
            <w:bottom w:val="none" w:sz="0" w:space="0" w:color="auto"/>
            <w:right w:val="none" w:sz="0" w:space="0" w:color="auto"/>
          </w:divBdr>
        </w:div>
        <w:div w:id="2016688388">
          <w:marLeft w:val="0"/>
          <w:marRight w:val="0"/>
          <w:marTop w:val="0"/>
          <w:marBottom w:val="0"/>
          <w:divBdr>
            <w:top w:val="none" w:sz="0" w:space="0" w:color="auto"/>
            <w:left w:val="none" w:sz="0" w:space="0" w:color="auto"/>
            <w:bottom w:val="none" w:sz="0" w:space="0" w:color="auto"/>
            <w:right w:val="none" w:sz="0" w:space="0" w:color="auto"/>
          </w:divBdr>
        </w:div>
        <w:div w:id="2016688395">
          <w:marLeft w:val="0"/>
          <w:marRight w:val="0"/>
          <w:marTop w:val="0"/>
          <w:marBottom w:val="0"/>
          <w:divBdr>
            <w:top w:val="none" w:sz="0" w:space="0" w:color="auto"/>
            <w:left w:val="none" w:sz="0" w:space="0" w:color="auto"/>
            <w:bottom w:val="none" w:sz="0" w:space="0" w:color="auto"/>
            <w:right w:val="none" w:sz="0" w:space="0" w:color="auto"/>
          </w:divBdr>
        </w:div>
        <w:div w:id="2016688396">
          <w:marLeft w:val="0"/>
          <w:marRight w:val="0"/>
          <w:marTop w:val="0"/>
          <w:marBottom w:val="0"/>
          <w:divBdr>
            <w:top w:val="none" w:sz="0" w:space="0" w:color="auto"/>
            <w:left w:val="none" w:sz="0" w:space="0" w:color="auto"/>
            <w:bottom w:val="none" w:sz="0" w:space="0" w:color="auto"/>
            <w:right w:val="none" w:sz="0" w:space="0" w:color="auto"/>
          </w:divBdr>
        </w:div>
        <w:div w:id="2016688398">
          <w:marLeft w:val="0"/>
          <w:marRight w:val="0"/>
          <w:marTop w:val="0"/>
          <w:marBottom w:val="0"/>
          <w:divBdr>
            <w:top w:val="none" w:sz="0" w:space="0" w:color="auto"/>
            <w:left w:val="none" w:sz="0" w:space="0" w:color="auto"/>
            <w:bottom w:val="none" w:sz="0" w:space="0" w:color="auto"/>
            <w:right w:val="none" w:sz="0" w:space="0" w:color="auto"/>
          </w:divBdr>
        </w:div>
        <w:div w:id="2016688400">
          <w:marLeft w:val="0"/>
          <w:marRight w:val="0"/>
          <w:marTop w:val="0"/>
          <w:marBottom w:val="0"/>
          <w:divBdr>
            <w:top w:val="none" w:sz="0" w:space="0" w:color="auto"/>
            <w:left w:val="none" w:sz="0" w:space="0" w:color="auto"/>
            <w:bottom w:val="none" w:sz="0" w:space="0" w:color="auto"/>
            <w:right w:val="none" w:sz="0" w:space="0" w:color="auto"/>
          </w:divBdr>
        </w:div>
        <w:div w:id="2016688401">
          <w:marLeft w:val="0"/>
          <w:marRight w:val="0"/>
          <w:marTop w:val="0"/>
          <w:marBottom w:val="0"/>
          <w:divBdr>
            <w:top w:val="none" w:sz="0" w:space="0" w:color="auto"/>
            <w:left w:val="none" w:sz="0" w:space="0" w:color="auto"/>
            <w:bottom w:val="none" w:sz="0" w:space="0" w:color="auto"/>
            <w:right w:val="none" w:sz="0" w:space="0" w:color="auto"/>
          </w:divBdr>
        </w:div>
        <w:div w:id="2016688402">
          <w:marLeft w:val="0"/>
          <w:marRight w:val="0"/>
          <w:marTop w:val="0"/>
          <w:marBottom w:val="0"/>
          <w:divBdr>
            <w:top w:val="none" w:sz="0" w:space="0" w:color="auto"/>
            <w:left w:val="none" w:sz="0" w:space="0" w:color="auto"/>
            <w:bottom w:val="none" w:sz="0" w:space="0" w:color="auto"/>
            <w:right w:val="none" w:sz="0" w:space="0" w:color="auto"/>
          </w:divBdr>
        </w:div>
        <w:div w:id="2016688403">
          <w:marLeft w:val="0"/>
          <w:marRight w:val="0"/>
          <w:marTop w:val="0"/>
          <w:marBottom w:val="0"/>
          <w:divBdr>
            <w:top w:val="none" w:sz="0" w:space="0" w:color="auto"/>
            <w:left w:val="none" w:sz="0" w:space="0" w:color="auto"/>
            <w:bottom w:val="none" w:sz="0" w:space="0" w:color="auto"/>
            <w:right w:val="none" w:sz="0" w:space="0" w:color="auto"/>
          </w:divBdr>
        </w:div>
        <w:div w:id="2016688404">
          <w:marLeft w:val="0"/>
          <w:marRight w:val="0"/>
          <w:marTop w:val="0"/>
          <w:marBottom w:val="0"/>
          <w:divBdr>
            <w:top w:val="none" w:sz="0" w:space="0" w:color="auto"/>
            <w:left w:val="none" w:sz="0" w:space="0" w:color="auto"/>
            <w:bottom w:val="none" w:sz="0" w:space="0" w:color="auto"/>
            <w:right w:val="none" w:sz="0" w:space="0" w:color="auto"/>
          </w:divBdr>
        </w:div>
        <w:div w:id="2016688412">
          <w:marLeft w:val="0"/>
          <w:marRight w:val="0"/>
          <w:marTop w:val="0"/>
          <w:marBottom w:val="0"/>
          <w:divBdr>
            <w:top w:val="none" w:sz="0" w:space="0" w:color="auto"/>
            <w:left w:val="none" w:sz="0" w:space="0" w:color="auto"/>
            <w:bottom w:val="none" w:sz="0" w:space="0" w:color="auto"/>
            <w:right w:val="none" w:sz="0" w:space="0" w:color="auto"/>
          </w:divBdr>
        </w:div>
        <w:div w:id="2016688422">
          <w:marLeft w:val="0"/>
          <w:marRight w:val="0"/>
          <w:marTop w:val="0"/>
          <w:marBottom w:val="0"/>
          <w:divBdr>
            <w:top w:val="none" w:sz="0" w:space="0" w:color="auto"/>
            <w:left w:val="none" w:sz="0" w:space="0" w:color="auto"/>
            <w:bottom w:val="none" w:sz="0" w:space="0" w:color="auto"/>
            <w:right w:val="none" w:sz="0" w:space="0" w:color="auto"/>
          </w:divBdr>
        </w:div>
        <w:div w:id="2016688431">
          <w:marLeft w:val="0"/>
          <w:marRight w:val="0"/>
          <w:marTop w:val="0"/>
          <w:marBottom w:val="0"/>
          <w:divBdr>
            <w:top w:val="none" w:sz="0" w:space="0" w:color="auto"/>
            <w:left w:val="none" w:sz="0" w:space="0" w:color="auto"/>
            <w:bottom w:val="none" w:sz="0" w:space="0" w:color="auto"/>
            <w:right w:val="none" w:sz="0" w:space="0" w:color="auto"/>
          </w:divBdr>
        </w:div>
        <w:div w:id="2016688435">
          <w:marLeft w:val="0"/>
          <w:marRight w:val="0"/>
          <w:marTop w:val="0"/>
          <w:marBottom w:val="0"/>
          <w:divBdr>
            <w:top w:val="none" w:sz="0" w:space="0" w:color="auto"/>
            <w:left w:val="none" w:sz="0" w:space="0" w:color="auto"/>
            <w:bottom w:val="none" w:sz="0" w:space="0" w:color="auto"/>
            <w:right w:val="none" w:sz="0" w:space="0" w:color="auto"/>
          </w:divBdr>
        </w:div>
        <w:div w:id="2016688438">
          <w:marLeft w:val="0"/>
          <w:marRight w:val="0"/>
          <w:marTop w:val="0"/>
          <w:marBottom w:val="0"/>
          <w:divBdr>
            <w:top w:val="none" w:sz="0" w:space="0" w:color="auto"/>
            <w:left w:val="none" w:sz="0" w:space="0" w:color="auto"/>
            <w:bottom w:val="none" w:sz="0" w:space="0" w:color="auto"/>
            <w:right w:val="none" w:sz="0" w:space="0" w:color="auto"/>
          </w:divBdr>
        </w:div>
        <w:div w:id="2016688440">
          <w:marLeft w:val="0"/>
          <w:marRight w:val="0"/>
          <w:marTop w:val="0"/>
          <w:marBottom w:val="0"/>
          <w:divBdr>
            <w:top w:val="none" w:sz="0" w:space="0" w:color="auto"/>
            <w:left w:val="none" w:sz="0" w:space="0" w:color="auto"/>
            <w:bottom w:val="none" w:sz="0" w:space="0" w:color="auto"/>
            <w:right w:val="none" w:sz="0" w:space="0" w:color="auto"/>
          </w:divBdr>
        </w:div>
        <w:div w:id="2016688444">
          <w:marLeft w:val="0"/>
          <w:marRight w:val="0"/>
          <w:marTop w:val="0"/>
          <w:marBottom w:val="0"/>
          <w:divBdr>
            <w:top w:val="none" w:sz="0" w:space="0" w:color="auto"/>
            <w:left w:val="none" w:sz="0" w:space="0" w:color="auto"/>
            <w:bottom w:val="none" w:sz="0" w:space="0" w:color="auto"/>
            <w:right w:val="none" w:sz="0" w:space="0" w:color="auto"/>
          </w:divBdr>
        </w:div>
        <w:div w:id="2016688457">
          <w:marLeft w:val="0"/>
          <w:marRight w:val="0"/>
          <w:marTop w:val="0"/>
          <w:marBottom w:val="0"/>
          <w:divBdr>
            <w:top w:val="none" w:sz="0" w:space="0" w:color="auto"/>
            <w:left w:val="none" w:sz="0" w:space="0" w:color="auto"/>
            <w:bottom w:val="none" w:sz="0" w:space="0" w:color="auto"/>
            <w:right w:val="none" w:sz="0" w:space="0" w:color="auto"/>
          </w:divBdr>
        </w:div>
        <w:div w:id="2016688461">
          <w:marLeft w:val="0"/>
          <w:marRight w:val="0"/>
          <w:marTop w:val="0"/>
          <w:marBottom w:val="0"/>
          <w:divBdr>
            <w:top w:val="none" w:sz="0" w:space="0" w:color="auto"/>
            <w:left w:val="none" w:sz="0" w:space="0" w:color="auto"/>
            <w:bottom w:val="none" w:sz="0" w:space="0" w:color="auto"/>
            <w:right w:val="none" w:sz="0" w:space="0" w:color="auto"/>
          </w:divBdr>
        </w:div>
        <w:div w:id="2016688467">
          <w:marLeft w:val="0"/>
          <w:marRight w:val="0"/>
          <w:marTop w:val="0"/>
          <w:marBottom w:val="0"/>
          <w:divBdr>
            <w:top w:val="none" w:sz="0" w:space="0" w:color="auto"/>
            <w:left w:val="none" w:sz="0" w:space="0" w:color="auto"/>
            <w:bottom w:val="none" w:sz="0" w:space="0" w:color="auto"/>
            <w:right w:val="none" w:sz="0" w:space="0" w:color="auto"/>
          </w:divBdr>
        </w:div>
        <w:div w:id="2016688474">
          <w:marLeft w:val="0"/>
          <w:marRight w:val="0"/>
          <w:marTop w:val="0"/>
          <w:marBottom w:val="0"/>
          <w:divBdr>
            <w:top w:val="none" w:sz="0" w:space="0" w:color="auto"/>
            <w:left w:val="none" w:sz="0" w:space="0" w:color="auto"/>
            <w:bottom w:val="none" w:sz="0" w:space="0" w:color="auto"/>
            <w:right w:val="none" w:sz="0" w:space="0" w:color="auto"/>
          </w:divBdr>
        </w:div>
        <w:div w:id="2016688476">
          <w:marLeft w:val="0"/>
          <w:marRight w:val="0"/>
          <w:marTop w:val="0"/>
          <w:marBottom w:val="0"/>
          <w:divBdr>
            <w:top w:val="none" w:sz="0" w:space="0" w:color="auto"/>
            <w:left w:val="none" w:sz="0" w:space="0" w:color="auto"/>
            <w:bottom w:val="none" w:sz="0" w:space="0" w:color="auto"/>
            <w:right w:val="none" w:sz="0" w:space="0" w:color="auto"/>
          </w:divBdr>
        </w:div>
        <w:div w:id="2016688477">
          <w:marLeft w:val="0"/>
          <w:marRight w:val="0"/>
          <w:marTop w:val="0"/>
          <w:marBottom w:val="0"/>
          <w:divBdr>
            <w:top w:val="none" w:sz="0" w:space="0" w:color="auto"/>
            <w:left w:val="none" w:sz="0" w:space="0" w:color="auto"/>
            <w:bottom w:val="none" w:sz="0" w:space="0" w:color="auto"/>
            <w:right w:val="none" w:sz="0" w:space="0" w:color="auto"/>
          </w:divBdr>
        </w:div>
        <w:div w:id="2016688478">
          <w:marLeft w:val="0"/>
          <w:marRight w:val="0"/>
          <w:marTop w:val="0"/>
          <w:marBottom w:val="0"/>
          <w:divBdr>
            <w:top w:val="none" w:sz="0" w:space="0" w:color="auto"/>
            <w:left w:val="none" w:sz="0" w:space="0" w:color="auto"/>
            <w:bottom w:val="none" w:sz="0" w:space="0" w:color="auto"/>
            <w:right w:val="none" w:sz="0" w:space="0" w:color="auto"/>
          </w:divBdr>
        </w:div>
        <w:div w:id="2016688479">
          <w:marLeft w:val="0"/>
          <w:marRight w:val="0"/>
          <w:marTop w:val="0"/>
          <w:marBottom w:val="0"/>
          <w:divBdr>
            <w:top w:val="none" w:sz="0" w:space="0" w:color="auto"/>
            <w:left w:val="none" w:sz="0" w:space="0" w:color="auto"/>
            <w:bottom w:val="none" w:sz="0" w:space="0" w:color="auto"/>
            <w:right w:val="none" w:sz="0" w:space="0" w:color="auto"/>
          </w:divBdr>
        </w:div>
        <w:div w:id="2016688485">
          <w:marLeft w:val="0"/>
          <w:marRight w:val="0"/>
          <w:marTop w:val="0"/>
          <w:marBottom w:val="0"/>
          <w:divBdr>
            <w:top w:val="none" w:sz="0" w:space="0" w:color="auto"/>
            <w:left w:val="none" w:sz="0" w:space="0" w:color="auto"/>
            <w:bottom w:val="none" w:sz="0" w:space="0" w:color="auto"/>
            <w:right w:val="none" w:sz="0" w:space="0" w:color="auto"/>
          </w:divBdr>
        </w:div>
        <w:div w:id="2016688486">
          <w:marLeft w:val="0"/>
          <w:marRight w:val="0"/>
          <w:marTop w:val="0"/>
          <w:marBottom w:val="0"/>
          <w:divBdr>
            <w:top w:val="none" w:sz="0" w:space="0" w:color="auto"/>
            <w:left w:val="none" w:sz="0" w:space="0" w:color="auto"/>
            <w:bottom w:val="none" w:sz="0" w:space="0" w:color="auto"/>
            <w:right w:val="none" w:sz="0" w:space="0" w:color="auto"/>
          </w:divBdr>
        </w:div>
        <w:div w:id="2016688494">
          <w:marLeft w:val="0"/>
          <w:marRight w:val="0"/>
          <w:marTop w:val="0"/>
          <w:marBottom w:val="0"/>
          <w:divBdr>
            <w:top w:val="none" w:sz="0" w:space="0" w:color="auto"/>
            <w:left w:val="none" w:sz="0" w:space="0" w:color="auto"/>
            <w:bottom w:val="none" w:sz="0" w:space="0" w:color="auto"/>
            <w:right w:val="none" w:sz="0" w:space="0" w:color="auto"/>
          </w:divBdr>
        </w:div>
        <w:div w:id="2016688496">
          <w:marLeft w:val="0"/>
          <w:marRight w:val="0"/>
          <w:marTop w:val="0"/>
          <w:marBottom w:val="0"/>
          <w:divBdr>
            <w:top w:val="none" w:sz="0" w:space="0" w:color="auto"/>
            <w:left w:val="none" w:sz="0" w:space="0" w:color="auto"/>
            <w:bottom w:val="none" w:sz="0" w:space="0" w:color="auto"/>
            <w:right w:val="none" w:sz="0" w:space="0" w:color="auto"/>
          </w:divBdr>
        </w:div>
        <w:div w:id="2016688508">
          <w:marLeft w:val="0"/>
          <w:marRight w:val="0"/>
          <w:marTop w:val="0"/>
          <w:marBottom w:val="0"/>
          <w:divBdr>
            <w:top w:val="none" w:sz="0" w:space="0" w:color="auto"/>
            <w:left w:val="none" w:sz="0" w:space="0" w:color="auto"/>
            <w:bottom w:val="none" w:sz="0" w:space="0" w:color="auto"/>
            <w:right w:val="none" w:sz="0" w:space="0" w:color="auto"/>
          </w:divBdr>
        </w:div>
        <w:div w:id="2016688514">
          <w:marLeft w:val="0"/>
          <w:marRight w:val="0"/>
          <w:marTop w:val="0"/>
          <w:marBottom w:val="0"/>
          <w:divBdr>
            <w:top w:val="none" w:sz="0" w:space="0" w:color="auto"/>
            <w:left w:val="none" w:sz="0" w:space="0" w:color="auto"/>
            <w:bottom w:val="none" w:sz="0" w:space="0" w:color="auto"/>
            <w:right w:val="none" w:sz="0" w:space="0" w:color="auto"/>
          </w:divBdr>
        </w:div>
        <w:div w:id="2016688520">
          <w:marLeft w:val="0"/>
          <w:marRight w:val="0"/>
          <w:marTop w:val="0"/>
          <w:marBottom w:val="0"/>
          <w:divBdr>
            <w:top w:val="none" w:sz="0" w:space="0" w:color="auto"/>
            <w:left w:val="none" w:sz="0" w:space="0" w:color="auto"/>
            <w:bottom w:val="none" w:sz="0" w:space="0" w:color="auto"/>
            <w:right w:val="none" w:sz="0" w:space="0" w:color="auto"/>
          </w:divBdr>
        </w:div>
        <w:div w:id="2016688524">
          <w:marLeft w:val="0"/>
          <w:marRight w:val="0"/>
          <w:marTop w:val="0"/>
          <w:marBottom w:val="0"/>
          <w:divBdr>
            <w:top w:val="none" w:sz="0" w:space="0" w:color="auto"/>
            <w:left w:val="none" w:sz="0" w:space="0" w:color="auto"/>
            <w:bottom w:val="none" w:sz="0" w:space="0" w:color="auto"/>
            <w:right w:val="none" w:sz="0" w:space="0" w:color="auto"/>
          </w:divBdr>
        </w:div>
        <w:div w:id="2016688526">
          <w:marLeft w:val="0"/>
          <w:marRight w:val="0"/>
          <w:marTop w:val="0"/>
          <w:marBottom w:val="0"/>
          <w:divBdr>
            <w:top w:val="none" w:sz="0" w:space="0" w:color="auto"/>
            <w:left w:val="none" w:sz="0" w:space="0" w:color="auto"/>
            <w:bottom w:val="none" w:sz="0" w:space="0" w:color="auto"/>
            <w:right w:val="none" w:sz="0" w:space="0" w:color="auto"/>
          </w:divBdr>
        </w:div>
        <w:div w:id="2016688527">
          <w:marLeft w:val="0"/>
          <w:marRight w:val="0"/>
          <w:marTop w:val="0"/>
          <w:marBottom w:val="0"/>
          <w:divBdr>
            <w:top w:val="none" w:sz="0" w:space="0" w:color="auto"/>
            <w:left w:val="none" w:sz="0" w:space="0" w:color="auto"/>
            <w:bottom w:val="none" w:sz="0" w:space="0" w:color="auto"/>
            <w:right w:val="none" w:sz="0" w:space="0" w:color="auto"/>
          </w:divBdr>
        </w:div>
        <w:div w:id="2016688534">
          <w:marLeft w:val="0"/>
          <w:marRight w:val="0"/>
          <w:marTop w:val="0"/>
          <w:marBottom w:val="0"/>
          <w:divBdr>
            <w:top w:val="none" w:sz="0" w:space="0" w:color="auto"/>
            <w:left w:val="none" w:sz="0" w:space="0" w:color="auto"/>
            <w:bottom w:val="none" w:sz="0" w:space="0" w:color="auto"/>
            <w:right w:val="none" w:sz="0" w:space="0" w:color="auto"/>
          </w:divBdr>
        </w:div>
        <w:div w:id="2016688538">
          <w:marLeft w:val="0"/>
          <w:marRight w:val="0"/>
          <w:marTop w:val="0"/>
          <w:marBottom w:val="0"/>
          <w:divBdr>
            <w:top w:val="none" w:sz="0" w:space="0" w:color="auto"/>
            <w:left w:val="none" w:sz="0" w:space="0" w:color="auto"/>
            <w:bottom w:val="none" w:sz="0" w:space="0" w:color="auto"/>
            <w:right w:val="none" w:sz="0" w:space="0" w:color="auto"/>
          </w:divBdr>
        </w:div>
        <w:div w:id="2016688546">
          <w:marLeft w:val="0"/>
          <w:marRight w:val="0"/>
          <w:marTop w:val="0"/>
          <w:marBottom w:val="0"/>
          <w:divBdr>
            <w:top w:val="none" w:sz="0" w:space="0" w:color="auto"/>
            <w:left w:val="none" w:sz="0" w:space="0" w:color="auto"/>
            <w:bottom w:val="none" w:sz="0" w:space="0" w:color="auto"/>
            <w:right w:val="none" w:sz="0" w:space="0" w:color="auto"/>
          </w:divBdr>
        </w:div>
        <w:div w:id="2016688547">
          <w:marLeft w:val="0"/>
          <w:marRight w:val="0"/>
          <w:marTop w:val="0"/>
          <w:marBottom w:val="0"/>
          <w:divBdr>
            <w:top w:val="none" w:sz="0" w:space="0" w:color="auto"/>
            <w:left w:val="none" w:sz="0" w:space="0" w:color="auto"/>
            <w:bottom w:val="none" w:sz="0" w:space="0" w:color="auto"/>
            <w:right w:val="none" w:sz="0" w:space="0" w:color="auto"/>
          </w:divBdr>
        </w:div>
        <w:div w:id="2016688556">
          <w:marLeft w:val="0"/>
          <w:marRight w:val="0"/>
          <w:marTop w:val="0"/>
          <w:marBottom w:val="0"/>
          <w:divBdr>
            <w:top w:val="none" w:sz="0" w:space="0" w:color="auto"/>
            <w:left w:val="none" w:sz="0" w:space="0" w:color="auto"/>
            <w:bottom w:val="none" w:sz="0" w:space="0" w:color="auto"/>
            <w:right w:val="none" w:sz="0" w:space="0" w:color="auto"/>
          </w:divBdr>
        </w:div>
        <w:div w:id="2016688557">
          <w:marLeft w:val="0"/>
          <w:marRight w:val="0"/>
          <w:marTop w:val="0"/>
          <w:marBottom w:val="0"/>
          <w:divBdr>
            <w:top w:val="none" w:sz="0" w:space="0" w:color="auto"/>
            <w:left w:val="none" w:sz="0" w:space="0" w:color="auto"/>
            <w:bottom w:val="none" w:sz="0" w:space="0" w:color="auto"/>
            <w:right w:val="none" w:sz="0" w:space="0" w:color="auto"/>
          </w:divBdr>
        </w:div>
        <w:div w:id="2016688558">
          <w:marLeft w:val="0"/>
          <w:marRight w:val="0"/>
          <w:marTop w:val="0"/>
          <w:marBottom w:val="0"/>
          <w:divBdr>
            <w:top w:val="none" w:sz="0" w:space="0" w:color="auto"/>
            <w:left w:val="none" w:sz="0" w:space="0" w:color="auto"/>
            <w:bottom w:val="none" w:sz="0" w:space="0" w:color="auto"/>
            <w:right w:val="none" w:sz="0" w:space="0" w:color="auto"/>
          </w:divBdr>
        </w:div>
        <w:div w:id="2016688561">
          <w:marLeft w:val="0"/>
          <w:marRight w:val="0"/>
          <w:marTop w:val="0"/>
          <w:marBottom w:val="0"/>
          <w:divBdr>
            <w:top w:val="none" w:sz="0" w:space="0" w:color="auto"/>
            <w:left w:val="none" w:sz="0" w:space="0" w:color="auto"/>
            <w:bottom w:val="none" w:sz="0" w:space="0" w:color="auto"/>
            <w:right w:val="none" w:sz="0" w:space="0" w:color="auto"/>
          </w:divBdr>
        </w:div>
        <w:div w:id="2016688562">
          <w:marLeft w:val="0"/>
          <w:marRight w:val="0"/>
          <w:marTop w:val="0"/>
          <w:marBottom w:val="0"/>
          <w:divBdr>
            <w:top w:val="none" w:sz="0" w:space="0" w:color="auto"/>
            <w:left w:val="none" w:sz="0" w:space="0" w:color="auto"/>
            <w:bottom w:val="none" w:sz="0" w:space="0" w:color="auto"/>
            <w:right w:val="none" w:sz="0" w:space="0" w:color="auto"/>
          </w:divBdr>
        </w:div>
        <w:div w:id="2016688564">
          <w:marLeft w:val="0"/>
          <w:marRight w:val="0"/>
          <w:marTop w:val="0"/>
          <w:marBottom w:val="0"/>
          <w:divBdr>
            <w:top w:val="none" w:sz="0" w:space="0" w:color="auto"/>
            <w:left w:val="none" w:sz="0" w:space="0" w:color="auto"/>
            <w:bottom w:val="none" w:sz="0" w:space="0" w:color="auto"/>
            <w:right w:val="none" w:sz="0" w:space="0" w:color="auto"/>
          </w:divBdr>
        </w:div>
        <w:div w:id="2016688566">
          <w:marLeft w:val="0"/>
          <w:marRight w:val="0"/>
          <w:marTop w:val="0"/>
          <w:marBottom w:val="0"/>
          <w:divBdr>
            <w:top w:val="none" w:sz="0" w:space="0" w:color="auto"/>
            <w:left w:val="none" w:sz="0" w:space="0" w:color="auto"/>
            <w:bottom w:val="none" w:sz="0" w:space="0" w:color="auto"/>
            <w:right w:val="none" w:sz="0" w:space="0" w:color="auto"/>
          </w:divBdr>
        </w:div>
        <w:div w:id="2016688567">
          <w:marLeft w:val="0"/>
          <w:marRight w:val="0"/>
          <w:marTop w:val="0"/>
          <w:marBottom w:val="0"/>
          <w:divBdr>
            <w:top w:val="none" w:sz="0" w:space="0" w:color="auto"/>
            <w:left w:val="none" w:sz="0" w:space="0" w:color="auto"/>
            <w:bottom w:val="none" w:sz="0" w:space="0" w:color="auto"/>
            <w:right w:val="none" w:sz="0" w:space="0" w:color="auto"/>
          </w:divBdr>
        </w:div>
        <w:div w:id="2016688574">
          <w:marLeft w:val="0"/>
          <w:marRight w:val="0"/>
          <w:marTop w:val="0"/>
          <w:marBottom w:val="0"/>
          <w:divBdr>
            <w:top w:val="none" w:sz="0" w:space="0" w:color="auto"/>
            <w:left w:val="none" w:sz="0" w:space="0" w:color="auto"/>
            <w:bottom w:val="none" w:sz="0" w:space="0" w:color="auto"/>
            <w:right w:val="none" w:sz="0" w:space="0" w:color="auto"/>
          </w:divBdr>
        </w:div>
        <w:div w:id="2016688578">
          <w:marLeft w:val="0"/>
          <w:marRight w:val="0"/>
          <w:marTop w:val="0"/>
          <w:marBottom w:val="0"/>
          <w:divBdr>
            <w:top w:val="none" w:sz="0" w:space="0" w:color="auto"/>
            <w:left w:val="none" w:sz="0" w:space="0" w:color="auto"/>
            <w:bottom w:val="none" w:sz="0" w:space="0" w:color="auto"/>
            <w:right w:val="none" w:sz="0" w:space="0" w:color="auto"/>
          </w:divBdr>
        </w:div>
        <w:div w:id="2016688579">
          <w:marLeft w:val="0"/>
          <w:marRight w:val="0"/>
          <w:marTop w:val="0"/>
          <w:marBottom w:val="0"/>
          <w:divBdr>
            <w:top w:val="none" w:sz="0" w:space="0" w:color="auto"/>
            <w:left w:val="none" w:sz="0" w:space="0" w:color="auto"/>
            <w:bottom w:val="none" w:sz="0" w:space="0" w:color="auto"/>
            <w:right w:val="none" w:sz="0" w:space="0" w:color="auto"/>
          </w:divBdr>
        </w:div>
        <w:div w:id="2016688588">
          <w:marLeft w:val="0"/>
          <w:marRight w:val="0"/>
          <w:marTop w:val="0"/>
          <w:marBottom w:val="0"/>
          <w:divBdr>
            <w:top w:val="none" w:sz="0" w:space="0" w:color="auto"/>
            <w:left w:val="none" w:sz="0" w:space="0" w:color="auto"/>
            <w:bottom w:val="none" w:sz="0" w:space="0" w:color="auto"/>
            <w:right w:val="none" w:sz="0" w:space="0" w:color="auto"/>
          </w:divBdr>
        </w:div>
        <w:div w:id="2016688591">
          <w:marLeft w:val="0"/>
          <w:marRight w:val="0"/>
          <w:marTop w:val="0"/>
          <w:marBottom w:val="0"/>
          <w:divBdr>
            <w:top w:val="none" w:sz="0" w:space="0" w:color="auto"/>
            <w:left w:val="none" w:sz="0" w:space="0" w:color="auto"/>
            <w:bottom w:val="none" w:sz="0" w:space="0" w:color="auto"/>
            <w:right w:val="none" w:sz="0" w:space="0" w:color="auto"/>
          </w:divBdr>
        </w:div>
        <w:div w:id="2016688593">
          <w:marLeft w:val="0"/>
          <w:marRight w:val="0"/>
          <w:marTop w:val="0"/>
          <w:marBottom w:val="0"/>
          <w:divBdr>
            <w:top w:val="none" w:sz="0" w:space="0" w:color="auto"/>
            <w:left w:val="none" w:sz="0" w:space="0" w:color="auto"/>
            <w:bottom w:val="none" w:sz="0" w:space="0" w:color="auto"/>
            <w:right w:val="none" w:sz="0" w:space="0" w:color="auto"/>
          </w:divBdr>
        </w:div>
        <w:div w:id="2016688596">
          <w:marLeft w:val="0"/>
          <w:marRight w:val="0"/>
          <w:marTop w:val="0"/>
          <w:marBottom w:val="0"/>
          <w:divBdr>
            <w:top w:val="none" w:sz="0" w:space="0" w:color="auto"/>
            <w:left w:val="none" w:sz="0" w:space="0" w:color="auto"/>
            <w:bottom w:val="none" w:sz="0" w:space="0" w:color="auto"/>
            <w:right w:val="none" w:sz="0" w:space="0" w:color="auto"/>
          </w:divBdr>
        </w:div>
        <w:div w:id="2016688598">
          <w:marLeft w:val="0"/>
          <w:marRight w:val="0"/>
          <w:marTop w:val="0"/>
          <w:marBottom w:val="0"/>
          <w:divBdr>
            <w:top w:val="none" w:sz="0" w:space="0" w:color="auto"/>
            <w:left w:val="none" w:sz="0" w:space="0" w:color="auto"/>
            <w:bottom w:val="none" w:sz="0" w:space="0" w:color="auto"/>
            <w:right w:val="none" w:sz="0" w:space="0" w:color="auto"/>
          </w:divBdr>
        </w:div>
        <w:div w:id="2016688602">
          <w:marLeft w:val="0"/>
          <w:marRight w:val="0"/>
          <w:marTop w:val="0"/>
          <w:marBottom w:val="0"/>
          <w:divBdr>
            <w:top w:val="none" w:sz="0" w:space="0" w:color="auto"/>
            <w:left w:val="none" w:sz="0" w:space="0" w:color="auto"/>
            <w:bottom w:val="none" w:sz="0" w:space="0" w:color="auto"/>
            <w:right w:val="none" w:sz="0" w:space="0" w:color="auto"/>
          </w:divBdr>
        </w:div>
        <w:div w:id="2016688606">
          <w:marLeft w:val="0"/>
          <w:marRight w:val="0"/>
          <w:marTop w:val="0"/>
          <w:marBottom w:val="0"/>
          <w:divBdr>
            <w:top w:val="none" w:sz="0" w:space="0" w:color="auto"/>
            <w:left w:val="none" w:sz="0" w:space="0" w:color="auto"/>
            <w:bottom w:val="none" w:sz="0" w:space="0" w:color="auto"/>
            <w:right w:val="none" w:sz="0" w:space="0" w:color="auto"/>
          </w:divBdr>
        </w:div>
        <w:div w:id="2016688609">
          <w:marLeft w:val="0"/>
          <w:marRight w:val="0"/>
          <w:marTop w:val="0"/>
          <w:marBottom w:val="0"/>
          <w:divBdr>
            <w:top w:val="none" w:sz="0" w:space="0" w:color="auto"/>
            <w:left w:val="none" w:sz="0" w:space="0" w:color="auto"/>
            <w:bottom w:val="none" w:sz="0" w:space="0" w:color="auto"/>
            <w:right w:val="none" w:sz="0" w:space="0" w:color="auto"/>
          </w:divBdr>
        </w:div>
        <w:div w:id="2016688610">
          <w:marLeft w:val="0"/>
          <w:marRight w:val="0"/>
          <w:marTop w:val="0"/>
          <w:marBottom w:val="0"/>
          <w:divBdr>
            <w:top w:val="none" w:sz="0" w:space="0" w:color="auto"/>
            <w:left w:val="none" w:sz="0" w:space="0" w:color="auto"/>
            <w:bottom w:val="none" w:sz="0" w:space="0" w:color="auto"/>
            <w:right w:val="none" w:sz="0" w:space="0" w:color="auto"/>
          </w:divBdr>
        </w:div>
        <w:div w:id="2016688619">
          <w:marLeft w:val="0"/>
          <w:marRight w:val="0"/>
          <w:marTop w:val="0"/>
          <w:marBottom w:val="0"/>
          <w:divBdr>
            <w:top w:val="none" w:sz="0" w:space="0" w:color="auto"/>
            <w:left w:val="none" w:sz="0" w:space="0" w:color="auto"/>
            <w:bottom w:val="none" w:sz="0" w:space="0" w:color="auto"/>
            <w:right w:val="none" w:sz="0" w:space="0" w:color="auto"/>
          </w:divBdr>
        </w:div>
        <w:div w:id="2016688621">
          <w:marLeft w:val="0"/>
          <w:marRight w:val="0"/>
          <w:marTop w:val="0"/>
          <w:marBottom w:val="0"/>
          <w:divBdr>
            <w:top w:val="none" w:sz="0" w:space="0" w:color="auto"/>
            <w:left w:val="none" w:sz="0" w:space="0" w:color="auto"/>
            <w:bottom w:val="none" w:sz="0" w:space="0" w:color="auto"/>
            <w:right w:val="none" w:sz="0" w:space="0" w:color="auto"/>
          </w:divBdr>
        </w:div>
        <w:div w:id="2016688622">
          <w:marLeft w:val="0"/>
          <w:marRight w:val="0"/>
          <w:marTop w:val="0"/>
          <w:marBottom w:val="0"/>
          <w:divBdr>
            <w:top w:val="none" w:sz="0" w:space="0" w:color="auto"/>
            <w:left w:val="none" w:sz="0" w:space="0" w:color="auto"/>
            <w:bottom w:val="none" w:sz="0" w:space="0" w:color="auto"/>
            <w:right w:val="none" w:sz="0" w:space="0" w:color="auto"/>
          </w:divBdr>
        </w:div>
        <w:div w:id="2016688624">
          <w:marLeft w:val="0"/>
          <w:marRight w:val="0"/>
          <w:marTop w:val="0"/>
          <w:marBottom w:val="0"/>
          <w:divBdr>
            <w:top w:val="none" w:sz="0" w:space="0" w:color="auto"/>
            <w:left w:val="none" w:sz="0" w:space="0" w:color="auto"/>
            <w:bottom w:val="none" w:sz="0" w:space="0" w:color="auto"/>
            <w:right w:val="none" w:sz="0" w:space="0" w:color="auto"/>
          </w:divBdr>
        </w:div>
        <w:div w:id="2016688629">
          <w:marLeft w:val="0"/>
          <w:marRight w:val="0"/>
          <w:marTop w:val="0"/>
          <w:marBottom w:val="0"/>
          <w:divBdr>
            <w:top w:val="none" w:sz="0" w:space="0" w:color="auto"/>
            <w:left w:val="none" w:sz="0" w:space="0" w:color="auto"/>
            <w:bottom w:val="none" w:sz="0" w:space="0" w:color="auto"/>
            <w:right w:val="none" w:sz="0" w:space="0" w:color="auto"/>
          </w:divBdr>
        </w:div>
        <w:div w:id="2016688639">
          <w:marLeft w:val="0"/>
          <w:marRight w:val="0"/>
          <w:marTop w:val="0"/>
          <w:marBottom w:val="0"/>
          <w:divBdr>
            <w:top w:val="none" w:sz="0" w:space="0" w:color="auto"/>
            <w:left w:val="none" w:sz="0" w:space="0" w:color="auto"/>
            <w:bottom w:val="none" w:sz="0" w:space="0" w:color="auto"/>
            <w:right w:val="none" w:sz="0" w:space="0" w:color="auto"/>
          </w:divBdr>
        </w:div>
        <w:div w:id="2016688647">
          <w:marLeft w:val="0"/>
          <w:marRight w:val="0"/>
          <w:marTop w:val="0"/>
          <w:marBottom w:val="0"/>
          <w:divBdr>
            <w:top w:val="none" w:sz="0" w:space="0" w:color="auto"/>
            <w:left w:val="none" w:sz="0" w:space="0" w:color="auto"/>
            <w:bottom w:val="none" w:sz="0" w:space="0" w:color="auto"/>
            <w:right w:val="none" w:sz="0" w:space="0" w:color="auto"/>
          </w:divBdr>
        </w:div>
        <w:div w:id="2016688653">
          <w:marLeft w:val="0"/>
          <w:marRight w:val="0"/>
          <w:marTop w:val="0"/>
          <w:marBottom w:val="0"/>
          <w:divBdr>
            <w:top w:val="none" w:sz="0" w:space="0" w:color="auto"/>
            <w:left w:val="none" w:sz="0" w:space="0" w:color="auto"/>
            <w:bottom w:val="none" w:sz="0" w:space="0" w:color="auto"/>
            <w:right w:val="none" w:sz="0" w:space="0" w:color="auto"/>
          </w:divBdr>
        </w:div>
        <w:div w:id="2016688665">
          <w:marLeft w:val="0"/>
          <w:marRight w:val="0"/>
          <w:marTop w:val="0"/>
          <w:marBottom w:val="0"/>
          <w:divBdr>
            <w:top w:val="none" w:sz="0" w:space="0" w:color="auto"/>
            <w:left w:val="none" w:sz="0" w:space="0" w:color="auto"/>
            <w:bottom w:val="none" w:sz="0" w:space="0" w:color="auto"/>
            <w:right w:val="none" w:sz="0" w:space="0" w:color="auto"/>
          </w:divBdr>
        </w:div>
        <w:div w:id="2016688672">
          <w:marLeft w:val="0"/>
          <w:marRight w:val="0"/>
          <w:marTop w:val="0"/>
          <w:marBottom w:val="0"/>
          <w:divBdr>
            <w:top w:val="none" w:sz="0" w:space="0" w:color="auto"/>
            <w:left w:val="none" w:sz="0" w:space="0" w:color="auto"/>
            <w:bottom w:val="none" w:sz="0" w:space="0" w:color="auto"/>
            <w:right w:val="none" w:sz="0" w:space="0" w:color="auto"/>
          </w:divBdr>
        </w:div>
        <w:div w:id="2016688673">
          <w:marLeft w:val="0"/>
          <w:marRight w:val="0"/>
          <w:marTop w:val="0"/>
          <w:marBottom w:val="0"/>
          <w:divBdr>
            <w:top w:val="none" w:sz="0" w:space="0" w:color="auto"/>
            <w:left w:val="none" w:sz="0" w:space="0" w:color="auto"/>
            <w:bottom w:val="none" w:sz="0" w:space="0" w:color="auto"/>
            <w:right w:val="none" w:sz="0" w:space="0" w:color="auto"/>
          </w:divBdr>
        </w:div>
        <w:div w:id="2016688677">
          <w:marLeft w:val="0"/>
          <w:marRight w:val="0"/>
          <w:marTop w:val="0"/>
          <w:marBottom w:val="0"/>
          <w:divBdr>
            <w:top w:val="none" w:sz="0" w:space="0" w:color="auto"/>
            <w:left w:val="none" w:sz="0" w:space="0" w:color="auto"/>
            <w:bottom w:val="none" w:sz="0" w:space="0" w:color="auto"/>
            <w:right w:val="none" w:sz="0" w:space="0" w:color="auto"/>
          </w:divBdr>
        </w:div>
        <w:div w:id="2016688685">
          <w:marLeft w:val="0"/>
          <w:marRight w:val="0"/>
          <w:marTop w:val="0"/>
          <w:marBottom w:val="0"/>
          <w:divBdr>
            <w:top w:val="none" w:sz="0" w:space="0" w:color="auto"/>
            <w:left w:val="none" w:sz="0" w:space="0" w:color="auto"/>
            <w:bottom w:val="none" w:sz="0" w:space="0" w:color="auto"/>
            <w:right w:val="none" w:sz="0" w:space="0" w:color="auto"/>
          </w:divBdr>
        </w:div>
        <w:div w:id="2016688687">
          <w:marLeft w:val="0"/>
          <w:marRight w:val="0"/>
          <w:marTop w:val="0"/>
          <w:marBottom w:val="0"/>
          <w:divBdr>
            <w:top w:val="none" w:sz="0" w:space="0" w:color="auto"/>
            <w:left w:val="none" w:sz="0" w:space="0" w:color="auto"/>
            <w:bottom w:val="none" w:sz="0" w:space="0" w:color="auto"/>
            <w:right w:val="none" w:sz="0" w:space="0" w:color="auto"/>
          </w:divBdr>
        </w:div>
        <w:div w:id="2016688701">
          <w:marLeft w:val="0"/>
          <w:marRight w:val="0"/>
          <w:marTop w:val="0"/>
          <w:marBottom w:val="0"/>
          <w:divBdr>
            <w:top w:val="none" w:sz="0" w:space="0" w:color="auto"/>
            <w:left w:val="none" w:sz="0" w:space="0" w:color="auto"/>
            <w:bottom w:val="none" w:sz="0" w:space="0" w:color="auto"/>
            <w:right w:val="none" w:sz="0" w:space="0" w:color="auto"/>
          </w:divBdr>
        </w:div>
        <w:div w:id="2016688703">
          <w:marLeft w:val="0"/>
          <w:marRight w:val="0"/>
          <w:marTop w:val="0"/>
          <w:marBottom w:val="0"/>
          <w:divBdr>
            <w:top w:val="none" w:sz="0" w:space="0" w:color="auto"/>
            <w:left w:val="none" w:sz="0" w:space="0" w:color="auto"/>
            <w:bottom w:val="none" w:sz="0" w:space="0" w:color="auto"/>
            <w:right w:val="none" w:sz="0" w:space="0" w:color="auto"/>
          </w:divBdr>
        </w:div>
        <w:div w:id="2016688707">
          <w:marLeft w:val="0"/>
          <w:marRight w:val="0"/>
          <w:marTop w:val="0"/>
          <w:marBottom w:val="0"/>
          <w:divBdr>
            <w:top w:val="none" w:sz="0" w:space="0" w:color="auto"/>
            <w:left w:val="none" w:sz="0" w:space="0" w:color="auto"/>
            <w:bottom w:val="none" w:sz="0" w:space="0" w:color="auto"/>
            <w:right w:val="none" w:sz="0" w:space="0" w:color="auto"/>
          </w:divBdr>
        </w:div>
        <w:div w:id="2016688709">
          <w:marLeft w:val="0"/>
          <w:marRight w:val="0"/>
          <w:marTop w:val="0"/>
          <w:marBottom w:val="0"/>
          <w:divBdr>
            <w:top w:val="none" w:sz="0" w:space="0" w:color="auto"/>
            <w:left w:val="none" w:sz="0" w:space="0" w:color="auto"/>
            <w:bottom w:val="none" w:sz="0" w:space="0" w:color="auto"/>
            <w:right w:val="none" w:sz="0" w:space="0" w:color="auto"/>
          </w:divBdr>
        </w:div>
        <w:div w:id="2016688710">
          <w:marLeft w:val="0"/>
          <w:marRight w:val="0"/>
          <w:marTop w:val="0"/>
          <w:marBottom w:val="0"/>
          <w:divBdr>
            <w:top w:val="none" w:sz="0" w:space="0" w:color="auto"/>
            <w:left w:val="none" w:sz="0" w:space="0" w:color="auto"/>
            <w:bottom w:val="none" w:sz="0" w:space="0" w:color="auto"/>
            <w:right w:val="none" w:sz="0" w:space="0" w:color="auto"/>
          </w:divBdr>
        </w:div>
        <w:div w:id="2016688711">
          <w:marLeft w:val="0"/>
          <w:marRight w:val="0"/>
          <w:marTop w:val="0"/>
          <w:marBottom w:val="0"/>
          <w:divBdr>
            <w:top w:val="none" w:sz="0" w:space="0" w:color="auto"/>
            <w:left w:val="none" w:sz="0" w:space="0" w:color="auto"/>
            <w:bottom w:val="none" w:sz="0" w:space="0" w:color="auto"/>
            <w:right w:val="none" w:sz="0" w:space="0" w:color="auto"/>
          </w:divBdr>
        </w:div>
        <w:div w:id="2016688712">
          <w:marLeft w:val="0"/>
          <w:marRight w:val="0"/>
          <w:marTop w:val="0"/>
          <w:marBottom w:val="0"/>
          <w:divBdr>
            <w:top w:val="none" w:sz="0" w:space="0" w:color="auto"/>
            <w:left w:val="none" w:sz="0" w:space="0" w:color="auto"/>
            <w:bottom w:val="none" w:sz="0" w:space="0" w:color="auto"/>
            <w:right w:val="none" w:sz="0" w:space="0" w:color="auto"/>
          </w:divBdr>
        </w:div>
        <w:div w:id="2016688716">
          <w:marLeft w:val="0"/>
          <w:marRight w:val="0"/>
          <w:marTop w:val="0"/>
          <w:marBottom w:val="0"/>
          <w:divBdr>
            <w:top w:val="none" w:sz="0" w:space="0" w:color="auto"/>
            <w:left w:val="none" w:sz="0" w:space="0" w:color="auto"/>
            <w:bottom w:val="none" w:sz="0" w:space="0" w:color="auto"/>
            <w:right w:val="none" w:sz="0" w:space="0" w:color="auto"/>
          </w:divBdr>
        </w:div>
        <w:div w:id="2016688718">
          <w:marLeft w:val="0"/>
          <w:marRight w:val="0"/>
          <w:marTop w:val="0"/>
          <w:marBottom w:val="0"/>
          <w:divBdr>
            <w:top w:val="none" w:sz="0" w:space="0" w:color="auto"/>
            <w:left w:val="none" w:sz="0" w:space="0" w:color="auto"/>
            <w:bottom w:val="none" w:sz="0" w:space="0" w:color="auto"/>
            <w:right w:val="none" w:sz="0" w:space="0" w:color="auto"/>
          </w:divBdr>
        </w:div>
        <w:div w:id="2016688720">
          <w:marLeft w:val="0"/>
          <w:marRight w:val="0"/>
          <w:marTop w:val="0"/>
          <w:marBottom w:val="0"/>
          <w:divBdr>
            <w:top w:val="none" w:sz="0" w:space="0" w:color="auto"/>
            <w:left w:val="none" w:sz="0" w:space="0" w:color="auto"/>
            <w:bottom w:val="none" w:sz="0" w:space="0" w:color="auto"/>
            <w:right w:val="none" w:sz="0" w:space="0" w:color="auto"/>
          </w:divBdr>
        </w:div>
        <w:div w:id="2016688724">
          <w:marLeft w:val="0"/>
          <w:marRight w:val="0"/>
          <w:marTop w:val="0"/>
          <w:marBottom w:val="0"/>
          <w:divBdr>
            <w:top w:val="none" w:sz="0" w:space="0" w:color="auto"/>
            <w:left w:val="none" w:sz="0" w:space="0" w:color="auto"/>
            <w:bottom w:val="none" w:sz="0" w:space="0" w:color="auto"/>
            <w:right w:val="none" w:sz="0" w:space="0" w:color="auto"/>
          </w:divBdr>
        </w:div>
      </w:divsChild>
    </w:div>
    <w:div w:id="2016688424">
      <w:marLeft w:val="0"/>
      <w:marRight w:val="0"/>
      <w:marTop w:val="0"/>
      <w:marBottom w:val="0"/>
      <w:divBdr>
        <w:top w:val="none" w:sz="0" w:space="0" w:color="auto"/>
        <w:left w:val="none" w:sz="0" w:space="0" w:color="auto"/>
        <w:bottom w:val="none" w:sz="0" w:space="0" w:color="auto"/>
        <w:right w:val="none" w:sz="0" w:space="0" w:color="auto"/>
      </w:divBdr>
    </w:div>
    <w:div w:id="2016688430">
      <w:marLeft w:val="0"/>
      <w:marRight w:val="0"/>
      <w:marTop w:val="0"/>
      <w:marBottom w:val="0"/>
      <w:divBdr>
        <w:top w:val="none" w:sz="0" w:space="0" w:color="auto"/>
        <w:left w:val="none" w:sz="0" w:space="0" w:color="auto"/>
        <w:bottom w:val="none" w:sz="0" w:space="0" w:color="auto"/>
        <w:right w:val="none" w:sz="0" w:space="0" w:color="auto"/>
      </w:divBdr>
    </w:div>
    <w:div w:id="2016688434">
      <w:marLeft w:val="0"/>
      <w:marRight w:val="0"/>
      <w:marTop w:val="0"/>
      <w:marBottom w:val="0"/>
      <w:divBdr>
        <w:top w:val="none" w:sz="0" w:space="0" w:color="auto"/>
        <w:left w:val="none" w:sz="0" w:space="0" w:color="auto"/>
        <w:bottom w:val="none" w:sz="0" w:space="0" w:color="auto"/>
        <w:right w:val="none" w:sz="0" w:space="0" w:color="auto"/>
      </w:divBdr>
    </w:div>
    <w:div w:id="2016688436">
      <w:marLeft w:val="0"/>
      <w:marRight w:val="0"/>
      <w:marTop w:val="0"/>
      <w:marBottom w:val="0"/>
      <w:divBdr>
        <w:top w:val="none" w:sz="0" w:space="0" w:color="auto"/>
        <w:left w:val="none" w:sz="0" w:space="0" w:color="auto"/>
        <w:bottom w:val="none" w:sz="0" w:space="0" w:color="auto"/>
        <w:right w:val="none" w:sz="0" w:space="0" w:color="auto"/>
      </w:divBdr>
    </w:div>
    <w:div w:id="2016688437">
      <w:marLeft w:val="0"/>
      <w:marRight w:val="0"/>
      <w:marTop w:val="0"/>
      <w:marBottom w:val="0"/>
      <w:divBdr>
        <w:top w:val="none" w:sz="0" w:space="0" w:color="auto"/>
        <w:left w:val="none" w:sz="0" w:space="0" w:color="auto"/>
        <w:bottom w:val="none" w:sz="0" w:space="0" w:color="auto"/>
        <w:right w:val="none" w:sz="0" w:space="0" w:color="auto"/>
      </w:divBdr>
    </w:div>
    <w:div w:id="2016688439">
      <w:marLeft w:val="0"/>
      <w:marRight w:val="0"/>
      <w:marTop w:val="0"/>
      <w:marBottom w:val="0"/>
      <w:divBdr>
        <w:top w:val="none" w:sz="0" w:space="0" w:color="auto"/>
        <w:left w:val="none" w:sz="0" w:space="0" w:color="auto"/>
        <w:bottom w:val="none" w:sz="0" w:space="0" w:color="auto"/>
        <w:right w:val="none" w:sz="0" w:space="0" w:color="auto"/>
      </w:divBdr>
    </w:div>
    <w:div w:id="2016688451">
      <w:marLeft w:val="0"/>
      <w:marRight w:val="0"/>
      <w:marTop w:val="0"/>
      <w:marBottom w:val="0"/>
      <w:divBdr>
        <w:top w:val="none" w:sz="0" w:space="0" w:color="auto"/>
        <w:left w:val="none" w:sz="0" w:space="0" w:color="auto"/>
        <w:bottom w:val="none" w:sz="0" w:space="0" w:color="auto"/>
        <w:right w:val="none" w:sz="0" w:space="0" w:color="auto"/>
      </w:divBdr>
    </w:div>
    <w:div w:id="2016688459">
      <w:marLeft w:val="0"/>
      <w:marRight w:val="0"/>
      <w:marTop w:val="0"/>
      <w:marBottom w:val="0"/>
      <w:divBdr>
        <w:top w:val="none" w:sz="0" w:space="0" w:color="auto"/>
        <w:left w:val="none" w:sz="0" w:space="0" w:color="auto"/>
        <w:bottom w:val="none" w:sz="0" w:space="0" w:color="auto"/>
        <w:right w:val="none" w:sz="0" w:space="0" w:color="auto"/>
      </w:divBdr>
    </w:div>
    <w:div w:id="2016688473">
      <w:marLeft w:val="0"/>
      <w:marRight w:val="0"/>
      <w:marTop w:val="0"/>
      <w:marBottom w:val="0"/>
      <w:divBdr>
        <w:top w:val="none" w:sz="0" w:space="0" w:color="auto"/>
        <w:left w:val="none" w:sz="0" w:space="0" w:color="auto"/>
        <w:bottom w:val="none" w:sz="0" w:space="0" w:color="auto"/>
        <w:right w:val="none" w:sz="0" w:space="0" w:color="auto"/>
      </w:divBdr>
    </w:div>
    <w:div w:id="2016688481">
      <w:marLeft w:val="0"/>
      <w:marRight w:val="0"/>
      <w:marTop w:val="0"/>
      <w:marBottom w:val="0"/>
      <w:divBdr>
        <w:top w:val="none" w:sz="0" w:space="0" w:color="auto"/>
        <w:left w:val="none" w:sz="0" w:space="0" w:color="auto"/>
        <w:bottom w:val="none" w:sz="0" w:space="0" w:color="auto"/>
        <w:right w:val="none" w:sz="0" w:space="0" w:color="auto"/>
      </w:divBdr>
    </w:div>
    <w:div w:id="2016688489">
      <w:marLeft w:val="0"/>
      <w:marRight w:val="0"/>
      <w:marTop w:val="0"/>
      <w:marBottom w:val="0"/>
      <w:divBdr>
        <w:top w:val="none" w:sz="0" w:space="0" w:color="auto"/>
        <w:left w:val="none" w:sz="0" w:space="0" w:color="auto"/>
        <w:bottom w:val="none" w:sz="0" w:space="0" w:color="auto"/>
        <w:right w:val="none" w:sz="0" w:space="0" w:color="auto"/>
      </w:divBdr>
    </w:div>
    <w:div w:id="2016688491">
      <w:marLeft w:val="0"/>
      <w:marRight w:val="0"/>
      <w:marTop w:val="0"/>
      <w:marBottom w:val="0"/>
      <w:divBdr>
        <w:top w:val="none" w:sz="0" w:space="0" w:color="auto"/>
        <w:left w:val="none" w:sz="0" w:space="0" w:color="auto"/>
        <w:bottom w:val="none" w:sz="0" w:space="0" w:color="auto"/>
        <w:right w:val="none" w:sz="0" w:space="0" w:color="auto"/>
      </w:divBdr>
    </w:div>
    <w:div w:id="2016688492">
      <w:marLeft w:val="0"/>
      <w:marRight w:val="0"/>
      <w:marTop w:val="0"/>
      <w:marBottom w:val="0"/>
      <w:divBdr>
        <w:top w:val="none" w:sz="0" w:space="0" w:color="auto"/>
        <w:left w:val="none" w:sz="0" w:space="0" w:color="auto"/>
        <w:bottom w:val="none" w:sz="0" w:space="0" w:color="auto"/>
        <w:right w:val="none" w:sz="0" w:space="0" w:color="auto"/>
      </w:divBdr>
    </w:div>
    <w:div w:id="2016688503">
      <w:marLeft w:val="0"/>
      <w:marRight w:val="0"/>
      <w:marTop w:val="0"/>
      <w:marBottom w:val="0"/>
      <w:divBdr>
        <w:top w:val="none" w:sz="0" w:space="0" w:color="auto"/>
        <w:left w:val="none" w:sz="0" w:space="0" w:color="auto"/>
        <w:bottom w:val="none" w:sz="0" w:space="0" w:color="auto"/>
        <w:right w:val="none" w:sz="0" w:space="0" w:color="auto"/>
      </w:divBdr>
    </w:div>
    <w:div w:id="2016688504">
      <w:marLeft w:val="0"/>
      <w:marRight w:val="0"/>
      <w:marTop w:val="0"/>
      <w:marBottom w:val="0"/>
      <w:divBdr>
        <w:top w:val="none" w:sz="0" w:space="0" w:color="auto"/>
        <w:left w:val="none" w:sz="0" w:space="0" w:color="auto"/>
        <w:bottom w:val="none" w:sz="0" w:space="0" w:color="auto"/>
        <w:right w:val="none" w:sz="0" w:space="0" w:color="auto"/>
      </w:divBdr>
      <w:divsChild>
        <w:div w:id="2016688468">
          <w:marLeft w:val="0"/>
          <w:marRight w:val="0"/>
          <w:marTop w:val="0"/>
          <w:marBottom w:val="0"/>
          <w:divBdr>
            <w:top w:val="none" w:sz="0" w:space="0" w:color="auto"/>
            <w:left w:val="none" w:sz="0" w:space="0" w:color="auto"/>
            <w:bottom w:val="none" w:sz="0" w:space="0" w:color="auto"/>
            <w:right w:val="none" w:sz="0" w:space="0" w:color="auto"/>
          </w:divBdr>
          <w:divsChild>
            <w:div w:id="2016688342">
              <w:marLeft w:val="0"/>
              <w:marRight w:val="0"/>
              <w:marTop w:val="0"/>
              <w:marBottom w:val="0"/>
              <w:divBdr>
                <w:top w:val="none" w:sz="0" w:space="0" w:color="auto"/>
                <w:left w:val="none" w:sz="0" w:space="0" w:color="auto"/>
                <w:bottom w:val="none" w:sz="0" w:space="0" w:color="auto"/>
                <w:right w:val="none" w:sz="0" w:space="0" w:color="auto"/>
              </w:divBdr>
            </w:div>
            <w:div w:id="2016688345">
              <w:marLeft w:val="0"/>
              <w:marRight w:val="0"/>
              <w:marTop w:val="0"/>
              <w:marBottom w:val="0"/>
              <w:divBdr>
                <w:top w:val="none" w:sz="0" w:space="0" w:color="auto"/>
                <w:left w:val="none" w:sz="0" w:space="0" w:color="auto"/>
                <w:bottom w:val="none" w:sz="0" w:space="0" w:color="auto"/>
                <w:right w:val="none" w:sz="0" w:space="0" w:color="auto"/>
              </w:divBdr>
            </w:div>
            <w:div w:id="2016688351">
              <w:marLeft w:val="0"/>
              <w:marRight w:val="0"/>
              <w:marTop w:val="0"/>
              <w:marBottom w:val="0"/>
              <w:divBdr>
                <w:top w:val="none" w:sz="0" w:space="0" w:color="auto"/>
                <w:left w:val="none" w:sz="0" w:space="0" w:color="auto"/>
                <w:bottom w:val="none" w:sz="0" w:space="0" w:color="auto"/>
                <w:right w:val="none" w:sz="0" w:space="0" w:color="auto"/>
              </w:divBdr>
            </w:div>
            <w:div w:id="2016688373">
              <w:marLeft w:val="0"/>
              <w:marRight w:val="0"/>
              <w:marTop w:val="0"/>
              <w:marBottom w:val="0"/>
              <w:divBdr>
                <w:top w:val="none" w:sz="0" w:space="0" w:color="auto"/>
                <w:left w:val="none" w:sz="0" w:space="0" w:color="auto"/>
                <w:bottom w:val="none" w:sz="0" w:space="0" w:color="auto"/>
                <w:right w:val="none" w:sz="0" w:space="0" w:color="auto"/>
              </w:divBdr>
            </w:div>
            <w:div w:id="2016688391">
              <w:marLeft w:val="0"/>
              <w:marRight w:val="0"/>
              <w:marTop w:val="0"/>
              <w:marBottom w:val="0"/>
              <w:divBdr>
                <w:top w:val="none" w:sz="0" w:space="0" w:color="auto"/>
                <w:left w:val="none" w:sz="0" w:space="0" w:color="auto"/>
                <w:bottom w:val="none" w:sz="0" w:space="0" w:color="auto"/>
                <w:right w:val="none" w:sz="0" w:space="0" w:color="auto"/>
              </w:divBdr>
            </w:div>
            <w:div w:id="2016688392">
              <w:marLeft w:val="0"/>
              <w:marRight w:val="0"/>
              <w:marTop w:val="0"/>
              <w:marBottom w:val="0"/>
              <w:divBdr>
                <w:top w:val="none" w:sz="0" w:space="0" w:color="auto"/>
                <w:left w:val="none" w:sz="0" w:space="0" w:color="auto"/>
                <w:bottom w:val="none" w:sz="0" w:space="0" w:color="auto"/>
                <w:right w:val="none" w:sz="0" w:space="0" w:color="auto"/>
              </w:divBdr>
            </w:div>
            <w:div w:id="2016688410">
              <w:marLeft w:val="0"/>
              <w:marRight w:val="0"/>
              <w:marTop w:val="0"/>
              <w:marBottom w:val="0"/>
              <w:divBdr>
                <w:top w:val="none" w:sz="0" w:space="0" w:color="auto"/>
                <w:left w:val="none" w:sz="0" w:space="0" w:color="auto"/>
                <w:bottom w:val="none" w:sz="0" w:space="0" w:color="auto"/>
                <w:right w:val="none" w:sz="0" w:space="0" w:color="auto"/>
              </w:divBdr>
            </w:div>
            <w:div w:id="2016688413">
              <w:marLeft w:val="0"/>
              <w:marRight w:val="0"/>
              <w:marTop w:val="0"/>
              <w:marBottom w:val="0"/>
              <w:divBdr>
                <w:top w:val="none" w:sz="0" w:space="0" w:color="auto"/>
                <w:left w:val="none" w:sz="0" w:space="0" w:color="auto"/>
                <w:bottom w:val="none" w:sz="0" w:space="0" w:color="auto"/>
                <w:right w:val="none" w:sz="0" w:space="0" w:color="auto"/>
              </w:divBdr>
            </w:div>
            <w:div w:id="2016688416">
              <w:marLeft w:val="0"/>
              <w:marRight w:val="0"/>
              <w:marTop w:val="0"/>
              <w:marBottom w:val="0"/>
              <w:divBdr>
                <w:top w:val="none" w:sz="0" w:space="0" w:color="auto"/>
                <w:left w:val="none" w:sz="0" w:space="0" w:color="auto"/>
                <w:bottom w:val="none" w:sz="0" w:space="0" w:color="auto"/>
                <w:right w:val="none" w:sz="0" w:space="0" w:color="auto"/>
              </w:divBdr>
            </w:div>
            <w:div w:id="2016688417">
              <w:marLeft w:val="0"/>
              <w:marRight w:val="0"/>
              <w:marTop w:val="0"/>
              <w:marBottom w:val="0"/>
              <w:divBdr>
                <w:top w:val="none" w:sz="0" w:space="0" w:color="auto"/>
                <w:left w:val="none" w:sz="0" w:space="0" w:color="auto"/>
                <w:bottom w:val="none" w:sz="0" w:space="0" w:color="auto"/>
                <w:right w:val="none" w:sz="0" w:space="0" w:color="auto"/>
              </w:divBdr>
            </w:div>
            <w:div w:id="2016688426">
              <w:marLeft w:val="0"/>
              <w:marRight w:val="0"/>
              <w:marTop w:val="0"/>
              <w:marBottom w:val="0"/>
              <w:divBdr>
                <w:top w:val="none" w:sz="0" w:space="0" w:color="auto"/>
                <w:left w:val="none" w:sz="0" w:space="0" w:color="auto"/>
                <w:bottom w:val="none" w:sz="0" w:space="0" w:color="auto"/>
                <w:right w:val="none" w:sz="0" w:space="0" w:color="auto"/>
              </w:divBdr>
            </w:div>
            <w:div w:id="2016688433">
              <w:marLeft w:val="0"/>
              <w:marRight w:val="0"/>
              <w:marTop w:val="0"/>
              <w:marBottom w:val="0"/>
              <w:divBdr>
                <w:top w:val="none" w:sz="0" w:space="0" w:color="auto"/>
                <w:left w:val="none" w:sz="0" w:space="0" w:color="auto"/>
                <w:bottom w:val="none" w:sz="0" w:space="0" w:color="auto"/>
                <w:right w:val="none" w:sz="0" w:space="0" w:color="auto"/>
              </w:divBdr>
            </w:div>
            <w:div w:id="2016688441">
              <w:marLeft w:val="0"/>
              <w:marRight w:val="0"/>
              <w:marTop w:val="0"/>
              <w:marBottom w:val="0"/>
              <w:divBdr>
                <w:top w:val="none" w:sz="0" w:space="0" w:color="auto"/>
                <w:left w:val="none" w:sz="0" w:space="0" w:color="auto"/>
                <w:bottom w:val="none" w:sz="0" w:space="0" w:color="auto"/>
                <w:right w:val="none" w:sz="0" w:space="0" w:color="auto"/>
              </w:divBdr>
            </w:div>
            <w:div w:id="2016688443">
              <w:marLeft w:val="0"/>
              <w:marRight w:val="0"/>
              <w:marTop w:val="0"/>
              <w:marBottom w:val="0"/>
              <w:divBdr>
                <w:top w:val="none" w:sz="0" w:space="0" w:color="auto"/>
                <w:left w:val="none" w:sz="0" w:space="0" w:color="auto"/>
                <w:bottom w:val="none" w:sz="0" w:space="0" w:color="auto"/>
                <w:right w:val="none" w:sz="0" w:space="0" w:color="auto"/>
              </w:divBdr>
            </w:div>
            <w:div w:id="2016688454">
              <w:marLeft w:val="0"/>
              <w:marRight w:val="0"/>
              <w:marTop w:val="0"/>
              <w:marBottom w:val="0"/>
              <w:divBdr>
                <w:top w:val="none" w:sz="0" w:space="0" w:color="auto"/>
                <w:left w:val="none" w:sz="0" w:space="0" w:color="auto"/>
                <w:bottom w:val="none" w:sz="0" w:space="0" w:color="auto"/>
                <w:right w:val="none" w:sz="0" w:space="0" w:color="auto"/>
              </w:divBdr>
            </w:div>
            <w:div w:id="2016688463">
              <w:marLeft w:val="0"/>
              <w:marRight w:val="0"/>
              <w:marTop w:val="0"/>
              <w:marBottom w:val="0"/>
              <w:divBdr>
                <w:top w:val="none" w:sz="0" w:space="0" w:color="auto"/>
                <w:left w:val="none" w:sz="0" w:space="0" w:color="auto"/>
                <w:bottom w:val="none" w:sz="0" w:space="0" w:color="auto"/>
                <w:right w:val="none" w:sz="0" w:space="0" w:color="auto"/>
              </w:divBdr>
            </w:div>
            <w:div w:id="2016688470">
              <w:marLeft w:val="0"/>
              <w:marRight w:val="0"/>
              <w:marTop w:val="0"/>
              <w:marBottom w:val="0"/>
              <w:divBdr>
                <w:top w:val="none" w:sz="0" w:space="0" w:color="auto"/>
                <w:left w:val="none" w:sz="0" w:space="0" w:color="auto"/>
                <w:bottom w:val="none" w:sz="0" w:space="0" w:color="auto"/>
                <w:right w:val="none" w:sz="0" w:space="0" w:color="auto"/>
              </w:divBdr>
            </w:div>
            <w:div w:id="2016688483">
              <w:marLeft w:val="0"/>
              <w:marRight w:val="0"/>
              <w:marTop w:val="0"/>
              <w:marBottom w:val="0"/>
              <w:divBdr>
                <w:top w:val="none" w:sz="0" w:space="0" w:color="auto"/>
                <w:left w:val="none" w:sz="0" w:space="0" w:color="auto"/>
                <w:bottom w:val="none" w:sz="0" w:space="0" w:color="auto"/>
                <w:right w:val="none" w:sz="0" w:space="0" w:color="auto"/>
              </w:divBdr>
            </w:div>
            <w:div w:id="2016688484">
              <w:marLeft w:val="0"/>
              <w:marRight w:val="0"/>
              <w:marTop w:val="0"/>
              <w:marBottom w:val="0"/>
              <w:divBdr>
                <w:top w:val="none" w:sz="0" w:space="0" w:color="auto"/>
                <w:left w:val="none" w:sz="0" w:space="0" w:color="auto"/>
                <w:bottom w:val="none" w:sz="0" w:space="0" w:color="auto"/>
                <w:right w:val="none" w:sz="0" w:space="0" w:color="auto"/>
              </w:divBdr>
            </w:div>
            <w:div w:id="2016688493">
              <w:marLeft w:val="0"/>
              <w:marRight w:val="0"/>
              <w:marTop w:val="0"/>
              <w:marBottom w:val="0"/>
              <w:divBdr>
                <w:top w:val="none" w:sz="0" w:space="0" w:color="auto"/>
                <w:left w:val="none" w:sz="0" w:space="0" w:color="auto"/>
                <w:bottom w:val="none" w:sz="0" w:space="0" w:color="auto"/>
                <w:right w:val="none" w:sz="0" w:space="0" w:color="auto"/>
              </w:divBdr>
            </w:div>
            <w:div w:id="2016688498">
              <w:marLeft w:val="0"/>
              <w:marRight w:val="0"/>
              <w:marTop w:val="0"/>
              <w:marBottom w:val="0"/>
              <w:divBdr>
                <w:top w:val="none" w:sz="0" w:space="0" w:color="auto"/>
                <w:left w:val="none" w:sz="0" w:space="0" w:color="auto"/>
                <w:bottom w:val="none" w:sz="0" w:space="0" w:color="auto"/>
                <w:right w:val="none" w:sz="0" w:space="0" w:color="auto"/>
              </w:divBdr>
            </w:div>
            <w:div w:id="2016688499">
              <w:marLeft w:val="0"/>
              <w:marRight w:val="0"/>
              <w:marTop w:val="0"/>
              <w:marBottom w:val="0"/>
              <w:divBdr>
                <w:top w:val="none" w:sz="0" w:space="0" w:color="auto"/>
                <w:left w:val="none" w:sz="0" w:space="0" w:color="auto"/>
                <w:bottom w:val="none" w:sz="0" w:space="0" w:color="auto"/>
                <w:right w:val="none" w:sz="0" w:space="0" w:color="auto"/>
              </w:divBdr>
            </w:div>
            <w:div w:id="2016688501">
              <w:marLeft w:val="0"/>
              <w:marRight w:val="0"/>
              <w:marTop w:val="0"/>
              <w:marBottom w:val="0"/>
              <w:divBdr>
                <w:top w:val="none" w:sz="0" w:space="0" w:color="auto"/>
                <w:left w:val="none" w:sz="0" w:space="0" w:color="auto"/>
                <w:bottom w:val="none" w:sz="0" w:space="0" w:color="auto"/>
                <w:right w:val="none" w:sz="0" w:space="0" w:color="auto"/>
              </w:divBdr>
            </w:div>
            <w:div w:id="2016688502">
              <w:marLeft w:val="0"/>
              <w:marRight w:val="0"/>
              <w:marTop w:val="0"/>
              <w:marBottom w:val="0"/>
              <w:divBdr>
                <w:top w:val="none" w:sz="0" w:space="0" w:color="auto"/>
                <w:left w:val="none" w:sz="0" w:space="0" w:color="auto"/>
                <w:bottom w:val="none" w:sz="0" w:space="0" w:color="auto"/>
                <w:right w:val="none" w:sz="0" w:space="0" w:color="auto"/>
              </w:divBdr>
            </w:div>
            <w:div w:id="2016688507">
              <w:marLeft w:val="0"/>
              <w:marRight w:val="0"/>
              <w:marTop w:val="0"/>
              <w:marBottom w:val="0"/>
              <w:divBdr>
                <w:top w:val="none" w:sz="0" w:space="0" w:color="auto"/>
                <w:left w:val="none" w:sz="0" w:space="0" w:color="auto"/>
                <w:bottom w:val="none" w:sz="0" w:space="0" w:color="auto"/>
                <w:right w:val="none" w:sz="0" w:space="0" w:color="auto"/>
              </w:divBdr>
            </w:div>
            <w:div w:id="2016688513">
              <w:marLeft w:val="0"/>
              <w:marRight w:val="0"/>
              <w:marTop w:val="0"/>
              <w:marBottom w:val="0"/>
              <w:divBdr>
                <w:top w:val="none" w:sz="0" w:space="0" w:color="auto"/>
                <w:left w:val="none" w:sz="0" w:space="0" w:color="auto"/>
                <w:bottom w:val="none" w:sz="0" w:space="0" w:color="auto"/>
                <w:right w:val="none" w:sz="0" w:space="0" w:color="auto"/>
              </w:divBdr>
            </w:div>
            <w:div w:id="2016688517">
              <w:marLeft w:val="0"/>
              <w:marRight w:val="0"/>
              <w:marTop w:val="0"/>
              <w:marBottom w:val="0"/>
              <w:divBdr>
                <w:top w:val="none" w:sz="0" w:space="0" w:color="auto"/>
                <w:left w:val="none" w:sz="0" w:space="0" w:color="auto"/>
                <w:bottom w:val="none" w:sz="0" w:space="0" w:color="auto"/>
                <w:right w:val="none" w:sz="0" w:space="0" w:color="auto"/>
              </w:divBdr>
            </w:div>
            <w:div w:id="2016688525">
              <w:marLeft w:val="0"/>
              <w:marRight w:val="0"/>
              <w:marTop w:val="0"/>
              <w:marBottom w:val="0"/>
              <w:divBdr>
                <w:top w:val="none" w:sz="0" w:space="0" w:color="auto"/>
                <w:left w:val="none" w:sz="0" w:space="0" w:color="auto"/>
                <w:bottom w:val="none" w:sz="0" w:space="0" w:color="auto"/>
                <w:right w:val="none" w:sz="0" w:space="0" w:color="auto"/>
              </w:divBdr>
            </w:div>
            <w:div w:id="2016688532">
              <w:marLeft w:val="0"/>
              <w:marRight w:val="0"/>
              <w:marTop w:val="0"/>
              <w:marBottom w:val="0"/>
              <w:divBdr>
                <w:top w:val="none" w:sz="0" w:space="0" w:color="auto"/>
                <w:left w:val="none" w:sz="0" w:space="0" w:color="auto"/>
                <w:bottom w:val="none" w:sz="0" w:space="0" w:color="auto"/>
                <w:right w:val="none" w:sz="0" w:space="0" w:color="auto"/>
              </w:divBdr>
            </w:div>
            <w:div w:id="2016688533">
              <w:marLeft w:val="0"/>
              <w:marRight w:val="0"/>
              <w:marTop w:val="0"/>
              <w:marBottom w:val="0"/>
              <w:divBdr>
                <w:top w:val="none" w:sz="0" w:space="0" w:color="auto"/>
                <w:left w:val="none" w:sz="0" w:space="0" w:color="auto"/>
                <w:bottom w:val="none" w:sz="0" w:space="0" w:color="auto"/>
                <w:right w:val="none" w:sz="0" w:space="0" w:color="auto"/>
              </w:divBdr>
            </w:div>
            <w:div w:id="2016688536">
              <w:marLeft w:val="0"/>
              <w:marRight w:val="0"/>
              <w:marTop w:val="0"/>
              <w:marBottom w:val="0"/>
              <w:divBdr>
                <w:top w:val="none" w:sz="0" w:space="0" w:color="auto"/>
                <w:left w:val="none" w:sz="0" w:space="0" w:color="auto"/>
                <w:bottom w:val="none" w:sz="0" w:space="0" w:color="auto"/>
                <w:right w:val="none" w:sz="0" w:space="0" w:color="auto"/>
              </w:divBdr>
            </w:div>
            <w:div w:id="2016688541">
              <w:marLeft w:val="0"/>
              <w:marRight w:val="0"/>
              <w:marTop w:val="0"/>
              <w:marBottom w:val="0"/>
              <w:divBdr>
                <w:top w:val="none" w:sz="0" w:space="0" w:color="auto"/>
                <w:left w:val="none" w:sz="0" w:space="0" w:color="auto"/>
                <w:bottom w:val="none" w:sz="0" w:space="0" w:color="auto"/>
                <w:right w:val="none" w:sz="0" w:space="0" w:color="auto"/>
              </w:divBdr>
            </w:div>
            <w:div w:id="2016688548">
              <w:marLeft w:val="0"/>
              <w:marRight w:val="0"/>
              <w:marTop w:val="0"/>
              <w:marBottom w:val="0"/>
              <w:divBdr>
                <w:top w:val="none" w:sz="0" w:space="0" w:color="auto"/>
                <w:left w:val="none" w:sz="0" w:space="0" w:color="auto"/>
                <w:bottom w:val="none" w:sz="0" w:space="0" w:color="auto"/>
                <w:right w:val="none" w:sz="0" w:space="0" w:color="auto"/>
              </w:divBdr>
            </w:div>
            <w:div w:id="2016688550">
              <w:marLeft w:val="0"/>
              <w:marRight w:val="0"/>
              <w:marTop w:val="0"/>
              <w:marBottom w:val="0"/>
              <w:divBdr>
                <w:top w:val="none" w:sz="0" w:space="0" w:color="auto"/>
                <w:left w:val="none" w:sz="0" w:space="0" w:color="auto"/>
                <w:bottom w:val="none" w:sz="0" w:space="0" w:color="auto"/>
                <w:right w:val="none" w:sz="0" w:space="0" w:color="auto"/>
              </w:divBdr>
            </w:div>
            <w:div w:id="2016688565">
              <w:marLeft w:val="0"/>
              <w:marRight w:val="0"/>
              <w:marTop w:val="0"/>
              <w:marBottom w:val="0"/>
              <w:divBdr>
                <w:top w:val="none" w:sz="0" w:space="0" w:color="auto"/>
                <w:left w:val="none" w:sz="0" w:space="0" w:color="auto"/>
                <w:bottom w:val="none" w:sz="0" w:space="0" w:color="auto"/>
                <w:right w:val="none" w:sz="0" w:space="0" w:color="auto"/>
              </w:divBdr>
            </w:div>
            <w:div w:id="2016688573">
              <w:marLeft w:val="0"/>
              <w:marRight w:val="0"/>
              <w:marTop w:val="0"/>
              <w:marBottom w:val="0"/>
              <w:divBdr>
                <w:top w:val="none" w:sz="0" w:space="0" w:color="auto"/>
                <w:left w:val="none" w:sz="0" w:space="0" w:color="auto"/>
                <w:bottom w:val="none" w:sz="0" w:space="0" w:color="auto"/>
                <w:right w:val="none" w:sz="0" w:space="0" w:color="auto"/>
              </w:divBdr>
            </w:div>
            <w:div w:id="2016688583">
              <w:marLeft w:val="0"/>
              <w:marRight w:val="0"/>
              <w:marTop w:val="0"/>
              <w:marBottom w:val="0"/>
              <w:divBdr>
                <w:top w:val="none" w:sz="0" w:space="0" w:color="auto"/>
                <w:left w:val="none" w:sz="0" w:space="0" w:color="auto"/>
                <w:bottom w:val="none" w:sz="0" w:space="0" w:color="auto"/>
                <w:right w:val="none" w:sz="0" w:space="0" w:color="auto"/>
              </w:divBdr>
            </w:div>
            <w:div w:id="2016688587">
              <w:marLeft w:val="0"/>
              <w:marRight w:val="0"/>
              <w:marTop w:val="0"/>
              <w:marBottom w:val="0"/>
              <w:divBdr>
                <w:top w:val="none" w:sz="0" w:space="0" w:color="auto"/>
                <w:left w:val="none" w:sz="0" w:space="0" w:color="auto"/>
                <w:bottom w:val="none" w:sz="0" w:space="0" w:color="auto"/>
                <w:right w:val="none" w:sz="0" w:space="0" w:color="auto"/>
              </w:divBdr>
            </w:div>
            <w:div w:id="2016688589">
              <w:marLeft w:val="0"/>
              <w:marRight w:val="0"/>
              <w:marTop w:val="0"/>
              <w:marBottom w:val="0"/>
              <w:divBdr>
                <w:top w:val="none" w:sz="0" w:space="0" w:color="auto"/>
                <w:left w:val="none" w:sz="0" w:space="0" w:color="auto"/>
                <w:bottom w:val="none" w:sz="0" w:space="0" w:color="auto"/>
                <w:right w:val="none" w:sz="0" w:space="0" w:color="auto"/>
              </w:divBdr>
            </w:div>
            <w:div w:id="2016688597">
              <w:marLeft w:val="0"/>
              <w:marRight w:val="0"/>
              <w:marTop w:val="0"/>
              <w:marBottom w:val="0"/>
              <w:divBdr>
                <w:top w:val="none" w:sz="0" w:space="0" w:color="auto"/>
                <w:left w:val="none" w:sz="0" w:space="0" w:color="auto"/>
                <w:bottom w:val="none" w:sz="0" w:space="0" w:color="auto"/>
                <w:right w:val="none" w:sz="0" w:space="0" w:color="auto"/>
              </w:divBdr>
            </w:div>
            <w:div w:id="2016688599">
              <w:marLeft w:val="0"/>
              <w:marRight w:val="0"/>
              <w:marTop w:val="0"/>
              <w:marBottom w:val="0"/>
              <w:divBdr>
                <w:top w:val="none" w:sz="0" w:space="0" w:color="auto"/>
                <w:left w:val="none" w:sz="0" w:space="0" w:color="auto"/>
                <w:bottom w:val="none" w:sz="0" w:space="0" w:color="auto"/>
                <w:right w:val="none" w:sz="0" w:space="0" w:color="auto"/>
              </w:divBdr>
            </w:div>
            <w:div w:id="2016688600">
              <w:marLeft w:val="0"/>
              <w:marRight w:val="0"/>
              <w:marTop w:val="0"/>
              <w:marBottom w:val="0"/>
              <w:divBdr>
                <w:top w:val="none" w:sz="0" w:space="0" w:color="auto"/>
                <w:left w:val="none" w:sz="0" w:space="0" w:color="auto"/>
                <w:bottom w:val="none" w:sz="0" w:space="0" w:color="auto"/>
                <w:right w:val="none" w:sz="0" w:space="0" w:color="auto"/>
              </w:divBdr>
            </w:div>
            <w:div w:id="2016688605">
              <w:marLeft w:val="0"/>
              <w:marRight w:val="0"/>
              <w:marTop w:val="0"/>
              <w:marBottom w:val="0"/>
              <w:divBdr>
                <w:top w:val="none" w:sz="0" w:space="0" w:color="auto"/>
                <w:left w:val="none" w:sz="0" w:space="0" w:color="auto"/>
                <w:bottom w:val="none" w:sz="0" w:space="0" w:color="auto"/>
                <w:right w:val="none" w:sz="0" w:space="0" w:color="auto"/>
              </w:divBdr>
            </w:div>
            <w:div w:id="2016688615">
              <w:marLeft w:val="0"/>
              <w:marRight w:val="0"/>
              <w:marTop w:val="0"/>
              <w:marBottom w:val="0"/>
              <w:divBdr>
                <w:top w:val="none" w:sz="0" w:space="0" w:color="auto"/>
                <w:left w:val="none" w:sz="0" w:space="0" w:color="auto"/>
                <w:bottom w:val="none" w:sz="0" w:space="0" w:color="auto"/>
                <w:right w:val="none" w:sz="0" w:space="0" w:color="auto"/>
              </w:divBdr>
            </w:div>
            <w:div w:id="2016688618">
              <w:marLeft w:val="0"/>
              <w:marRight w:val="0"/>
              <w:marTop w:val="0"/>
              <w:marBottom w:val="0"/>
              <w:divBdr>
                <w:top w:val="none" w:sz="0" w:space="0" w:color="auto"/>
                <w:left w:val="none" w:sz="0" w:space="0" w:color="auto"/>
                <w:bottom w:val="none" w:sz="0" w:space="0" w:color="auto"/>
                <w:right w:val="none" w:sz="0" w:space="0" w:color="auto"/>
              </w:divBdr>
            </w:div>
            <w:div w:id="2016688626">
              <w:marLeft w:val="0"/>
              <w:marRight w:val="0"/>
              <w:marTop w:val="0"/>
              <w:marBottom w:val="0"/>
              <w:divBdr>
                <w:top w:val="none" w:sz="0" w:space="0" w:color="auto"/>
                <w:left w:val="none" w:sz="0" w:space="0" w:color="auto"/>
                <w:bottom w:val="none" w:sz="0" w:space="0" w:color="auto"/>
                <w:right w:val="none" w:sz="0" w:space="0" w:color="auto"/>
              </w:divBdr>
            </w:div>
            <w:div w:id="2016688627">
              <w:marLeft w:val="0"/>
              <w:marRight w:val="0"/>
              <w:marTop w:val="0"/>
              <w:marBottom w:val="0"/>
              <w:divBdr>
                <w:top w:val="none" w:sz="0" w:space="0" w:color="auto"/>
                <w:left w:val="none" w:sz="0" w:space="0" w:color="auto"/>
                <w:bottom w:val="none" w:sz="0" w:space="0" w:color="auto"/>
                <w:right w:val="none" w:sz="0" w:space="0" w:color="auto"/>
              </w:divBdr>
            </w:div>
            <w:div w:id="2016688634">
              <w:marLeft w:val="0"/>
              <w:marRight w:val="0"/>
              <w:marTop w:val="0"/>
              <w:marBottom w:val="0"/>
              <w:divBdr>
                <w:top w:val="none" w:sz="0" w:space="0" w:color="auto"/>
                <w:left w:val="none" w:sz="0" w:space="0" w:color="auto"/>
                <w:bottom w:val="none" w:sz="0" w:space="0" w:color="auto"/>
                <w:right w:val="none" w:sz="0" w:space="0" w:color="auto"/>
              </w:divBdr>
            </w:div>
            <w:div w:id="2016688648">
              <w:marLeft w:val="0"/>
              <w:marRight w:val="0"/>
              <w:marTop w:val="0"/>
              <w:marBottom w:val="0"/>
              <w:divBdr>
                <w:top w:val="none" w:sz="0" w:space="0" w:color="auto"/>
                <w:left w:val="none" w:sz="0" w:space="0" w:color="auto"/>
                <w:bottom w:val="none" w:sz="0" w:space="0" w:color="auto"/>
                <w:right w:val="none" w:sz="0" w:space="0" w:color="auto"/>
              </w:divBdr>
            </w:div>
            <w:div w:id="2016688651">
              <w:marLeft w:val="0"/>
              <w:marRight w:val="0"/>
              <w:marTop w:val="0"/>
              <w:marBottom w:val="0"/>
              <w:divBdr>
                <w:top w:val="none" w:sz="0" w:space="0" w:color="auto"/>
                <w:left w:val="none" w:sz="0" w:space="0" w:color="auto"/>
                <w:bottom w:val="none" w:sz="0" w:space="0" w:color="auto"/>
                <w:right w:val="none" w:sz="0" w:space="0" w:color="auto"/>
              </w:divBdr>
            </w:div>
            <w:div w:id="2016688660">
              <w:marLeft w:val="0"/>
              <w:marRight w:val="0"/>
              <w:marTop w:val="0"/>
              <w:marBottom w:val="0"/>
              <w:divBdr>
                <w:top w:val="none" w:sz="0" w:space="0" w:color="auto"/>
                <w:left w:val="none" w:sz="0" w:space="0" w:color="auto"/>
                <w:bottom w:val="none" w:sz="0" w:space="0" w:color="auto"/>
                <w:right w:val="none" w:sz="0" w:space="0" w:color="auto"/>
              </w:divBdr>
            </w:div>
            <w:div w:id="2016688666">
              <w:marLeft w:val="0"/>
              <w:marRight w:val="0"/>
              <w:marTop w:val="0"/>
              <w:marBottom w:val="0"/>
              <w:divBdr>
                <w:top w:val="none" w:sz="0" w:space="0" w:color="auto"/>
                <w:left w:val="none" w:sz="0" w:space="0" w:color="auto"/>
                <w:bottom w:val="none" w:sz="0" w:space="0" w:color="auto"/>
                <w:right w:val="none" w:sz="0" w:space="0" w:color="auto"/>
              </w:divBdr>
            </w:div>
            <w:div w:id="2016688671">
              <w:marLeft w:val="0"/>
              <w:marRight w:val="0"/>
              <w:marTop w:val="0"/>
              <w:marBottom w:val="0"/>
              <w:divBdr>
                <w:top w:val="none" w:sz="0" w:space="0" w:color="auto"/>
                <w:left w:val="none" w:sz="0" w:space="0" w:color="auto"/>
                <w:bottom w:val="none" w:sz="0" w:space="0" w:color="auto"/>
                <w:right w:val="none" w:sz="0" w:space="0" w:color="auto"/>
              </w:divBdr>
            </w:div>
            <w:div w:id="2016688674">
              <w:marLeft w:val="0"/>
              <w:marRight w:val="0"/>
              <w:marTop w:val="0"/>
              <w:marBottom w:val="0"/>
              <w:divBdr>
                <w:top w:val="none" w:sz="0" w:space="0" w:color="auto"/>
                <w:left w:val="none" w:sz="0" w:space="0" w:color="auto"/>
                <w:bottom w:val="none" w:sz="0" w:space="0" w:color="auto"/>
                <w:right w:val="none" w:sz="0" w:space="0" w:color="auto"/>
              </w:divBdr>
            </w:div>
            <w:div w:id="2016688675">
              <w:marLeft w:val="0"/>
              <w:marRight w:val="0"/>
              <w:marTop w:val="0"/>
              <w:marBottom w:val="0"/>
              <w:divBdr>
                <w:top w:val="none" w:sz="0" w:space="0" w:color="auto"/>
                <w:left w:val="none" w:sz="0" w:space="0" w:color="auto"/>
                <w:bottom w:val="none" w:sz="0" w:space="0" w:color="auto"/>
                <w:right w:val="none" w:sz="0" w:space="0" w:color="auto"/>
              </w:divBdr>
            </w:div>
            <w:div w:id="2016688679">
              <w:marLeft w:val="0"/>
              <w:marRight w:val="0"/>
              <w:marTop w:val="0"/>
              <w:marBottom w:val="0"/>
              <w:divBdr>
                <w:top w:val="none" w:sz="0" w:space="0" w:color="auto"/>
                <w:left w:val="none" w:sz="0" w:space="0" w:color="auto"/>
                <w:bottom w:val="none" w:sz="0" w:space="0" w:color="auto"/>
                <w:right w:val="none" w:sz="0" w:space="0" w:color="auto"/>
              </w:divBdr>
            </w:div>
            <w:div w:id="2016688683">
              <w:marLeft w:val="0"/>
              <w:marRight w:val="0"/>
              <w:marTop w:val="0"/>
              <w:marBottom w:val="0"/>
              <w:divBdr>
                <w:top w:val="none" w:sz="0" w:space="0" w:color="auto"/>
                <w:left w:val="none" w:sz="0" w:space="0" w:color="auto"/>
                <w:bottom w:val="none" w:sz="0" w:space="0" w:color="auto"/>
                <w:right w:val="none" w:sz="0" w:space="0" w:color="auto"/>
              </w:divBdr>
            </w:div>
            <w:div w:id="2016688684">
              <w:marLeft w:val="0"/>
              <w:marRight w:val="0"/>
              <w:marTop w:val="0"/>
              <w:marBottom w:val="0"/>
              <w:divBdr>
                <w:top w:val="none" w:sz="0" w:space="0" w:color="auto"/>
                <w:left w:val="none" w:sz="0" w:space="0" w:color="auto"/>
                <w:bottom w:val="none" w:sz="0" w:space="0" w:color="auto"/>
                <w:right w:val="none" w:sz="0" w:space="0" w:color="auto"/>
              </w:divBdr>
            </w:div>
            <w:div w:id="2016688686">
              <w:marLeft w:val="0"/>
              <w:marRight w:val="0"/>
              <w:marTop w:val="0"/>
              <w:marBottom w:val="0"/>
              <w:divBdr>
                <w:top w:val="none" w:sz="0" w:space="0" w:color="auto"/>
                <w:left w:val="none" w:sz="0" w:space="0" w:color="auto"/>
                <w:bottom w:val="none" w:sz="0" w:space="0" w:color="auto"/>
                <w:right w:val="none" w:sz="0" w:space="0" w:color="auto"/>
              </w:divBdr>
            </w:div>
            <w:div w:id="2016688692">
              <w:marLeft w:val="0"/>
              <w:marRight w:val="0"/>
              <w:marTop w:val="0"/>
              <w:marBottom w:val="0"/>
              <w:divBdr>
                <w:top w:val="none" w:sz="0" w:space="0" w:color="auto"/>
                <w:left w:val="none" w:sz="0" w:space="0" w:color="auto"/>
                <w:bottom w:val="none" w:sz="0" w:space="0" w:color="auto"/>
                <w:right w:val="none" w:sz="0" w:space="0" w:color="auto"/>
              </w:divBdr>
            </w:div>
            <w:div w:id="2016688693">
              <w:marLeft w:val="0"/>
              <w:marRight w:val="0"/>
              <w:marTop w:val="0"/>
              <w:marBottom w:val="0"/>
              <w:divBdr>
                <w:top w:val="none" w:sz="0" w:space="0" w:color="auto"/>
                <w:left w:val="none" w:sz="0" w:space="0" w:color="auto"/>
                <w:bottom w:val="none" w:sz="0" w:space="0" w:color="auto"/>
                <w:right w:val="none" w:sz="0" w:space="0" w:color="auto"/>
              </w:divBdr>
            </w:div>
            <w:div w:id="2016688695">
              <w:marLeft w:val="0"/>
              <w:marRight w:val="0"/>
              <w:marTop w:val="0"/>
              <w:marBottom w:val="0"/>
              <w:divBdr>
                <w:top w:val="none" w:sz="0" w:space="0" w:color="auto"/>
                <w:left w:val="none" w:sz="0" w:space="0" w:color="auto"/>
                <w:bottom w:val="none" w:sz="0" w:space="0" w:color="auto"/>
                <w:right w:val="none" w:sz="0" w:space="0" w:color="auto"/>
              </w:divBdr>
            </w:div>
            <w:div w:id="2016688697">
              <w:marLeft w:val="0"/>
              <w:marRight w:val="0"/>
              <w:marTop w:val="0"/>
              <w:marBottom w:val="0"/>
              <w:divBdr>
                <w:top w:val="none" w:sz="0" w:space="0" w:color="auto"/>
                <w:left w:val="none" w:sz="0" w:space="0" w:color="auto"/>
                <w:bottom w:val="none" w:sz="0" w:space="0" w:color="auto"/>
                <w:right w:val="none" w:sz="0" w:space="0" w:color="auto"/>
              </w:divBdr>
            </w:div>
            <w:div w:id="2016688705">
              <w:marLeft w:val="0"/>
              <w:marRight w:val="0"/>
              <w:marTop w:val="0"/>
              <w:marBottom w:val="0"/>
              <w:divBdr>
                <w:top w:val="none" w:sz="0" w:space="0" w:color="auto"/>
                <w:left w:val="none" w:sz="0" w:space="0" w:color="auto"/>
                <w:bottom w:val="none" w:sz="0" w:space="0" w:color="auto"/>
                <w:right w:val="none" w:sz="0" w:space="0" w:color="auto"/>
              </w:divBdr>
            </w:div>
            <w:div w:id="2016688706">
              <w:marLeft w:val="0"/>
              <w:marRight w:val="0"/>
              <w:marTop w:val="0"/>
              <w:marBottom w:val="0"/>
              <w:divBdr>
                <w:top w:val="none" w:sz="0" w:space="0" w:color="auto"/>
                <w:left w:val="none" w:sz="0" w:space="0" w:color="auto"/>
                <w:bottom w:val="none" w:sz="0" w:space="0" w:color="auto"/>
                <w:right w:val="none" w:sz="0" w:space="0" w:color="auto"/>
              </w:divBdr>
            </w:div>
            <w:div w:id="2016688708">
              <w:marLeft w:val="0"/>
              <w:marRight w:val="0"/>
              <w:marTop w:val="0"/>
              <w:marBottom w:val="0"/>
              <w:divBdr>
                <w:top w:val="none" w:sz="0" w:space="0" w:color="auto"/>
                <w:left w:val="none" w:sz="0" w:space="0" w:color="auto"/>
                <w:bottom w:val="none" w:sz="0" w:space="0" w:color="auto"/>
                <w:right w:val="none" w:sz="0" w:space="0" w:color="auto"/>
              </w:divBdr>
            </w:div>
            <w:div w:id="2016688715">
              <w:marLeft w:val="0"/>
              <w:marRight w:val="0"/>
              <w:marTop w:val="0"/>
              <w:marBottom w:val="0"/>
              <w:divBdr>
                <w:top w:val="none" w:sz="0" w:space="0" w:color="auto"/>
                <w:left w:val="none" w:sz="0" w:space="0" w:color="auto"/>
                <w:bottom w:val="none" w:sz="0" w:space="0" w:color="auto"/>
                <w:right w:val="none" w:sz="0" w:space="0" w:color="auto"/>
              </w:divBdr>
            </w:div>
            <w:div w:id="20166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05">
      <w:marLeft w:val="0"/>
      <w:marRight w:val="0"/>
      <w:marTop w:val="0"/>
      <w:marBottom w:val="0"/>
      <w:divBdr>
        <w:top w:val="none" w:sz="0" w:space="0" w:color="auto"/>
        <w:left w:val="none" w:sz="0" w:space="0" w:color="auto"/>
        <w:bottom w:val="none" w:sz="0" w:space="0" w:color="auto"/>
        <w:right w:val="none" w:sz="0" w:space="0" w:color="auto"/>
      </w:divBdr>
    </w:div>
    <w:div w:id="2016688515">
      <w:marLeft w:val="0"/>
      <w:marRight w:val="0"/>
      <w:marTop w:val="0"/>
      <w:marBottom w:val="0"/>
      <w:divBdr>
        <w:top w:val="none" w:sz="0" w:space="0" w:color="auto"/>
        <w:left w:val="none" w:sz="0" w:space="0" w:color="auto"/>
        <w:bottom w:val="none" w:sz="0" w:space="0" w:color="auto"/>
        <w:right w:val="none" w:sz="0" w:space="0" w:color="auto"/>
      </w:divBdr>
    </w:div>
    <w:div w:id="2016688521">
      <w:marLeft w:val="0"/>
      <w:marRight w:val="0"/>
      <w:marTop w:val="0"/>
      <w:marBottom w:val="0"/>
      <w:divBdr>
        <w:top w:val="none" w:sz="0" w:space="0" w:color="auto"/>
        <w:left w:val="none" w:sz="0" w:space="0" w:color="auto"/>
        <w:bottom w:val="none" w:sz="0" w:space="0" w:color="auto"/>
        <w:right w:val="none" w:sz="0" w:space="0" w:color="auto"/>
      </w:divBdr>
    </w:div>
    <w:div w:id="2016688522">
      <w:marLeft w:val="0"/>
      <w:marRight w:val="0"/>
      <w:marTop w:val="0"/>
      <w:marBottom w:val="0"/>
      <w:divBdr>
        <w:top w:val="none" w:sz="0" w:space="0" w:color="auto"/>
        <w:left w:val="none" w:sz="0" w:space="0" w:color="auto"/>
        <w:bottom w:val="none" w:sz="0" w:space="0" w:color="auto"/>
        <w:right w:val="none" w:sz="0" w:space="0" w:color="auto"/>
      </w:divBdr>
    </w:div>
    <w:div w:id="2016688530">
      <w:marLeft w:val="0"/>
      <w:marRight w:val="0"/>
      <w:marTop w:val="0"/>
      <w:marBottom w:val="0"/>
      <w:divBdr>
        <w:top w:val="none" w:sz="0" w:space="0" w:color="auto"/>
        <w:left w:val="none" w:sz="0" w:space="0" w:color="auto"/>
        <w:bottom w:val="none" w:sz="0" w:space="0" w:color="auto"/>
        <w:right w:val="none" w:sz="0" w:space="0" w:color="auto"/>
      </w:divBdr>
    </w:div>
    <w:div w:id="2016688531">
      <w:marLeft w:val="0"/>
      <w:marRight w:val="0"/>
      <w:marTop w:val="0"/>
      <w:marBottom w:val="0"/>
      <w:divBdr>
        <w:top w:val="none" w:sz="0" w:space="0" w:color="auto"/>
        <w:left w:val="none" w:sz="0" w:space="0" w:color="auto"/>
        <w:bottom w:val="none" w:sz="0" w:space="0" w:color="auto"/>
        <w:right w:val="none" w:sz="0" w:space="0" w:color="auto"/>
      </w:divBdr>
    </w:div>
    <w:div w:id="2016688544">
      <w:marLeft w:val="0"/>
      <w:marRight w:val="0"/>
      <w:marTop w:val="0"/>
      <w:marBottom w:val="0"/>
      <w:divBdr>
        <w:top w:val="none" w:sz="0" w:space="0" w:color="auto"/>
        <w:left w:val="none" w:sz="0" w:space="0" w:color="auto"/>
        <w:bottom w:val="none" w:sz="0" w:space="0" w:color="auto"/>
        <w:right w:val="none" w:sz="0" w:space="0" w:color="auto"/>
      </w:divBdr>
    </w:div>
    <w:div w:id="2016688555">
      <w:marLeft w:val="0"/>
      <w:marRight w:val="0"/>
      <w:marTop w:val="0"/>
      <w:marBottom w:val="0"/>
      <w:divBdr>
        <w:top w:val="none" w:sz="0" w:space="0" w:color="auto"/>
        <w:left w:val="none" w:sz="0" w:space="0" w:color="auto"/>
        <w:bottom w:val="none" w:sz="0" w:space="0" w:color="auto"/>
        <w:right w:val="none" w:sz="0" w:space="0" w:color="auto"/>
      </w:divBdr>
    </w:div>
    <w:div w:id="2016688560">
      <w:marLeft w:val="0"/>
      <w:marRight w:val="0"/>
      <w:marTop w:val="0"/>
      <w:marBottom w:val="0"/>
      <w:divBdr>
        <w:top w:val="none" w:sz="0" w:space="0" w:color="auto"/>
        <w:left w:val="none" w:sz="0" w:space="0" w:color="auto"/>
        <w:bottom w:val="none" w:sz="0" w:space="0" w:color="auto"/>
        <w:right w:val="none" w:sz="0" w:space="0" w:color="auto"/>
      </w:divBdr>
    </w:div>
    <w:div w:id="2016688570">
      <w:marLeft w:val="0"/>
      <w:marRight w:val="0"/>
      <w:marTop w:val="0"/>
      <w:marBottom w:val="0"/>
      <w:divBdr>
        <w:top w:val="none" w:sz="0" w:space="0" w:color="auto"/>
        <w:left w:val="none" w:sz="0" w:space="0" w:color="auto"/>
        <w:bottom w:val="none" w:sz="0" w:space="0" w:color="auto"/>
        <w:right w:val="none" w:sz="0" w:space="0" w:color="auto"/>
      </w:divBdr>
    </w:div>
    <w:div w:id="2016688576">
      <w:marLeft w:val="0"/>
      <w:marRight w:val="0"/>
      <w:marTop w:val="0"/>
      <w:marBottom w:val="0"/>
      <w:divBdr>
        <w:top w:val="none" w:sz="0" w:space="0" w:color="auto"/>
        <w:left w:val="none" w:sz="0" w:space="0" w:color="auto"/>
        <w:bottom w:val="none" w:sz="0" w:space="0" w:color="auto"/>
        <w:right w:val="none" w:sz="0" w:space="0" w:color="auto"/>
      </w:divBdr>
    </w:div>
    <w:div w:id="2016688577">
      <w:marLeft w:val="0"/>
      <w:marRight w:val="0"/>
      <w:marTop w:val="0"/>
      <w:marBottom w:val="0"/>
      <w:divBdr>
        <w:top w:val="none" w:sz="0" w:space="0" w:color="auto"/>
        <w:left w:val="none" w:sz="0" w:space="0" w:color="auto"/>
        <w:bottom w:val="none" w:sz="0" w:space="0" w:color="auto"/>
        <w:right w:val="none" w:sz="0" w:space="0" w:color="auto"/>
      </w:divBdr>
    </w:div>
    <w:div w:id="2016688581">
      <w:marLeft w:val="0"/>
      <w:marRight w:val="0"/>
      <w:marTop w:val="0"/>
      <w:marBottom w:val="0"/>
      <w:divBdr>
        <w:top w:val="none" w:sz="0" w:space="0" w:color="auto"/>
        <w:left w:val="none" w:sz="0" w:space="0" w:color="auto"/>
        <w:bottom w:val="none" w:sz="0" w:space="0" w:color="auto"/>
        <w:right w:val="none" w:sz="0" w:space="0" w:color="auto"/>
      </w:divBdr>
    </w:div>
    <w:div w:id="2016688584">
      <w:marLeft w:val="0"/>
      <w:marRight w:val="0"/>
      <w:marTop w:val="0"/>
      <w:marBottom w:val="0"/>
      <w:divBdr>
        <w:top w:val="none" w:sz="0" w:space="0" w:color="auto"/>
        <w:left w:val="none" w:sz="0" w:space="0" w:color="auto"/>
        <w:bottom w:val="none" w:sz="0" w:space="0" w:color="auto"/>
        <w:right w:val="none" w:sz="0" w:space="0" w:color="auto"/>
      </w:divBdr>
    </w:div>
    <w:div w:id="2016688592">
      <w:marLeft w:val="0"/>
      <w:marRight w:val="0"/>
      <w:marTop w:val="0"/>
      <w:marBottom w:val="0"/>
      <w:divBdr>
        <w:top w:val="none" w:sz="0" w:space="0" w:color="auto"/>
        <w:left w:val="none" w:sz="0" w:space="0" w:color="auto"/>
        <w:bottom w:val="none" w:sz="0" w:space="0" w:color="auto"/>
        <w:right w:val="none" w:sz="0" w:space="0" w:color="auto"/>
      </w:divBdr>
      <w:divsChild>
        <w:div w:id="2016688327">
          <w:marLeft w:val="0"/>
          <w:marRight w:val="0"/>
          <w:marTop w:val="0"/>
          <w:marBottom w:val="0"/>
          <w:divBdr>
            <w:top w:val="none" w:sz="0" w:space="0" w:color="auto"/>
            <w:left w:val="none" w:sz="0" w:space="0" w:color="auto"/>
            <w:bottom w:val="none" w:sz="0" w:space="0" w:color="auto"/>
            <w:right w:val="none" w:sz="0" w:space="0" w:color="auto"/>
          </w:divBdr>
        </w:div>
        <w:div w:id="2016688328">
          <w:marLeft w:val="0"/>
          <w:marRight w:val="0"/>
          <w:marTop w:val="0"/>
          <w:marBottom w:val="0"/>
          <w:divBdr>
            <w:top w:val="none" w:sz="0" w:space="0" w:color="auto"/>
            <w:left w:val="none" w:sz="0" w:space="0" w:color="auto"/>
            <w:bottom w:val="none" w:sz="0" w:space="0" w:color="auto"/>
            <w:right w:val="none" w:sz="0" w:space="0" w:color="auto"/>
          </w:divBdr>
        </w:div>
        <w:div w:id="2016688329">
          <w:marLeft w:val="0"/>
          <w:marRight w:val="0"/>
          <w:marTop w:val="0"/>
          <w:marBottom w:val="0"/>
          <w:divBdr>
            <w:top w:val="none" w:sz="0" w:space="0" w:color="auto"/>
            <w:left w:val="none" w:sz="0" w:space="0" w:color="auto"/>
            <w:bottom w:val="none" w:sz="0" w:space="0" w:color="auto"/>
            <w:right w:val="none" w:sz="0" w:space="0" w:color="auto"/>
          </w:divBdr>
        </w:div>
        <w:div w:id="2016688330">
          <w:marLeft w:val="0"/>
          <w:marRight w:val="0"/>
          <w:marTop w:val="0"/>
          <w:marBottom w:val="0"/>
          <w:divBdr>
            <w:top w:val="none" w:sz="0" w:space="0" w:color="auto"/>
            <w:left w:val="none" w:sz="0" w:space="0" w:color="auto"/>
            <w:bottom w:val="none" w:sz="0" w:space="0" w:color="auto"/>
            <w:right w:val="none" w:sz="0" w:space="0" w:color="auto"/>
          </w:divBdr>
        </w:div>
        <w:div w:id="2016688350">
          <w:marLeft w:val="0"/>
          <w:marRight w:val="0"/>
          <w:marTop w:val="0"/>
          <w:marBottom w:val="0"/>
          <w:divBdr>
            <w:top w:val="none" w:sz="0" w:space="0" w:color="auto"/>
            <w:left w:val="none" w:sz="0" w:space="0" w:color="auto"/>
            <w:bottom w:val="none" w:sz="0" w:space="0" w:color="auto"/>
            <w:right w:val="none" w:sz="0" w:space="0" w:color="auto"/>
          </w:divBdr>
        </w:div>
        <w:div w:id="2016688366">
          <w:marLeft w:val="0"/>
          <w:marRight w:val="0"/>
          <w:marTop w:val="0"/>
          <w:marBottom w:val="0"/>
          <w:divBdr>
            <w:top w:val="none" w:sz="0" w:space="0" w:color="auto"/>
            <w:left w:val="none" w:sz="0" w:space="0" w:color="auto"/>
            <w:bottom w:val="none" w:sz="0" w:space="0" w:color="auto"/>
            <w:right w:val="none" w:sz="0" w:space="0" w:color="auto"/>
          </w:divBdr>
        </w:div>
        <w:div w:id="2016688375">
          <w:marLeft w:val="0"/>
          <w:marRight w:val="0"/>
          <w:marTop w:val="0"/>
          <w:marBottom w:val="0"/>
          <w:divBdr>
            <w:top w:val="none" w:sz="0" w:space="0" w:color="auto"/>
            <w:left w:val="none" w:sz="0" w:space="0" w:color="auto"/>
            <w:bottom w:val="none" w:sz="0" w:space="0" w:color="auto"/>
            <w:right w:val="none" w:sz="0" w:space="0" w:color="auto"/>
          </w:divBdr>
        </w:div>
        <w:div w:id="2016688385">
          <w:marLeft w:val="0"/>
          <w:marRight w:val="0"/>
          <w:marTop w:val="0"/>
          <w:marBottom w:val="0"/>
          <w:divBdr>
            <w:top w:val="none" w:sz="0" w:space="0" w:color="auto"/>
            <w:left w:val="none" w:sz="0" w:space="0" w:color="auto"/>
            <w:bottom w:val="none" w:sz="0" w:space="0" w:color="auto"/>
            <w:right w:val="none" w:sz="0" w:space="0" w:color="auto"/>
          </w:divBdr>
        </w:div>
        <w:div w:id="2016688389">
          <w:marLeft w:val="0"/>
          <w:marRight w:val="0"/>
          <w:marTop w:val="0"/>
          <w:marBottom w:val="0"/>
          <w:divBdr>
            <w:top w:val="none" w:sz="0" w:space="0" w:color="auto"/>
            <w:left w:val="none" w:sz="0" w:space="0" w:color="auto"/>
            <w:bottom w:val="none" w:sz="0" w:space="0" w:color="auto"/>
            <w:right w:val="none" w:sz="0" w:space="0" w:color="auto"/>
          </w:divBdr>
        </w:div>
        <w:div w:id="2016688393">
          <w:marLeft w:val="0"/>
          <w:marRight w:val="0"/>
          <w:marTop w:val="0"/>
          <w:marBottom w:val="0"/>
          <w:divBdr>
            <w:top w:val="none" w:sz="0" w:space="0" w:color="auto"/>
            <w:left w:val="none" w:sz="0" w:space="0" w:color="auto"/>
            <w:bottom w:val="none" w:sz="0" w:space="0" w:color="auto"/>
            <w:right w:val="none" w:sz="0" w:space="0" w:color="auto"/>
          </w:divBdr>
        </w:div>
        <w:div w:id="2016688407">
          <w:marLeft w:val="0"/>
          <w:marRight w:val="0"/>
          <w:marTop w:val="0"/>
          <w:marBottom w:val="0"/>
          <w:divBdr>
            <w:top w:val="none" w:sz="0" w:space="0" w:color="auto"/>
            <w:left w:val="none" w:sz="0" w:space="0" w:color="auto"/>
            <w:bottom w:val="none" w:sz="0" w:space="0" w:color="auto"/>
            <w:right w:val="none" w:sz="0" w:space="0" w:color="auto"/>
          </w:divBdr>
        </w:div>
        <w:div w:id="2016688414">
          <w:marLeft w:val="0"/>
          <w:marRight w:val="0"/>
          <w:marTop w:val="0"/>
          <w:marBottom w:val="0"/>
          <w:divBdr>
            <w:top w:val="none" w:sz="0" w:space="0" w:color="auto"/>
            <w:left w:val="none" w:sz="0" w:space="0" w:color="auto"/>
            <w:bottom w:val="none" w:sz="0" w:space="0" w:color="auto"/>
            <w:right w:val="none" w:sz="0" w:space="0" w:color="auto"/>
          </w:divBdr>
        </w:div>
        <w:div w:id="2016688415">
          <w:marLeft w:val="0"/>
          <w:marRight w:val="0"/>
          <w:marTop w:val="0"/>
          <w:marBottom w:val="0"/>
          <w:divBdr>
            <w:top w:val="none" w:sz="0" w:space="0" w:color="auto"/>
            <w:left w:val="none" w:sz="0" w:space="0" w:color="auto"/>
            <w:bottom w:val="none" w:sz="0" w:space="0" w:color="auto"/>
            <w:right w:val="none" w:sz="0" w:space="0" w:color="auto"/>
          </w:divBdr>
        </w:div>
        <w:div w:id="2016688418">
          <w:marLeft w:val="0"/>
          <w:marRight w:val="0"/>
          <w:marTop w:val="0"/>
          <w:marBottom w:val="0"/>
          <w:divBdr>
            <w:top w:val="none" w:sz="0" w:space="0" w:color="auto"/>
            <w:left w:val="none" w:sz="0" w:space="0" w:color="auto"/>
            <w:bottom w:val="none" w:sz="0" w:space="0" w:color="auto"/>
            <w:right w:val="none" w:sz="0" w:space="0" w:color="auto"/>
          </w:divBdr>
        </w:div>
        <w:div w:id="2016688425">
          <w:marLeft w:val="0"/>
          <w:marRight w:val="0"/>
          <w:marTop w:val="0"/>
          <w:marBottom w:val="0"/>
          <w:divBdr>
            <w:top w:val="none" w:sz="0" w:space="0" w:color="auto"/>
            <w:left w:val="none" w:sz="0" w:space="0" w:color="auto"/>
            <w:bottom w:val="none" w:sz="0" w:space="0" w:color="auto"/>
            <w:right w:val="none" w:sz="0" w:space="0" w:color="auto"/>
          </w:divBdr>
        </w:div>
        <w:div w:id="2016688428">
          <w:marLeft w:val="0"/>
          <w:marRight w:val="0"/>
          <w:marTop w:val="0"/>
          <w:marBottom w:val="0"/>
          <w:divBdr>
            <w:top w:val="none" w:sz="0" w:space="0" w:color="auto"/>
            <w:left w:val="none" w:sz="0" w:space="0" w:color="auto"/>
            <w:bottom w:val="none" w:sz="0" w:space="0" w:color="auto"/>
            <w:right w:val="none" w:sz="0" w:space="0" w:color="auto"/>
          </w:divBdr>
        </w:div>
        <w:div w:id="2016688448">
          <w:marLeft w:val="0"/>
          <w:marRight w:val="0"/>
          <w:marTop w:val="0"/>
          <w:marBottom w:val="0"/>
          <w:divBdr>
            <w:top w:val="none" w:sz="0" w:space="0" w:color="auto"/>
            <w:left w:val="none" w:sz="0" w:space="0" w:color="auto"/>
            <w:bottom w:val="none" w:sz="0" w:space="0" w:color="auto"/>
            <w:right w:val="none" w:sz="0" w:space="0" w:color="auto"/>
          </w:divBdr>
        </w:div>
        <w:div w:id="2016688452">
          <w:marLeft w:val="0"/>
          <w:marRight w:val="0"/>
          <w:marTop w:val="0"/>
          <w:marBottom w:val="0"/>
          <w:divBdr>
            <w:top w:val="none" w:sz="0" w:space="0" w:color="auto"/>
            <w:left w:val="none" w:sz="0" w:space="0" w:color="auto"/>
            <w:bottom w:val="none" w:sz="0" w:space="0" w:color="auto"/>
            <w:right w:val="none" w:sz="0" w:space="0" w:color="auto"/>
          </w:divBdr>
        </w:div>
        <w:div w:id="2016688460">
          <w:marLeft w:val="0"/>
          <w:marRight w:val="0"/>
          <w:marTop w:val="0"/>
          <w:marBottom w:val="0"/>
          <w:divBdr>
            <w:top w:val="none" w:sz="0" w:space="0" w:color="auto"/>
            <w:left w:val="none" w:sz="0" w:space="0" w:color="auto"/>
            <w:bottom w:val="none" w:sz="0" w:space="0" w:color="auto"/>
            <w:right w:val="none" w:sz="0" w:space="0" w:color="auto"/>
          </w:divBdr>
        </w:div>
        <w:div w:id="2016688464">
          <w:marLeft w:val="0"/>
          <w:marRight w:val="0"/>
          <w:marTop w:val="0"/>
          <w:marBottom w:val="0"/>
          <w:divBdr>
            <w:top w:val="none" w:sz="0" w:space="0" w:color="auto"/>
            <w:left w:val="none" w:sz="0" w:space="0" w:color="auto"/>
            <w:bottom w:val="none" w:sz="0" w:space="0" w:color="auto"/>
            <w:right w:val="none" w:sz="0" w:space="0" w:color="auto"/>
          </w:divBdr>
        </w:div>
        <w:div w:id="2016688469">
          <w:marLeft w:val="0"/>
          <w:marRight w:val="0"/>
          <w:marTop w:val="0"/>
          <w:marBottom w:val="0"/>
          <w:divBdr>
            <w:top w:val="none" w:sz="0" w:space="0" w:color="auto"/>
            <w:left w:val="none" w:sz="0" w:space="0" w:color="auto"/>
            <w:bottom w:val="none" w:sz="0" w:space="0" w:color="auto"/>
            <w:right w:val="none" w:sz="0" w:space="0" w:color="auto"/>
          </w:divBdr>
        </w:div>
        <w:div w:id="2016688472">
          <w:marLeft w:val="0"/>
          <w:marRight w:val="0"/>
          <w:marTop w:val="0"/>
          <w:marBottom w:val="0"/>
          <w:divBdr>
            <w:top w:val="none" w:sz="0" w:space="0" w:color="auto"/>
            <w:left w:val="none" w:sz="0" w:space="0" w:color="auto"/>
            <w:bottom w:val="none" w:sz="0" w:space="0" w:color="auto"/>
            <w:right w:val="none" w:sz="0" w:space="0" w:color="auto"/>
          </w:divBdr>
        </w:div>
        <w:div w:id="2016688487">
          <w:marLeft w:val="0"/>
          <w:marRight w:val="0"/>
          <w:marTop w:val="0"/>
          <w:marBottom w:val="0"/>
          <w:divBdr>
            <w:top w:val="none" w:sz="0" w:space="0" w:color="auto"/>
            <w:left w:val="none" w:sz="0" w:space="0" w:color="auto"/>
            <w:bottom w:val="none" w:sz="0" w:space="0" w:color="auto"/>
            <w:right w:val="none" w:sz="0" w:space="0" w:color="auto"/>
          </w:divBdr>
        </w:div>
        <w:div w:id="2016688495">
          <w:marLeft w:val="0"/>
          <w:marRight w:val="0"/>
          <w:marTop w:val="0"/>
          <w:marBottom w:val="0"/>
          <w:divBdr>
            <w:top w:val="none" w:sz="0" w:space="0" w:color="auto"/>
            <w:left w:val="none" w:sz="0" w:space="0" w:color="auto"/>
            <w:bottom w:val="none" w:sz="0" w:space="0" w:color="auto"/>
            <w:right w:val="none" w:sz="0" w:space="0" w:color="auto"/>
          </w:divBdr>
        </w:div>
        <w:div w:id="2016688500">
          <w:marLeft w:val="0"/>
          <w:marRight w:val="0"/>
          <w:marTop w:val="0"/>
          <w:marBottom w:val="0"/>
          <w:divBdr>
            <w:top w:val="none" w:sz="0" w:space="0" w:color="auto"/>
            <w:left w:val="none" w:sz="0" w:space="0" w:color="auto"/>
            <w:bottom w:val="none" w:sz="0" w:space="0" w:color="auto"/>
            <w:right w:val="none" w:sz="0" w:space="0" w:color="auto"/>
          </w:divBdr>
        </w:div>
        <w:div w:id="2016688506">
          <w:marLeft w:val="0"/>
          <w:marRight w:val="0"/>
          <w:marTop w:val="0"/>
          <w:marBottom w:val="0"/>
          <w:divBdr>
            <w:top w:val="none" w:sz="0" w:space="0" w:color="auto"/>
            <w:left w:val="none" w:sz="0" w:space="0" w:color="auto"/>
            <w:bottom w:val="none" w:sz="0" w:space="0" w:color="auto"/>
            <w:right w:val="none" w:sz="0" w:space="0" w:color="auto"/>
          </w:divBdr>
        </w:div>
        <w:div w:id="2016688509">
          <w:marLeft w:val="0"/>
          <w:marRight w:val="0"/>
          <w:marTop w:val="0"/>
          <w:marBottom w:val="0"/>
          <w:divBdr>
            <w:top w:val="none" w:sz="0" w:space="0" w:color="auto"/>
            <w:left w:val="none" w:sz="0" w:space="0" w:color="auto"/>
            <w:bottom w:val="none" w:sz="0" w:space="0" w:color="auto"/>
            <w:right w:val="none" w:sz="0" w:space="0" w:color="auto"/>
          </w:divBdr>
        </w:div>
        <w:div w:id="2016688510">
          <w:marLeft w:val="0"/>
          <w:marRight w:val="0"/>
          <w:marTop w:val="0"/>
          <w:marBottom w:val="0"/>
          <w:divBdr>
            <w:top w:val="none" w:sz="0" w:space="0" w:color="auto"/>
            <w:left w:val="none" w:sz="0" w:space="0" w:color="auto"/>
            <w:bottom w:val="none" w:sz="0" w:space="0" w:color="auto"/>
            <w:right w:val="none" w:sz="0" w:space="0" w:color="auto"/>
          </w:divBdr>
          <w:divsChild>
            <w:div w:id="2016688549">
              <w:marLeft w:val="0"/>
              <w:marRight w:val="0"/>
              <w:marTop w:val="0"/>
              <w:marBottom w:val="0"/>
              <w:divBdr>
                <w:top w:val="none" w:sz="0" w:space="0" w:color="auto"/>
                <w:left w:val="none" w:sz="0" w:space="0" w:color="auto"/>
                <w:bottom w:val="none" w:sz="0" w:space="0" w:color="auto"/>
                <w:right w:val="none" w:sz="0" w:space="0" w:color="auto"/>
              </w:divBdr>
              <w:divsChild>
                <w:div w:id="2016688325">
                  <w:marLeft w:val="0"/>
                  <w:marRight w:val="0"/>
                  <w:marTop w:val="0"/>
                  <w:marBottom w:val="0"/>
                  <w:divBdr>
                    <w:top w:val="none" w:sz="0" w:space="0" w:color="auto"/>
                    <w:left w:val="none" w:sz="0" w:space="0" w:color="auto"/>
                    <w:bottom w:val="none" w:sz="0" w:space="0" w:color="auto"/>
                    <w:right w:val="none" w:sz="0" w:space="0" w:color="auto"/>
                  </w:divBdr>
                </w:div>
                <w:div w:id="2016688326">
                  <w:marLeft w:val="0"/>
                  <w:marRight w:val="0"/>
                  <w:marTop w:val="0"/>
                  <w:marBottom w:val="0"/>
                  <w:divBdr>
                    <w:top w:val="none" w:sz="0" w:space="0" w:color="auto"/>
                    <w:left w:val="none" w:sz="0" w:space="0" w:color="auto"/>
                    <w:bottom w:val="none" w:sz="0" w:space="0" w:color="auto"/>
                    <w:right w:val="none" w:sz="0" w:space="0" w:color="auto"/>
                  </w:divBdr>
                </w:div>
                <w:div w:id="2016688333">
                  <w:marLeft w:val="0"/>
                  <w:marRight w:val="0"/>
                  <w:marTop w:val="0"/>
                  <w:marBottom w:val="0"/>
                  <w:divBdr>
                    <w:top w:val="none" w:sz="0" w:space="0" w:color="auto"/>
                    <w:left w:val="none" w:sz="0" w:space="0" w:color="auto"/>
                    <w:bottom w:val="none" w:sz="0" w:space="0" w:color="auto"/>
                    <w:right w:val="none" w:sz="0" w:space="0" w:color="auto"/>
                  </w:divBdr>
                </w:div>
                <w:div w:id="2016688335">
                  <w:marLeft w:val="0"/>
                  <w:marRight w:val="0"/>
                  <w:marTop w:val="0"/>
                  <w:marBottom w:val="0"/>
                  <w:divBdr>
                    <w:top w:val="none" w:sz="0" w:space="0" w:color="auto"/>
                    <w:left w:val="none" w:sz="0" w:space="0" w:color="auto"/>
                    <w:bottom w:val="none" w:sz="0" w:space="0" w:color="auto"/>
                    <w:right w:val="none" w:sz="0" w:space="0" w:color="auto"/>
                  </w:divBdr>
                </w:div>
                <w:div w:id="2016688337">
                  <w:marLeft w:val="0"/>
                  <w:marRight w:val="0"/>
                  <w:marTop w:val="0"/>
                  <w:marBottom w:val="0"/>
                  <w:divBdr>
                    <w:top w:val="none" w:sz="0" w:space="0" w:color="auto"/>
                    <w:left w:val="none" w:sz="0" w:space="0" w:color="auto"/>
                    <w:bottom w:val="none" w:sz="0" w:space="0" w:color="auto"/>
                    <w:right w:val="none" w:sz="0" w:space="0" w:color="auto"/>
                  </w:divBdr>
                </w:div>
                <w:div w:id="2016688340">
                  <w:marLeft w:val="0"/>
                  <w:marRight w:val="0"/>
                  <w:marTop w:val="0"/>
                  <w:marBottom w:val="0"/>
                  <w:divBdr>
                    <w:top w:val="none" w:sz="0" w:space="0" w:color="auto"/>
                    <w:left w:val="none" w:sz="0" w:space="0" w:color="auto"/>
                    <w:bottom w:val="none" w:sz="0" w:space="0" w:color="auto"/>
                    <w:right w:val="none" w:sz="0" w:space="0" w:color="auto"/>
                  </w:divBdr>
                </w:div>
                <w:div w:id="2016688341">
                  <w:marLeft w:val="0"/>
                  <w:marRight w:val="0"/>
                  <w:marTop w:val="0"/>
                  <w:marBottom w:val="0"/>
                  <w:divBdr>
                    <w:top w:val="none" w:sz="0" w:space="0" w:color="auto"/>
                    <w:left w:val="none" w:sz="0" w:space="0" w:color="auto"/>
                    <w:bottom w:val="none" w:sz="0" w:space="0" w:color="auto"/>
                    <w:right w:val="none" w:sz="0" w:space="0" w:color="auto"/>
                  </w:divBdr>
                </w:div>
                <w:div w:id="2016688343">
                  <w:marLeft w:val="0"/>
                  <w:marRight w:val="0"/>
                  <w:marTop w:val="0"/>
                  <w:marBottom w:val="0"/>
                  <w:divBdr>
                    <w:top w:val="none" w:sz="0" w:space="0" w:color="auto"/>
                    <w:left w:val="none" w:sz="0" w:space="0" w:color="auto"/>
                    <w:bottom w:val="none" w:sz="0" w:space="0" w:color="auto"/>
                    <w:right w:val="none" w:sz="0" w:space="0" w:color="auto"/>
                  </w:divBdr>
                </w:div>
                <w:div w:id="2016688344">
                  <w:marLeft w:val="0"/>
                  <w:marRight w:val="0"/>
                  <w:marTop w:val="0"/>
                  <w:marBottom w:val="0"/>
                  <w:divBdr>
                    <w:top w:val="none" w:sz="0" w:space="0" w:color="auto"/>
                    <w:left w:val="none" w:sz="0" w:space="0" w:color="auto"/>
                    <w:bottom w:val="none" w:sz="0" w:space="0" w:color="auto"/>
                    <w:right w:val="none" w:sz="0" w:space="0" w:color="auto"/>
                  </w:divBdr>
                </w:div>
                <w:div w:id="2016688348">
                  <w:marLeft w:val="0"/>
                  <w:marRight w:val="0"/>
                  <w:marTop w:val="0"/>
                  <w:marBottom w:val="0"/>
                  <w:divBdr>
                    <w:top w:val="none" w:sz="0" w:space="0" w:color="auto"/>
                    <w:left w:val="none" w:sz="0" w:space="0" w:color="auto"/>
                    <w:bottom w:val="none" w:sz="0" w:space="0" w:color="auto"/>
                    <w:right w:val="none" w:sz="0" w:space="0" w:color="auto"/>
                  </w:divBdr>
                </w:div>
                <w:div w:id="2016688349">
                  <w:marLeft w:val="0"/>
                  <w:marRight w:val="0"/>
                  <w:marTop w:val="0"/>
                  <w:marBottom w:val="0"/>
                  <w:divBdr>
                    <w:top w:val="none" w:sz="0" w:space="0" w:color="auto"/>
                    <w:left w:val="none" w:sz="0" w:space="0" w:color="auto"/>
                    <w:bottom w:val="none" w:sz="0" w:space="0" w:color="auto"/>
                    <w:right w:val="none" w:sz="0" w:space="0" w:color="auto"/>
                  </w:divBdr>
                </w:div>
                <w:div w:id="2016688352">
                  <w:marLeft w:val="0"/>
                  <w:marRight w:val="0"/>
                  <w:marTop w:val="0"/>
                  <w:marBottom w:val="0"/>
                  <w:divBdr>
                    <w:top w:val="none" w:sz="0" w:space="0" w:color="auto"/>
                    <w:left w:val="none" w:sz="0" w:space="0" w:color="auto"/>
                    <w:bottom w:val="none" w:sz="0" w:space="0" w:color="auto"/>
                    <w:right w:val="none" w:sz="0" w:space="0" w:color="auto"/>
                  </w:divBdr>
                </w:div>
                <w:div w:id="2016688354">
                  <w:marLeft w:val="0"/>
                  <w:marRight w:val="0"/>
                  <w:marTop w:val="0"/>
                  <w:marBottom w:val="0"/>
                  <w:divBdr>
                    <w:top w:val="none" w:sz="0" w:space="0" w:color="auto"/>
                    <w:left w:val="none" w:sz="0" w:space="0" w:color="auto"/>
                    <w:bottom w:val="none" w:sz="0" w:space="0" w:color="auto"/>
                    <w:right w:val="none" w:sz="0" w:space="0" w:color="auto"/>
                  </w:divBdr>
                </w:div>
                <w:div w:id="2016688359">
                  <w:marLeft w:val="0"/>
                  <w:marRight w:val="0"/>
                  <w:marTop w:val="0"/>
                  <w:marBottom w:val="0"/>
                  <w:divBdr>
                    <w:top w:val="none" w:sz="0" w:space="0" w:color="auto"/>
                    <w:left w:val="none" w:sz="0" w:space="0" w:color="auto"/>
                    <w:bottom w:val="none" w:sz="0" w:space="0" w:color="auto"/>
                    <w:right w:val="none" w:sz="0" w:space="0" w:color="auto"/>
                  </w:divBdr>
                </w:div>
                <w:div w:id="2016688365">
                  <w:marLeft w:val="0"/>
                  <w:marRight w:val="0"/>
                  <w:marTop w:val="0"/>
                  <w:marBottom w:val="0"/>
                  <w:divBdr>
                    <w:top w:val="none" w:sz="0" w:space="0" w:color="auto"/>
                    <w:left w:val="none" w:sz="0" w:space="0" w:color="auto"/>
                    <w:bottom w:val="none" w:sz="0" w:space="0" w:color="auto"/>
                    <w:right w:val="none" w:sz="0" w:space="0" w:color="auto"/>
                  </w:divBdr>
                </w:div>
                <w:div w:id="2016688369">
                  <w:marLeft w:val="0"/>
                  <w:marRight w:val="0"/>
                  <w:marTop w:val="0"/>
                  <w:marBottom w:val="0"/>
                  <w:divBdr>
                    <w:top w:val="none" w:sz="0" w:space="0" w:color="auto"/>
                    <w:left w:val="none" w:sz="0" w:space="0" w:color="auto"/>
                    <w:bottom w:val="none" w:sz="0" w:space="0" w:color="auto"/>
                    <w:right w:val="none" w:sz="0" w:space="0" w:color="auto"/>
                  </w:divBdr>
                </w:div>
                <w:div w:id="2016688372">
                  <w:marLeft w:val="0"/>
                  <w:marRight w:val="0"/>
                  <w:marTop w:val="0"/>
                  <w:marBottom w:val="0"/>
                  <w:divBdr>
                    <w:top w:val="none" w:sz="0" w:space="0" w:color="auto"/>
                    <w:left w:val="none" w:sz="0" w:space="0" w:color="auto"/>
                    <w:bottom w:val="none" w:sz="0" w:space="0" w:color="auto"/>
                    <w:right w:val="none" w:sz="0" w:space="0" w:color="auto"/>
                  </w:divBdr>
                </w:div>
                <w:div w:id="2016688374">
                  <w:marLeft w:val="0"/>
                  <w:marRight w:val="0"/>
                  <w:marTop w:val="0"/>
                  <w:marBottom w:val="0"/>
                  <w:divBdr>
                    <w:top w:val="none" w:sz="0" w:space="0" w:color="auto"/>
                    <w:left w:val="none" w:sz="0" w:space="0" w:color="auto"/>
                    <w:bottom w:val="none" w:sz="0" w:space="0" w:color="auto"/>
                    <w:right w:val="none" w:sz="0" w:space="0" w:color="auto"/>
                  </w:divBdr>
                </w:div>
                <w:div w:id="2016688380">
                  <w:marLeft w:val="0"/>
                  <w:marRight w:val="0"/>
                  <w:marTop w:val="0"/>
                  <w:marBottom w:val="0"/>
                  <w:divBdr>
                    <w:top w:val="none" w:sz="0" w:space="0" w:color="auto"/>
                    <w:left w:val="none" w:sz="0" w:space="0" w:color="auto"/>
                    <w:bottom w:val="none" w:sz="0" w:space="0" w:color="auto"/>
                    <w:right w:val="none" w:sz="0" w:space="0" w:color="auto"/>
                  </w:divBdr>
                </w:div>
                <w:div w:id="2016688381">
                  <w:marLeft w:val="0"/>
                  <w:marRight w:val="0"/>
                  <w:marTop w:val="0"/>
                  <w:marBottom w:val="0"/>
                  <w:divBdr>
                    <w:top w:val="none" w:sz="0" w:space="0" w:color="auto"/>
                    <w:left w:val="none" w:sz="0" w:space="0" w:color="auto"/>
                    <w:bottom w:val="none" w:sz="0" w:space="0" w:color="auto"/>
                    <w:right w:val="none" w:sz="0" w:space="0" w:color="auto"/>
                  </w:divBdr>
                </w:div>
                <w:div w:id="2016688382">
                  <w:marLeft w:val="0"/>
                  <w:marRight w:val="0"/>
                  <w:marTop w:val="0"/>
                  <w:marBottom w:val="0"/>
                  <w:divBdr>
                    <w:top w:val="none" w:sz="0" w:space="0" w:color="auto"/>
                    <w:left w:val="none" w:sz="0" w:space="0" w:color="auto"/>
                    <w:bottom w:val="none" w:sz="0" w:space="0" w:color="auto"/>
                    <w:right w:val="none" w:sz="0" w:space="0" w:color="auto"/>
                  </w:divBdr>
                </w:div>
                <w:div w:id="2016688383">
                  <w:marLeft w:val="0"/>
                  <w:marRight w:val="0"/>
                  <w:marTop w:val="0"/>
                  <w:marBottom w:val="0"/>
                  <w:divBdr>
                    <w:top w:val="none" w:sz="0" w:space="0" w:color="auto"/>
                    <w:left w:val="none" w:sz="0" w:space="0" w:color="auto"/>
                    <w:bottom w:val="none" w:sz="0" w:space="0" w:color="auto"/>
                    <w:right w:val="none" w:sz="0" w:space="0" w:color="auto"/>
                  </w:divBdr>
                </w:div>
                <w:div w:id="2016688384">
                  <w:marLeft w:val="0"/>
                  <w:marRight w:val="0"/>
                  <w:marTop w:val="0"/>
                  <w:marBottom w:val="0"/>
                  <w:divBdr>
                    <w:top w:val="none" w:sz="0" w:space="0" w:color="auto"/>
                    <w:left w:val="none" w:sz="0" w:space="0" w:color="auto"/>
                    <w:bottom w:val="none" w:sz="0" w:space="0" w:color="auto"/>
                    <w:right w:val="none" w:sz="0" w:space="0" w:color="auto"/>
                  </w:divBdr>
                </w:div>
                <w:div w:id="2016688386">
                  <w:marLeft w:val="0"/>
                  <w:marRight w:val="0"/>
                  <w:marTop w:val="0"/>
                  <w:marBottom w:val="0"/>
                  <w:divBdr>
                    <w:top w:val="none" w:sz="0" w:space="0" w:color="auto"/>
                    <w:left w:val="none" w:sz="0" w:space="0" w:color="auto"/>
                    <w:bottom w:val="none" w:sz="0" w:space="0" w:color="auto"/>
                    <w:right w:val="none" w:sz="0" w:space="0" w:color="auto"/>
                  </w:divBdr>
                </w:div>
                <w:div w:id="2016688394">
                  <w:marLeft w:val="0"/>
                  <w:marRight w:val="0"/>
                  <w:marTop w:val="0"/>
                  <w:marBottom w:val="0"/>
                  <w:divBdr>
                    <w:top w:val="none" w:sz="0" w:space="0" w:color="auto"/>
                    <w:left w:val="none" w:sz="0" w:space="0" w:color="auto"/>
                    <w:bottom w:val="none" w:sz="0" w:space="0" w:color="auto"/>
                    <w:right w:val="none" w:sz="0" w:space="0" w:color="auto"/>
                  </w:divBdr>
                </w:div>
                <w:div w:id="2016688397">
                  <w:marLeft w:val="0"/>
                  <w:marRight w:val="0"/>
                  <w:marTop w:val="0"/>
                  <w:marBottom w:val="0"/>
                  <w:divBdr>
                    <w:top w:val="none" w:sz="0" w:space="0" w:color="auto"/>
                    <w:left w:val="none" w:sz="0" w:space="0" w:color="auto"/>
                    <w:bottom w:val="none" w:sz="0" w:space="0" w:color="auto"/>
                    <w:right w:val="none" w:sz="0" w:space="0" w:color="auto"/>
                  </w:divBdr>
                </w:div>
                <w:div w:id="2016688399">
                  <w:marLeft w:val="0"/>
                  <w:marRight w:val="0"/>
                  <w:marTop w:val="0"/>
                  <w:marBottom w:val="0"/>
                  <w:divBdr>
                    <w:top w:val="none" w:sz="0" w:space="0" w:color="auto"/>
                    <w:left w:val="none" w:sz="0" w:space="0" w:color="auto"/>
                    <w:bottom w:val="none" w:sz="0" w:space="0" w:color="auto"/>
                    <w:right w:val="none" w:sz="0" w:space="0" w:color="auto"/>
                  </w:divBdr>
                </w:div>
                <w:div w:id="2016688405">
                  <w:marLeft w:val="0"/>
                  <w:marRight w:val="0"/>
                  <w:marTop w:val="0"/>
                  <w:marBottom w:val="0"/>
                  <w:divBdr>
                    <w:top w:val="none" w:sz="0" w:space="0" w:color="auto"/>
                    <w:left w:val="none" w:sz="0" w:space="0" w:color="auto"/>
                    <w:bottom w:val="none" w:sz="0" w:space="0" w:color="auto"/>
                    <w:right w:val="none" w:sz="0" w:space="0" w:color="auto"/>
                  </w:divBdr>
                </w:div>
                <w:div w:id="2016688409">
                  <w:marLeft w:val="0"/>
                  <w:marRight w:val="0"/>
                  <w:marTop w:val="0"/>
                  <w:marBottom w:val="0"/>
                  <w:divBdr>
                    <w:top w:val="none" w:sz="0" w:space="0" w:color="auto"/>
                    <w:left w:val="none" w:sz="0" w:space="0" w:color="auto"/>
                    <w:bottom w:val="none" w:sz="0" w:space="0" w:color="auto"/>
                    <w:right w:val="none" w:sz="0" w:space="0" w:color="auto"/>
                  </w:divBdr>
                </w:div>
                <w:div w:id="2016688419">
                  <w:marLeft w:val="0"/>
                  <w:marRight w:val="0"/>
                  <w:marTop w:val="0"/>
                  <w:marBottom w:val="0"/>
                  <w:divBdr>
                    <w:top w:val="none" w:sz="0" w:space="0" w:color="auto"/>
                    <w:left w:val="none" w:sz="0" w:space="0" w:color="auto"/>
                    <w:bottom w:val="none" w:sz="0" w:space="0" w:color="auto"/>
                    <w:right w:val="none" w:sz="0" w:space="0" w:color="auto"/>
                  </w:divBdr>
                </w:div>
                <w:div w:id="2016688421">
                  <w:marLeft w:val="0"/>
                  <w:marRight w:val="0"/>
                  <w:marTop w:val="0"/>
                  <w:marBottom w:val="0"/>
                  <w:divBdr>
                    <w:top w:val="none" w:sz="0" w:space="0" w:color="auto"/>
                    <w:left w:val="none" w:sz="0" w:space="0" w:color="auto"/>
                    <w:bottom w:val="none" w:sz="0" w:space="0" w:color="auto"/>
                    <w:right w:val="none" w:sz="0" w:space="0" w:color="auto"/>
                  </w:divBdr>
                </w:div>
                <w:div w:id="2016688423">
                  <w:marLeft w:val="0"/>
                  <w:marRight w:val="0"/>
                  <w:marTop w:val="0"/>
                  <w:marBottom w:val="0"/>
                  <w:divBdr>
                    <w:top w:val="none" w:sz="0" w:space="0" w:color="auto"/>
                    <w:left w:val="none" w:sz="0" w:space="0" w:color="auto"/>
                    <w:bottom w:val="none" w:sz="0" w:space="0" w:color="auto"/>
                    <w:right w:val="none" w:sz="0" w:space="0" w:color="auto"/>
                  </w:divBdr>
                </w:div>
                <w:div w:id="2016688427">
                  <w:marLeft w:val="0"/>
                  <w:marRight w:val="0"/>
                  <w:marTop w:val="0"/>
                  <w:marBottom w:val="0"/>
                  <w:divBdr>
                    <w:top w:val="none" w:sz="0" w:space="0" w:color="auto"/>
                    <w:left w:val="none" w:sz="0" w:space="0" w:color="auto"/>
                    <w:bottom w:val="none" w:sz="0" w:space="0" w:color="auto"/>
                    <w:right w:val="none" w:sz="0" w:space="0" w:color="auto"/>
                  </w:divBdr>
                </w:div>
                <w:div w:id="2016688429">
                  <w:marLeft w:val="0"/>
                  <w:marRight w:val="0"/>
                  <w:marTop w:val="0"/>
                  <w:marBottom w:val="0"/>
                  <w:divBdr>
                    <w:top w:val="none" w:sz="0" w:space="0" w:color="auto"/>
                    <w:left w:val="none" w:sz="0" w:space="0" w:color="auto"/>
                    <w:bottom w:val="none" w:sz="0" w:space="0" w:color="auto"/>
                    <w:right w:val="none" w:sz="0" w:space="0" w:color="auto"/>
                  </w:divBdr>
                </w:div>
                <w:div w:id="2016688432">
                  <w:marLeft w:val="0"/>
                  <w:marRight w:val="0"/>
                  <w:marTop w:val="0"/>
                  <w:marBottom w:val="0"/>
                  <w:divBdr>
                    <w:top w:val="none" w:sz="0" w:space="0" w:color="auto"/>
                    <w:left w:val="none" w:sz="0" w:space="0" w:color="auto"/>
                    <w:bottom w:val="none" w:sz="0" w:space="0" w:color="auto"/>
                    <w:right w:val="none" w:sz="0" w:space="0" w:color="auto"/>
                  </w:divBdr>
                </w:div>
                <w:div w:id="2016688442">
                  <w:marLeft w:val="0"/>
                  <w:marRight w:val="0"/>
                  <w:marTop w:val="0"/>
                  <w:marBottom w:val="0"/>
                  <w:divBdr>
                    <w:top w:val="none" w:sz="0" w:space="0" w:color="auto"/>
                    <w:left w:val="none" w:sz="0" w:space="0" w:color="auto"/>
                    <w:bottom w:val="none" w:sz="0" w:space="0" w:color="auto"/>
                    <w:right w:val="none" w:sz="0" w:space="0" w:color="auto"/>
                  </w:divBdr>
                </w:div>
                <w:div w:id="2016688445">
                  <w:marLeft w:val="0"/>
                  <w:marRight w:val="0"/>
                  <w:marTop w:val="0"/>
                  <w:marBottom w:val="0"/>
                  <w:divBdr>
                    <w:top w:val="none" w:sz="0" w:space="0" w:color="auto"/>
                    <w:left w:val="none" w:sz="0" w:space="0" w:color="auto"/>
                    <w:bottom w:val="none" w:sz="0" w:space="0" w:color="auto"/>
                    <w:right w:val="none" w:sz="0" w:space="0" w:color="auto"/>
                  </w:divBdr>
                </w:div>
                <w:div w:id="2016688446">
                  <w:marLeft w:val="0"/>
                  <w:marRight w:val="0"/>
                  <w:marTop w:val="0"/>
                  <w:marBottom w:val="0"/>
                  <w:divBdr>
                    <w:top w:val="none" w:sz="0" w:space="0" w:color="auto"/>
                    <w:left w:val="none" w:sz="0" w:space="0" w:color="auto"/>
                    <w:bottom w:val="none" w:sz="0" w:space="0" w:color="auto"/>
                    <w:right w:val="none" w:sz="0" w:space="0" w:color="auto"/>
                  </w:divBdr>
                </w:div>
                <w:div w:id="2016688447">
                  <w:marLeft w:val="0"/>
                  <w:marRight w:val="0"/>
                  <w:marTop w:val="0"/>
                  <w:marBottom w:val="0"/>
                  <w:divBdr>
                    <w:top w:val="none" w:sz="0" w:space="0" w:color="auto"/>
                    <w:left w:val="none" w:sz="0" w:space="0" w:color="auto"/>
                    <w:bottom w:val="none" w:sz="0" w:space="0" w:color="auto"/>
                    <w:right w:val="none" w:sz="0" w:space="0" w:color="auto"/>
                  </w:divBdr>
                </w:div>
                <w:div w:id="2016688449">
                  <w:marLeft w:val="0"/>
                  <w:marRight w:val="0"/>
                  <w:marTop w:val="0"/>
                  <w:marBottom w:val="0"/>
                  <w:divBdr>
                    <w:top w:val="none" w:sz="0" w:space="0" w:color="auto"/>
                    <w:left w:val="none" w:sz="0" w:space="0" w:color="auto"/>
                    <w:bottom w:val="none" w:sz="0" w:space="0" w:color="auto"/>
                    <w:right w:val="none" w:sz="0" w:space="0" w:color="auto"/>
                  </w:divBdr>
                </w:div>
                <w:div w:id="2016688450">
                  <w:marLeft w:val="0"/>
                  <w:marRight w:val="0"/>
                  <w:marTop w:val="0"/>
                  <w:marBottom w:val="0"/>
                  <w:divBdr>
                    <w:top w:val="none" w:sz="0" w:space="0" w:color="auto"/>
                    <w:left w:val="none" w:sz="0" w:space="0" w:color="auto"/>
                    <w:bottom w:val="none" w:sz="0" w:space="0" w:color="auto"/>
                    <w:right w:val="none" w:sz="0" w:space="0" w:color="auto"/>
                  </w:divBdr>
                </w:div>
                <w:div w:id="2016688453">
                  <w:marLeft w:val="0"/>
                  <w:marRight w:val="0"/>
                  <w:marTop w:val="0"/>
                  <w:marBottom w:val="0"/>
                  <w:divBdr>
                    <w:top w:val="none" w:sz="0" w:space="0" w:color="auto"/>
                    <w:left w:val="none" w:sz="0" w:space="0" w:color="auto"/>
                    <w:bottom w:val="none" w:sz="0" w:space="0" w:color="auto"/>
                    <w:right w:val="none" w:sz="0" w:space="0" w:color="auto"/>
                  </w:divBdr>
                </w:div>
                <w:div w:id="2016688455">
                  <w:marLeft w:val="0"/>
                  <w:marRight w:val="0"/>
                  <w:marTop w:val="0"/>
                  <w:marBottom w:val="0"/>
                  <w:divBdr>
                    <w:top w:val="none" w:sz="0" w:space="0" w:color="auto"/>
                    <w:left w:val="none" w:sz="0" w:space="0" w:color="auto"/>
                    <w:bottom w:val="none" w:sz="0" w:space="0" w:color="auto"/>
                    <w:right w:val="none" w:sz="0" w:space="0" w:color="auto"/>
                  </w:divBdr>
                </w:div>
                <w:div w:id="2016688456">
                  <w:marLeft w:val="0"/>
                  <w:marRight w:val="0"/>
                  <w:marTop w:val="0"/>
                  <w:marBottom w:val="0"/>
                  <w:divBdr>
                    <w:top w:val="none" w:sz="0" w:space="0" w:color="auto"/>
                    <w:left w:val="none" w:sz="0" w:space="0" w:color="auto"/>
                    <w:bottom w:val="none" w:sz="0" w:space="0" w:color="auto"/>
                    <w:right w:val="none" w:sz="0" w:space="0" w:color="auto"/>
                  </w:divBdr>
                </w:div>
                <w:div w:id="2016688458">
                  <w:marLeft w:val="0"/>
                  <w:marRight w:val="0"/>
                  <w:marTop w:val="0"/>
                  <w:marBottom w:val="0"/>
                  <w:divBdr>
                    <w:top w:val="none" w:sz="0" w:space="0" w:color="auto"/>
                    <w:left w:val="none" w:sz="0" w:space="0" w:color="auto"/>
                    <w:bottom w:val="none" w:sz="0" w:space="0" w:color="auto"/>
                    <w:right w:val="none" w:sz="0" w:space="0" w:color="auto"/>
                  </w:divBdr>
                </w:div>
                <w:div w:id="2016688462">
                  <w:marLeft w:val="0"/>
                  <w:marRight w:val="0"/>
                  <w:marTop w:val="0"/>
                  <w:marBottom w:val="0"/>
                  <w:divBdr>
                    <w:top w:val="none" w:sz="0" w:space="0" w:color="auto"/>
                    <w:left w:val="none" w:sz="0" w:space="0" w:color="auto"/>
                    <w:bottom w:val="none" w:sz="0" w:space="0" w:color="auto"/>
                    <w:right w:val="none" w:sz="0" w:space="0" w:color="auto"/>
                  </w:divBdr>
                </w:div>
                <w:div w:id="2016688465">
                  <w:marLeft w:val="0"/>
                  <w:marRight w:val="0"/>
                  <w:marTop w:val="0"/>
                  <w:marBottom w:val="0"/>
                  <w:divBdr>
                    <w:top w:val="none" w:sz="0" w:space="0" w:color="auto"/>
                    <w:left w:val="none" w:sz="0" w:space="0" w:color="auto"/>
                    <w:bottom w:val="none" w:sz="0" w:space="0" w:color="auto"/>
                    <w:right w:val="none" w:sz="0" w:space="0" w:color="auto"/>
                  </w:divBdr>
                </w:div>
                <w:div w:id="2016688466">
                  <w:marLeft w:val="0"/>
                  <w:marRight w:val="0"/>
                  <w:marTop w:val="0"/>
                  <w:marBottom w:val="0"/>
                  <w:divBdr>
                    <w:top w:val="none" w:sz="0" w:space="0" w:color="auto"/>
                    <w:left w:val="none" w:sz="0" w:space="0" w:color="auto"/>
                    <w:bottom w:val="none" w:sz="0" w:space="0" w:color="auto"/>
                    <w:right w:val="none" w:sz="0" w:space="0" w:color="auto"/>
                  </w:divBdr>
                </w:div>
                <w:div w:id="2016688471">
                  <w:marLeft w:val="0"/>
                  <w:marRight w:val="0"/>
                  <w:marTop w:val="0"/>
                  <w:marBottom w:val="0"/>
                  <w:divBdr>
                    <w:top w:val="none" w:sz="0" w:space="0" w:color="auto"/>
                    <w:left w:val="none" w:sz="0" w:space="0" w:color="auto"/>
                    <w:bottom w:val="none" w:sz="0" w:space="0" w:color="auto"/>
                    <w:right w:val="none" w:sz="0" w:space="0" w:color="auto"/>
                  </w:divBdr>
                </w:div>
                <w:div w:id="2016688475">
                  <w:marLeft w:val="0"/>
                  <w:marRight w:val="0"/>
                  <w:marTop w:val="0"/>
                  <w:marBottom w:val="0"/>
                  <w:divBdr>
                    <w:top w:val="none" w:sz="0" w:space="0" w:color="auto"/>
                    <w:left w:val="none" w:sz="0" w:space="0" w:color="auto"/>
                    <w:bottom w:val="none" w:sz="0" w:space="0" w:color="auto"/>
                    <w:right w:val="none" w:sz="0" w:space="0" w:color="auto"/>
                  </w:divBdr>
                </w:div>
                <w:div w:id="2016688480">
                  <w:marLeft w:val="0"/>
                  <w:marRight w:val="0"/>
                  <w:marTop w:val="0"/>
                  <w:marBottom w:val="0"/>
                  <w:divBdr>
                    <w:top w:val="none" w:sz="0" w:space="0" w:color="auto"/>
                    <w:left w:val="none" w:sz="0" w:space="0" w:color="auto"/>
                    <w:bottom w:val="none" w:sz="0" w:space="0" w:color="auto"/>
                    <w:right w:val="none" w:sz="0" w:space="0" w:color="auto"/>
                  </w:divBdr>
                </w:div>
                <w:div w:id="2016688482">
                  <w:marLeft w:val="0"/>
                  <w:marRight w:val="0"/>
                  <w:marTop w:val="0"/>
                  <w:marBottom w:val="0"/>
                  <w:divBdr>
                    <w:top w:val="none" w:sz="0" w:space="0" w:color="auto"/>
                    <w:left w:val="none" w:sz="0" w:space="0" w:color="auto"/>
                    <w:bottom w:val="none" w:sz="0" w:space="0" w:color="auto"/>
                    <w:right w:val="none" w:sz="0" w:space="0" w:color="auto"/>
                  </w:divBdr>
                </w:div>
                <w:div w:id="2016688488">
                  <w:marLeft w:val="0"/>
                  <w:marRight w:val="0"/>
                  <w:marTop w:val="0"/>
                  <w:marBottom w:val="0"/>
                  <w:divBdr>
                    <w:top w:val="none" w:sz="0" w:space="0" w:color="auto"/>
                    <w:left w:val="none" w:sz="0" w:space="0" w:color="auto"/>
                    <w:bottom w:val="none" w:sz="0" w:space="0" w:color="auto"/>
                    <w:right w:val="none" w:sz="0" w:space="0" w:color="auto"/>
                  </w:divBdr>
                </w:div>
                <w:div w:id="2016688490">
                  <w:marLeft w:val="0"/>
                  <w:marRight w:val="0"/>
                  <w:marTop w:val="0"/>
                  <w:marBottom w:val="0"/>
                  <w:divBdr>
                    <w:top w:val="none" w:sz="0" w:space="0" w:color="auto"/>
                    <w:left w:val="none" w:sz="0" w:space="0" w:color="auto"/>
                    <w:bottom w:val="none" w:sz="0" w:space="0" w:color="auto"/>
                    <w:right w:val="none" w:sz="0" w:space="0" w:color="auto"/>
                  </w:divBdr>
                </w:div>
                <w:div w:id="2016688497">
                  <w:marLeft w:val="0"/>
                  <w:marRight w:val="0"/>
                  <w:marTop w:val="0"/>
                  <w:marBottom w:val="0"/>
                  <w:divBdr>
                    <w:top w:val="none" w:sz="0" w:space="0" w:color="auto"/>
                    <w:left w:val="none" w:sz="0" w:space="0" w:color="auto"/>
                    <w:bottom w:val="none" w:sz="0" w:space="0" w:color="auto"/>
                    <w:right w:val="none" w:sz="0" w:space="0" w:color="auto"/>
                  </w:divBdr>
                </w:div>
                <w:div w:id="2016688512">
                  <w:marLeft w:val="0"/>
                  <w:marRight w:val="0"/>
                  <w:marTop w:val="0"/>
                  <w:marBottom w:val="0"/>
                  <w:divBdr>
                    <w:top w:val="none" w:sz="0" w:space="0" w:color="auto"/>
                    <w:left w:val="none" w:sz="0" w:space="0" w:color="auto"/>
                    <w:bottom w:val="none" w:sz="0" w:space="0" w:color="auto"/>
                    <w:right w:val="none" w:sz="0" w:space="0" w:color="auto"/>
                  </w:divBdr>
                </w:div>
                <w:div w:id="2016688518">
                  <w:marLeft w:val="0"/>
                  <w:marRight w:val="0"/>
                  <w:marTop w:val="0"/>
                  <w:marBottom w:val="0"/>
                  <w:divBdr>
                    <w:top w:val="none" w:sz="0" w:space="0" w:color="auto"/>
                    <w:left w:val="none" w:sz="0" w:space="0" w:color="auto"/>
                    <w:bottom w:val="none" w:sz="0" w:space="0" w:color="auto"/>
                    <w:right w:val="none" w:sz="0" w:space="0" w:color="auto"/>
                  </w:divBdr>
                </w:div>
                <w:div w:id="2016688519">
                  <w:marLeft w:val="0"/>
                  <w:marRight w:val="0"/>
                  <w:marTop w:val="0"/>
                  <w:marBottom w:val="0"/>
                  <w:divBdr>
                    <w:top w:val="none" w:sz="0" w:space="0" w:color="auto"/>
                    <w:left w:val="none" w:sz="0" w:space="0" w:color="auto"/>
                    <w:bottom w:val="none" w:sz="0" w:space="0" w:color="auto"/>
                    <w:right w:val="none" w:sz="0" w:space="0" w:color="auto"/>
                  </w:divBdr>
                </w:div>
                <w:div w:id="2016688523">
                  <w:marLeft w:val="0"/>
                  <w:marRight w:val="0"/>
                  <w:marTop w:val="0"/>
                  <w:marBottom w:val="0"/>
                  <w:divBdr>
                    <w:top w:val="none" w:sz="0" w:space="0" w:color="auto"/>
                    <w:left w:val="none" w:sz="0" w:space="0" w:color="auto"/>
                    <w:bottom w:val="none" w:sz="0" w:space="0" w:color="auto"/>
                    <w:right w:val="none" w:sz="0" w:space="0" w:color="auto"/>
                  </w:divBdr>
                </w:div>
                <w:div w:id="2016688529">
                  <w:marLeft w:val="0"/>
                  <w:marRight w:val="0"/>
                  <w:marTop w:val="0"/>
                  <w:marBottom w:val="0"/>
                  <w:divBdr>
                    <w:top w:val="none" w:sz="0" w:space="0" w:color="auto"/>
                    <w:left w:val="none" w:sz="0" w:space="0" w:color="auto"/>
                    <w:bottom w:val="none" w:sz="0" w:space="0" w:color="auto"/>
                    <w:right w:val="none" w:sz="0" w:space="0" w:color="auto"/>
                  </w:divBdr>
                </w:div>
                <w:div w:id="2016688535">
                  <w:marLeft w:val="0"/>
                  <w:marRight w:val="0"/>
                  <w:marTop w:val="0"/>
                  <w:marBottom w:val="0"/>
                  <w:divBdr>
                    <w:top w:val="none" w:sz="0" w:space="0" w:color="auto"/>
                    <w:left w:val="none" w:sz="0" w:space="0" w:color="auto"/>
                    <w:bottom w:val="none" w:sz="0" w:space="0" w:color="auto"/>
                    <w:right w:val="none" w:sz="0" w:space="0" w:color="auto"/>
                  </w:divBdr>
                </w:div>
                <w:div w:id="2016688537">
                  <w:marLeft w:val="0"/>
                  <w:marRight w:val="0"/>
                  <w:marTop w:val="0"/>
                  <w:marBottom w:val="0"/>
                  <w:divBdr>
                    <w:top w:val="none" w:sz="0" w:space="0" w:color="auto"/>
                    <w:left w:val="none" w:sz="0" w:space="0" w:color="auto"/>
                    <w:bottom w:val="none" w:sz="0" w:space="0" w:color="auto"/>
                    <w:right w:val="none" w:sz="0" w:space="0" w:color="auto"/>
                  </w:divBdr>
                </w:div>
                <w:div w:id="2016688539">
                  <w:marLeft w:val="0"/>
                  <w:marRight w:val="0"/>
                  <w:marTop w:val="0"/>
                  <w:marBottom w:val="0"/>
                  <w:divBdr>
                    <w:top w:val="none" w:sz="0" w:space="0" w:color="auto"/>
                    <w:left w:val="none" w:sz="0" w:space="0" w:color="auto"/>
                    <w:bottom w:val="none" w:sz="0" w:space="0" w:color="auto"/>
                    <w:right w:val="none" w:sz="0" w:space="0" w:color="auto"/>
                  </w:divBdr>
                </w:div>
                <w:div w:id="2016688542">
                  <w:marLeft w:val="0"/>
                  <w:marRight w:val="0"/>
                  <w:marTop w:val="0"/>
                  <w:marBottom w:val="0"/>
                  <w:divBdr>
                    <w:top w:val="none" w:sz="0" w:space="0" w:color="auto"/>
                    <w:left w:val="none" w:sz="0" w:space="0" w:color="auto"/>
                    <w:bottom w:val="none" w:sz="0" w:space="0" w:color="auto"/>
                    <w:right w:val="none" w:sz="0" w:space="0" w:color="auto"/>
                  </w:divBdr>
                </w:div>
                <w:div w:id="2016688543">
                  <w:marLeft w:val="0"/>
                  <w:marRight w:val="0"/>
                  <w:marTop w:val="0"/>
                  <w:marBottom w:val="0"/>
                  <w:divBdr>
                    <w:top w:val="none" w:sz="0" w:space="0" w:color="auto"/>
                    <w:left w:val="none" w:sz="0" w:space="0" w:color="auto"/>
                    <w:bottom w:val="none" w:sz="0" w:space="0" w:color="auto"/>
                    <w:right w:val="none" w:sz="0" w:space="0" w:color="auto"/>
                  </w:divBdr>
                </w:div>
                <w:div w:id="2016688545">
                  <w:marLeft w:val="0"/>
                  <w:marRight w:val="0"/>
                  <w:marTop w:val="0"/>
                  <w:marBottom w:val="0"/>
                  <w:divBdr>
                    <w:top w:val="none" w:sz="0" w:space="0" w:color="auto"/>
                    <w:left w:val="none" w:sz="0" w:space="0" w:color="auto"/>
                    <w:bottom w:val="none" w:sz="0" w:space="0" w:color="auto"/>
                    <w:right w:val="none" w:sz="0" w:space="0" w:color="auto"/>
                  </w:divBdr>
                </w:div>
                <w:div w:id="2016688552">
                  <w:marLeft w:val="0"/>
                  <w:marRight w:val="0"/>
                  <w:marTop w:val="0"/>
                  <w:marBottom w:val="0"/>
                  <w:divBdr>
                    <w:top w:val="none" w:sz="0" w:space="0" w:color="auto"/>
                    <w:left w:val="none" w:sz="0" w:space="0" w:color="auto"/>
                    <w:bottom w:val="none" w:sz="0" w:space="0" w:color="auto"/>
                    <w:right w:val="none" w:sz="0" w:space="0" w:color="auto"/>
                  </w:divBdr>
                </w:div>
                <w:div w:id="2016688553">
                  <w:marLeft w:val="0"/>
                  <w:marRight w:val="0"/>
                  <w:marTop w:val="0"/>
                  <w:marBottom w:val="0"/>
                  <w:divBdr>
                    <w:top w:val="none" w:sz="0" w:space="0" w:color="auto"/>
                    <w:left w:val="none" w:sz="0" w:space="0" w:color="auto"/>
                    <w:bottom w:val="none" w:sz="0" w:space="0" w:color="auto"/>
                    <w:right w:val="none" w:sz="0" w:space="0" w:color="auto"/>
                  </w:divBdr>
                </w:div>
                <w:div w:id="2016688554">
                  <w:marLeft w:val="0"/>
                  <w:marRight w:val="0"/>
                  <w:marTop w:val="0"/>
                  <w:marBottom w:val="0"/>
                  <w:divBdr>
                    <w:top w:val="none" w:sz="0" w:space="0" w:color="auto"/>
                    <w:left w:val="none" w:sz="0" w:space="0" w:color="auto"/>
                    <w:bottom w:val="none" w:sz="0" w:space="0" w:color="auto"/>
                    <w:right w:val="none" w:sz="0" w:space="0" w:color="auto"/>
                  </w:divBdr>
                </w:div>
                <w:div w:id="2016688559">
                  <w:marLeft w:val="0"/>
                  <w:marRight w:val="0"/>
                  <w:marTop w:val="0"/>
                  <w:marBottom w:val="0"/>
                  <w:divBdr>
                    <w:top w:val="none" w:sz="0" w:space="0" w:color="auto"/>
                    <w:left w:val="none" w:sz="0" w:space="0" w:color="auto"/>
                    <w:bottom w:val="none" w:sz="0" w:space="0" w:color="auto"/>
                    <w:right w:val="none" w:sz="0" w:space="0" w:color="auto"/>
                  </w:divBdr>
                </w:div>
                <w:div w:id="2016688568">
                  <w:marLeft w:val="0"/>
                  <w:marRight w:val="0"/>
                  <w:marTop w:val="0"/>
                  <w:marBottom w:val="0"/>
                  <w:divBdr>
                    <w:top w:val="none" w:sz="0" w:space="0" w:color="auto"/>
                    <w:left w:val="none" w:sz="0" w:space="0" w:color="auto"/>
                    <w:bottom w:val="none" w:sz="0" w:space="0" w:color="auto"/>
                    <w:right w:val="none" w:sz="0" w:space="0" w:color="auto"/>
                  </w:divBdr>
                </w:div>
                <w:div w:id="2016688580">
                  <w:marLeft w:val="0"/>
                  <w:marRight w:val="0"/>
                  <w:marTop w:val="0"/>
                  <w:marBottom w:val="0"/>
                  <w:divBdr>
                    <w:top w:val="none" w:sz="0" w:space="0" w:color="auto"/>
                    <w:left w:val="none" w:sz="0" w:space="0" w:color="auto"/>
                    <w:bottom w:val="none" w:sz="0" w:space="0" w:color="auto"/>
                    <w:right w:val="none" w:sz="0" w:space="0" w:color="auto"/>
                  </w:divBdr>
                </w:div>
                <w:div w:id="2016688582">
                  <w:marLeft w:val="0"/>
                  <w:marRight w:val="0"/>
                  <w:marTop w:val="0"/>
                  <w:marBottom w:val="0"/>
                  <w:divBdr>
                    <w:top w:val="none" w:sz="0" w:space="0" w:color="auto"/>
                    <w:left w:val="none" w:sz="0" w:space="0" w:color="auto"/>
                    <w:bottom w:val="none" w:sz="0" w:space="0" w:color="auto"/>
                    <w:right w:val="none" w:sz="0" w:space="0" w:color="auto"/>
                  </w:divBdr>
                </w:div>
                <w:div w:id="2016688585">
                  <w:marLeft w:val="0"/>
                  <w:marRight w:val="0"/>
                  <w:marTop w:val="0"/>
                  <w:marBottom w:val="0"/>
                  <w:divBdr>
                    <w:top w:val="none" w:sz="0" w:space="0" w:color="auto"/>
                    <w:left w:val="none" w:sz="0" w:space="0" w:color="auto"/>
                    <w:bottom w:val="none" w:sz="0" w:space="0" w:color="auto"/>
                    <w:right w:val="none" w:sz="0" w:space="0" w:color="auto"/>
                  </w:divBdr>
                </w:div>
                <w:div w:id="2016688586">
                  <w:marLeft w:val="0"/>
                  <w:marRight w:val="0"/>
                  <w:marTop w:val="0"/>
                  <w:marBottom w:val="0"/>
                  <w:divBdr>
                    <w:top w:val="none" w:sz="0" w:space="0" w:color="auto"/>
                    <w:left w:val="none" w:sz="0" w:space="0" w:color="auto"/>
                    <w:bottom w:val="none" w:sz="0" w:space="0" w:color="auto"/>
                    <w:right w:val="none" w:sz="0" w:space="0" w:color="auto"/>
                  </w:divBdr>
                </w:div>
                <w:div w:id="2016688590">
                  <w:marLeft w:val="0"/>
                  <w:marRight w:val="0"/>
                  <w:marTop w:val="0"/>
                  <w:marBottom w:val="0"/>
                  <w:divBdr>
                    <w:top w:val="none" w:sz="0" w:space="0" w:color="auto"/>
                    <w:left w:val="none" w:sz="0" w:space="0" w:color="auto"/>
                    <w:bottom w:val="none" w:sz="0" w:space="0" w:color="auto"/>
                    <w:right w:val="none" w:sz="0" w:space="0" w:color="auto"/>
                  </w:divBdr>
                </w:div>
                <w:div w:id="2016688601">
                  <w:marLeft w:val="0"/>
                  <w:marRight w:val="0"/>
                  <w:marTop w:val="0"/>
                  <w:marBottom w:val="0"/>
                  <w:divBdr>
                    <w:top w:val="none" w:sz="0" w:space="0" w:color="auto"/>
                    <w:left w:val="none" w:sz="0" w:space="0" w:color="auto"/>
                    <w:bottom w:val="none" w:sz="0" w:space="0" w:color="auto"/>
                    <w:right w:val="none" w:sz="0" w:space="0" w:color="auto"/>
                  </w:divBdr>
                </w:div>
                <w:div w:id="2016688603">
                  <w:marLeft w:val="0"/>
                  <w:marRight w:val="0"/>
                  <w:marTop w:val="0"/>
                  <w:marBottom w:val="0"/>
                  <w:divBdr>
                    <w:top w:val="none" w:sz="0" w:space="0" w:color="auto"/>
                    <w:left w:val="none" w:sz="0" w:space="0" w:color="auto"/>
                    <w:bottom w:val="none" w:sz="0" w:space="0" w:color="auto"/>
                    <w:right w:val="none" w:sz="0" w:space="0" w:color="auto"/>
                  </w:divBdr>
                </w:div>
                <w:div w:id="2016688607">
                  <w:marLeft w:val="0"/>
                  <w:marRight w:val="0"/>
                  <w:marTop w:val="0"/>
                  <w:marBottom w:val="0"/>
                  <w:divBdr>
                    <w:top w:val="none" w:sz="0" w:space="0" w:color="auto"/>
                    <w:left w:val="none" w:sz="0" w:space="0" w:color="auto"/>
                    <w:bottom w:val="none" w:sz="0" w:space="0" w:color="auto"/>
                    <w:right w:val="none" w:sz="0" w:space="0" w:color="auto"/>
                  </w:divBdr>
                </w:div>
                <w:div w:id="2016688608">
                  <w:marLeft w:val="0"/>
                  <w:marRight w:val="0"/>
                  <w:marTop w:val="0"/>
                  <w:marBottom w:val="0"/>
                  <w:divBdr>
                    <w:top w:val="none" w:sz="0" w:space="0" w:color="auto"/>
                    <w:left w:val="none" w:sz="0" w:space="0" w:color="auto"/>
                    <w:bottom w:val="none" w:sz="0" w:space="0" w:color="auto"/>
                    <w:right w:val="none" w:sz="0" w:space="0" w:color="auto"/>
                  </w:divBdr>
                </w:div>
                <w:div w:id="2016688612">
                  <w:marLeft w:val="0"/>
                  <w:marRight w:val="0"/>
                  <w:marTop w:val="0"/>
                  <w:marBottom w:val="0"/>
                  <w:divBdr>
                    <w:top w:val="none" w:sz="0" w:space="0" w:color="auto"/>
                    <w:left w:val="none" w:sz="0" w:space="0" w:color="auto"/>
                    <w:bottom w:val="none" w:sz="0" w:space="0" w:color="auto"/>
                    <w:right w:val="none" w:sz="0" w:space="0" w:color="auto"/>
                  </w:divBdr>
                </w:div>
                <w:div w:id="2016688613">
                  <w:marLeft w:val="0"/>
                  <w:marRight w:val="0"/>
                  <w:marTop w:val="0"/>
                  <w:marBottom w:val="0"/>
                  <w:divBdr>
                    <w:top w:val="none" w:sz="0" w:space="0" w:color="auto"/>
                    <w:left w:val="none" w:sz="0" w:space="0" w:color="auto"/>
                    <w:bottom w:val="none" w:sz="0" w:space="0" w:color="auto"/>
                    <w:right w:val="none" w:sz="0" w:space="0" w:color="auto"/>
                  </w:divBdr>
                </w:div>
                <w:div w:id="2016688620">
                  <w:marLeft w:val="0"/>
                  <w:marRight w:val="0"/>
                  <w:marTop w:val="0"/>
                  <w:marBottom w:val="0"/>
                  <w:divBdr>
                    <w:top w:val="none" w:sz="0" w:space="0" w:color="auto"/>
                    <w:left w:val="none" w:sz="0" w:space="0" w:color="auto"/>
                    <w:bottom w:val="none" w:sz="0" w:space="0" w:color="auto"/>
                    <w:right w:val="none" w:sz="0" w:space="0" w:color="auto"/>
                  </w:divBdr>
                </w:div>
                <w:div w:id="2016688623">
                  <w:marLeft w:val="0"/>
                  <w:marRight w:val="0"/>
                  <w:marTop w:val="0"/>
                  <w:marBottom w:val="0"/>
                  <w:divBdr>
                    <w:top w:val="none" w:sz="0" w:space="0" w:color="auto"/>
                    <w:left w:val="none" w:sz="0" w:space="0" w:color="auto"/>
                    <w:bottom w:val="none" w:sz="0" w:space="0" w:color="auto"/>
                    <w:right w:val="none" w:sz="0" w:space="0" w:color="auto"/>
                  </w:divBdr>
                </w:div>
                <w:div w:id="2016688628">
                  <w:marLeft w:val="0"/>
                  <w:marRight w:val="0"/>
                  <w:marTop w:val="0"/>
                  <w:marBottom w:val="0"/>
                  <w:divBdr>
                    <w:top w:val="none" w:sz="0" w:space="0" w:color="auto"/>
                    <w:left w:val="none" w:sz="0" w:space="0" w:color="auto"/>
                    <w:bottom w:val="none" w:sz="0" w:space="0" w:color="auto"/>
                    <w:right w:val="none" w:sz="0" w:space="0" w:color="auto"/>
                  </w:divBdr>
                </w:div>
                <w:div w:id="2016688631">
                  <w:marLeft w:val="0"/>
                  <w:marRight w:val="0"/>
                  <w:marTop w:val="0"/>
                  <w:marBottom w:val="0"/>
                  <w:divBdr>
                    <w:top w:val="none" w:sz="0" w:space="0" w:color="auto"/>
                    <w:left w:val="none" w:sz="0" w:space="0" w:color="auto"/>
                    <w:bottom w:val="none" w:sz="0" w:space="0" w:color="auto"/>
                    <w:right w:val="none" w:sz="0" w:space="0" w:color="auto"/>
                  </w:divBdr>
                </w:div>
                <w:div w:id="2016688633">
                  <w:marLeft w:val="0"/>
                  <w:marRight w:val="0"/>
                  <w:marTop w:val="0"/>
                  <w:marBottom w:val="0"/>
                  <w:divBdr>
                    <w:top w:val="none" w:sz="0" w:space="0" w:color="auto"/>
                    <w:left w:val="none" w:sz="0" w:space="0" w:color="auto"/>
                    <w:bottom w:val="none" w:sz="0" w:space="0" w:color="auto"/>
                    <w:right w:val="none" w:sz="0" w:space="0" w:color="auto"/>
                  </w:divBdr>
                </w:div>
                <w:div w:id="2016688643">
                  <w:marLeft w:val="0"/>
                  <w:marRight w:val="0"/>
                  <w:marTop w:val="0"/>
                  <w:marBottom w:val="0"/>
                  <w:divBdr>
                    <w:top w:val="none" w:sz="0" w:space="0" w:color="auto"/>
                    <w:left w:val="none" w:sz="0" w:space="0" w:color="auto"/>
                    <w:bottom w:val="none" w:sz="0" w:space="0" w:color="auto"/>
                    <w:right w:val="none" w:sz="0" w:space="0" w:color="auto"/>
                  </w:divBdr>
                </w:div>
                <w:div w:id="2016688649">
                  <w:marLeft w:val="0"/>
                  <w:marRight w:val="0"/>
                  <w:marTop w:val="0"/>
                  <w:marBottom w:val="0"/>
                  <w:divBdr>
                    <w:top w:val="none" w:sz="0" w:space="0" w:color="auto"/>
                    <w:left w:val="none" w:sz="0" w:space="0" w:color="auto"/>
                    <w:bottom w:val="none" w:sz="0" w:space="0" w:color="auto"/>
                    <w:right w:val="none" w:sz="0" w:space="0" w:color="auto"/>
                  </w:divBdr>
                </w:div>
                <w:div w:id="2016688650">
                  <w:marLeft w:val="0"/>
                  <w:marRight w:val="0"/>
                  <w:marTop w:val="0"/>
                  <w:marBottom w:val="0"/>
                  <w:divBdr>
                    <w:top w:val="none" w:sz="0" w:space="0" w:color="auto"/>
                    <w:left w:val="none" w:sz="0" w:space="0" w:color="auto"/>
                    <w:bottom w:val="none" w:sz="0" w:space="0" w:color="auto"/>
                    <w:right w:val="none" w:sz="0" w:space="0" w:color="auto"/>
                  </w:divBdr>
                </w:div>
                <w:div w:id="2016688656">
                  <w:marLeft w:val="0"/>
                  <w:marRight w:val="0"/>
                  <w:marTop w:val="0"/>
                  <w:marBottom w:val="0"/>
                  <w:divBdr>
                    <w:top w:val="none" w:sz="0" w:space="0" w:color="auto"/>
                    <w:left w:val="none" w:sz="0" w:space="0" w:color="auto"/>
                    <w:bottom w:val="none" w:sz="0" w:space="0" w:color="auto"/>
                    <w:right w:val="none" w:sz="0" w:space="0" w:color="auto"/>
                  </w:divBdr>
                </w:div>
                <w:div w:id="2016688658">
                  <w:marLeft w:val="0"/>
                  <w:marRight w:val="0"/>
                  <w:marTop w:val="0"/>
                  <w:marBottom w:val="0"/>
                  <w:divBdr>
                    <w:top w:val="none" w:sz="0" w:space="0" w:color="auto"/>
                    <w:left w:val="none" w:sz="0" w:space="0" w:color="auto"/>
                    <w:bottom w:val="none" w:sz="0" w:space="0" w:color="auto"/>
                    <w:right w:val="none" w:sz="0" w:space="0" w:color="auto"/>
                  </w:divBdr>
                </w:div>
                <w:div w:id="2016688669">
                  <w:marLeft w:val="0"/>
                  <w:marRight w:val="0"/>
                  <w:marTop w:val="0"/>
                  <w:marBottom w:val="0"/>
                  <w:divBdr>
                    <w:top w:val="none" w:sz="0" w:space="0" w:color="auto"/>
                    <w:left w:val="none" w:sz="0" w:space="0" w:color="auto"/>
                    <w:bottom w:val="none" w:sz="0" w:space="0" w:color="auto"/>
                    <w:right w:val="none" w:sz="0" w:space="0" w:color="auto"/>
                  </w:divBdr>
                </w:div>
                <w:div w:id="2016688676">
                  <w:marLeft w:val="0"/>
                  <w:marRight w:val="0"/>
                  <w:marTop w:val="0"/>
                  <w:marBottom w:val="0"/>
                  <w:divBdr>
                    <w:top w:val="none" w:sz="0" w:space="0" w:color="auto"/>
                    <w:left w:val="none" w:sz="0" w:space="0" w:color="auto"/>
                    <w:bottom w:val="none" w:sz="0" w:space="0" w:color="auto"/>
                    <w:right w:val="none" w:sz="0" w:space="0" w:color="auto"/>
                  </w:divBdr>
                </w:div>
                <w:div w:id="2016688678">
                  <w:marLeft w:val="0"/>
                  <w:marRight w:val="0"/>
                  <w:marTop w:val="0"/>
                  <w:marBottom w:val="0"/>
                  <w:divBdr>
                    <w:top w:val="none" w:sz="0" w:space="0" w:color="auto"/>
                    <w:left w:val="none" w:sz="0" w:space="0" w:color="auto"/>
                    <w:bottom w:val="none" w:sz="0" w:space="0" w:color="auto"/>
                    <w:right w:val="none" w:sz="0" w:space="0" w:color="auto"/>
                  </w:divBdr>
                </w:div>
                <w:div w:id="2016688681">
                  <w:marLeft w:val="0"/>
                  <w:marRight w:val="0"/>
                  <w:marTop w:val="0"/>
                  <w:marBottom w:val="0"/>
                  <w:divBdr>
                    <w:top w:val="none" w:sz="0" w:space="0" w:color="auto"/>
                    <w:left w:val="none" w:sz="0" w:space="0" w:color="auto"/>
                    <w:bottom w:val="none" w:sz="0" w:space="0" w:color="auto"/>
                    <w:right w:val="none" w:sz="0" w:space="0" w:color="auto"/>
                  </w:divBdr>
                </w:div>
                <w:div w:id="2016688682">
                  <w:marLeft w:val="0"/>
                  <w:marRight w:val="0"/>
                  <w:marTop w:val="0"/>
                  <w:marBottom w:val="0"/>
                  <w:divBdr>
                    <w:top w:val="none" w:sz="0" w:space="0" w:color="auto"/>
                    <w:left w:val="none" w:sz="0" w:space="0" w:color="auto"/>
                    <w:bottom w:val="none" w:sz="0" w:space="0" w:color="auto"/>
                    <w:right w:val="none" w:sz="0" w:space="0" w:color="auto"/>
                  </w:divBdr>
                </w:div>
                <w:div w:id="2016688688">
                  <w:marLeft w:val="0"/>
                  <w:marRight w:val="0"/>
                  <w:marTop w:val="0"/>
                  <w:marBottom w:val="0"/>
                  <w:divBdr>
                    <w:top w:val="none" w:sz="0" w:space="0" w:color="auto"/>
                    <w:left w:val="none" w:sz="0" w:space="0" w:color="auto"/>
                    <w:bottom w:val="none" w:sz="0" w:space="0" w:color="auto"/>
                    <w:right w:val="none" w:sz="0" w:space="0" w:color="auto"/>
                  </w:divBdr>
                </w:div>
                <w:div w:id="2016688689">
                  <w:marLeft w:val="0"/>
                  <w:marRight w:val="0"/>
                  <w:marTop w:val="0"/>
                  <w:marBottom w:val="0"/>
                  <w:divBdr>
                    <w:top w:val="none" w:sz="0" w:space="0" w:color="auto"/>
                    <w:left w:val="none" w:sz="0" w:space="0" w:color="auto"/>
                    <w:bottom w:val="none" w:sz="0" w:space="0" w:color="auto"/>
                    <w:right w:val="none" w:sz="0" w:space="0" w:color="auto"/>
                  </w:divBdr>
                </w:div>
                <w:div w:id="2016688702">
                  <w:marLeft w:val="0"/>
                  <w:marRight w:val="0"/>
                  <w:marTop w:val="0"/>
                  <w:marBottom w:val="0"/>
                  <w:divBdr>
                    <w:top w:val="none" w:sz="0" w:space="0" w:color="auto"/>
                    <w:left w:val="none" w:sz="0" w:space="0" w:color="auto"/>
                    <w:bottom w:val="none" w:sz="0" w:space="0" w:color="auto"/>
                    <w:right w:val="none" w:sz="0" w:space="0" w:color="auto"/>
                  </w:divBdr>
                </w:div>
                <w:div w:id="2016688704">
                  <w:marLeft w:val="0"/>
                  <w:marRight w:val="0"/>
                  <w:marTop w:val="0"/>
                  <w:marBottom w:val="0"/>
                  <w:divBdr>
                    <w:top w:val="none" w:sz="0" w:space="0" w:color="auto"/>
                    <w:left w:val="none" w:sz="0" w:space="0" w:color="auto"/>
                    <w:bottom w:val="none" w:sz="0" w:space="0" w:color="auto"/>
                    <w:right w:val="none" w:sz="0" w:space="0" w:color="auto"/>
                  </w:divBdr>
                </w:div>
                <w:div w:id="2016688713">
                  <w:marLeft w:val="0"/>
                  <w:marRight w:val="0"/>
                  <w:marTop w:val="0"/>
                  <w:marBottom w:val="0"/>
                  <w:divBdr>
                    <w:top w:val="none" w:sz="0" w:space="0" w:color="auto"/>
                    <w:left w:val="none" w:sz="0" w:space="0" w:color="auto"/>
                    <w:bottom w:val="none" w:sz="0" w:space="0" w:color="auto"/>
                    <w:right w:val="none" w:sz="0" w:space="0" w:color="auto"/>
                  </w:divBdr>
                </w:div>
                <w:div w:id="2016688714">
                  <w:marLeft w:val="0"/>
                  <w:marRight w:val="0"/>
                  <w:marTop w:val="0"/>
                  <w:marBottom w:val="0"/>
                  <w:divBdr>
                    <w:top w:val="none" w:sz="0" w:space="0" w:color="auto"/>
                    <w:left w:val="none" w:sz="0" w:space="0" w:color="auto"/>
                    <w:bottom w:val="none" w:sz="0" w:space="0" w:color="auto"/>
                    <w:right w:val="none" w:sz="0" w:space="0" w:color="auto"/>
                  </w:divBdr>
                </w:div>
                <w:div w:id="20166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11">
          <w:marLeft w:val="0"/>
          <w:marRight w:val="0"/>
          <w:marTop w:val="0"/>
          <w:marBottom w:val="0"/>
          <w:divBdr>
            <w:top w:val="none" w:sz="0" w:space="0" w:color="auto"/>
            <w:left w:val="none" w:sz="0" w:space="0" w:color="auto"/>
            <w:bottom w:val="none" w:sz="0" w:space="0" w:color="auto"/>
            <w:right w:val="none" w:sz="0" w:space="0" w:color="auto"/>
          </w:divBdr>
        </w:div>
        <w:div w:id="2016688516">
          <w:marLeft w:val="0"/>
          <w:marRight w:val="0"/>
          <w:marTop w:val="0"/>
          <w:marBottom w:val="0"/>
          <w:divBdr>
            <w:top w:val="none" w:sz="0" w:space="0" w:color="auto"/>
            <w:left w:val="none" w:sz="0" w:space="0" w:color="auto"/>
            <w:bottom w:val="none" w:sz="0" w:space="0" w:color="auto"/>
            <w:right w:val="none" w:sz="0" w:space="0" w:color="auto"/>
          </w:divBdr>
        </w:div>
        <w:div w:id="2016688528">
          <w:marLeft w:val="0"/>
          <w:marRight w:val="0"/>
          <w:marTop w:val="0"/>
          <w:marBottom w:val="0"/>
          <w:divBdr>
            <w:top w:val="none" w:sz="0" w:space="0" w:color="auto"/>
            <w:left w:val="none" w:sz="0" w:space="0" w:color="auto"/>
            <w:bottom w:val="none" w:sz="0" w:space="0" w:color="auto"/>
            <w:right w:val="none" w:sz="0" w:space="0" w:color="auto"/>
          </w:divBdr>
        </w:div>
        <w:div w:id="2016688540">
          <w:marLeft w:val="0"/>
          <w:marRight w:val="0"/>
          <w:marTop w:val="0"/>
          <w:marBottom w:val="0"/>
          <w:divBdr>
            <w:top w:val="none" w:sz="0" w:space="0" w:color="auto"/>
            <w:left w:val="none" w:sz="0" w:space="0" w:color="auto"/>
            <w:bottom w:val="none" w:sz="0" w:space="0" w:color="auto"/>
            <w:right w:val="none" w:sz="0" w:space="0" w:color="auto"/>
          </w:divBdr>
        </w:div>
        <w:div w:id="2016688551">
          <w:marLeft w:val="0"/>
          <w:marRight w:val="0"/>
          <w:marTop w:val="0"/>
          <w:marBottom w:val="0"/>
          <w:divBdr>
            <w:top w:val="none" w:sz="0" w:space="0" w:color="auto"/>
            <w:left w:val="none" w:sz="0" w:space="0" w:color="auto"/>
            <w:bottom w:val="none" w:sz="0" w:space="0" w:color="auto"/>
            <w:right w:val="none" w:sz="0" w:space="0" w:color="auto"/>
          </w:divBdr>
        </w:div>
        <w:div w:id="2016688563">
          <w:marLeft w:val="0"/>
          <w:marRight w:val="0"/>
          <w:marTop w:val="0"/>
          <w:marBottom w:val="0"/>
          <w:divBdr>
            <w:top w:val="none" w:sz="0" w:space="0" w:color="auto"/>
            <w:left w:val="none" w:sz="0" w:space="0" w:color="auto"/>
            <w:bottom w:val="none" w:sz="0" w:space="0" w:color="auto"/>
            <w:right w:val="none" w:sz="0" w:space="0" w:color="auto"/>
          </w:divBdr>
        </w:div>
        <w:div w:id="2016688569">
          <w:marLeft w:val="0"/>
          <w:marRight w:val="0"/>
          <w:marTop w:val="0"/>
          <w:marBottom w:val="0"/>
          <w:divBdr>
            <w:top w:val="none" w:sz="0" w:space="0" w:color="auto"/>
            <w:left w:val="none" w:sz="0" w:space="0" w:color="auto"/>
            <w:bottom w:val="none" w:sz="0" w:space="0" w:color="auto"/>
            <w:right w:val="none" w:sz="0" w:space="0" w:color="auto"/>
          </w:divBdr>
        </w:div>
        <w:div w:id="2016688571">
          <w:marLeft w:val="0"/>
          <w:marRight w:val="0"/>
          <w:marTop w:val="0"/>
          <w:marBottom w:val="0"/>
          <w:divBdr>
            <w:top w:val="none" w:sz="0" w:space="0" w:color="auto"/>
            <w:left w:val="none" w:sz="0" w:space="0" w:color="auto"/>
            <w:bottom w:val="none" w:sz="0" w:space="0" w:color="auto"/>
            <w:right w:val="none" w:sz="0" w:space="0" w:color="auto"/>
          </w:divBdr>
        </w:div>
        <w:div w:id="2016688572">
          <w:marLeft w:val="0"/>
          <w:marRight w:val="0"/>
          <w:marTop w:val="0"/>
          <w:marBottom w:val="0"/>
          <w:divBdr>
            <w:top w:val="none" w:sz="0" w:space="0" w:color="auto"/>
            <w:left w:val="none" w:sz="0" w:space="0" w:color="auto"/>
            <w:bottom w:val="none" w:sz="0" w:space="0" w:color="auto"/>
            <w:right w:val="none" w:sz="0" w:space="0" w:color="auto"/>
          </w:divBdr>
        </w:div>
        <w:div w:id="2016688575">
          <w:marLeft w:val="0"/>
          <w:marRight w:val="0"/>
          <w:marTop w:val="0"/>
          <w:marBottom w:val="0"/>
          <w:divBdr>
            <w:top w:val="none" w:sz="0" w:space="0" w:color="auto"/>
            <w:left w:val="none" w:sz="0" w:space="0" w:color="auto"/>
            <w:bottom w:val="none" w:sz="0" w:space="0" w:color="auto"/>
            <w:right w:val="none" w:sz="0" w:space="0" w:color="auto"/>
          </w:divBdr>
        </w:div>
        <w:div w:id="2016688595">
          <w:marLeft w:val="0"/>
          <w:marRight w:val="0"/>
          <w:marTop w:val="0"/>
          <w:marBottom w:val="0"/>
          <w:divBdr>
            <w:top w:val="none" w:sz="0" w:space="0" w:color="auto"/>
            <w:left w:val="none" w:sz="0" w:space="0" w:color="auto"/>
            <w:bottom w:val="none" w:sz="0" w:space="0" w:color="auto"/>
            <w:right w:val="none" w:sz="0" w:space="0" w:color="auto"/>
          </w:divBdr>
        </w:div>
        <w:div w:id="2016688611">
          <w:marLeft w:val="0"/>
          <w:marRight w:val="0"/>
          <w:marTop w:val="0"/>
          <w:marBottom w:val="0"/>
          <w:divBdr>
            <w:top w:val="none" w:sz="0" w:space="0" w:color="auto"/>
            <w:left w:val="none" w:sz="0" w:space="0" w:color="auto"/>
            <w:bottom w:val="none" w:sz="0" w:space="0" w:color="auto"/>
            <w:right w:val="none" w:sz="0" w:space="0" w:color="auto"/>
          </w:divBdr>
        </w:div>
        <w:div w:id="2016688617">
          <w:marLeft w:val="0"/>
          <w:marRight w:val="0"/>
          <w:marTop w:val="0"/>
          <w:marBottom w:val="0"/>
          <w:divBdr>
            <w:top w:val="none" w:sz="0" w:space="0" w:color="auto"/>
            <w:left w:val="none" w:sz="0" w:space="0" w:color="auto"/>
            <w:bottom w:val="none" w:sz="0" w:space="0" w:color="auto"/>
            <w:right w:val="none" w:sz="0" w:space="0" w:color="auto"/>
          </w:divBdr>
        </w:div>
        <w:div w:id="2016688625">
          <w:marLeft w:val="0"/>
          <w:marRight w:val="0"/>
          <w:marTop w:val="0"/>
          <w:marBottom w:val="0"/>
          <w:divBdr>
            <w:top w:val="none" w:sz="0" w:space="0" w:color="auto"/>
            <w:left w:val="none" w:sz="0" w:space="0" w:color="auto"/>
            <w:bottom w:val="none" w:sz="0" w:space="0" w:color="auto"/>
            <w:right w:val="none" w:sz="0" w:space="0" w:color="auto"/>
          </w:divBdr>
        </w:div>
        <w:div w:id="2016688632">
          <w:marLeft w:val="0"/>
          <w:marRight w:val="0"/>
          <w:marTop w:val="0"/>
          <w:marBottom w:val="0"/>
          <w:divBdr>
            <w:top w:val="none" w:sz="0" w:space="0" w:color="auto"/>
            <w:left w:val="none" w:sz="0" w:space="0" w:color="auto"/>
            <w:bottom w:val="none" w:sz="0" w:space="0" w:color="auto"/>
            <w:right w:val="none" w:sz="0" w:space="0" w:color="auto"/>
          </w:divBdr>
        </w:div>
        <w:div w:id="2016688636">
          <w:marLeft w:val="0"/>
          <w:marRight w:val="0"/>
          <w:marTop w:val="0"/>
          <w:marBottom w:val="0"/>
          <w:divBdr>
            <w:top w:val="none" w:sz="0" w:space="0" w:color="auto"/>
            <w:left w:val="none" w:sz="0" w:space="0" w:color="auto"/>
            <w:bottom w:val="none" w:sz="0" w:space="0" w:color="auto"/>
            <w:right w:val="none" w:sz="0" w:space="0" w:color="auto"/>
          </w:divBdr>
        </w:div>
        <w:div w:id="2016688637">
          <w:marLeft w:val="0"/>
          <w:marRight w:val="0"/>
          <w:marTop w:val="0"/>
          <w:marBottom w:val="0"/>
          <w:divBdr>
            <w:top w:val="none" w:sz="0" w:space="0" w:color="auto"/>
            <w:left w:val="none" w:sz="0" w:space="0" w:color="auto"/>
            <w:bottom w:val="none" w:sz="0" w:space="0" w:color="auto"/>
            <w:right w:val="none" w:sz="0" w:space="0" w:color="auto"/>
          </w:divBdr>
        </w:div>
        <w:div w:id="2016688641">
          <w:marLeft w:val="0"/>
          <w:marRight w:val="0"/>
          <w:marTop w:val="0"/>
          <w:marBottom w:val="0"/>
          <w:divBdr>
            <w:top w:val="none" w:sz="0" w:space="0" w:color="auto"/>
            <w:left w:val="none" w:sz="0" w:space="0" w:color="auto"/>
            <w:bottom w:val="none" w:sz="0" w:space="0" w:color="auto"/>
            <w:right w:val="none" w:sz="0" w:space="0" w:color="auto"/>
          </w:divBdr>
        </w:div>
        <w:div w:id="2016688644">
          <w:marLeft w:val="0"/>
          <w:marRight w:val="0"/>
          <w:marTop w:val="0"/>
          <w:marBottom w:val="0"/>
          <w:divBdr>
            <w:top w:val="none" w:sz="0" w:space="0" w:color="auto"/>
            <w:left w:val="none" w:sz="0" w:space="0" w:color="auto"/>
            <w:bottom w:val="none" w:sz="0" w:space="0" w:color="auto"/>
            <w:right w:val="none" w:sz="0" w:space="0" w:color="auto"/>
          </w:divBdr>
        </w:div>
        <w:div w:id="2016688657">
          <w:marLeft w:val="0"/>
          <w:marRight w:val="0"/>
          <w:marTop w:val="0"/>
          <w:marBottom w:val="0"/>
          <w:divBdr>
            <w:top w:val="none" w:sz="0" w:space="0" w:color="auto"/>
            <w:left w:val="none" w:sz="0" w:space="0" w:color="auto"/>
            <w:bottom w:val="none" w:sz="0" w:space="0" w:color="auto"/>
            <w:right w:val="none" w:sz="0" w:space="0" w:color="auto"/>
          </w:divBdr>
        </w:div>
        <w:div w:id="2016688663">
          <w:marLeft w:val="0"/>
          <w:marRight w:val="0"/>
          <w:marTop w:val="0"/>
          <w:marBottom w:val="0"/>
          <w:divBdr>
            <w:top w:val="none" w:sz="0" w:space="0" w:color="auto"/>
            <w:left w:val="none" w:sz="0" w:space="0" w:color="auto"/>
            <w:bottom w:val="none" w:sz="0" w:space="0" w:color="auto"/>
            <w:right w:val="none" w:sz="0" w:space="0" w:color="auto"/>
          </w:divBdr>
        </w:div>
        <w:div w:id="2016688664">
          <w:marLeft w:val="0"/>
          <w:marRight w:val="0"/>
          <w:marTop w:val="0"/>
          <w:marBottom w:val="0"/>
          <w:divBdr>
            <w:top w:val="none" w:sz="0" w:space="0" w:color="auto"/>
            <w:left w:val="none" w:sz="0" w:space="0" w:color="auto"/>
            <w:bottom w:val="none" w:sz="0" w:space="0" w:color="auto"/>
            <w:right w:val="none" w:sz="0" w:space="0" w:color="auto"/>
          </w:divBdr>
        </w:div>
        <w:div w:id="2016688668">
          <w:marLeft w:val="0"/>
          <w:marRight w:val="0"/>
          <w:marTop w:val="0"/>
          <w:marBottom w:val="0"/>
          <w:divBdr>
            <w:top w:val="none" w:sz="0" w:space="0" w:color="auto"/>
            <w:left w:val="none" w:sz="0" w:space="0" w:color="auto"/>
            <w:bottom w:val="none" w:sz="0" w:space="0" w:color="auto"/>
            <w:right w:val="none" w:sz="0" w:space="0" w:color="auto"/>
          </w:divBdr>
        </w:div>
        <w:div w:id="2016688680">
          <w:marLeft w:val="0"/>
          <w:marRight w:val="0"/>
          <w:marTop w:val="0"/>
          <w:marBottom w:val="0"/>
          <w:divBdr>
            <w:top w:val="none" w:sz="0" w:space="0" w:color="auto"/>
            <w:left w:val="none" w:sz="0" w:space="0" w:color="auto"/>
            <w:bottom w:val="none" w:sz="0" w:space="0" w:color="auto"/>
            <w:right w:val="none" w:sz="0" w:space="0" w:color="auto"/>
          </w:divBdr>
        </w:div>
        <w:div w:id="2016688691">
          <w:marLeft w:val="0"/>
          <w:marRight w:val="0"/>
          <w:marTop w:val="0"/>
          <w:marBottom w:val="0"/>
          <w:divBdr>
            <w:top w:val="none" w:sz="0" w:space="0" w:color="auto"/>
            <w:left w:val="none" w:sz="0" w:space="0" w:color="auto"/>
            <w:bottom w:val="none" w:sz="0" w:space="0" w:color="auto"/>
            <w:right w:val="none" w:sz="0" w:space="0" w:color="auto"/>
          </w:divBdr>
        </w:div>
        <w:div w:id="2016688694">
          <w:marLeft w:val="0"/>
          <w:marRight w:val="0"/>
          <w:marTop w:val="0"/>
          <w:marBottom w:val="0"/>
          <w:divBdr>
            <w:top w:val="none" w:sz="0" w:space="0" w:color="auto"/>
            <w:left w:val="none" w:sz="0" w:space="0" w:color="auto"/>
            <w:bottom w:val="none" w:sz="0" w:space="0" w:color="auto"/>
            <w:right w:val="none" w:sz="0" w:space="0" w:color="auto"/>
          </w:divBdr>
        </w:div>
        <w:div w:id="2016688696">
          <w:marLeft w:val="0"/>
          <w:marRight w:val="0"/>
          <w:marTop w:val="0"/>
          <w:marBottom w:val="0"/>
          <w:divBdr>
            <w:top w:val="none" w:sz="0" w:space="0" w:color="auto"/>
            <w:left w:val="none" w:sz="0" w:space="0" w:color="auto"/>
            <w:bottom w:val="none" w:sz="0" w:space="0" w:color="auto"/>
            <w:right w:val="none" w:sz="0" w:space="0" w:color="auto"/>
          </w:divBdr>
        </w:div>
        <w:div w:id="2016688698">
          <w:marLeft w:val="0"/>
          <w:marRight w:val="0"/>
          <w:marTop w:val="0"/>
          <w:marBottom w:val="0"/>
          <w:divBdr>
            <w:top w:val="none" w:sz="0" w:space="0" w:color="auto"/>
            <w:left w:val="none" w:sz="0" w:space="0" w:color="auto"/>
            <w:bottom w:val="none" w:sz="0" w:space="0" w:color="auto"/>
            <w:right w:val="none" w:sz="0" w:space="0" w:color="auto"/>
          </w:divBdr>
        </w:div>
        <w:div w:id="2016688717">
          <w:marLeft w:val="0"/>
          <w:marRight w:val="0"/>
          <w:marTop w:val="0"/>
          <w:marBottom w:val="0"/>
          <w:divBdr>
            <w:top w:val="none" w:sz="0" w:space="0" w:color="auto"/>
            <w:left w:val="none" w:sz="0" w:space="0" w:color="auto"/>
            <w:bottom w:val="none" w:sz="0" w:space="0" w:color="auto"/>
            <w:right w:val="none" w:sz="0" w:space="0" w:color="auto"/>
          </w:divBdr>
        </w:div>
        <w:div w:id="2016688721">
          <w:marLeft w:val="0"/>
          <w:marRight w:val="0"/>
          <w:marTop w:val="0"/>
          <w:marBottom w:val="0"/>
          <w:divBdr>
            <w:top w:val="none" w:sz="0" w:space="0" w:color="auto"/>
            <w:left w:val="none" w:sz="0" w:space="0" w:color="auto"/>
            <w:bottom w:val="none" w:sz="0" w:space="0" w:color="auto"/>
            <w:right w:val="none" w:sz="0" w:space="0" w:color="auto"/>
          </w:divBdr>
        </w:div>
        <w:div w:id="2016688723">
          <w:marLeft w:val="0"/>
          <w:marRight w:val="0"/>
          <w:marTop w:val="0"/>
          <w:marBottom w:val="0"/>
          <w:divBdr>
            <w:top w:val="none" w:sz="0" w:space="0" w:color="auto"/>
            <w:left w:val="none" w:sz="0" w:space="0" w:color="auto"/>
            <w:bottom w:val="none" w:sz="0" w:space="0" w:color="auto"/>
            <w:right w:val="none" w:sz="0" w:space="0" w:color="auto"/>
          </w:divBdr>
        </w:div>
        <w:div w:id="2016688725">
          <w:marLeft w:val="0"/>
          <w:marRight w:val="0"/>
          <w:marTop w:val="0"/>
          <w:marBottom w:val="0"/>
          <w:divBdr>
            <w:top w:val="none" w:sz="0" w:space="0" w:color="auto"/>
            <w:left w:val="none" w:sz="0" w:space="0" w:color="auto"/>
            <w:bottom w:val="none" w:sz="0" w:space="0" w:color="auto"/>
            <w:right w:val="none" w:sz="0" w:space="0" w:color="auto"/>
          </w:divBdr>
        </w:div>
        <w:div w:id="2016688728">
          <w:marLeft w:val="0"/>
          <w:marRight w:val="0"/>
          <w:marTop w:val="0"/>
          <w:marBottom w:val="0"/>
          <w:divBdr>
            <w:top w:val="none" w:sz="0" w:space="0" w:color="auto"/>
            <w:left w:val="none" w:sz="0" w:space="0" w:color="auto"/>
            <w:bottom w:val="none" w:sz="0" w:space="0" w:color="auto"/>
            <w:right w:val="none" w:sz="0" w:space="0" w:color="auto"/>
          </w:divBdr>
        </w:div>
      </w:divsChild>
    </w:div>
    <w:div w:id="2016688594">
      <w:marLeft w:val="0"/>
      <w:marRight w:val="0"/>
      <w:marTop w:val="0"/>
      <w:marBottom w:val="0"/>
      <w:divBdr>
        <w:top w:val="none" w:sz="0" w:space="0" w:color="auto"/>
        <w:left w:val="none" w:sz="0" w:space="0" w:color="auto"/>
        <w:bottom w:val="none" w:sz="0" w:space="0" w:color="auto"/>
        <w:right w:val="none" w:sz="0" w:space="0" w:color="auto"/>
      </w:divBdr>
    </w:div>
    <w:div w:id="2016688604">
      <w:marLeft w:val="0"/>
      <w:marRight w:val="0"/>
      <w:marTop w:val="0"/>
      <w:marBottom w:val="0"/>
      <w:divBdr>
        <w:top w:val="none" w:sz="0" w:space="0" w:color="auto"/>
        <w:left w:val="none" w:sz="0" w:space="0" w:color="auto"/>
        <w:bottom w:val="none" w:sz="0" w:space="0" w:color="auto"/>
        <w:right w:val="none" w:sz="0" w:space="0" w:color="auto"/>
      </w:divBdr>
    </w:div>
    <w:div w:id="2016688614">
      <w:marLeft w:val="0"/>
      <w:marRight w:val="0"/>
      <w:marTop w:val="0"/>
      <w:marBottom w:val="0"/>
      <w:divBdr>
        <w:top w:val="none" w:sz="0" w:space="0" w:color="auto"/>
        <w:left w:val="none" w:sz="0" w:space="0" w:color="auto"/>
        <w:bottom w:val="none" w:sz="0" w:space="0" w:color="auto"/>
        <w:right w:val="none" w:sz="0" w:space="0" w:color="auto"/>
      </w:divBdr>
    </w:div>
    <w:div w:id="2016688616">
      <w:marLeft w:val="0"/>
      <w:marRight w:val="0"/>
      <w:marTop w:val="0"/>
      <w:marBottom w:val="0"/>
      <w:divBdr>
        <w:top w:val="none" w:sz="0" w:space="0" w:color="auto"/>
        <w:left w:val="none" w:sz="0" w:space="0" w:color="auto"/>
        <w:bottom w:val="none" w:sz="0" w:space="0" w:color="auto"/>
        <w:right w:val="none" w:sz="0" w:space="0" w:color="auto"/>
      </w:divBdr>
    </w:div>
    <w:div w:id="2016688630">
      <w:marLeft w:val="0"/>
      <w:marRight w:val="0"/>
      <w:marTop w:val="0"/>
      <w:marBottom w:val="0"/>
      <w:divBdr>
        <w:top w:val="none" w:sz="0" w:space="0" w:color="auto"/>
        <w:left w:val="none" w:sz="0" w:space="0" w:color="auto"/>
        <w:bottom w:val="none" w:sz="0" w:space="0" w:color="auto"/>
        <w:right w:val="none" w:sz="0" w:space="0" w:color="auto"/>
      </w:divBdr>
    </w:div>
    <w:div w:id="2016688635">
      <w:marLeft w:val="0"/>
      <w:marRight w:val="0"/>
      <w:marTop w:val="0"/>
      <w:marBottom w:val="0"/>
      <w:divBdr>
        <w:top w:val="none" w:sz="0" w:space="0" w:color="auto"/>
        <w:left w:val="none" w:sz="0" w:space="0" w:color="auto"/>
        <w:bottom w:val="none" w:sz="0" w:space="0" w:color="auto"/>
        <w:right w:val="none" w:sz="0" w:space="0" w:color="auto"/>
      </w:divBdr>
    </w:div>
    <w:div w:id="2016688638">
      <w:marLeft w:val="0"/>
      <w:marRight w:val="0"/>
      <w:marTop w:val="0"/>
      <w:marBottom w:val="0"/>
      <w:divBdr>
        <w:top w:val="none" w:sz="0" w:space="0" w:color="auto"/>
        <w:left w:val="none" w:sz="0" w:space="0" w:color="auto"/>
        <w:bottom w:val="none" w:sz="0" w:space="0" w:color="auto"/>
        <w:right w:val="none" w:sz="0" w:space="0" w:color="auto"/>
      </w:divBdr>
    </w:div>
    <w:div w:id="2016688640">
      <w:marLeft w:val="0"/>
      <w:marRight w:val="0"/>
      <w:marTop w:val="0"/>
      <w:marBottom w:val="0"/>
      <w:divBdr>
        <w:top w:val="none" w:sz="0" w:space="0" w:color="auto"/>
        <w:left w:val="none" w:sz="0" w:space="0" w:color="auto"/>
        <w:bottom w:val="none" w:sz="0" w:space="0" w:color="auto"/>
        <w:right w:val="none" w:sz="0" w:space="0" w:color="auto"/>
      </w:divBdr>
      <w:divsChild>
        <w:div w:id="2016688408">
          <w:marLeft w:val="0"/>
          <w:marRight w:val="0"/>
          <w:marTop w:val="0"/>
          <w:marBottom w:val="0"/>
          <w:divBdr>
            <w:top w:val="none" w:sz="0" w:space="0" w:color="auto"/>
            <w:left w:val="none" w:sz="0" w:space="0" w:color="auto"/>
            <w:bottom w:val="none" w:sz="0" w:space="0" w:color="auto"/>
            <w:right w:val="none" w:sz="0" w:space="0" w:color="auto"/>
          </w:divBdr>
          <w:divsChild>
            <w:div w:id="2016688646">
              <w:marLeft w:val="0"/>
              <w:marRight w:val="0"/>
              <w:marTop w:val="0"/>
              <w:marBottom w:val="0"/>
              <w:divBdr>
                <w:top w:val="none" w:sz="0" w:space="0" w:color="auto"/>
                <w:left w:val="none" w:sz="0" w:space="0" w:color="auto"/>
                <w:bottom w:val="none" w:sz="0" w:space="0" w:color="auto"/>
                <w:right w:val="none" w:sz="0" w:space="0" w:color="auto"/>
              </w:divBdr>
              <w:divsChild>
                <w:div w:id="20166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8642">
      <w:marLeft w:val="0"/>
      <w:marRight w:val="0"/>
      <w:marTop w:val="0"/>
      <w:marBottom w:val="0"/>
      <w:divBdr>
        <w:top w:val="none" w:sz="0" w:space="0" w:color="auto"/>
        <w:left w:val="none" w:sz="0" w:space="0" w:color="auto"/>
        <w:bottom w:val="none" w:sz="0" w:space="0" w:color="auto"/>
        <w:right w:val="none" w:sz="0" w:space="0" w:color="auto"/>
      </w:divBdr>
    </w:div>
    <w:div w:id="2016688645">
      <w:marLeft w:val="0"/>
      <w:marRight w:val="0"/>
      <w:marTop w:val="0"/>
      <w:marBottom w:val="0"/>
      <w:divBdr>
        <w:top w:val="none" w:sz="0" w:space="0" w:color="auto"/>
        <w:left w:val="none" w:sz="0" w:space="0" w:color="auto"/>
        <w:bottom w:val="none" w:sz="0" w:space="0" w:color="auto"/>
        <w:right w:val="none" w:sz="0" w:space="0" w:color="auto"/>
      </w:divBdr>
    </w:div>
    <w:div w:id="2016688652">
      <w:marLeft w:val="0"/>
      <w:marRight w:val="0"/>
      <w:marTop w:val="0"/>
      <w:marBottom w:val="0"/>
      <w:divBdr>
        <w:top w:val="none" w:sz="0" w:space="0" w:color="auto"/>
        <w:left w:val="none" w:sz="0" w:space="0" w:color="auto"/>
        <w:bottom w:val="none" w:sz="0" w:space="0" w:color="auto"/>
        <w:right w:val="none" w:sz="0" w:space="0" w:color="auto"/>
      </w:divBdr>
    </w:div>
    <w:div w:id="2016688654">
      <w:marLeft w:val="0"/>
      <w:marRight w:val="0"/>
      <w:marTop w:val="0"/>
      <w:marBottom w:val="0"/>
      <w:divBdr>
        <w:top w:val="none" w:sz="0" w:space="0" w:color="auto"/>
        <w:left w:val="none" w:sz="0" w:space="0" w:color="auto"/>
        <w:bottom w:val="none" w:sz="0" w:space="0" w:color="auto"/>
        <w:right w:val="none" w:sz="0" w:space="0" w:color="auto"/>
      </w:divBdr>
    </w:div>
    <w:div w:id="2016688655">
      <w:marLeft w:val="0"/>
      <w:marRight w:val="0"/>
      <w:marTop w:val="0"/>
      <w:marBottom w:val="0"/>
      <w:divBdr>
        <w:top w:val="none" w:sz="0" w:space="0" w:color="auto"/>
        <w:left w:val="none" w:sz="0" w:space="0" w:color="auto"/>
        <w:bottom w:val="none" w:sz="0" w:space="0" w:color="auto"/>
        <w:right w:val="none" w:sz="0" w:space="0" w:color="auto"/>
      </w:divBdr>
    </w:div>
    <w:div w:id="2016688659">
      <w:marLeft w:val="0"/>
      <w:marRight w:val="0"/>
      <w:marTop w:val="0"/>
      <w:marBottom w:val="0"/>
      <w:divBdr>
        <w:top w:val="none" w:sz="0" w:space="0" w:color="auto"/>
        <w:left w:val="none" w:sz="0" w:space="0" w:color="auto"/>
        <w:bottom w:val="none" w:sz="0" w:space="0" w:color="auto"/>
        <w:right w:val="none" w:sz="0" w:space="0" w:color="auto"/>
      </w:divBdr>
    </w:div>
    <w:div w:id="2016688661">
      <w:marLeft w:val="0"/>
      <w:marRight w:val="0"/>
      <w:marTop w:val="0"/>
      <w:marBottom w:val="0"/>
      <w:divBdr>
        <w:top w:val="none" w:sz="0" w:space="0" w:color="auto"/>
        <w:left w:val="none" w:sz="0" w:space="0" w:color="auto"/>
        <w:bottom w:val="none" w:sz="0" w:space="0" w:color="auto"/>
        <w:right w:val="none" w:sz="0" w:space="0" w:color="auto"/>
      </w:divBdr>
    </w:div>
    <w:div w:id="2016688667">
      <w:marLeft w:val="0"/>
      <w:marRight w:val="0"/>
      <w:marTop w:val="0"/>
      <w:marBottom w:val="0"/>
      <w:divBdr>
        <w:top w:val="none" w:sz="0" w:space="0" w:color="auto"/>
        <w:left w:val="none" w:sz="0" w:space="0" w:color="auto"/>
        <w:bottom w:val="none" w:sz="0" w:space="0" w:color="auto"/>
        <w:right w:val="none" w:sz="0" w:space="0" w:color="auto"/>
      </w:divBdr>
    </w:div>
    <w:div w:id="2016688670">
      <w:marLeft w:val="0"/>
      <w:marRight w:val="0"/>
      <w:marTop w:val="0"/>
      <w:marBottom w:val="0"/>
      <w:divBdr>
        <w:top w:val="none" w:sz="0" w:space="0" w:color="auto"/>
        <w:left w:val="none" w:sz="0" w:space="0" w:color="auto"/>
        <w:bottom w:val="none" w:sz="0" w:space="0" w:color="auto"/>
        <w:right w:val="none" w:sz="0" w:space="0" w:color="auto"/>
      </w:divBdr>
    </w:div>
    <w:div w:id="2016688690">
      <w:marLeft w:val="0"/>
      <w:marRight w:val="0"/>
      <w:marTop w:val="0"/>
      <w:marBottom w:val="0"/>
      <w:divBdr>
        <w:top w:val="none" w:sz="0" w:space="0" w:color="auto"/>
        <w:left w:val="none" w:sz="0" w:space="0" w:color="auto"/>
        <w:bottom w:val="none" w:sz="0" w:space="0" w:color="auto"/>
        <w:right w:val="none" w:sz="0" w:space="0" w:color="auto"/>
      </w:divBdr>
    </w:div>
    <w:div w:id="2016688699">
      <w:marLeft w:val="0"/>
      <w:marRight w:val="0"/>
      <w:marTop w:val="0"/>
      <w:marBottom w:val="0"/>
      <w:divBdr>
        <w:top w:val="none" w:sz="0" w:space="0" w:color="auto"/>
        <w:left w:val="none" w:sz="0" w:space="0" w:color="auto"/>
        <w:bottom w:val="none" w:sz="0" w:space="0" w:color="auto"/>
        <w:right w:val="none" w:sz="0" w:space="0" w:color="auto"/>
      </w:divBdr>
    </w:div>
    <w:div w:id="2016688700">
      <w:marLeft w:val="0"/>
      <w:marRight w:val="0"/>
      <w:marTop w:val="0"/>
      <w:marBottom w:val="0"/>
      <w:divBdr>
        <w:top w:val="none" w:sz="0" w:space="0" w:color="auto"/>
        <w:left w:val="none" w:sz="0" w:space="0" w:color="auto"/>
        <w:bottom w:val="none" w:sz="0" w:space="0" w:color="auto"/>
        <w:right w:val="none" w:sz="0" w:space="0" w:color="auto"/>
      </w:divBdr>
    </w:div>
    <w:div w:id="2016688719">
      <w:marLeft w:val="0"/>
      <w:marRight w:val="0"/>
      <w:marTop w:val="0"/>
      <w:marBottom w:val="0"/>
      <w:divBdr>
        <w:top w:val="none" w:sz="0" w:space="0" w:color="auto"/>
        <w:left w:val="none" w:sz="0" w:space="0" w:color="auto"/>
        <w:bottom w:val="none" w:sz="0" w:space="0" w:color="auto"/>
        <w:right w:val="none" w:sz="0" w:space="0" w:color="auto"/>
      </w:divBdr>
    </w:div>
    <w:div w:id="2016688722">
      <w:marLeft w:val="0"/>
      <w:marRight w:val="0"/>
      <w:marTop w:val="0"/>
      <w:marBottom w:val="0"/>
      <w:divBdr>
        <w:top w:val="none" w:sz="0" w:space="0" w:color="auto"/>
        <w:left w:val="none" w:sz="0" w:space="0" w:color="auto"/>
        <w:bottom w:val="none" w:sz="0" w:space="0" w:color="auto"/>
        <w:right w:val="none" w:sz="0" w:space="0" w:color="auto"/>
      </w:divBdr>
    </w:div>
    <w:div w:id="2016688729">
      <w:marLeft w:val="0"/>
      <w:marRight w:val="0"/>
      <w:marTop w:val="0"/>
      <w:marBottom w:val="0"/>
      <w:divBdr>
        <w:top w:val="none" w:sz="0" w:space="0" w:color="auto"/>
        <w:left w:val="none" w:sz="0" w:space="0" w:color="auto"/>
        <w:bottom w:val="none" w:sz="0" w:space="0" w:color="auto"/>
        <w:right w:val="none" w:sz="0" w:space="0" w:color="auto"/>
      </w:divBdr>
    </w:div>
    <w:div w:id="2016688730">
      <w:marLeft w:val="0"/>
      <w:marRight w:val="0"/>
      <w:marTop w:val="0"/>
      <w:marBottom w:val="0"/>
      <w:divBdr>
        <w:top w:val="none" w:sz="0" w:space="0" w:color="auto"/>
        <w:left w:val="none" w:sz="0" w:space="0" w:color="auto"/>
        <w:bottom w:val="none" w:sz="0" w:space="0" w:color="auto"/>
        <w:right w:val="none" w:sz="0" w:space="0" w:color="auto"/>
      </w:divBdr>
    </w:div>
    <w:div w:id="2016688731">
      <w:marLeft w:val="0"/>
      <w:marRight w:val="0"/>
      <w:marTop w:val="0"/>
      <w:marBottom w:val="0"/>
      <w:divBdr>
        <w:top w:val="none" w:sz="0" w:space="0" w:color="auto"/>
        <w:left w:val="none" w:sz="0" w:space="0" w:color="auto"/>
        <w:bottom w:val="none" w:sz="0" w:space="0" w:color="auto"/>
        <w:right w:val="none" w:sz="0" w:space="0" w:color="auto"/>
      </w:divBdr>
    </w:div>
    <w:div w:id="2016688757">
      <w:marLeft w:val="0"/>
      <w:marRight w:val="0"/>
      <w:marTop w:val="0"/>
      <w:marBottom w:val="0"/>
      <w:divBdr>
        <w:top w:val="none" w:sz="0" w:space="0" w:color="auto"/>
        <w:left w:val="none" w:sz="0" w:space="0" w:color="auto"/>
        <w:bottom w:val="none" w:sz="0" w:space="0" w:color="auto"/>
        <w:right w:val="none" w:sz="0" w:space="0" w:color="auto"/>
      </w:divBdr>
      <w:divsChild>
        <w:div w:id="2016688732">
          <w:marLeft w:val="0"/>
          <w:marRight w:val="0"/>
          <w:marTop w:val="0"/>
          <w:marBottom w:val="0"/>
          <w:divBdr>
            <w:top w:val="none" w:sz="0" w:space="0" w:color="auto"/>
            <w:left w:val="none" w:sz="0" w:space="0" w:color="auto"/>
            <w:bottom w:val="none" w:sz="0" w:space="0" w:color="auto"/>
            <w:right w:val="none" w:sz="0" w:space="0" w:color="auto"/>
          </w:divBdr>
        </w:div>
        <w:div w:id="2016688733">
          <w:marLeft w:val="0"/>
          <w:marRight w:val="0"/>
          <w:marTop w:val="0"/>
          <w:marBottom w:val="0"/>
          <w:divBdr>
            <w:top w:val="none" w:sz="0" w:space="0" w:color="auto"/>
            <w:left w:val="none" w:sz="0" w:space="0" w:color="auto"/>
            <w:bottom w:val="none" w:sz="0" w:space="0" w:color="auto"/>
            <w:right w:val="none" w:sz="0" w:space="0" w:color="auto"/>
          </w:divBdr>
        </w:div>
        <w:div w:id="2016688734">
          <w:marLeft w:val="0"/>
          <w:marRight w:val="0"/>
          <w:marTop w:val="0"/>
          <w:marBottom w:val="0"/>
          <w:divBdr>
            <w:top w:val="none" w:sz="0" w:space="0" w:color="auto"/>
            <w:left w:val="none" w:sz="0" w:space="0" w:color="auto"/>
            <w:bottom w:val="none" w:sz="0" w:space="0" w:color="auto"/>
            <w:right w:val="none" w:sz="0" w:space="0" w:color="auto"/>
          </w:divBdr>
        </w:div>
        <w:div w:id="2016688735">
          <w:marLeft w:val="0"/>
          <w:marRight w:val="0"/>
          <w:marTop w:val="0"/>
          <w:marBottom w:val="0"/>
          <w:divBdr>
            <w:top w:val="none" w:sz="0" w:space="0" w:color="auto"/>
            <w:left w:val="none" w:sz="0" w:space="0" w:color="auto"/>
            <w:bottom w:val="none" w:sz="0" w:space="0" w:color="auto"/>
            <w:right w:val="none" w:sz="0" w:space="0" w:color="auto"/>
          </w:divBdr>
        </w:div>
        <w:div w:id="2016688736">
          <w:marLeft w:val="0"/>
          <w:marRight w:val="0"/>
          <w:marTop w:val="0"/>
          <w:marBottom w:val="0"/>
          <w:divBdr>
            <w:top w:val="none" w:sz="0" w:space="0" w:color="auto"/>
            <w:left w:val="none" w:sz="0" w:space="0" w:color="auto"/>
            <w:bottom w:val="none" w:sz="0" w:space="0" w:color="auto"/>
            <w:right w:val="none" w:sz="0" w:space="0" w:color="auto"/>
          </w:divBdr>
        </w:div>
        <w:div w:id="2016688737">
          <w:marLeft w:val="0"/>
          <w:marRight w:val="0"/>
          <w:marTop w:val="0"/>
          <w:marBottom w:val="0"/>
          <w:divBdr>
            <w:top w:val="none" w:sz="0" w:space="0" w:color="auto"/>
            <w:left w:val="none" w:sz="0" w:space="0" w:color="auto"/>
            <w:bottom w:val="none" w:sz="0" w:space="0" w:color="auto"/>
            <w:right w:val="none" w:sz="0" w:space="0" w:color="auto"/>
          </w:divBdr>
        </w:div>
        <w:div w:id="2016688738">
          <w:marLeft w:val="0"/>
          <w:marRight w:val="0"/>
          <w:marTop w:val="0"/>
          <w:marBottom w:val="0"/>
          <w:divBdr>
            <w:top w:val="none" w:sz="0" w:space="0" w:color="auto"/>
            <w:left w:val="none" w:sz="0" w:space="0" w:color="auto"/>
            <w:bottom w:val="none" w:sz="0" w:space="0" w:color="auto"/>
            <w:right w:val="none" w:sz="0" w:space="0" w:color="auto"/>
          </w:divBdr>
        </w:div>
        <w:div w:id="2016688739">
          <w:marLeft w:val="0"/>
          <w:marRight w:val="0"/>
          <w:marTop w:val="0"/>
          <w:marBottom w:val="0"/>
          <w:divBdr>
            <w:top w:val="none" w:sz="0" w:space="0" w:color="auto"/>
            <w:left w:val="none" w:sz="0" w:space="0" w:color="auto"/>
            <w:bottom w:val="none" w:sz="0" w:space="0" w:color="auto"/>
            <w:right w:val="none" w:sz="0" w:space="0" w:color="auto"/>
          </w:divBdr>
        </w:div>
        <w:div w:id="2016688740">
          <w:marLeft w:val="0"/>
          <w:marRight w:val="0"/>
          <w:marTop w:val="0"/>
          <w:marBottom w:val="0"/>
          <w:divBdr>
            <w:top w:val="none" w:sz="0" w:space="0" w:color="auto"/>
            <w:left w:val="none" w:sz="0" w:space="0" w:color="auto"/>
            <w:bottom w:val="none" w:sz="0" w:space="0" w:color="auto"/>
            <w:right w:val="none" w:sz="0" w:space="0" w:color="auto"/>
          </w:divBdr>
        </w:div>
        <w:div w:id="2016688741">
          <w:marLeft w:val="0"/>
          <w:marRight w:val="0"/>
          <w:marTop w:val="0"/>
          <w:marBottom w:val="0"/>
          <w:divBdr>
            <w:top w:val="none" w:sz="0" w:space="0" w:color="auto"/>
            <w:left w:val="none" w:sz="0" w:space="0" w:color="auto"/>
            <w:bottom w:val="none" w:sz="0" w:space="0" w:color="auto"/>
            <w:right w:val="none" w:sz="0" w:space="0" w:color="auto"/>
          </w:divBdr>
        </w:div>
        <w:div w:id="2016688742">
          <w:marLeft w:val="0"/>
          <w:marRight w:val="0"/>
          <w:marTop w:val="0"/>
          <w:marBottom w:val="0"/>
          <w:divBdr>
            <w:top w:val="none" w:sz="0" w:space="0" w:color="auto"/>
            <w:left w:val="none" w:sz="0" w:space="0" w:color="auto"/>
            <w:bottom w:val="none" w:sz="0" w:space="0" w:color="auto"/>
            <w:right w:val="none" w:sz="0" w:space="0" w:color="auto"/>
          </w:divBdr>
        </w:div>
        <w:div w:id="2016688743">
          <w:marLeft w:val="0"/>
          <w:marRight w:val="0"/>
          <w:marTop w:val="0"/>
          <w:marBottom w:val="0"/>
          <w:divBdr>
            <w:top w:val="none" w:sz="0" w:space="0" w:color="auto"/>
            <w:left w:val="none" w:sz="0" w:space="0" w:color="auto"/>
            <w:bottom w:val="none" w:sz="0" w:space="0" w:color="auto"/>
            <w:right w:val="none" w:sz="0" w:space="0" w:color="auto"/>
          </w:divBdr>
        </w:div>
        <w:div w:id="2016688744">
          <w:marLeft w:val="0"/>
          <w:marRight w:val="0"/>
          <w:marTop w:val="0"/>
          <w:marBottom w:val="0"/>
          <w:divBdr>
            <w:top w:val="none" w:sz="0" w:space="0" w:color="auto"/>
            <w:left w:val="none" w:sz="0" w:space="0" w:color="auto"/>
            <w:bottom w:val="none" w:sz="0" w:space="0" w:color="auto"/>
            <w:right w:val="none" w:sz="0" w:space="0" w:color="auto"/>
          </w:divBdr>
        </w:div>
        <w:div w:id="2016688745">
          <w:marLeft w:val="0"/>
          <w:marRight w:val="0"/>
          <w:marTop w:val="0"/>
          <w:marBottom w:val="0"/>
          <w:divBdr>
            <w:top w:val="none" w:sz="0" w:space="0" w:color="auto"/>
            <w:left w:val="none" w:sz="0" w:space="0" w:color="auto"/>
            <w:bottom w:val="none" w:sz="0" w:space="0" w:color="auto"/>
            <w:right w:val="none" w:sz="0" w:space="0" w:color="auto"/>
          </w:divBdr>
        </w:div>
        <w:div w:id="2016688746">
          <w:marLeft w:val="0"/>
          <w:marRight w:val="0"/>
          <w:marTop w:val="0"/>
          <w:marBottom w:val="0"/>
          <w:divBdr>
            <w:top w:val="none" w:sz="0" w:space="0" w:color="auto"/>
            <w:left w:val="none" w:sz="0" w:space="0" w:color="auto"/>
            <w:bottom w:val="none" w:sz="0" w:space="0" w:color="auto"/>
            <w:right w:val="none" w:sz="0" w:space="0" w:color="auto"/>
          </w:divBdr>
        </w:div>
        <w:div w:id="2016688747">
          <w:marLeft w:val="0"/>
          <w:marRight w:val="0"/>
          <w:marTop w:val="0"/>
          <w:marBottom w:val="0"/>
          <w:divBdr>
            <w:top w:val="none" w:sz="0" w:space="0" w:color="auto"/>
            <w:left w:val="none" w:sz="0" w:space="0" w:color="auto"/>
            <w:bottom w:val="none" w:sz="0" w:space="0" w:color="auto"/>
            <w:right w:val="none" w:sz="0" w:space="0" w:color="auto"/>
          </w:divBdr>
        </w:div>
        <w:div w:id="2016688748">
          <w:marLeft w:val="0"/>
          <w:marRight w:val="0"/>
          <w:marTop w:val="0"/>
          <w:marBottom w:val="0"/>
          <w:divBdr>
            <w:top w:val="none" w:sz="0" w:space="0" w:color="auto"/>
            <w:left w:val="none" w:sz="0" w:space="0" w:color="auto"/>
            <w:bottom w:val="none" w:sz="0" w:space="0" w:color="auto"/>
            <w:right w:val="none" w:sz="0" w:space="0" w:color="auto"/>
          </w:divBdr>
        </w:div>
        <w:div w:id="2016688749">
          <w:marLeft w:val="0"/>
          <w:marRight w:val="0"/>
          <w:marTop w:val="0"/>
          <w:marBottom w:val="0"/>
          <w:divBdr>
            <w:top w:val="none" w:sz="0" w:space="0" w:color="auto"/>
            <w:left w:val="none" w:sz="0" w:space="0" w:color="auto"/>
            <w:bottom w:val="none" w:sz="0" w:space="0" w:color="auto"/>
            <w:right w:val="none" w:sz="0" w:space="0" w:color="auto"/>
          </w:divBdr>
        </w:div>
        <w:div w:id="2016688750">
          <w:marLeft w:val="0"/>
          <w:marRight w:val="0"/>
          <w:marTop w:val="0"/>
          <w:marBottom w:val="0"/>
          <w:divBdr>
            <w:top w:val="none" w:sz="0" w:space="0" w:color="auto"/>
            <w:left w:val="none" w:sz="0" w:space="0" w:color="auto"/>
            <w:bottom w:val="none" w:sz="0" w:space="0" w:color="auto"/>
            <w:right w:val="none" w:sz="0" w:space="0" w:color="auto"/>
          </w:divBdr>
        </w:div>
        <w:div w:id="2016688751">
          <w:marLeft w:val="0"/>
          <w:marRight w:val="0"/>
          <w:marTop w:val="0"/>
          <w:marBottom w:val="0"/>
          <w:divBdr>
            <w:top w:val="none" w:sz="0" w:space="0" w:color="auto"/>
            <w:left w:val="none" w:sz="0" w:space="0" w:color="auto"/>
            <w:bottom w:val="none" w:sz="0" w:space="0" w:color="auto"/>
            <w:right w:val="none" w:sz="0" w:space="0" w:color="auto"/>
          </w:divBdr>
        </w:div>
        <w:div w:id="2016688752">
          <w:marLeft w:val="0"/>
          <w:marRight w:val="0"/>
          <w:marTop w:val="0"/>
          <w:marBottom w:val="0"/>
          <w:divBdr>
            <w:top w:val="none" w:sz="0" w:space="0" w:color="auto"/>
            <w:left w:val="none" w:sz="0" w:space="0" w:color="auto"/>
            <w:bottom w:val="none" w:sz="0" w:space="0" w:color="auto"/>
            <w:right w:val="none" w:sz="0" w:space="0" w:color="auto"/>
          </w:divBdr>
        </w:div>
        <w:div w:id="2016688753">
          <w:marLeft w:val="0"/>
          <w:marRight w:val="0"/>
          <w:marTop w:val="0"/>
          <w:marBottom w:val="0"/>
          <w:divBdr>
            <w:top w:val="none" w:sz="0" w:space="0" w:color="auto"/>
            <w:left w:val="none" w:sz="0" w:space="0" w:color="auto"/>
            <w:bottom w:val="none" w:sz="0" w:space="0" w:color="auto"/>
            <w:right w:val="none" w:sz="0" w:space="0" w:color="auto"/>
          </w:divBdr>
        </w:div>
        <w:div w:id="2016688754">
          <w:marLeft w:val="0"/>
          <w:marRight w:val="0"/>
          <w:marTop w:val="0"/>
          <w:marBottom w:val="0"/>
          <w:divBdr>
            <w:top w:val="none" w:sz="0" w:space="0" w:color="auto"/>
            <w:left w:val="none" w:sz="0" w:space="0" w:color="auto"/>
            <w:bottom w:val="none" w:sz="0" w:space="0" w:color="auto"/>
            <w:right w:val="none" w:sz="0" w:space="0" w:color="auto"/>
          </w:divBdr>
        </w:div>
        <w:div w:id="2016688755">
          <w:marLeft w:val="0"/>
          <w:marRight w:val="0"/>
          <w:marTop w:val="0"/>
          <w:marBottom w:val="0"/>
          <w:divBdr>
            <w:top w:val="none" w:sz="0" w:space="0" w:color="auto"/>
            <w:left w:val="none" w:sz="0" w:space="0" w:color="auto"/>
            <w:bottom w:val="none" w:sz="0" w:space="0" w:color="auto"/>
            <w:right w:val="none" w:sz="0" w:space="0" w:color="auto"/>
          </w:divBdr>
        </w:div>
        <w:div w:id="2016688756">
          <w:marLeft w:val="0"/>
          <w:marRight w:val="0"/>
          <w:marTop w:val="0"/>
          <w:marBottom w:val="0"/>
          <w:divBdr>
            <w:top w:val="none" w:sz="0" w:space="0" w:color="auto"/>
            <w:left w:val="none" w:sz="0" w:space="0" w:color="auto"/>
            <w:bottom w:val="none" w:sz="0" w:space="0" w:color="auto"/>
            <w:right w:val="none" w:sz="0" w:space="0" w:color="auto"/>
          </w:divBdr>
        </w:div>
        <w:div w:id="2016688758">
          <w:marLeft w:val="0"/>
          <w:marRight w:val="0"/>
          <w:marTop w:val="0"/>
          <w:marBottom w:val="0"/>
          <w:divBdr>
            <w:top w:val="none" w:sz="0" w:space="0" w:color="auto"/>
            <w:left w:val="none" w:sz="0" w:space="0" w:color="auto"/>
            <w:bottom w:val="none" w:sz="0" w:space="0" w:color="auto"/>
            <w:right w:val="none" w:sz="0" w:space="0" w:color="auto"/>
          </w:divBdr>
        </w:div>
        <w:div w:id="2016688759">
          <w:marLeft w:val="0"/>
          <w:marRight w:val="0"/>
          <w:marTop w:val="0"/>
          <w:marBottom w:val="0"/>
          <w:divBdr>
            <w:top w:val="none" w:sz="0" w:space="0" w:color="auto"/>
            <w:left w:val="none" w:sz="0" w:space="0" w:color="auto"/>
            <w:bottom w:val="none" w:sz="0" w:space="0" w:color="auto"/>
            <w:right w:val="none" w:sz="0" w:space="0" w:color="auto"/>
          </w:divBdr>
        </w:div>
        <w:div w:id="2016688760">
          <w:marLeft w:val="0"/>
          <w:marRight w:val="0"/>
          <w:marTop w:val="0"/>
          <w:marBottom w:val="0"/>
          <w:divBdr>
            <w:top w:val="none" w:sz="0" w:space="0" w:color="auto"/>
            <w:left w:val="none" w:sz="0" w:space="0" w:color="auto"/>
            <w:bottom w:val="none" w:sz="0" w:space="0" w:color="auto"/>
            <w:right w:val="none" w:sz="0" w:space="0" w:color="auto"/>
          </w:divBdr>
        </w:div>
        <w:div w:id="2016688761">
          <w:marLeft w:val="0"/>
          <w:marRight w:val="0"/>
          <w:marTop w:val="0"/>
          <w:marBottom w:val="0"/>
          <w:divBdr>
            <w:top w:val="none" w:sz="0" w:space="0" w:color="auto"/>
            <w:left w:val="none" w:sz="0" w:space="0" w:color="auto"/>
            <w:bottom w:val="none" w:sz="0" w:space="0" w:color="auto"/>
            <w:right w:val="none" w:sz="0" w:space="0" w:color="auto"/>
          </w:divBdr>
        </w:div>
        <w:div w:id="2016688762">
          <w:marLeft w:val="0"/>
          <w:marRight w:val="0"/>
          <w:marTop w:val="0"/>
          <w:marBottom w:val="0"/>
          <w:divBdr>
            <w:top w:val="none" w:sz="0" w:space="0" w:color="auto"/>
            <w:left w:val="none" w:sz="0" w:space="0" w:color="auto"/>
            <w:bottom w:val="none" w:sz="0" w:space="0" w:color="auto"/>
            <w:right w:val="none" w:sz="0" w:space="0" w:color="auto"/>
          </w:divBdr>
        </w:div>
        <w:div w:id="2016688763">
          <w:marLeft w:val="0"/>
          <w:marRight w:val="0"/>
          <w:marTop w:val="0"/>
          <w:marBottom w:val="0"/>
          <w:divBdr>
            <w:top w:val="none" w:sz="0" w:space="0" w:color="auto"/>
            <w:left w:val="none" w:sz="0" w:space="0" w:color="auto"/>
            <w:bottom w:val="none" w:sz="0" w:space="0" w:color="auto"/>
            <w:right w:val="none" w:sz="0" w:space="0" w:color="auto"/>
          </w:divBdr>
        </w:div>
        <w:div w:id="2016688764">
          <w:marLeft w:val="0"/>
          <w:marRight w:val="0"/>
          <w:marTop w:val="0"/>
          <w:marBottom w:val="0"/>
          <w:divBdr>
            <w:top w:val="none" w:sz="0" w:space="0" w:color="auto"/>
            <w:left w:val="none" w:sz="0" w:space="0" w:color="auto"/>
            <w:bottom w:val="none" w:sz="0" w:space="0" w:color="auto"/>
            <w:right w:val="none" w:sz="0" w:space="0" w:color="auto"/>
          </w:divBdr>
        </w:div>
        <w:div w:id="2016688765">
          <w:marLeft w:val="0"/>
          <w:marRight w:val="0"/>
          <w:marTop w:val="0"/>
          <w:marBottom w:val="0"/>
          <w:divBdr>
            <w:top w:val="none" w:sz="0" w:space="0" w:color="auto"/>
            <w:left w:val="none" w:sz="0" w:space="0" w:color="auto"/>
            <w:bottom w:val="none" w:sz="0" w:space="0" w:color="auto"/>
            <w:right w:val="none" w:sz="0" w:space="0" w:color="auto"/>
          </w:divBdr>
        </w:div>
        <w:div w:id="2016688766">
          <w:marLeft w:val="0"/>
          <w:marRight w:val="0"/>
          <w:marTop w:val="0"/>
          <w:marBottom w:val="0"/>
          <w:divBdr>
            <w:top w:val="none" w:sz="0" w:space="0" w:color="auto"/>
            <w:left w:val="none" w:sz="0" w:space="0" w:color="auto"/>
            <w:bottom w:val="none" w:sz="0" w:space="0" w:color="auto"/>
            <w:right w:val="none" w:sz="0" w:space="0" w:color="auto"/>
          </w:divBdr>
        </w:div>
        <w:div w:id="2016688767">
          <w:marLeft w:val="0"/>
          <w:marRight w:val="0"/>
          <w:marTop w:val="0"/>
          <w:marBottom w:val="0"/>
          <w:divBdr>
            <w:top w:val="none" w:sz="0" w:space="0" w:color="auto"/>
            <w:left w:val="none" w:sz="0" w:space="0" w:color="auto"/>
            <w:bottom w:val="none" w:sz="0" w:space="0" w:color="auto"/>
            <w:right w:val="none" w:sz="0" w:space="0" w:color="auto"/>
          </w:divBdr>
        </w:div>
        <w:div w:id="2016688768">
          <w:marLeft w:val="0"/>
          <w:marRight w:val="0"/>
          <w:marTop w:val="0"/>
          <w:marBottom w:val="0"/>
          <w:divBdr>
            <w:top w:val="none" w:sz="0" w:space="0" w:color="auto"/>
            <w:left w:val="none" w:sz="0" w:space="0" w:color="auto"/>
            <w:bottom w:val="none" w:sz="0" w:space="0" w:color="auto"/>
            <w:right w:val="none" w:sz="0" w:space="0" w:color="auto"/>
          </w:divBdr>
        </w:div>
        <w:div w:id="2016688769">
          <w:marLeft w:val="0"/>
          <w:marRight w:val="0"/>
          <w:marTop w:val="0"/>
          <w:marBottom w:val="0"/>
          <w:divBdr>
            <w:top w:val="none" w:sz="0" w:space="0" w:color="auto"/>
            <w:left w:val="none" w:sz="0" w:space="0" w:color="auto"/>
            <w:bottom w:val="none" w:sz="0" w:space="0" w:color="auto"/>
            <w:right w:val="none" w:sz="0" w:space="0" w:color="auto"/>
          </w:divBdr>
        </w:div>
        <w:div w:id="2016688770">
          <w:marLeft w:val="0"/>
          <w:marRight w:val="0"/>
          <w:marTop w:val="0"/>
          <w:marBottom w:val="0"/>
          <w:divBdr>
            <w:top w:val="none" w:sz="0" w:space="0" w:color="auto"/>
            <w:left w:val="none" w:sz="0" w:space="0" w:color="auto"/>
            <w:bottom w:val="none" w:sz="0" w:space="0" w:color="auto"/>
            <w:right w:val="none" w:sz="0" w:space="0" w:color="auto"/>
          </w:divBdr>
        </w:div>
        <w:div w:id="2016688771">
          <w:marLeft w:val="0"/>
          <w:marRight w:val="0"/>
          <w:marTop w:val="0"/>
          <w:marBottom w:val="0"/>
          <w:divBdr>
            <w:top w:val="none" w:sz="0" w:space="0" w:color="auto"/>
            <w:left w:val="none" w:sz="0" w:space="0" w:color="auto"/>
            <w:bottom w:val="none" w:sz="0" w:space="0" w:color="auto"/>
            <w:right w:val="none" w:sz="0" w:space="0" w:color="auto"/>
          </w:divBdr>
        </w:div>
        <w:div w:id="2016688772">
          <w:marLeft w:val="0"/>
          <w:marRight w:val="0"/>
          <w:marTop w:val="0"/>
          <w:marBottom w:val="0"/>
          <w:divBdr>
            <w:top w:val="none" w:sz="0" w:space="0" w:color="auto"/>
            <w:left w:val="none" w:sz="0" w:space="0" w:color="auto"/>
            <w:bottom w:val="none" w:sz="0" w:space="0" w:color="auto"/>
            <w:right w:val="none" w:sz="0" w:space="0" w:color="auto"/>
          </w:divBdr>
        </w:div>
        <w:div w:id="2016688773">
          <w:marLeft w:val="0"/>
          <w:marRight w:val="0"/>
          <w:marTop w:val="0"/>
          <w:marBottom w:val="0"/>
          <w:divBdr>
            <w:top w:val="none" w:sz="0" w:space="0" w:color="auto"/>
            <w:left w:val="none" w:sz="0" w:space="0" w:color="auto"/>
            <w:bottom w:val="none" w:sz="0" w:space="0" w:color="auto"/>
            <w:right w:val="none" w:sz="0" w:space="0" w:color="auto"/>
          </w:divBdr>
        </w:div>
        <w:div w:id="2016688774">
          <w:marLeft w:val="0"/>
          <w:marRight w:val="0"/>
          <w:marTop w:val="0"/>
          <w:marBottom w:val="0"/>
          <w:divBdr>
            <w:top w:val="none" w:sz="0" w:space="0" w:color="auto"/>
            <w:left w:val="none" w:sz="0" w:space="0" w:color="auto"/>
            <w:bottom w:val="none" w:sz="0" w:space="0" w:color="auto"/>
            <w:right w:val="none" w:sz="0" w:space="0" w:color="auto"/>
          </w:divBdr>
        </w:div>
        <w:div w:id="2016688775">
          <w:marLeft w:val="0"/>
          <w:marRight w:val="0"/>
          <w:marTop w:val="0"/>
          <w:marBottom w:val="0"/>
          <w:divBdr>
            <w:top w:val="none" w:sz="0" w:space="0" w:color="auto"/>
            <w:left w:val="none" w:sz="0" w:space="0" w:color="auto"/>
            <w:bottom w:val="none" w:sz="0" w:space="0" w:color="auto"/>
            <w:right w:val="none" w:sz="0" w:space="0" w:color="auto"/>
          </w:divBdr>
        </w:div>
        <w:div w:id="2016688776">
          <w:marLeft w:val="0"/>
          <w:marRight w:val="0"/>
          <w:marTop w:val="0"/>
          <w:marBottom w:val="0"/>
          <w:divBdr>
            <w:top w:val="none" w:sz="0" w:space="0" w:color="auto"/>
            <w:left w:val="none" w:sz="0" w:space="0" w:color="auto"/>
            <w:bottom w:val="none" w:sz="0" w:space="0" w:color="auto"/>
            <w:right w:val="none" w:sz="0" w:space="0" w:color="auto"/>
          </w:divBdr>
        </w:div>
        <w:div w:id="2016688777">
          <w:marLeft w:val="0"/>
          <w:marRight w:val="0"/>
          <w:marTop w:val="0"/>
          <w:marBottom w:val="0"/>
          <w:divBdr>
            <w:top w:val="none" w:sz="0" w:space="0" w:color="auto"/>
            <w:left w:val="none" w:sz="0" w:space="0" w:color="auto"/>
            <w:bottom w:val="none" w:sz="0" w:space="0" w:color="auto"/>
            <w:right w:val="none" w:sz="0" w:space="0" w:color="auto"/>
          </w:divBdr>
        </w:div>
        <w:div w:id="2016688778">
          <w:marLeft w:val="0"/>
          <w:marRight w:val="0"/>
          <w:marTop w:val="0"/>
          <w:marBottom w:val="0"/>
          <w:divBdr>
            <w:top w:val="none" w:sz="0" w:space="0" w:color="auto"/>
            <w:left w:val="none" w:sz="0" w:space="0" w:color="auto"/>
            <w:bottom w:val="none" w:sz="0" w:space="0" w:color="auto"/>
            <w:right w:val="none" w:sz="0" w:space="0" w:color="auto"/>
          </w:divBdr>
        </w:div>
        <w:div w:id="2016688779">
          <w:marLeft w:val="0"/>
          <w:marRight w:val="0"/>
          <w:marTop w:val="0"/>
          <w:marBottom w:val="0"/>
          <w:divBdr>
            <w:top w:val="none" w:sz="0" w:space="0" w:color="auto"/>
            <w:left w:val="none" w:sz="0" w:space="0" w:color="auto"/>
            <w:bottom w:val="none" w:sz="0" w:space="0" w:color="auto"/>
            <w:right w:val="none" w:sz="0" w:space="0" w:color="auto"/>
          </w:divBdr>
        </w:div>
        <w:div w:id="2016688780">
          <w:marLeft w:val="0"/>
          <w:marRight w:val="0"/>
          <w:marTop w:val="0"/>
          <w:marBottom w:val="0"/>
          <w:divBdr>
            <w:top w:val="none" w:sz="0" w:space="0" w:color="auto"/>
            <w:left w:val="none" w:sz="0" w:space="0" w:color="auto"/>
            <w:bottom w:val="none" w:sz="0" w:space="0" w:color="auto"/>
            <w:right w:val="none" w:sz="0" w:space="0" w:color="auto"/>
          </w:divBdr>
        </w:div>
        <w:div w:id="2016688781">
          <w:marLeft w:val="0"/>
          <w:marRight w:val="0"/>
          <w:marTop w:val="0"/>
          <w:marBottom w:val="0"/>
          <w:divBdr>
            <w:top w:val="none" w:sz="0" w:space="0" w:color="auto"/>
            <w:left w:val="none" w:sz="0" w:space="0" w:color="auto"/>
            <w:bottom w:val="none" w:sz="0" w:space="0" w:color="auto"/>
            <w:right w:val="none" w:sz="0" w:space="0" w:color="auto"/>
          </w:divBdr>
        </w:div>
        <w:div w:id="2016688782">
          <w:marLeft w:val="0"/>
          <w:marRight w:val="0"/>
          <w:marTop w:val="0"/>
          <w:marBottom w:val="0"/>
          <w:divBdr>
            <w:top w:val="none" w:sz="0" w:space="0" w:color="auto"/>
            <w:left w:val="none" w:sz="0" w:space="0" w:color="auto"/>
            <w:bottom w:val="none" w:sz="0" w:space="0" w:color="auto"/>
            <w:right w:val="none" w:sz="0" w:space="0" w:color="auto"/>
          </w:divBdr>
        </w:div>
        <w:div w:id="2016688783">
          <w:marLeft w:val="0"/>
          <w:marRight w:val="0"/>
          <w:marTop w:val="0"/>
          <w:marBottom w:val="0"/>
          <w:divBdr>
            <w:top w:val="none" w:sz="0" w:space="0" w:color="auto"/>
            <w:left w:val="none" w:sz="0" w:space="0" w:color="auto"/>
            <w:bottom w:val="none" w:sz="0" w:space="0" w:color="auto"/>
            <w:right w:val="none" w:sz="0" w:space="0" w:color="auto"/>
          </w:divBdr>
        </w:div>
        <w:div w:id="2016688784">
          <w:marLeft w:val="0"/>
          <w:marRight w:val="0"/>
          <w:marTop w:val="0"/>
          <w:marBottom w:val="0"/>
          <w:divBdr>
            <w:top w:val="none" w:sz="0" w:space="0" w:color="auto"/>
            <w:left w:val="none" w:sz="0" w:space="0" w:color="auto"/>
            <w:bottom w:val="none" w:sz="0" w:space="0" w:color="auto"/>
            <w:right w:val="none" w:sz="0" w:space="0" w:color="auto"/>
          </w:divBdr>
        </w:div>
        <w:div w:id="2016688785">
          <w:marLeft w:val="0"/>
          <w:marRight w:val="0"/>
          <w:marTop w:val="0"/>
          <w:marBottom w:val="0"/>
          <w:divBdr>
            <w:top w:val="none" w:sz="0" w:space="0" w:color="auto"/>
            <w:left w:val="none" w:sz="0" w:space="0" w:color="auto"/>
            <w:bottom w:val="none" w:sz="0" w:space="0" w:color="auto"/>
            <w:right w:val="none" w:sz="0" w:space="0" w:color="auto"/>
          </w:divBdr>
        </w:div>
        <w:div w:id="2016688786">
          <w:marLeft w:val="0"/>
          <w:marRight w:val="0"/>
          <w:marTop w:val="0"/>
          <w:marBottom w:val="0"/>
          <w:divBdr>
            <w:top w:val="none" w:sz="0" w:space="0" w:color="auto"/>
            <w:left w:val="none" w:sz="0" w:space="0" w:color="auto"/>
            <w:bottom w:val="none" w:sz="0" w:space="0" w:color="auto"/>
            <w:right w:val="none" w:sz="0" w:space="0" w:color="auto"/>
          </w:divBdr>
        </w:div>
        <w:div w:id="2016688787">
          <w:marLeft w:val="0"/>
          <w:marRight w:val="0"/>
          <w:marTop w:val="0"/>
          <w:marBottom w:val="0"/>
          <w:divBdr>
            <w:top w:val="none" w:sz="0" w:space="0" w:color="auto"/>
            <w:left w:val="none" w:sz="0" w:space="0" w:color="auto"/>
            <w:bottom w:val="none" w:sz="0" w:space="0" w:color="auto"/>
            <w:right w:val="none" w:sz="0" w:space="0" w:color="auto"/>
          </w:divBdr>
        </w:div>
        <w:div w:id="2016688788">
          <w:marLeft w:val="0"/>
          <w:marRight w:val="0"/>
          <w:marTop w:val="0"/>
          <w:marBottom w:val="0"/>
          <w:divBdr>
            <w:top w:val="none" w:sz="0" w:space="0" w:color="auto"/>
            <w:left w:val="none" w:sz="0" w:space="0" w:color="auto"/>
            <w:bottom w:val="none" w:sz="0" w:space="0" w:color="auto"/>
            <w:right w:val="none" w:sz="0" w:space="0" w:color="auto"/>
          </w:divBdr>
        </w:div>
        <w:div w:id="2016688789">
          <w:marLeft w:val="0"/>
          <w:marRight w:val="0"/>
          <w:marTop w:val="0"/>
          <w:marBottom w:val="0"/>
          <w:divBdr>
            <w:top w:val="none" w:sz="0" w:space="0" w:color="auto"/>
            <w:left w:val="none" w:sz="0" w:space="0" w:color="auto"/>
            <w:bottom w:val="none" w:sz="0" w:space="0" w:color="auto"/>
            <w:right w:val="none" w:sz="0" w:space="0" w:color="auto"/>
          </w:divBdr>
        </w:div>
        <w:div w:id="2016688790">
          <w:marLeft w:val="0"/>
          <w:marRight w:val="0"/>
          <w:marTop w:val="0"/>
          <w:marBottom w:val="0"/>
          <w:divBdr>
            <w:top w:val="none" w:sz="0" w:space="0" w:color="auto"/>
            <w:left w:val="none" w:sz="0" w:space="0" w:color="auto"/>
            <w:bottom w:val="none" w:sz="0" w:space="0" w:color="auto"/>
            <w:right w:val="none" w:sz="0" w:space="0" w:color="auto"/>
          </w:divBdr>
        </w:div>
        <w:div w:id="2016688791">
          <w:marLeft w:val="0"/>
          <w:marRight w:val="0"/>
          <w:marTop w:val="0"/>
          <w:marBottom w:val="0"/>
          <w:divBdr>
            <w:top w:val="none" w:sz="0" w:space="0" w:color="auto"/>
            <w:left w:val="none" w:sz="0" w:space="0" w:color="auto"/>
            <w:bottom w:val="none" w:sz="0" w:space="0" w:color="auto"/>
            <w:right w:val="none" w:sz="0" w:space="0" w:color="auto"/>
          </w:divBdr>
        </w:div>
        <w:div w:id="2016688792">
          <w:marLeft w:val="0"/>
          <w:marRight w:val="0"/>
          <w:marTop w:val="0"/>
          <w:marBottom w:val="0"/>
          <w:divBdr>
            <w:top w:val="none" w:sz="0" w:space="0" w:color="auto"/>
            <w:left w:val="none" w:sz="0" w:space="0" w:color="auto"/>
            <w:bottom w:val="none" w:sz="0" w:space="0" w:color="auto"/>
            <w:right w:val="none" w:sz="0" w:space="0" w:color="auto"/>
          </w:divBdr>
        </w:div>
        <w:div w:id="2016688793">
          <w:marLeft w:val="0"/>
          <w:marRight w:val="0"/>
          <w:marTop w:val="0"/>
          <w:marBottom w:val="0"/>
          <w:divBdr>
            <w:top w:val="none" w:sz="0" w:space="0" w:color="auto"/>
            <w:left w:val="none" w:sz="0" w:space="0" w:color="auto"/>
            <w:bottom w:val="none" w:sz="0" w:space="0" w:color="auto"/>
            <w:right w:val="none" w:sz="0" w:space="0" w:color="auto"/>
          </w:divBdr>
        </w:div>
        <w:div w:id="2016688794">
          <w:marLeft w:val="0"/>
          <w:marRight w:val="0"/>
          <w:marTop w:val="0"/>
          <w:marBottom w:val="0"/>
          <w:divBdr>
            <w:top w:val="none" w:sz="0" w:space="0" w:color="auto"/>
            <w:left w:val="none" w:sz="0" w:space="0" w:color="auto"/>
            <w:bottom w:val="none" w:sz="0" w:space="0" w:color="auto"/>
            <w:right w:val="none" w:sz="0" w:space="0" w:color="auto"/>
          </w:divBdr>
        </w:div>
        <w:div w:id="2016688795">
          <w:marLeft w:val="0"/>
          <w:marRight w:val="0"/>
          <w:marTop w:val="0"/>
          <w:marBottom w:val="0"/>
          <w:divBdr>
            <w:top w:val="none" w:sz="0" w:space="0" w:color="auto"/>
            <w:left w:val="none" w:sz="0" w:space="0" w:color="auto"/>
            <w:bottom w:val="none" w:sz="0" w:space="0" w:color="auto"/>
            <w:right w:val="none" w:sz="0" w:space="0" w:color="auto"/>
          </w:divBdr>
        </w:div>
      </w:divsChild>
    </w:div>
    <w:div w:id="2028286998">
      <w:bodyDiv w:val="1"/>
      <w:marLeft w:val="0"/>
      <w:marRight w:val="0"/>
      <w:marTop w:val="0"/>
      <w:marBottom w:val="0"/>
      <w:divBdr>
        <w:top w:val="none" w:sz="0" w:space="0" w:color="auto"/>
        <w:left w:val="none" w:sz="0" w:space="0" w:color="auto"/>
        <w:bottom w:val="none" w:sz="0" w:space="0" w:color="auto"/>
        <w:right w:val="none" w:sz="0" w:space="0" w:color="auto"/>
      </w:divBdr>
    </w:div>
    <w:div w:id="20685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v.cz/files/clanky/23180/Analyza_nemocenskeho_pojisteni_2015.pdf"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ssz.cz/cz/pojisteni-osvc/ucast-na-pojisteni/nemocenske-pojisteni-osvc.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cssz.cz/cz/nemocenske-pojisteni/ucast-na-pojisteni/"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2" Type="http://schemas.openxmlformats.org/officeDocument/2006/relationships/hyperlink" Target="http://www.mpsv.cz/files/clanky/23180/Analyza_nemocenskeho_pojisteni_2015.pdf" TargetMode="External"/><Relationship Id="rId1" Type="http://schemas.openxmlformats.org/officeDocument/2006/relationships/hyperlink" Target="http://www.mpsv.cz/cs/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VIK~1\AppData\Local\Temp\publikace%20bar_lide%20a%20spolecno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ABC4E-98C1-47DD-BD48-4B8CF2ED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Template>
  <TotalTime>2</TotalTime>
  <Pages>1</Pages>
  <Words>7286</Words>
  <Characters>42991</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50177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hrivikova2924</dc:creator>
  <cp:lastModifiedBy>hrivikova2924</cp:lastModifiedBy>
  <cp:revision>4</cp:revision>
  <cp:lastPrinted>2016-04-28T15:17:00Z</cp:lastPrinted>
  <dcterms:created xsi:type="dcterms:W3CDTF">2016-04-28T15:14:00Z</dcterms:created>
  <dcterms:modified xsi:type="dcterms:W3CDTF">2016-04-28T15:17:00Z</dcterms:modified>
</cp:coreProperties>
</file>