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90" w:rsidRPr="003C3694" w:rsidRDefault="00C31190" w:rsidP="00C31190">
      <w:pPr>
        <w:rPr>
          <w:sz w:val="2"/>
          <w:szCs w:val="2"/>
        </w:rPr>
      </w:pPr>
    </w:p>
    <w:p w:rsidR="00C31190" w:rsidRDefault="00C31190" w:rsidP="00C31190">
      <w:pPr>
        <w:pStyle w:val="Nadpis1"/>
      </w:pPr>
      <w:bookmarkStart w:id="0" w:name="_Toc492470841"/>
      <w:r>
        <w:t>10. Spotřební a investiční výdaje domácností</w:t>
      </w:r>
      <w:bookmarkEnd w:id="0"/>
    </w:p>
    <w:tbl>
      <w:tblPr>
        <w:tblW w:w="5000" w:type="pct"/>
        <w:tblLayout w:type="fixed"/>
        <w:tblLook w:val="00A0"/>
      </w:tblPr>
      <w:tblGrid>
        <w:gridCol w:w="2077"/>
        <w:gridCol w:w="282"/>
        <w:gridCol w:w="1151"/>
        <w:gridCol w:w="6344"/>
      </w:tblGrid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Výdaje na konečnou spotřebu domácností v roce 2016 rostly a silně podpořily růst HDP.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</w:rPr>
            </w:pPr>
            <w:r w:rsidRPr="007E0278">
              <w:rPr>
                <w:spacing w:val="-4"/>
              </w:rPr>
              <w:t>Pozitivní vývoj příjmů domácností měl přímý vliv na dynamiku výdajů na konečnou spotřebu domácností. Ty v roce 2016 dosáhly 2 213,9 mld. korun</w:t>
            </w:r>
            <w:r w:rsidR="00F26351">
              <w:rPr>
                <w:rStyle w:val="Znakapoznpodarou"/>
                <w:spacing w:val="-4"/>
              </w:rPr>
              <w:footnoteReference w:id="1"/>
            </w:r>
            <w:r w:rsidRPr="007E0278">
              <w:rPr>
                <w:spacing w:val="-4"/>
              </w:rPr>
              <w:t xml:space="preserve"> (v běžných cenách) a oproti předchozímu roku nominálně vzrostly o 4,2 % (reálně o 3,6 %)</w:t>
            </w:r>
            <w:r w:rsidRPr="007E0278">
              <w:rPr>
                <w:rStyle w:val="Znakapoznpodarou"/>
                <w:spacing w:val="-4"/>
              </w:rPr>
              <w:footnoteReference w:id="2"/>
            </w:r>
            <w:r w:rsidRPr="007E0278">
              <w:rPr>
                <w:spacing w:val="-4"/>
              </w:rPr>
              <w:t xml:space="preserve">. Spotřeba domácností se díky tomu stala tahounem růstu hrubého domácího produktu v roce 2016. Tempo růstu výdajů domácností se oživilo už v roce 2014 a od té doby zrychluje. Nedosahuje sice úrovně let 2007 a 2008, kdy spotřeba domácností rostla nominálně více než 7% tempem, reálný růst se však srovnal. Spotřeba domácností stagnovala v pětiletém období 2009–2013, a byla tak jednám z faktorů ekonomického zpomalení v letech 2011–2013. </w:t>
            </w:r>
          </w:p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Struktura výdajů domácností podle trvanlivosti se v průběhu let přiblížila k úrovni západní Evropy, přesto zůstávají těžištěm výdajů předměty krátkodobé spotřeby. 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7E0278">
              <w:rPr>
                <w:spacing w:val="-4"/>
              </w:rPr>
              <w:t>Struktura výdajů na spotřebu domácností podle trvanlivosti se po změnách souvisejících s transformací ekonomiky na přelomu tisíciletí v zásadě ustálila. Největší část výdajů domácností tradičně míří na předměty krátkodobé spotřeby</w:t>
            </w:r>
            <w:r w:rsidRPr="007E0278">
              <w:rPr>
                <w:rStyle w:val="Znakapoznpodarou"/>
                <w:spacing w:val="-4"/>
              </w:rPr>
              <w:footnoteReference w:id="3"/>
            </w:r>
            <w:r w:rsidRPr="007E0278">
              <w:rPr>
                <w:spacing w:val="-4"/>
              </w:rPr>
              <w:t>. V roce 2016 to bylo 41,5 %</w:t>
            </w:r>
            <w:r w:rsidRPr="007E0278">
              <w:rPr>
                <w:rStyle w:val="Znakapoznpodarou"/>
                <w:spacing w:val="-4"/>
              </w:rPr>
              <w:footnoteReference w:id="4"/>
            </w:r>
            <w:r w:rsidRPr="007E0278">
              <w:rPr>
                <w:spacing w:val="-4"/>
              </w:rPr>
              <w:t>. Uvedená úroveň je typická pro země střední a východní Evropy, které procházely transformačním procesem a do EU vstoupily po roce 2000. Naproti tomu u spotřebitelů v Německu byl tento podíl v loňském roce 27,0 %. Dynamika výdajů na tuto skupinu výrobků má poměrně mírný charakter – meziroční nárůst výdajů sice podléhá cykličnosti ekonomického vývoje, možnost zredukovat spotřebu tohoto zboží je však omezená. Reálný růst výdajů na předměty krátkodobé spotřeby v roce 2016 činil 3,4 % (podle objemového indexu) a oproti předchozímu roku mírně zpomalil, i tak ale překonal růstová tempa z období konjunktury let 2005–2007.</w:t>
            </w:r>
          </w:p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584" w:type="pct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</w:rPr>
            </w:pPr>
            <w:r w:rsidRPr="007E0278">
              <w:rPr>
                <w:spacing w:val="-4"/>
              </w:rPr>
              <w:t>Graf 10.1</w:t>
            </w:r>
          </w:p>
        </w:tc>
        <w:tc>
          <w:tcPr>
            <w:tcW w:w="3219" w:type="pct"/>
          </w:tcPr>
          <w:p w:rsidR="00C31190" w:rsidRPr="007E0278" w:rsidRDefault="00C31190" w:rsidP="00127FD1">
            <w:pPr>
              <w:pStyle w:val="Textpoznpodarou"/>
              <w:rPr>
                <w:b/>
                <w:spacing w:val="-4"/>
              </w:rPr>
            </w:pPr>
            <w:r w:rsidRPr="007E0278">
              <w:rPr>
                <w:b/>
                <w:spacing w:val="-4"/>
              </w:rPr>
              <w:t xml:space="preserve">Příspěvky jednotlivých složek spotřeby domácností k růstu </w:t>
            </w:r>
            <w:r w:rsidRPr="007E0278">
              <w:rPr>
                <w:spacing w:val="-4"/>
              </w:rPr>
              <w:t xml:space="preserve">(objemové indexy, meziroční změna v </w:t>
            </w:r>
            <w:proofErr w:type="spellStart"/>
            <w:proofErr w:type="gramStart"/>
            <w:r w:rsidRPr="007E0278">
              <w:rPr>
                <w:spacing w:val="-4"/>
              </w:rPr>
              <w:t>p.b</w:t>
            </w:r>
            <w:proofErr w:type="spellEnd"/>
            <w:r w:rsidRPr="007E0278">
              <w:rPr>
                <w:spacing w:val="-4"/>
              </w:rPr>
              <w:t>.)</w:t>
            </w:r>
            <w:proofErr w:type="gramEnd"/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ind w:left="-91"/>
              <w:jc w:val="both"/>
              <w:rPr>
                <w:spacing w:val="-4"/>
              </w:rPr>
            </w:pPr>
            <w:r w:rsidRPr="007E0278">
              <w:rPr>
                <w:noProof/>
                <w:spacing w:val="-4"/>
              </w:rPr>
              <w:drawing>
                <wp:inline distT="0" distB="0" distL="0" distR="0">
                  <wp:extent cx="4737600" cy="3553200"/>
                  <wp:effectExtent l="0" t="0" r="0" b="0"/>
                  <wp:docPr id="60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31190" w:rsidRPr="007E0278" w:rsidRDefault="00C31190" w:rsidP="00127FD1">
            <w:pPr>
              <w:pStyle w:val="Textpoznpodarou"/>
              <w:ind w:left="-91"/>
              <w:jc w:val="right"/>
              <w:rPr>
                <w:spacing w:val="-4"/>
                <w:sz w:val="14"/>
                <w:szCs w:val="14"/>
              </w:rPr>
            </w:pPr>
            <w:r w:rsidRPr="007E0278">
              <w:rPr>
                <w:spacing w:val="-4"/>
                <w:sz w:val="14"/>
                <w:szCs w:val="14"/>
              </w:rPr>
              <w:t>Zdroj: ČSÚ</w:t>
            </w:r>
          </w:p>
          <w:p w:rsidR="00C31190" w:rsidRPr="007E0278" w:rsidRDefault="00C31190" w:rsidP="00127FD1">
            <w:pPr>
              <w:pStyle w:val="Textpoznpodarou"/>
              <w:ind w:left="-91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Reálné výdaje na trvanlivé statky v minulém roce zrychlily.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7E0278">
              <w:rPr>
                <w:spacing w:val="-4"/>
              </w:rPr>
              <w:t>Výdaje na předměty dlouhodobé a střednědobé spotřeby</w:t>
            </w:r>
            <w:r w:rsidRPr="007E0278">
              <w:rPr>
                <w:rStyle w:val="Znakapoznpodarou"/>
                <w:spacing w:val="-4"/>
              </w:rPr>
              <w:footnoteReference w:id="5"/>
            </w:r>
            <w:r w:rsidRPr="007E0278">
              <w:rPr>
                <w:spacing w:val="-4"/>
              </w:rPr>
              <w:t xml:space="preserve"> obvykle výrazněji než netrvanlivé zboží podléhají ekonomickému cyklu, protože jejich spotřebu lze snáze odložit. V českém prostředí to platí spíš pro střednědobou kategorii. Výdaje na </w:t>
            </w:r>
            <w:r w:rsidRPr="007E0278">
              <w:rPr>
                <w:spacing w:val="-4"/>
              </w:rPr>
              <w:lastRenderedPageBreak/>
              <w:t>předměty střednědobé spotřeby se v roce 2016 zvýšily reálně o 7,3 % a oproti předchozímu roku jejich růst výrazně zrychlil. Domácnosti snížily jejich spotřebu hned na začátku recese – v roce 2009 se příslušný objem výdajů snížil o 4,3 %. Oživení přišlo v roce 2013 (+3,5 %). Výdaje na předměty dlouhodobé spotřeby v roce 2016 vzrostly o 10,4 %. Dynamika objemu výdajů na předměty dlouhodobé spotřeby rovněž reagovala na recesi (růst se zpomalil z 10,5 % v roce 2008 na 0,6 % v roce 2009). S výjimkou mírného poklesu v roce 2012 o 0,8 % (tehdy klesly výdaje u všech kategorií trvanlivosti) však zůstala kladná a relativně silná.</w:t>
            </w:r>
          </w:p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</w:rPr>
            </w:pPr>
            <w:r w:rsidRPr="007E0278">
              <w:rPr>
                <w:spacing w:val="-4"/>
              </w:rPr>
              <w:t xml:space="preserve">  </w:t>
            </w: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Službám přísluší v ČR menší podíl na spotřebě než v západních zemích. Hospodářské oživení jejich spotřebu v Česku podpořilo.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7E0278">
              <w:rPr>
                <w:spacing w:val="-4"/>
              </w:rPr>
              <w:t xml:space="preserve">Vývoj výdajů na spotřebu služeb prošel v posledních 25 letech asi největší proměnou. Jejich podíl na celkové spotřebě v roce 2016 činil 42,7 % a od počátku 90. let se zvýšil o 13,5 </w:t>
            </w:r>
            <w:proofErr w:type="spellStart"/>
            <w:proofErr w:type="gramStart"/>
            <w:r w:rsidRPr="007E0278">
              <w:rPr>
                <w:spacing w:val="-4"/>
              </w:rPr>
              <w:t>p.b</w:t>
            </w:r>
            <w:proofErr w:type="spellEnd"/>
            <w:r w:rsidRPr="007E0278">
              <w:rPr>
                <w:spacing w:val="-4"/>
              </w:rPr>
              <w:t>.</w:t>
            </w:r>
            <w:proofErr w:type="gramEnd"/>
            <w:r w:rsidRPr="007E0278">
              <w:rPr>
                <w:spacing w:val="-4"/>
              </w:rPr>
              <w:t xml:space="preserve"> Současné hladiny dosáhl mezi lety 2004 (42,6 %) a 2005 (43,2 %) a</w:t>
            </w:r>
            <w:r>
              <w:t> </w:t>
            </w:r>
            <w:r w:rsidRPr="007E0278">
              <w:rPr>
                <w:spacing w:val="-4"/>
              </w:rPr>
              <w:t xml:space="preserve">od té doby je relativně stálý. Česko se v tomto ohledu neliší od ostatních států EU tak výrazně jako v případě předmětů krátkodobé spotřeby. V Německu tvořily výdaje na služby 52,2 % z celkových výdajů na spotřebu, nejvyšší podíl měly služby na spotřebě ve Velké Británii (57,6 %). Růst výdajů na služby byl obnoven po sérii poklesů a stagnace v letech 2009–2012. Průměrné meziroční tempo růstu v těchto letech činilo </w:t>
            </w:r>
            <w:r w:rsidRPr="007E0278">
              <w:rPr>
                <w:spacing w:val="-4"/>
              </w:rPr>
              <w:noBreakHyphen/>
              <w:t xml:space="preserve">0,8 %. Meziroční reálné tempo růstu výdajů na spotřebu služeb od roku 2013 zrychlovalo až do roku 2015. V minulém roce růst zpomalil na 1,9 %. Jak ukazuje současné zrychlení dynamiky, výdaje na služby jsou spojeny s rostoucí kupní silou obyvatelstva. Podobnost se současným vývojem lze nalézt i v období 2005–2007, kdy průměrný meziroční růst spotřeby služeb v těchto letech dosahoval 3,4 %. </w:t>
            </w:r>
          </w:p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584" w:type="pct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</w:rPr>
            </w:pPr>
            <w:r w:rsidRPr="007E0278">
              <w:rPr>
                <w:spacing w:val="-4"/>
              </w:rPr>
              <w:t>Graf 10.2</w:t>
            </w:r>
          </w:p>
        </w:tc>
        <w:tc>
          <w:tcPr>
            <w:tcW w:w="3219" w:type="pct"/>
          </w:tcPr>
          <w:p w:rsidR="00C31190" w:rsidRPr="007E0278" w:rsidRDefault="00C31190" w:rsidP="00127FD1">
            <w:pPr>
              <w:pStyle w:val="Textpoznpodarou"/>
              <w:rPr>
                <w:spacing w:val="-4"/>
              </w:rPr>
            </w:pPr>
            <w:r w:rsidRPr="007E0278">
              <w:rPr>
                <w:b/>
                <w:spacing w:val="-4"/>
              </w:rPr>
              <w:t xml:space="preserve">Příspěvky jednotlivých složek spotřeby domácností k růstu </w:t>
            </w:r>
            <w:r w:rsidRPr="007E0278">
              <w:rPr>
                <w:spacing w:val="-4"/>
              </w:rPr>
              <w:t>(meziroční změna v </w:t>
            </w:r>
            <w:proofErr w:type="spellStart"/>
            <w:proofErr w:type="gramStart"/>
            <w:r w:rsidRPr="007E0278">
              <w:rPr>
                <w:spacing w:val="-4"/>
              </w:rPr>
              <w:t>p.b</w:t>
            </w:r>
            <w:proofErr w:type="spellEnd"/>
            <w:r w:rsidRPr="007E0278">
              <w:rPr>
                <w:spacing w:val="-4"/>
              </w:rPr>
              <w:t>.)</w:t>
            </w:r>
            <w:proofErr w:type="gramEnd"/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ind w:left="-91"/>
              <w:jc w:val="both"/>
              <w:rPr>
                <w:spacing w:val="-4"/>
              </w:rPr>
            </w:pPr>
            <w:r w:rsidRPr="007E0278">
              <w:rPr>
                <w:noProof/>
                <w:spacing w:val="-4"/>
              </w:rPr>
              <w:drawing>
                <wp:inline distT="0" distB="0" distL="0" distR="0">
                  <wp:extent cx="4737600" cy="3553200"/>
                  <wp:effectExtent l="0" t="0" r="0" b="0"/>
                  <wp:docPr id="6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31190" w:rsidRPr="007E0278" w:rsidRDefault="00C31190" w:rsidP="00127FD1">
            <w:pPr>
              <w:pStyle w:val="Textpoznpodarou"/>
              <w:ind w:left="-91"/>
              <w:jc w:val="right"/>
              <w:rPr>
                <w:spacing w:val="-4"/>
                <w:sz w:val="14"/>
                <w:szCs w:val="14"/>
              </w:rPr>
            </w:pPr>
            <w:r w:rsidRPr="007E0278">
              <w:rPr>
                <w:spacing w:val="-4"/>
                <w:sz w:val="14"/>
                <w:szCs w:val="14"/>
              </w:rPr>
              <w:t>Zdroj: ČSÚ</w:t>
            </w:r>
          </w:p>
          <w:p w:rsidR="00C31190" w:rsidRPr="007E0278" w:rsidRDefault="00C31190" w:rsidP="00127FD1">
            <w:pPr>
              <w:pStyle w:val="Textpoznpodarou"/>
              <w:ind w:left="-91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roce 2016 nejvíce rostly výdaje na odívání a obuv. Výrazně rostly výdaje na pořízení osobních dopravních prostředků.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noProof/>
                <w:spacing w:val="-4"/>
                <w:sz w:val="16"/>
                <w:szCs w:val="16"/>
              </w:rPr>
            </w:pPr>
            <w:r w:rsidRPr="007E0278">
              <w:rPr>
                <w:noProof/>
                <w:spacing w:val="-4"/>
              </w:rPr>
              <w:t>Ve struktuře výdajů podle účelu tvoří největší podíl výdaje na bydlení, vodu, energie a</w:t>
            </w:r>
            <w:r>
              <w:t> </w:t>
            </w:r>
            <w:r w:rsidRPr="007E0278">
              <w:rPr>
                <w:noProof/>
                <w:spacing w:val="-4"/>
              </w:rPr>
              <w:t xml:space="preserve">paliva (26,8 % v roce 2016), následované potravinami a nápoji (16,5 %) a dopravou (9,8 %). Největšími změnami prošly první dvě jmenované položky. Podíl výdajů na bydlení rostl od počátku 90. let a svého vrcholu dosáhl v roce 2010 (28,9 %), od té doby mírně klesal. Výdaje na potraviny a nápoje měly opačný vývoj. Po dosažení minima v roce 2010 (14,5 %) jejich relativní význam pro domácnosti opět rostl. Z hlediska dynamiky se v roce 2016 nejsilněji prosazovaly výdaje na odívání a obuv (růst 8,8 %), těsně následované výdaji na dopravu (8,5 %). Navzdory klesajícím cenám pohonných hmot rostly výdaje na provoz dopravních prostředků (4,9 % v roce 2016). Rostoucí důvěru domácností v ekonomiku v roce 2016 i posílení kupní síly však nejlépe ilustruje 15,7% nárůst objemu výdajů na koupi osobních dopravních </w:t>
            </w:r>
            <w:r w:rsidRPr="007E0278">
              <w:rPr>
                <w:noProof/>
                <w:spacing w:val="-4"/>
              </w:rPr>
              <w:lastRenderedPageBreak/>
              <w:t xml:space="preserve">prostředků navazující na 17,5% zvýšení v roce 2015. </w:t>
            </w:r>
          </w:p>
          <w:p w:rsidR="00C31190" w:rsidRPr="007E0278" w:rsidRDefault="00C31190" w:rsidP="00127FD1">
            <w:pPr>
              <w:pStyle w:val="Textpoznpodarou"/>
              <w:ind w:left="-91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Po delší stagnaci se oživil růst výdajů na rekreaci, kulturu a sport. 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noProof/>
                <w:spacing w:val="-4"/>
                <w:sz w:val="16"/>
                <w:szCs w:val="16"/>
              </w:rPr>
            </w:pPr>
            <w:r w:rsidRPr="007E0278">
              <w:rPr>
                <w:noProof/>
                <w:spacing w:val="-4"/>
              </w:rPr>
              <w:t>Objem váhově nejvýznamnějších výdajů na bydlení, vodu, energii a paliva vzrostl v minulém roce o 2,3 % a drobně zrychlil oproti roku 2015. Nejvyšší váhu v této položce výdajů má imputované nájemné, na něž výdaje vzrostly o 1,6 %, čímž se růst mírně zpomalil. Výdaje na elektřinu, teplo, plyn a paliva se poměrně výrazně snižovaly v letech 2011–2014, v posledních dvou letech však rostly (o 1,7 % v roce 2016). Tlak na zvyšování výdajů působila položka běžné údržby a oprav bytu, která vzrostla o 6,4 %. Výdaje na potraviny a nealkoholické nápoje byly v období 2008–2013 utlumeny, ale v posledních třech letech zrychlují a v minulém roce vzrostly o</w:t>
            </w:r>
            <w:r>
              <w:t> </w:t>
            </w:r>
            <w:r w:rsidRPr="007E0278">
              <w:rPr>
                <w:noProof/>
                <w:spacing w:val="-4"/>
              </w:rPr>
              <w:t>4,5</w:t>
            </w:r>
            <w:r>
              <w:t> </w:t>
            </w:r>
            <w:r w:rsidRPr="007E0278">
              <w:rPr>
                <w:noProof/>
                <w:spacing w:val="-4"/>
              </w:rPr>
              <w:t>%. Růst v roce 2016 byl založen výhradně na vyšších výdajích na potraviny, položka nápojů stagnovala. Další váhově významnou výdajovou položkou, jejíž růst se obnovil  v průběhu konjunktury, byly výdaje na rekreaci, kulturu a sport. V posledních dvou letech rostly shodně o 4,7 %. V období 2009–2013 u nich došlo k celkovému reálnému propadu o 10,1 %. Srovnání nominálních úrovní výdajů ukazuje, že úroveň výdajů z roku 2008 byla překonána až v roce 2016.</w:t>
            </w:r>
          </w:p>
          <w:p w:rsidR="00C31190" w:rsidRPr="007E0278" w:rsidRDefault="00C31190" w:rsidP="00127FD1">
            <w:pPr>
              <w:pStyle w:val="Textpoznpodarou"/>
              <w:ind w:left="-91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7E0278">
              <w:rPr>
                <w:spacing w:val="-4"/>
              </w:rPr>
              <w:t>Domácnosti obdržely a spotřebovaly celkem 512,5 mld. korun v podobě naturálních sociálních transferů. Přes dvě třetiny (71,0 %) z této částky tvořila netržní produkce vládních institucí a neziskových institucí sloužících domácnostem. Tento podíl dlouhodobě mírně klesá ve prospěch tržní produkce nakoupené vládními institucemi a neziskovými institucemi sloužícími domácnostem (v roce 2006 to bylo 73,8 %, v roce 2011 se podíl snížil na 72,2 %).</w:t>
            </w:r>
          </w:p>
          <w:p w:rsidR="00C31190" w:rsidRPr="007E0278" w:rsidRDefault="00C31190" w:rsidP="00127FD1">
            <w:pPr>
              <w:pStyle w:val="Textpoznpodarou"/>
              <w:ind w:left="-91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Domácnosti investují většinou do obydlí. Podíl výdajů na tuto položku v posledních letech rostl…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7E0278">
              <w:rPr>
                <w:spacing w:val="-4"/>
              </w:rPr>
              <w:t>Výdaje domácností na tvorbu hrubého fixního kapitálu v roce 2016 dosáhly 214,1 mld. korun a meziročně nominálně vzrostly o 6,5 %. Poměrně silný růst investičních výdajů se vrátil v roce 2014, po tříleté sérii poklesů. Největší váhu v investičních výdajích domácností dlouhodobě mají výdaje na obydlí. V roce 2015</w:t>
            </w:r>
            <w:r w:rsidRPr="007E0278">
              <w:rPr>
                <w:rStyle w:val="Znakapoznpodarou"/>
                <w:spacing w:val="-4"/>
              </w:rPr>
              <w:footnoteReference w:id="6"/>
            </w:r>
            <w:r w:rsidRPr="007E0278">
              <w:rPr>
                <w:spacing w:val="-4"/>
              </w:rPr>
              <w:t xml:space="preserve"> tvořily 76,9 % tvorby hrubého fixního kapitálu a meziročně se tento podíl navýšil o 2 </w:t>
            </w:r>
            <w:proofErr w:type="spellStart"/>
            <w:proofErr w:type="gramStart"/>
            <w:r w:rsidRPr="007E0278">
              <w:rPr>
                <w:spacing w:val="-4"/>
              </w:rPr>
              <w:t>p.b</w:t>
            </w:r>
            <w:proofErr w:type="spellEnd"/>
            <w:r w:rsidRPr="007E0278">
              <w:rPr>
                <w:spacing w:val="-4"/>
              </w:rPr>
              <w:t>.</w:t>
            </w:r>
            <w:proofErr w:type="gramEnd"/>
            <w:r w:rsidRPr="007E0278">
              <w:rPr>
                <w:spacing w:val="-4"/>
              </w:rPr>
              <w:t xml:space="preserve"> Růst investic do obydlí se výrazně zrychlil už v roce 2014, kdy se jejich objem zvýšil o 7,4 %. V roce 2015 činil nárůst 9,4 %. Výdaje na stroje a zařízení tvořily 19,2 % investičních výdajů domácností (podnikajících fyzických osob), což je nejnižší podíl od roku 2010. Jejich objem se meziročně nominálně snížil o 3,1 % a hlavní úlohu na tom měly hlavně dopravní prostředky a zařízení. Investice na ně se nominálně propadly o 7,4 %.</w:t>
            </w:r>
          </w:p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a rostoucí zájem o bydlení potvrzuje i struktura zadlužení. Dluh domácností na bydlení za rok 2016 vzrostl o 81,6 mld. korun.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7E0278">
              <w:rPr>
                <w:spacing w:val="-4"/>
              </w:rPr>
              <w:t>Výdaje na bydlení jsou nejvýznamnějším zdrojem zadlužení domácností. Objem zadlužení na bydlení dosáhl ke konci roku 2016 hodnoty 1 059,6 mld. korun</w:t>
            </w:r>
            <w:r w:rsidRPr="007E0278">
              <w:rPr>
                <w:rStyle w:val="Znakapoznpodarou"/>
                <w:spacing w:val="-4"/>
              </w:rPr>
              <w:footnoteReference w:id="7"/>
            </w:r>
            <w:r w:rsidRPr="007E0278">
              <w:rPr>
                <w:spacing w:val="-4"/>
              </w:rPr>
              <w:t xml:space="preserve"> a meziročně vzrostl o 81,6 mld. Nárůst dluhu na tento účel zrychlil v posledních dvou letech a jeho dynamika má shodné rysy s vývojem investic do obydlí. Na stavu dluhu se podepsala kombinace pozitivních očekávání domácností s výjimečně příznivými úvěrovými podmínkami. Úrokové sazby na hypotečních úvěrech totiž od roku 2014 klesaly a průměrná sazba u všech typů fixace v druhé polovině roku 2016 klesla pod 2,5 %. Obecně nízká úroveň úrokových sazeb mimo jiné vedla k poměrně netypické situaci, kdy byl na nově poskytnutých hypotečních úvěrech s fixací mezi 5 a 10 lety nižší úrok než na fixaci od 1 roku do 5 let, která je obvykle nejvýhodnějším typem úvěru.</w:t>
            </w:r>
          </w:p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C31190" w:rsidRPr="009B00A5" w:rsidTr="00127FD1">
        <w:tc>
          <w:tcPr>
            <w:tcW w:w="1054" w:type="pct"/>
          </w:tcPr>
          <w:p w:rsidR="00C31190" w:rsidRPr="009B00A5" w:rsidRDefault="00C31190" w:rsidP="00127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Zvýšení objemu poskytnutých úvěrů na spotřebu kromě rostoucích příjmů domácností podpořily i klesající úrokové sazby. </w:t>
            </w:r>
          </w:p>
        </w:tc>
        <w:tc>
          <w:tcPr>
            <w:tcW w:w="143" w:type="pct"/>
          </w:tcPr>
          <w:p w:rsidR="00C31190" w:rsidRPr="009B00A5" w:rsidRDefault="00C31190" w:rsidP="00127FD1">
            <w:pPr>
              <w:pStyle w:val="Textpoznpodarou"/>
              <w:jc w:val="both"/>
            </w:pPr>
          </w:p>
        </w:tc>
        <w:tc>
          <w:tcPr>
            <w:tcW w:w="3803" w:type="pct"/>
            <w:gridSpan w:val="2"/>
          </w:tcPr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</w:rPr>
            </w:pPr>
            <w:r w:rsidRPr="007E0278">
              <w:rPr>
                <w:spacing w:val="-4"/>
              </w:rPr>
              <w:t>O oživení spotřeby domácností svědčí objem zadlužení na spotřebu, který se po letech stagnace zvýšil o 13,0 mld. korun (nárůst o 5 %). Domácnosti opět těžily z výhodných úvěrových podmínek, které vyplývaly z celkové situace na finančních trzích a z klesajících mezibankovních sazeb. Zatímco celková úroveň průměrných úrokových sazeb na úvěrech poskytnutých domácnostem od recese v roce 2009 klesala, sazby na úvěrech na spotřebu zůstávaly na úrovni mezi 14,0 a 15,0 % až do roku 2013. Jejich pokles z maxima 15,1 % v únoru 2013 byl pak poměrně rychlý. Na konci roku 2016 činila průměrná sazba na úvěrech na spotřebu 10,08 %.</w:t>
            </w:r>
          </w:p>
          <w:p w:rsidR="00C31190" w:rsidRPr="007E0278" w:rsidRDefault="00C31190" w:rsidP="00127FD1">
            <w:pPr>
              <w:pStyle w:val="Textpoznpodarou"/>
              <w:jc w:val="both"/>
              <w:rPr>
                <w:spacing w:val="-4"/>
              </w:rPr>
            </w:pPr>
            <w:r w:rsidRPr="007E0278">
              <w:rPr>
                <w:spacing w:val="-4"/>
              </w:rPr>
              <w:t xml:space="preserve">   </w:t>
            </w:r>
          </w:p>
        </w:tc>
      </w:tr>
    </w:tbl>
    <w:p w:rsidR="00C31190" w:rsidRPr="003C3694" w:rsidRDefault="00C31190" w:rsidP="00C31190">
      <w:pPr>
        <w:rPr>
          <w:sz w:val="2"/>
          <w:szCs w:val="2"/>
        </w:rPr>
      </w:pPr>
    </w:p>
    <w:p w:rsidR="00D871DA" w:rsidRDefault="00D871DA" w:rsidP="005C0D93">
      <w:pPr>
        <w:rPr>
          <w:szCs w:val="20"/>
          <w:lang w:eastAsia="ar-SA"/>
        </w:rPr>
      </w:pPr>
    </w:p>
    <w:sectPr w:rsidR="00D871DA" w:rsidSect="00B4260F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7F" w:rsidRDefault="00C31C7F" w:rsidP="00E71A58">
      <w:r>
        <w:separator/>
      </w:r>
    </w:p>
  </w:endnote>
  <w:endnote w:type="continuationSeparator" w:id="0">
    <w:p w:rsidR="00C31C7F" w:rsidRDefault="00C31C7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B9" w:rsidRDefault="003E00B9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0DB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0A40DB" w:rsidRPr="005A21E0">
      <w:rPr>
        <w:rFonts w:ascii="Arial" w:hAnsi="Arial" w:cs="Arial"/>
        <w:sz w:val="16"/>
        <w:szCs w:val="16"/>
      </w:rPr>
      <w:fldChar w:fldCharType="separate"/>
    </w:r>
    <w:r w:rsidR="00B4260F">
      <w:rPr>
        <w:rFonts w:ascii="Arial" w:hAnsi="Arial" w:cs="Arial"/>
        <w:noProof/>
        <w:sz w:val="16"/>
        <w:szCs w:val="16"/>
      </w:rPr>
      <w:t>72</w:t>
    </w:r>
    <w:r w:rsidR="000A40DB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B9" w:rsidRDefault="003E00B9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E00B9" w:rsidRPr="00223E00" w:rsidRDefault="003E00B9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0A40DB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0A40DB" w:rsidRPr="00223E00">
      <w:rPr>
        <w:rFonts w:ascii="Arial" w:hAnsi="Arial" w:cs="Arial"/>
        <w:sz w:val="16"/>
        <w:szCs w:val="16"/>
      </w:rPr>
      <w:fldChar w:fldCharType="separate"/>
    </w:r>
    <w:r w:rsidR="00B4260F">
      <w:rPr>
        <w:rFonts w:ascii="Arial" w:hAnsi="Arial" w:cs="Arial"/>
        <w:noProof/>
        <w:sz w:val="16"/>
        <w:szCs w:val="16"/>
      </w:rPr>
      <w:t>73</w:t>
    </w:r>
    <w:r w:rsidR="000A40DB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7F" w:rsidRDefault="00C31C7F" w:rsidP="00E71A58">
      <w:r>
        <w:separator/>
      </w:r>
    </w:p>
  </w:footnote>
  <w:footnote w:type="continuationSeparator" w:id="0">
    <w:p w:rsidR="00C31C7F" w:rsidRDefault="00C31C7F" w:rsidP="00E71A58">
      <w:r>
        <w:continuationSeparator/>
      </w:r>
    </w:p>
  </w:footnote>
  <w:footnote w:id="1">
    <w:p w:rsidR="003E00B9" w:rsidRPr="00F26351" w:rsidRDefault="003E00B9">
      <w:pPr>
        <w:pStyle w:val="Textpoznpodarou"/>
        <w:rPr>
          <w:rFonts w:cs="Arial"/>
          <w:sz w:val="16"/>
          <w:szCs w:val="16"/>
        </w:rPr>
      </w:pPr>
      <w:r w:rsidRPr="00F26351">
        <w:rPr>
          <w:rStyle w:val="Znakapoznpodarou"/>
          <w:rFonts w:cs="Arial"/>
          <w:sz w:val="16"/>
          <w:szCs w:val="16"/>
        </w:rPr>
        <w:footnoteRef/>
      </w:r>
      <w:r w:rsidRPr="00F26351">
        <w:rPr>
          <w:rFonts w:cs="Arial"/>
          <w:sz w:val="16"/>
          <w:szCs w:val="16"/>
        </w:rPr>
        <w:t xml:space="preserve"> Všechny údaje v této kapitole vycházejí z konceptu národních účtů.</w:t>
      </w:r>
    </w:p>
  </w:footnote>
  <w:footnote w:id="2">
    <w:p w:rsidR="003E00B9" w:rsidRDefault="003E00B9" w:rsidP="00C31190">
      <w:pPr>
        <w:pStyle w:val="Textpoznpodarou"/>
      </w:pPr>
      <w:r w:rsidRPr="008554AC">
        <w:rPr>
          <w:rStyle w:val="Znakapoznpodarou"/>
          <w:sz w:val="16"/>
          <w:szCs w:val="16"/>
        </w:rPr>
        <w:footnoteRef/>
      </w:r>
      <w:r w:rsidRPr="008554AC">
        <w:rPr>
          <w:sz w:val="16"/>
          <w:szCs w:val="16"/>
        </w:rPr>
        <w:t xml:space="preserve"> Reálný růst vypočítán pomocí deflátoru výdajů na spotřebu domácností</w:t>
      </w:r>
      <w:r>
        <w:rPr>
          <w:sz w:val="16"/>
          <w:szCs w:val="16"/>
        </w:rPr>
        <w:t>.</w:t>
      </w:r>
    </w:p>
  </w:footnote>
  <w:footnote w:id="3">
    <w:p w:rsidR="003E00B9" w:rsidRPr="00626EB5" w:rsidRDefault="003E00B9" w:rsidP="00C31190">
      <w:pPr>
        <w:pStyle w:val="Textpoznpodarou"/>
        <w:rPr>
          <w:sz w:val="16"/>
          <w:szCs w:val="16"/>
        </w:rPr>
      </w:pPr>
      <w:r w:rsidRPr="00626EB5">
        <w:rPr>
          <w:rStyle w:val="Znakapoznpodarou"/>
          <w:sz w:val="16"/>
          <w:szCs w:val="16"/>
        </w:rPr>
        <w:footnoteRef/>
      </w:r>
      <w:r w:rsidRPr="00626EB5">
        <w:rPr>
          <w:sz w:val="16"/>
          <w:szCs w:val="16"/>
        </w:rPr>
        <w:t xml:space="preserve"> Jedná se o potraviny, nápoje, tabák, farmaceutické výrobky, pohonné hmoty, kosmetiku apod.</w:t>
      </w:r>
    </w:p>
  </w:footnote>
  <w:footnote w:id="4">
    <w:p w:rsidR="003E00B9" w:rsidRPr="008F396D" w:rsidRDefault="003E00B9" w:rsidP="00C31190">
      <w:pPr>
        <w:pStyle w:val="Textpoznpodarou"/>
        <w:rPr>
          <w:sz w:val="16"/>
          <w:szCs w:val="16"/>
        </w:rPr>
      </w:pPr>
      <w:r w:rsidRPr="008F396D">
        <w:rPr>
          <w:rStyle w:val="Znakapoznpodarou"/>
          <w:sz w:val="16"/>
          <w:szCs w:val="16"/>
        </w:rPr>
        <w:footnoteRef/>
      </w:r>
      <w:r w:rsidRPr="008F396D">
        <w:rPr>
          <w:sz w:val="16"/>
          <w:szCs w:val="16"/>
        </w:rPr>
        <w:t xml:space="preserve"> Údaje o spotřebě podle trvanlivosti i účelové struktuře výdajů jsou v</w:t>
      </w:r>
      <w:r>
        <w:rPr>
          <w:sz w:val="16"/>
          <w:szCs w:val="16"/>
        </w:rPr>
        <w:t xml:space="preserve"> národním </w:t>
      </w:r>
      <w:r w:rsidRPr="008F396D">
        <w:rPr>
          <w:sz w:val="16"/>
          <w:szCs w:val="16"/>
        </w:rPr>
        <w:t>pojetí</w:t>
      </w:r>
    </w:p>
  </w:footnote>
  <w:footnote w:id="5">
    <w:p w:rsidR="003E00B9" w:rsidRPr="00577E47" w:rsidRDefault="003E00B9" w:rsidP="00C31190">
      <w:pPr>
        <w:pStyle w:val="Textpoznpodarou"/>
        <w:rPr>
          <w:sz w:val="16"/>
          <w:szCs w:val="16"/>
        </w:rPr>
      </w:pPr>
      <w:r w:rsidRPr="00577E47">
        <w:rPr>
          <w:rStyle w:val="Znakapoznpodarou"/>
          <w:sz w:val="16"/>
          <w:szCs w:val="16"/>
        </w:rPr>
        <w:footnoteRef/>
      </w:r>
      <w:r w:rsidRPr="00577E47">
        <w:rPr>
          <w:sz w:val="16"/>
          <w:szCs w:val="16"/>
        </w:rPr>
        <w:t xml:space="preserve"> Obecně jsou trvanlivé statky ty, které lze používat opakovaně nebo</w:t>
      </w:r>
      <w:r>
        <w:rPr>
          <w:sz w:val="16"/>
          <w:szCs w:val="16"/>
        </w:rPr>
        <w:t xml:space="preserve"> kontinuálně</w:t>
      </w:r>
      <w:r w:rsidRPr="00577E47">
        <w:rPr>
          <w:sz w:val="16"/>
          <w:szCs w:val="16"/>
        </w:rPr>
        <w:t xml:space="preserve"> po časové období jednoho roku a více. Do kategorie dlouhodobé spotřeby se řadí mimo jiné motorová vozidla, nábytek, ledničky, pračky, hudební vybavení, počítačové vybavení či šperky. Střednědobá spotřeba zahrnuje oblečení, obuv, potřeby v domácnosti, vybavení pro sport a knihy.</w:t>
      </w:r>
    </w:p>
  </w:footnote>
  <w:footnote w:id="6">
    <w:p w:rsidR="003E00B9" w:rsidRPr="009C34DA" w:rsidRDefault="003E00B9" w:rsidP="00C31190">
      <w:pPr>
        <w:pStyle w:val="Textpoznpodarou"/>
        <w:rPr>
          <w:sz w:val="16"/>
          <w:szCs w:val="16"/>
        </w:rPr>
      </w:pPr>
      <w:r w:rsidRPr="009C34DA">
        <w:rPr>
          <w:rStyle w:val="Znakapoznpodarou"/>
          <w:sz w:val="16"/>
          <w:szCs w:val="16"/>
        </w:rPr>
        <w:footnoteRef/>
      </w:r>
      <w:r w:rsidRPr="009C34DA">
        <w:rPr>
          <w:sz w:val="16"/>
          <w:szCs w:val="16"/>
        </w:rPr>
        <w:t xml:space="preserve"> Nejnovější dostupná data jsou z roku 2015.</w:t>
      </w:r>
    </w:p>
  </w:footnote>
  <w:footnote w:id="7">
    <w:p w:rsidR="003E00B9" w:rsidRPr="00B55443" w:rsidRDefault="003E00B9" w:rsidP="00C31190">
      <w:pPr>
        <w:pStyle w:val="Textpoznpodarou"/>
        <w:rPr>
          <w:sz w:val="16"/>
          <w:szCs w:val="16"/>
        </w:rPr>
      </w:pPr>
      <w:r w:rsidRPr="00B55443">
        <w:rPr>
          <w:rStyle w:val="Znakapoznpodarou"/>
          <w:sz w:val="16"/>
          <w:szCs w:val="16"/>
        </w:rPr>
        <w:footnoteRef/>
      </w:r>
      <w:r w:rsidRPr="00B55443">
        <w:rPr>
          <w:sz w:val="16"/>
          <w:szCs w:val="16"/>
        </w:rPr>
        <w:t xml:space="preserve"> Databáze ARAD České národní banky </w:t>
      </w:r>
      <w:r>
        <w:rPr>
          <w:sz w:val="16"/>
          <w:szCs w:val="16"/>
        </w:rPr>
        <w:t>–</w:t>
      </w:r>
      <w:r w:rsidRPr="00B55443">
        <w:rPr>
          <w:sz w:val="16"/>
          <w:szCs w:val="16"/>
        </w:rPr>
        <w:t xml:space="preserve"> </w:t>
      </w:r>
      <w:r>
        <w:rPr>
          <w:sz w:val="16"/>
          <w:szCs w:val="16"/>
        </w:rPr>
        <w:t>Měnová a finanční statistika – hlavní ukazatele – celkové</w:t>
      </w:r>
      <w:r w:rsidRPr="00B55443">
        <w:rPr>
          <w:sz w:val="16"/>
          <w:szCs w:val="16"/>
        </w:rPr>
        <w:t xml:space="preserve"> zadlužení domácností</w:t>
      </w:r>
      <w:r>
        <w:rPr>
          <w:sz w:val="16"/>
          <w:szCs w:val="16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B9" w:rsidRPr="003576A8" w:rsidRDefault="003E00B9" w:rsidP="003576A8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031D9">
      <w:rPr>
        <w:rFonts w:ascii="Arial" w:hAnsi="Arial" w:cs="Arial"/>
        <w:sz w:val="16"/>
        <w:szCs w:val="16"/>
      </w:rPr>
      <w:t>Analýza společenského a hospodářského vývoje ČR v roce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B9" w:rsidRPr="003576A8" w:rsidRDefault="003E00B9" w:rsidP="003576A8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031D9">
      <w:rPr>
        <w:rFonts w:ascii="Arial" w:hAnsi="Arial" w:cs="Arial"/>
        <w:sz w:val="16"/>
        <w:szCs w:val="16"/>
      </w:rPr>
      <w:t>Analýza společenského a hospodářského vývoje ČR v roce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3pt;height:14.4pt;visibility:visible;mso-wrap-style:square" o:bullet="t">
        <v:imagedata r:id="rId1" o:title=""/>
      </v:shape>
    </w:pict>
  </w:numPicBullet>
  <w:numPicBullet w:numPicBulletId="1">
    <w:pict>
      <v:shape id="_x0000_i1039" type="#_x0000_t75" style="width:36.3pt;height:21.9pt;visibility:visible;mso-wrap-style:square" o:bullet="t">
        <v:imagedata r:id="rId2" o:title=""/>
      </v:shape>
    </w:pict>
  </w:numPicBullet>
  <w:abstractNum w:abstractNumId="0">
    <w:nsid w:val="05BB0A88"/>
    <w:multiLevelType w:val="hybridMultilevel"/>
    <w:tmpl w:val="5C64F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137A"/>
    <w:multiLevelType w:val="hybridMultilevel"/>
    <w:tmpl w:val="E56AB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2E9F"/>
    <w:multiLevelType w:val="hybridMultilevel"/>
    <w:tmpl w:val="7D9C602C"/>
    <w:lvl w:ilvl="0" w:tplc="FE5CA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68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E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44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22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6E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65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4B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4C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35223D"/>
    <w:multiLevelType w:val="hybridMultilevel"/>
    <w:tmpl w:val="99FA9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D37A1"/>
    <w:multiLevelType w:val="multilevel"/>
    <w:tmpl w:val="698C7F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2ADC7537"/>
    <w:multiLevelType w:val="hybridMultilevel"/>
    <w:tmpl w:val="2BB2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3F12"/>
    <w:multiLevelType w:val="multilevel"/>
    <w:tmpl w:val="0B74C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7">
    <w:nsid w:val="3AB14BFE"/>
    <w:multiLevelType w:val="hybridMultilevel"/>
    <w:tmpl w:val="118A4438"/>
    <w:lvl w:ilvl="0" w:tplc="82DE1B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ED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4A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60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EC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FEA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583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40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E4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E2984"/>
    <w:multiLevelType w:val="hybridMultilevel"/>
    <w:tmpl w:val="366AF43E"/>
    <w:lvl w:ilvl="0" w:tplc="FC1C587E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761419E"/>
    <w:multiLevelType w:val="multilevel"/>
    <w:tmpl w:val="0B74C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3E1652"/>
    <w:multiLevelType w:val="hybridMultilevel"/>
    <w:tmpl w:val="DA2A3836"/>
    <w:lvl w:ilvl="0" w:tplc="B790AC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F6FB9"/>
    <w:multiLevelType w:val="hybridMultilevel"/>
    <w:tmpl w:val="490CA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FEE15A2"/>
    <w:multiLevelType w:val="hybridMultilevel"/>
    <w:tmpl w:val="B4BE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5"/>
  </w:num>
  <w:num w:numId="5">
    <w:abstractNumId w:val="9"/>
  </w:num>
  <w:num w:numId="6">
    <w:abstractNumId w:val="17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2"/>
  </w:num>
  <w:num w:numId="15">
    <w:abstractNumId w:val="7"/>
  </w:num>
  <w:num w:numId="16">
    <w:abstractNumId w:val="5"/>
  </w:num>
  <w:num w:numId="17">
    <w:abstractNumId w:val="14"/>
  </w:num>
  <w:num w:numId="1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23E"/>
    <w:rsid w:val="00000FA7"/>
    <w:rsid w:val="00001236"/>
    <w:rsid w:val="00001A7D"/>
    <w:rsid w:val="00001EFF"/>
    <w:rsid w:val="00003687"/>
    <w:rsid w:val="00003C43"/>
    <w:rsid w:val="00006ECF"/>
    <w:rsid w:val="00007498"/>
    <w:rsid w:val="0000767A"/>
    <w:rsid w:val="00010151"/>
    <w:rsid w:val="000101F5"/>
    <w:rsid w:val="000104B9"/>
    <w:rsid w:val="00010702"/>
    <w:rsid w:val="00011191"/>
    <w:rsid w:val="0001159B"/>
    <w:rsid w:val="00011778"/>
    <w:rsid w:val="000128C7"/>
    <w:rsid w:val="00012986"/>
    <w:rsid w:val="00014028"/>
    <w:rsid w:val="00015195"/>
    <w:rsid w:val="0001519F"/>
    <w:rsid w:val="0001572B"/>
    <w:rsid w:val="0001573E"/>
    <w:rsid w:val="000157DA"/>
    <w:rsid w:val="000162DB"/>
    <w:rsid w:val="00017F05"/>
    <w:rsid w:val="000202C6"/>
    <w:rsid w:val="00020946"/>
    <w:rsid w:val="00022081"/>
    <w:rsid w:val="0002292C"/>
    <w:rsid w:val="00022B41"/>
    <w:rsid w:val="0002434F"/>
    <w:rsid w:val="00024887"/>
    <w:rsid w:val="00024CBA"/>
    <w:rsid w:val="00025501"/>
    <w:rsid w:val="00026998"/>
    <w:rsid w:val="000304C4"/>
    <w:rsid w:val="0003066A"/>
    <w:rsid w:val="00030CAD"/>
    <w:rsid w:val="00030F14"/>
    <w:rsid w:val="000311C5"/>
    <w:rsid w:val="00031328"/>
    <w:rsid w:val="00032838"/>
    <w:rsid w:val="00032C12"/>
    <w:rsid w:val="00032E0C"/>
    <w:rsid w:val="000344C5"/>
    <w:rsid w:val="000350FB"/>
    <w:rsid w:val="00035CCF"/>
    <w:rsid w:val="00035FC6"/>
    <w:rsid w:val="00037667"/>
    <w:rsid w:val="0004075D"/>
    <w:rsid w:val="000411E1"/>
    <w:rsid w:val="000417FB"/>
    <w:rsid w:val="0004229A"/>
    <w:rsid w:val="00043E05"/>
    <w:rsid w:val="0004694F"/>
    <w:rsid w:val="000500DC"/>
    <w:rsid w:val="00052052"/>
    <w:rsid w:val="00052172"/>
    <w:rsid w:val="000531D0"/>
    <w:rsid w:val="00053CBA"/>
    <w:rsid w:val="00054382"/>
    <w:rsid w:val="00054E43"/>
    <w:rsid w:val="00055059"/>
    <w:rsid w:val="000553E4"/>
    <w:rsid w:val="00055FD3"/>
    <w:rsid w:val="000567FA"/>
    <w:rsid w:val="00056B26"/>
    <w:rsid w:val="00057C16"/>
    <w:rsid w:val="00060F26"/>
    <w:rsid w:val="00061733"/>
    <w:rsid w:val="00062D43"/>
    <w:rsid w:val="00062E81"/>
    <w:rsid w:val="00062EC5"/>
    <w:rsid w:val="00064256"/>
    <w:rsid w:val="000650C5"/>
    <w:rsid w:val="0007013D"/>
    <w:rsid w:val="000706A4"/>
    <w:rsid w:val="00070A0C"/>
    <w:rsid w:val="00071F80"/>
    <w:rsid w:val="00072118"/>
    <w:rsid w:val="00073173"/>
    <w:rsid w:val="000759A5"/>
    <w:rsid w:val="00075BA7"/>
    <w:rsid w:val="000779AC"/>
    <w:rsid w:val="0008046C"/>
    <w:rsid w:val="00083803"/>
    <w:rsid w:val="00084393"/>
    <w:rsid w:val="0008716A"/>
    <w:rsid w:val="00087634"/>
    <w:rsid w:val="000903B3"/>
    <w:rsid w:val="000907D0"/>
    <w:rsid w:val="00091237"/>
    <w:rsid w:val="0009191B"/>
    <w:rsid w:val="000920EC"/>
    <w:rsid w:val="00092208"/>
    <w:rsid w:val="00092505"/>
    <w:rsid w:val="00092C9A"/>
    <w:rsid w:val="0009464F"/>
    <w:rsid w:val="00095CD8"/>
    <w:rsid w:val="00097CF2"/>
    <w:rsid w:val="00097D02"/>
    <w:rsid w:val="000A1183"/>
    <w:rsid w:val="000A2121"/>
    <w:rsid w:val="000A2484"/>
    <w:rsid w:val="000A2493"/>
    <w:rsid w:val="000A36CE"/>
    <w:rsid w:val="000A40DB"/>
    <w:rsid w:val="000A5415"/>
    <w:rsid w:val="000A59BF"/>
    <w:rsid w:val="000A5B73"/>
    <w:rsid w:val="000A66C2"/>
    <w:rsid w:val="000B1CFE"/>
    <w:rsid w:val="000B210A"/>
    <w:rsid w:val="000B249B"/>
    <w:rsid w:val="000B3B01"/>
    <w:rsid w:val="000B3DB9"/>
    <w:rsid w:val="000B3F02"/>
    <w:rsid w:val="000B48A2"/>
    <w:rsid w:val="000B48E7"/>
    <w:rsid w:val="000B4F41"/>
    <w:rsid w:val="000B5230"/>
    <w:rsid w:val="000B5262"/>
    <w:rsid w:val="000B5782"/>
    <w:rsid w:val="000B7663"/>
    <w:rsid w:val="000C045E"/>
    <w:rsid w:val="000C11D3"/>
    <w:rsid w:val="000C12F5"/>
    <w:rsid w:val="000C2C40"/>
    <w:rsid w:val="000C2FAB"/>
    <w:rsid w:val="000C3408"/>
    <w:rsid w:val="000C5BF3"/>
    <w:rsid w:val="000C5C0F"/>
    <w:rsid w:val="000C5D56"/>
    <w:rsid w:val="000C6498"/>
    <w:rsid w:val="000C6C84"/>
    <w:rsid w:val="000D0D51"/>
    <w:rsid w:val="000D14B3"/>
    <w:rsid w:val="000D208B"/>
    <w:rsid w:val="000D2B8D"/>
    <w:rsid w:val="000D2E41"/>
    <w:rsid w:val="000D342A"/>
    <w:rsid w:val="000D353A"/>
    <w:rsid w:val="000D5E7A"/>
    <w:rsid w:val="000D5FAA"/>
    <w:rsid w:val="000D65A4"/>
    <w:rsid w:val="000D6AEF"/>
    <w:rsid w:val="000D6B09"/>
    <w:rsid w:val="000E025B"/>
    <w:rsid w:val="000E0ECB"/>
    <w:rsid w:val="000E153A"/>
    <w:rsid w:val="000E19A8"/>
    <w:rsid w:val="000E1EEA"/>
    <w:rsid w:val="000E214B"/>
    <w:rsid w:val="000E3E34"/>
    <w:rsid w:val="000E4A42"/>
    <w:rsid w:val="000E6476"/>
    <w:rsid w:val="000E78D2"/>
    <w:rsid w:val="000F3332"/>
    <w:rsid w:val="000F33EE"/>
    <w:rsid w:val="000F401E"/>
    <w:rsid w:val="000F5445"/>
    <w:rsid w:val="000F559E"/>
    <w:rsid w:val="000F5673"/>
    <w:rsid w:val="000F59DF"/>
    <w:rsid w:val="000F60D1"/>
    <w:rsid w:val="000F67B2"/>
    <w:rsid w:val="000F67E3"/>
    <w:rsid w:val="000F7639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5F6B"/>
    <w:rsid w:val="001070EA"/>
    <w:rsid w:val="0011002A"/>
    <w:rsid w:val="001107CE"/>
    <w:rsid w:val="0011110A"/>
    <w:rsid w:val="001118AF"/>
    <w:rsid w:val="00111CA5"/>
    <w:rsid w:val="0011256E"/>
    <w:rsid w:val="0011352E"/>
    <w:rsid w:val="00113AE4"/>
    <w:rsid w:val="00114FC0"/>
    <w:rsid w:val="00115496"/>
    <w:rsid w:val="00116DB9"/>
    <w:rsid w:val="00116F28"/>
    <w:rsid w:val="001205E9"/>
    <w:rsid w:val="00121C39"/>
    <w:rsid w:val="001225F2"/>
    <w:rsid w:val="00123255"/>
    <w:rsid w:val="00124D2D"/>
    <w:rsid w:val="00124DA1"/>
    <w:rsid w:val="0012511D"/>
    <w:rsid w:val="00125326"/>
    <w:rsid w:val="001253DB"/>
    <w:rsid w:val="00125CB5"/>
    <w:rsid w:val="00127535"/>
    <w:rsid w:val="00127FD1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46"/>
    <w:rsid w:val="001413B3"/>
    <w:rsid w:val="001425C3"/>
    <w:rsid w:val="00142F16"/>
    <w:rsid w:val="00143E03"/>
    <w:rsid w:val="00143E93"/>
    <w:rsid w:val="001441F1"/>
    <w:rsid w:val="0014428D"/>
    <w:rsid w:val="001500FC"/>
    <w:rsid w:val="00151AC0"/>
    <w:rsid w:val="00151B27"/>
    <w:rsid w:val="00152046"/>
    <w:rsid w:val="00154147"/>
    <w:rsid w:val="00155746"/>
    <w:rsid w:val="00156318"/>
    <w:rsid w:val="0015639A"/>
    <w:rsid w:val="001606CF"/>
    <w:rsid w:val="0016081D"/>
    <w:rsid w:val="00160CC3"/>
    <w:rsid w:val="00160CF3"/>
    <w:rsid w:val="00160E61"/>
    <w:rsid w:val="00160F90"/>
    <w:rsid w:val="00161DD7"/>
    <w:rsid w:val="001620FA"/>
    <w:rsid w:val="00162853"/>
    <w:rsid w:val="00163793"/>
    <w:rsid w:val="00167FB2"/>
    <w:rsid w:val="001707DE"/>
    <w:rsid w:val="00170B04"/>
    <w:rsid w:val="00170F47"/>
    <w:rsid w:val="001714F2"/>
    <w:rsid w:val="00172BC8"/>
    <w:rsid w:val="001735AF"/>
    <w:rsid w:val="00173642"/>
    <w:rsid w:val="00173AF4"/>
    <w:rsid w:val="00173CB0"/>
    <w:rsid w:val="00174CE8"/>
    <w:rsid w:val="00175351"/>
    <w:rsid w:val="00175854"/>
    <w:rsid w:val="0017598A"/>
    <w:rsid w:val="00175F60"/>
    <w:rsid w:val="00176050"/>
    <w:rsid w:val="001764D8"/>
    <w:rsid w:val="00176A8F"/>
    <w:rsid w:val="001809EB"/>
    <w:rsid w:val="00180D58"/>
    <w:rsid w:val="00181362"/>
    <w:rsid w:val="00182981"/>
    <w:rsid w:val="00184A20"/>
    <w:rsid w:val="00184CF9"/>
    <w:rsid w:val="00185010"/>
    <w:rsid w:val="001852EC"/>
    <w:rsid w:val="00186447"/>
    <w:rsid w:val="001874CF"/>
    <w:rsid w:val="0018770F"/>
    <w:rsid w:val="00190214"/>
    <w:rsid w:val="00190D9B"/>
    <w:rsid w:val="00191BAE"/>
    <w:rsid w:val="00193432"/>
    <w:rsid w:val="0019346C"/>
    <w:rsid w:val="00195444"/>
    <w:rsid w:val="001A199D"/>
    <w:rsid w:val="001A2A44"/>
    <w:rsid w:val="001A2BDB"/>
    <w:rsid w:val="001A30F4"/>
    <w:rsid w:val="001A4BF4"/>
    <w:rsid w:val="001A4C0D"/>
    <w:rsid w:val="001A4F20"/>
    <w:rsid w:val="001A552F"/>
    <w:rsid w:val="001A56F3"/>
    <w:rsid w:val="001A737B"/>
    <w:rsid w:val="001A750C"/>
    <w:rsid w:val="001A7F49"/>
    <w:rsid w:val="001B10C0"/>
    <w:rsid w:val="001B1B54"/>
    <w:rsid w:val="001B1D89"/>
    <w:rsid w:val="001B2512"/>
    <w:rsid w:val="001B3110"/>
    <w:rsid w:val="001B3F37"/>
    <w:rsid w:val="001B4198"/>
    <w:rsid w:val="001B44BC"/>
    <w:rsid w:val="001B4CCF"/>
    <w:rsid w:val="001B54FA"/>
    <w:rsid w:val="001B5888"/>
    <w:rsid w:val="001B618F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68C"/>
    <w:rsid w:val="001C3A37"/>
    <w:rsid w:val="001C4384"/>
    <w:rsid w:val="001C4C8D"/>
    <w:rsid w:val="001C4E7D"/>
    <w:rsid w:val="001C65FF"/>
    <w:rsid w:val="001C7FB7"/>
    <w:rsid w:val="001D1155"/>
    <w:rsid w:val="001D222C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555"/>
    <w:rsid w:val="001E5563"/>
    <w:rsid w:val="001E5830"/>
    <w:rsid w:val="001E670D"/>
    <w:rsid w:val="001E684C"/>
    <w:rsid w:val="001E701C"/>
    <w:rsid w:val="001E7C03"/>
    <w:rsid w:val="001F01CF"/>
    <w:rsid w:val="001F02AF"/>
    <w:rsid w:val="001F0649"/>
    <w:rsid w:val="001F0A76"/>
    <w:rsid w:val="001F28F4"/>
    <w:rsid w:val="001F2CC6"/>
    <w:rsid w:val="001F2D59"/>
    <w:rsid w:val="001F3055"/>
    <w:rsid w:val="001F31BC"/>
    <w:rsid w:val="001F31F5"/>
    <w:rsid w:val="001F378E"/>
    <w:rsid w:val="001F3C79"/>
    <w:rsid w:val="001F3E68"/>
    <w:rsid w:val="001F3F8E"/>
    <w:rsid w:val="001F4597"/>
    <w:rsid w:val="001F4599"/>
    <w:rsid w:val="001F56A9"/>
    <w:rsid w:val="001F5C6A"/>
    <w:rsid w:val="001F5D00"/>
    <w:rsid w:val="001F670A"/>
    <w:rsid w:val="001F6CAA"/>
    <w:rsid w:val="00200D15"/>
    <w:rsid w:val="00201F3C"/>
    <w:rsid w:val="0020223B"/>
    <w:rsid w:val="0020297F"/>
    <w:rsid w:val="00203074"/>
    <w:rsid w:val="00203B46"/>
    <w:rsid w:val="002048E1"/>
    <w:rsid w:val="002056A8"/>
    <w:rsid w:val="00205DF4"/>
    <w:rsid w:val="0020609C"/>
    <w:rsid w:val="002075FA"/>
    <w:rsid w:val="00207DB6"/>
    <w:rsid w:val="00210278"/>
    <w:rsid w:val="00210CC2"/>
    <w:rsid w:val="00210F5B"/>
    <w:rsid w:val="00210FFA"/>
    <w:rsid w:val="00211262"/>
    <w:rsid w:val="002115F5"/>
    <w:rsid w:val="00211AC9"/>
    <w:rsid w:val="00211AF3"/>
    <w:rsid w:val="002122F8"/>
    <w:rsid w:val="002126AD"/>
    <w:rsid w:val="0021355B"/>
    <w:rsid w:val="00217965"/>
    <w:rsid w:val="002179F9"/>
    <w:rsid w:val="002205F2"/>
    <w:rsid w:val="0022080E"/>
    <w:rsid w:val="0022139E"/>
    <w:rsid w:val="0022221B"/>
    <w:rsid w:val="0022272B"/>
    <w:rsid w:val="00222A99"/>
    <w:rsid w:val="00223678"/>
    <w:rsid w:val="002236F7"/>
    <w:rsid w:val="00223E00"/>
    <w:rsid w:val="002252E0"/>
    <w:rsid w:val="002255F6"/>
    <w:rsid w:val="00226029"/>
    <w:rsid w:val="00226466"/>
    <w:rsid w:val="002266D0"/>
    <w:rsid w:val="00226887"/>
    <w:rsid w:val="002272B3"/>
    <w:rsid w:val="00230DAD"/>
    <w:rsid w:val="00231195"/>
    <w:rsid w:val="0023229C"/>
    <w:rsid w:val="00232FB4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2730"/>
    <w:rsid w:val="002436BA"/>
    <w:rsid w:val="00243924"/>
    <w:rsid w:val="0024442C"/>
    <w:rsid w:val="002444ED"/>
    <w:rsid w:val="00244A15"/>
    <w:rsid w:val="00244D40"/>
    <w:rsid w:val="00246AE9"/>
    <w:rsid w:val="0024799E"/>
    <w:rsid w:val="00250521"/>
    <w:rsid w:val="00250C59"/>
    <w:rsid w:val="00250D82"/>
    <w:rsid w:val="00250E0D"/>
    <w:rsid w:val="00251D59"/>
    <w:rsid w:val="00252602"/>
    <w:rsid w:val="00252943"/>
    <w:rsid w:val="00252FDC"/>
    <w:rsid w:val="00257613"/>
    <w:rsid w:val="00261E5B"/>
    <w:rsid w:val="00262F34"/>
    <w:rsid w:val="0026319D"/>
    <w:rsid w:val="00263470"/>
    <w:rsid w:val="00263733"/>
    <w:rsid w:val="00264676"/>
    <w:rsid w:val="00265536"/>
    <w:rsid w:val="00265E54"/>
    <w:rsid w:val="0026658D"/>
    <w:rsid w:val="00266F3E"/>
    <w:rsid w:val="002702CC"/>
    <w:rsid w:val="00270785"/>
    <w:rsid w:val="002714E2"/>
    <w:rsid w:val="00272464"/>
    <w:rsid w:val="00272823"/>
    <w:rsid w:val="00273DCD"/>
    <w:rsid w:val="00274291"/>
    <w:rsid w:val="00276CFE"/>
    <w:rsid w:val="00277071"/>
    <w:rsid w:val="0027786C"/>
    <w:rsid w:val="00277BF7"/>
    <w:rsid w:val="002813A2"/>
    <w:rsid w:val="00281416"/>
    <w:rsid w:val="00281688"/>
    <w:rsid w:val="00283C84"/>
    <w:rsid w:val="00285CD3"/>
    <w:rsid w:val="00286220"/>
    <w:rsid w:val="0028686A"/>
    <w:rsid w:val="00286E66"/>
    <w:rsid w:val="002870B7"/>
    <w:rsid w:val="002919B5"/>
    <w:rsid w:val="00293441"/>
    <w:rsid w:val="0029390D"/>
    <w:rsid w:val="00294238"/>
    <w:rsid w:val="0029493E"/>
    <w:rsid w:val="002962E0"/>
    <w:rsid w:val="00296B2C"/>
    <w:rsid w:val="00296BB2"/>
    <w:rsid w:val="00296C2E"/>
    <w:rsid w:val="002A1B05"/>
    <w:rsid w:val="002A267F"/>
    <w:rsid w:val="002A2CAF"/>
    <w:rsid w:val="002A3354"/>
    <w:rsid w:val="002A35EA"/>
    <w:rsid w:val="002A37B6"/>
    <w:rsid w:val="002A3BD5"/>
    <w:rsid w:val="002A3F79"/>
    <w:rsid w:val="002A43A2"/>
    <w:rsid w:val="002A44ED"/>
    <w:rsid w:val="002A4612"/>
    <w:rsid w:val="002A4F70"/>
    <w:rsid w:val="002A5170"/>
    <w:rsid w:val="002A5263"/>
    <w:rsid w:val="002A6821"/>
    <w:rsid w:val="002A74D2"/>
    <w:rsid w:val="002A7CDA"/>
    <w:rsid w:val="002A7E0A"/>
    <w:rsid w:val="002A7F47"/>
    <w:rsid w:val="002B1544"/>
    <w:rsid w:val="002B22BD"/>
    <w:rsid w:val="002B2593"/>
    <w:rsid w:val="002B36C8"/>
    <w:rsid w:val="002B4A9C"/>
    <w:rsid w:val="002B71B4"/>
    <w:rsid w:val="002B7240"/>
    <w:rsid w:val="002B7590"/>
    <w:rsid w:val="002C0FF4"/>
    <w:rsid w:val="002C125A"/>
    <w:rsid w:val="002C2668"/>
    <w:rsid w:val="002C2BAF"/>
    <w:rsid w:val="002C43BD"/>
    <w:rsid w:val="002C493D"/>
    <w:rsid w:val="002C5261"/>
    <w:rsid w:val="002C6091"/>
    <w:rsid w:val="002D0562"/>
    <w:rsid w:val="002D1114"/>
    <w:rsid w:val="002D1B5A"/>
    <w:rsid w:val="002D2500"/>
    <w:rsid w:val="002D338A"/>
    <w:rsid w:val="002D399F"/>
    <w:rsid w:val="002D3F00"/>
    <w:rsid w:val="002D4D59"/>
    <w:rsid w:val="002D52D0"/>
    <w:rsid w:val="002D54BF"/>
    <w:rsid w:val="002D5579"/>
    <w:rsid w:val="002D5E94"/>
    <w:rsid w:val="002D632D"/>
    <w:rsid w:val="002D6CBA"/>
    <w:rsid w:val="002D6F36"/>
    <w:rsid w:val="002E02A1"/>
    <w:rsid w:val="002E0982"/>
    <w:rsid w:val="002E0DB9"/>
    <w:rsid w:val="002E270D"/>
    <w:rsid w:val="002E2CE4"/>
    <w:rsid w:val="002E34F3"/>
    <w:rsid w:val="002E3CC8"/>
    <w:rsid w:val="002E435E"/>
    <w:rsid w:val="002E73F2"/>
    <w:rsid w:val="002F33FB"/>
    <w:rsid w:val="002F38B5"/>
    <w:rsid w:val="002F4825"/>
    <w:rsid w:val="002F663A"/>
    <w:rsid w:val="002F68A4"/>
    <w:rsid w:val="002F7594"/>
    <w:rsid w:val="00300D6F"/>
    <w:rsid w:val="00301357"/>
    <w:rsid w:val="00301D04"/>
    <w:rsid w:val="00302033"/>
    <w:rsid w:val="00302429"/>
    <w:rsid w:val="00302CC5"/>
    <w:rsid w:val="003035D4"/>
    <w:rsid w:val="00303DCB"/>
    <w:rsid w:val="00304771"/>
    <w:rsid w:val="00305736"/>
    <w:rsid w:val="00306C5B"/>
    <w:rsid w:val="00306E3B"/>
    <w:rsid w:val="00307277"/>
    <w:rsid w:val="003119B6"/>
    <w:rsid w:val="00311A14"/>
    <w:rsid w:val="00312237"/>
    <w:rsid w:val="00312C3D"/>
    <w:rsid w:val="00314331"/>
    <w:rsid w:val="00314F9F"/>
    <w:rsid w:val="003165BF"/>
    <w:rsid w:val="00317538"/>
    <w:rsid w:val="00317E31"/>
    <w:rsid w:val="00320214"/>
    <w:rsid w:val="003209D6"/>
    <w:rsid w:val="0032109A"/>
    <w:rsid w:val="0032214F"/>
    <w:rsid w:val="00322164"/>
    <w:rsid w:val="00322A2F"/>
    <w:rsid w:val="00322CED"/>
    <w:rsid w:val="00323CF7"/>
    <w:rsid w:val="00323E61"/>
    <w:rsid w:val="0032513D"/>
    <w:rsid w:val="00325B20"/>
    <w:rsid w:val="00326251"/>
    <w:rsid w:val="0032739C"/>
    <w:rsid w:val="00327DEE"/>
    <w:rsid w:val="003302DA"/>
    <w:rsid w:val="00330EB0"/>
    <w:rsid w:val="00331544"/>
    <w:rsid w:val="00331785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4613F"/>
    <w:rsid w:val="00351B63"/>
    <w:rsid w:val="00351F7E"/>
    <w:rsid w:val="00352061"/>
    <w:rsid w:val="00352E57"/>
    <w:rsid w:val="003541B0"/>
    <w:rsid w:val="0035457E"/>
    <w:rsid w:val="00355885"/>
    <w:rsid w:val="0035605E"/>
    <w:rsid w:val="00356106"/>
    <w:rsid w:val="0035612B"/>
    <w:rsid w:val="00357449"/>
    <w:rsid w:val="003576A8"/>
    <w:rsid w:val="0036238B"/>
    <w:rsid w:val="00363A2A"/>
    <w:rsid w:val="003651A4"/>
    <w:rsid w:val="00365680"/>
    <w:rsid w:val="0036572A"/>
    <w:rsid w:val="003657F3"/>
    <w:rsid w:val="00366D4D"/>
    <w:rsid w:val="00367038"/>
    <w:rsid w:val="00370963"/>
    <w:rsid w:val="0037144E"/>
    <w:rsid w:val="003721D6"/>
    <w:rsid w:val="003736B5"/>
    <w:rsid w:val="00373809"/>
    <w:rsid w:val="00374F1E"/>
    <w:rsid w:val="00376CBB"/>
    <w:rsid w:val="00376DEC"/>
    <w:rsid w:val="00377200"/>
    <w:rsid w:val="0038034A"/>
    <w:rsid w:val="00380E04"/>
    <w:rsid w:val="00380E6C"/>
    <w:rsid w:val="00383227"/>
    <w:rsid w:val="00383926"/>
    <w:rsid w:val="00384D8F"/>
    <w:rsid w:val="00385D98"/>
    <w:rsid w:val="00385EC5"/>
    <w:rsid w:val="0038658E"/>
    <w:rsid w:val="00390561"/>
    <w:rsid w:val="0039066E"/>
    <w:rsid w:val="00391C95"/>
    <w:rsid w:val="0039462F"/>
    <w:rsid w:val="00394D49"/>
    <w:rsid w:val="003950BC"/>
    <w:rsid w:val="00396DAC"/>
    <w:rsid w:val="003A0214"/>
    <w:rsid w:val="003A027D"/>
    <w:rsid w:val="003A09DB"/>
    <w:rsid w:val="003A1D74"/>
    <w:rsid w:val="003A28DB"/>
    <w:rsid w:val="003A2B4D"/>
    <w:rsid w:val="003A2D2B"/>
    <w:rsid w:val="003A2DD4"/>
    <w:rsid w:val="003A3B1C"/>
    <w:rsid w:val="003A3E1C"/>
    <w:rsid w:val="003A4088"/>
    <w:rsid w:val="003A478C"/>
    <w:rsid w:val="003A4F82"/>
    <w:rsid w:val="003A5525"/>
    <w:rsid w:val="003A5648"/>
    <w:rsid w:val="003A6B38"/>
    <w:rsid w:val="003B2580"/>
    <w:rsid w:val="003B27D4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162"/>
    <w:rsid w:val="003C59F2"/>
    <w:rsid w:val="003C5BC7"/>
    <w:rsid w:val="003C601E"/>
    <w:rsid w:val="003C66C4"/>
    <w:rsid w:val="003D0765"/>
    <w:rsid w:val="003D2C4E"/>
    <w:rsid w:val="003D3600"/>
    <w:rsid w:val="003D3825"/>
    <w:rsid w:val="003D3EC4"/>
    <w:rsid w:val="003D3FB7"/>
    <w:rsid w:val="003D4760"/>
    <w:rsid w:val="003D49DC"/>
    <w:rsid w:val="003D4DD9"/>
    <w:rsid w:val="003D5D7A"/>
    <w:rsid w:val="003E00B9"/>
    <w:rsid w:val="003E0663"/>
    <w:rsid w:val="003E133F"/>
    <w:rsid w:val="003E49F6"/>
    <w:rsid w:val="003E4F5C"/>
    <w:rsid w:val="003E699C"/>
    <w:rsid w:val="003E69F3"/>
    <w:rsid w:val="003E6B1F"/>
    <w:rsid w:val="003E6CAF"/>
    <w:rsid w:val="003E782E"/>
    <w:rsid w:val="003E7A0B"/>
    <w:rsid w:val="003E7B2B"/>
    <w:rsid w:val="003F0297"/>
    <w:rsid w:val="003F0CE4"/>
    <w:rsid w:val="003F181F"/>
    <w:rsid w:val="003F1A48"/>
    <w:rsid w:val="003F1E23"/>
    <w:rsid w:val="003F2B0A"/>
    <w:rsid w:val="003F313C"/>
    <w:rsid w:val="003F341B"/>
    <w:rsid w:val="003F37FC"/>
    <w:rsid w:val="003F3A26"/>
    <w:rsid w:val="003F49A6"/>
    <w:rsid w:val="003F5098"/>
    <w:rsid w:val="003F5568"/>
    <w:rsid w:val="003F5A95"/>
    <w:rsid w:val="003F6D19"/>
    <w:rsid w:val="004000D5"/>
    <w:rsid w:val="00400244"/>
    <w:rsid w:val="004005C1"/>
    <w:rsid w:val="00401716"/>
    <w:rsid w:val="00401A09"/>
    <w:rsid w:val="0040273A"/>
    <w:rsid w:val="00402C25"/>
    <w:rsid w:val="004050D7"/>
    <w:rsid w:val="00405507"/>
    <w:rsid w:val="00405FC7"/>
    <w:rsid w:val="004078BD"/>
    <w:rsid w:val="00410132"/>
    <w:rsid w:val="00410BCD"/>
    <w:rsid w:val="00410DE5"/>
    <w:rsid w:val="0041175D"/>
    <w:rsid w:val="004123BE"/>
    <w:rsid w:val="00414CE5"/>
    <w:rsid w:val="00416673"/>
    <w:rsid w:val="004173A7"/>
    <w:rsid w:val="0042160D"/>
    <w:rsid w:val="00423A3C"/>
    <w:rsid w:val="0042570C"/>
    <w:rsid w:val="0042681B"/>
    <w:rsid w:val="00427193"/>
    <w:rsid w:val="0043068A"/>
    <w:rsid w:val="004306E0"/>
    <w:rsid w:val="00431D32"/>
    <w:rsid w:val="00431D54"/>
    <w:rsid w:val="00432041"/>
    <w:rsid w:val="004329BE"/>
    <w:rsid w:val="00432C38"/>
    <w:rsid w:val="004342EC"/>
    <w:rsid w:val="0043509C"/>
    <w:rsid w:val="00437C76"/>
    <w:rsid w:val="0044105C"/>
    <w:rsid w:val="004422DD"/>
    <w:rsid w:val="00443E95"/>
    <w:rsid w:val="004441A0"/>
    <w:rsid w:val="00444268"/>
    <w:rsid w:val="00444326"/>
    <w:rsid w:val="004443BF"/>
    <w:rsid w:val="00444C19"/>
    <w:rsid w:val="00445218"/>
    <w:rsid w:val="00445CDD"/>
    <w:rsid w:val="004464D5"/>
    <w:rsid w:val="00446892"/>
    <w:rsid w:val="00447E36"/>
    <w:rsid w:val="00450326"/>
    <w:rsid w:val="00450700"/>
    <w:rsid w:val="0045095C"/>
    <w:rsid w:val="00450C30"/>
    <w:rsid w:val="00451AD1"/>
    <w:rsid w:val="00452819"/>
    <w:rsid w:val="004529C7"/>
    <w:rsid w:val="004540FF"/>
    <w:rsid w:val="004541F1"/>
    <w:rsid w:val="00455ECA"/>
    <w:rsid w:val="00456031"/>
    <w:rsid w:val="0045726E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0FB"/>
    <w:rsid w:val="0046471F"/>
    <w:rsid w:val="00464BE8"/>
    <w:rsid w:val="00465019"/>
    <w:rsid w:val="00465FA4"/>
    <w:rsid w:val="0046613F"/>
    <w:rsid w:val="0046655D"/>
    <w:rsid w:val="0046765E"/>
    <w:rsid w:val="004676E2"/>
    <w:rsid w:val="00467FB8"/>
    <w:rsid w:val="00471EDD"/>
    <w:rsid w:val="00473E94"/>
    <w:rsid w:val="0047400C"/>
    <w:rsid w:val="004745D9"/>
    <w:rsid w:val="004762D8"/>
    <w:rsid w:val="004765B3"/>
    <w:rsid w:val="00476D29"/>
    <w:rsid w:val="00477241"/>
    <w:rsid w:val="00477D39"/>
    <w:rsid w:val="00477EAF"/>
    <w:rsid w:val="00477EE0"/>
    <w:rsid w:val="00480AB8"/>
    <w:rsid w:val="00480B92"/>
    <w:rsid w:val="0048139F"/>
    <w:rsid w:val="00481C00"/>
    <w:rsid w:val="00483053"/>
    <w:rsid w:val="0048414D"/>
    <w:rsid w:val="00484874"/>
    <w:rsid w:val="00485230"/>
    <w:rsid w:val="004859B2"/>
    <w:rsid w:val="004879E9"/>
    <w:rsid w:val="00487F81"/>
    <w:rsid w:val="00490247"/>
    <w:rsid w:val="0049104F"/>
    <w:rsid w:val="00491218"/>
    <w:rsid w:val="004914B2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0400"/>
    <w:rsid w:val="004B0803"/>
    <w:rsid w:val="004B10A8"/>
    <w:rsid w:val="004B22DA"/>
    <w:rsid w:val="004B3CB7"/>
    <w:rsid w:val="004B3D55"/>
    <w:rsid w:val="004B55B7"/>
    <w:rsid w:val="004B5836"/>
    <w:rsid w:val="004B623C"/>
    <w:rsid w:val="004B6A7F"/>
    <w:rsid w:val="004C00A6"/>
    <w:rsid w:val="004C0BBB"/>
    <w:rsid w:val="004C1AD6"/>
    <w:rsid w:val="004C1B86"/>
    <w:rsid w:val="004C2AF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025"/>
    <w:rsid w:val="004D458D"/>
    <w:rsid w:val="004D504B"/>
    <w:rsid w:val="004D536E"/>
    <w:rsid w:val="004D5D6E"/>
    <w:rsid w:val="004D74FF"/>
    <w:rsid w:val="004D76CC"/>
    <w:rsid w:val="004E1803"/>
    <w:rsid w:val="004E1839"/>
    <w:rsid w:val="004E4A75"/>
    <w:rsid w:val="004E541A"/>
    <w:rsid w:val="004E5A5C"/>
    <w:rsid w:val="004E7007"/>
    <w:rsid w:val="004E76D6"/>
    <w:rsid w:val="004E7F57"/>
    <w:rsid w:val="004F0119"/>
    <w:rsid w:val="004F06F5"/>
    <w:rsid w:val="004F0C84"/>
    <w:rsid w:val="004F191F"/>
    <w:rsid w:val="004F2A73"/>
    <w:rsid w:val="004F33A0"/>
    <w:rsid w:val="004F4353"/>
    <w:rsid w:val="004F447D"/>
    <w:rsid w:val="004F4C28"/>
    <w:rsid w:val="004F4E82"/>
    <w:rsid w:val="004F5CC5"/>
    <w:rsid w:val="004F6350"/>
    <w:rsid w:val="004F67DF"/>
    <w:rsid w:val="00502230"/>
    <w:rsid w:val="005028E1"/>
    <w:rsid w:val="005029C3"/>
    <w:rsid w:val="0050692E"/>
    <w:rsid w:val="00507040"/>
    <w:rsid w:val="005079F8"/>
    <w:rsid w:val="00510189"/>
    <w:rsid w:val="005106F1"/>
    <w:rsid w:val="005108C0"/>
    <w:rsid w:val="00511873"/>
    <w:rsid w:val="0051367B"/>
    <w:rsid w:val="00513B7E"/>
    <w:rsid w:val="005140DE"/>
    <w:rsid w:val="00514474"/>
    <w:rsid w:val="005147E9"/>
    <w:rsid w:val="0051778E"/>
    <w:rsid w:val="005205A2"/>
    <w:rsid w:val="0052142D"/>
    <w:rsid w:val="005215EF"/>
    <w:rsid w:val="005230D0"/>
    <w:rsid w:val="00524637"/>
    <w:rsid w:val="00524E02"/>
    <w:rsid w:val="00524FDD"/>
    <w:rsid w:val="00525067"/>
    <w:rsid w:val="00525137"/>
    <w:rsid w:val="005251DD"/>
    <w:rsid w:val="005263D4"/>
    <w:rsid w:val="00526DB6"/>
    <w:rsid w:val="0053017A"/>
    <w:rsid w:val="00530492"/>
    <w:rsid w:val="00530C72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03"/>
    <w:rsid w:val="00537AFD"/>
    <w:rsid w:val="00537CB4"/>
    <w:rsid w:val="00541606"/>
    <w:rsid w:val="00542FA4"/>
    <w:rsid w:val="0054458F"/>
    <w:rsid w:val="0054495C"/>
    <w:rsid w:val="00544C1E"/>
    <w:rsid w:val="0054516B"/>
    <w:rsid w:val="0054559E"/>
    <w:rsid w:val="005513D5"/>
    <w:rsid w:val="005523B9"/>
    <w:rsid w:val="00552806"/>
    <w:rsid w:val="00553232"/>
    <w:rsid w:val="0055420D"/>
    <w:rsid w:val="005545E0"/>
    <w:rsid w:val="00554843"/>
    <w:rsid w:val="00554865"/>
    <w:rsid w:val="00554E57"/>
    <w:rsid w:val="00560403"/>
    <w:rsid w:val="00561B39"/>
    <w:rsid w:val="00562749"/>
    <w:rsid w:val="00562DE9"/>
    <w:rsid w:val="005638A5"/>
    <w:rsid w:val="00563BEB"/>
    <w:rsid w:val="00564AD6"/>
    <w:rsid w:val="00565109"/>
    <w:rsid w:val="00566381"/>
    <w:rsid w:val="00566A03"/>
    <w:rsid w:val="005703D7"/>
    <w:rsid w:val="00571932"/>
    <w:rsid w:val="00573C97"/>
    <w:rsid w:val="00574240"/>
    <w:rsid w:val="00575CDC"/>
    <w:rsid w:val="005765D5"/>
    <w:rsid w:val="00576A3E"/>
    <w:rsid w:val="0057703D"/>
    <w:rsid w:val="00583384"/>
    <w:rsid w:val="0058366F"/>
    <w:rsid w:val="00583D5B"/>
    <w:rsid w:val="00583FFD"/>
    <w:rsid w:val="00587CCD"/>
    <w:rsid w:val="00587E4C"/>
    <w:rsid w:val="00590502"/>
    <w:rsid w:val="005908AE"/>
    <w:rsid w:val="0059176E"/>
    <w:rsid w:val="00592854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563B"/>
    <w:rsid w:val="005A6AB4"/>
    <w:rsid w:val="005A7500"/>
    <w:rsid w:val="005A77E4"/>
    <w:rsid w:val="005A7A7A"/>
    <w:rsid w:val="005B0DE8"/>
    <w:rsid w:val="005B1BDB"/>
    <w:rsid w:val="005B2BAA"/>
    <w:rsid w:val="005B2D53"/>
    <w:rsid w:val="005B3247"/>
    <w:rsid w:val="005B3409"/>
    <w:rsid w:val="005B3BB7"/>
    <w:rsid w:val="005B498A"/>
    <w:rsid w:val="005B4E00"/>
    <w:rsid w:val="005B60B5"/>
    <w:rsid w:val="005B7B12"/>
    <w:rsid w:val="005C0D93"/>
    <w:rsid w:val="005C16CB"/>
    <w:rsid w:val="005C21D6"/>
    <w:rsid w:val="005C3871"/>
    <w:rsid w:val="005C3F9F"/>
    <w:rsid w:val="005C406F"/>
    <w:rsid w:val="005C4A23"/>
    <w:rsid w:val="005C562C"/>
    <w:rsid w:val="005C5812"/>
    <w:rsid w:val="005C6400"/>
    <w:rsid w:val="005C7F1E"/>
    <w:rsid w:val="005D2B4D"/>
    <w:rsid w:val="005D374F"/>
    <w:rsid w:val="005D4336"/>
    <w:rsid w:val="005D5802"/>
    <w:rsid w:val="005D6CFC"/>
    <w:rsid w:val="005D73E2"/>
    <w:rsid w:val="005D757A"/>
    <w:rsid w:val="005D7C4B"/>
    <w:rsid w:val="005E116A"/>
    <w:rsid w:val="005E1E4B"/>
    <w:rsid w:val="005E214F"/>
    <w:rsid w:val="005E362D"/>
    <w:rsid w:val="005E3A0C"/>
    <w:rsid w:val="005E3CC9"/>
    <w:rsid w:val="005E3FAC"/>
    <w:rsid w:val="005E4177"/>
    <w:rsid w:val="005E492C"/>
    <w:rsid w:val="005E4BAA"/>
    <w:rsid w:val="005E52EF"/>
    <w:rsid w:val="005E5B56"/>
    <w:rsid w:val="005E6088"/>
    <w:rsid w:val="005E61DF"/>
    <w:rsid w:val="005E6B65"/>
    <w:rsid w:val="005E6B78"/>
    <w:rsid w:val="005E75B8"/>
    <w:rsid w:val="005E7CE4"/>
    <w:rsid w:val="005F0976"/>
    <w:rsid w:val="005F16C3"/>
    <w:rsid w:val="005F26CE"/>
    <w:rsid w:val="005F4057"/>
    <w:rsid w:val="005F4088"/>
    <w:rsid w:val="005F601D"/>
    <w:rsid w:val="005F6119"/>
    <w:rsid w:val="005F77CA"/>
    <w:rsid w:val="005F7940"/>
    <w:rsid w:val="00600E81"/>
    <w:rsid w:val="0060107A"/>
    <w:rsid w:val="00601AFF"/>
    <w:rsid w:val="00602D1D"/>
    <w:rsid w:val="00603A7F"/>
    <w:rsid w:val="00604307"/>
    <w:rsid w:val="0060487F"/>
    <w:rsid w:val="00605814"/>
    <w:rsid w:val="00606B93"/>
    <w:rsid w:val="006076A7"/>
    <w:rsid w:val="00607727"/>
    <w:rsid w:val="00610BD5"/>
    <w:rsid w:val="00611531"/>
    <w:rsid w:val="006118AA"/>
    <w:rsid w:val="006132A2"/>
    <w:rsid w:val="006135BC"/>
    <w:rsid w:val="006139C7"/>
    <w:rsid w:val="006153E3"/>
    <w:rsid w:val="00615EDF"/>
    <w:rsid w:val="00616542"/>
    <w:rsid w:val="006167AB"/>
    <w:rsid w:val="00616EA3"/>
    <w:rsid w:val="00617D13"/>
    <w:rsid w:val="00617D2D"/>
    <w:rsid w:val="00617D83"/>
    <w:rsid w:val="00617EC9"/>
    <w:rsid w:val="00620430"/>
    <w:rsid w:val="00620AC5"/>
    <w:rsid w:val="00621575"/>
    <w:rsid w:val="006215FC"/>
    <w:rsid w:val="006228BE"/>
    <w:rsid w:val="00623B77"/>
    <w:rsid w:val="00624093"/>
    <w:rsid w:val="00624EC8"/>
    <w:rsid w:val="00625E54"/>
    <w:rsid w:val="00627678"/>
    <w:rsid w:val="00630F66"/>
    <w:rsid w:val="00631562"/>
    <w:rsid w:val="00631FC2"/>
    <w:rsid w:val="00632171"/>
    <w:rsid w:val="0063332A"/>
    <w:rsid w:val="00633FBD"/>
    <w:rsid w:val="006347F9"/>
    <w:rsid w:val="0063494E"/>
    <w:rsid w:val="00634C90"/>
    <w:rsid w:val="00635E79"/>
    <w:rsid w:val="00636E5E"/>
    <w:rsid w:val="006379E0"/>
    <w:rsid w:val="006404A7"/>
    <w:rsid w:val="006407F3"/>
    <w:rsid w:val="006408EC"/>
    <w:rsid w:val="0064129B"/>
    <w:rsid w:val="00641DF7"/>
    <w:rsid w:val="0064354E"/>
    <w:rsid w:val="00643A80"/>
    <w:rsid w:val="006446CA"/>
    <w:rsid w:val="00644DFC"/>
    <w:rsid w:val="006451E4"/>
    <w:rsid w:val="006454B4"/>
    <w:rsid w:val="00645A9C"/>
    <w:rsid w:val="0064608E"/>
    <w:rsid w:val="006460B8"/>
    <w:rsid w:val="00647313"/>
    <w:rsid w:val="006502D1"/>
    <w:rsid w:val="006504A0"/>
    <w:rsid w:val="00650B18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E1E"/>
    <w:rsid w:val="006637B1"/>
    <w:rsid w:val="00664B64"/>
    <w:rsid w:val="00664C15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32A0"/>
    <w:rsid w:val="00673940"/>
    <w:rsid w:val="00675E37"/>
    <w:rsid w:val="00676AFC"/>
    <w:rsid w:val="00676F11"/>
    <w:rsid w:val="00680079"/>
    <w:rsid w:val="00680F68"/>
    <w:rsid w:val="006812E6"/>
    <w:rsid w:val="0068173A"/>
    <w:rsid w:val="0068260E"/>
    <w:rsid w:val="00682BD7"/>
    <w:rsid w:val="0068373D"/>
    <w:rsid w:val="00683BFE"/>
    <w:rsid w:val="00683C08"/>
    <w:rsid w:val="0068437D"/>
    <w:rsid w:val="006857DF"/>
    <w:rsid w:val="00685E66"/>
    <w:rsid w:val="00686B72"/>
    <w:rsid w:val="00686BF1"/>
    <w:rsid w:val="00687AE5"/>
    <w:rsid w:val="00690A09"/>
    <w:rsid w:val="00690A25"/>
    <w:rsid w:val="006914E4"/>
    <w:rsid w:val="00693313"/>
    <w:rsid w:val="006936AD"/>
    <w:rsid w:val="00693EA1"/>
    <w:rsid w:val="00693FEA"/>
    <w:rsid w:val="00694930"/>
    <w:rsid w:val="006949B2"/>
    <w:rsid w:val="00695170"/>
    <w:rsid w:val="00695BEF"/>
    <w:rsid w:val="006960D6"/>
    <w:rsid w:val="00696AA5"/>
    <w:rsid w:val="006977F6"/>
    <w:rsid w:val="00697A13"/>
    <w:rsid w:val="006A0256"/>
    <w:rsid w:val="006A0AA6"/>
    <w:rsid w:val="006A109C"/>
    <w:rsid w:val="006A18AE"/>
    <w:rsid w:val="006A2EE8"/>
    <w:rsid w:val="006A3CF3"/>
    <w:rsid w:val="006A568F"/>
    <w:rsid w:val="006A65EF"/>
    <w:rsid w:val="006A672B"/>
    <w:rsid w:val="006A7E01"/>
    <w:rsid w:val="006B23A9"/>
    <w:rsid w:val="006B262C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53C7"/>
    <w:rsid w:val="006C5440"/>
    <w:rsid w:val="006C5577"/>
    <w:rsid w:val="006C559A"/>
    <w:rsid w:val="006C58FA"/>
    <w:rsid w:val="006C7458"/>
    <w:rsid w:val="006C7600"/>
    <w:rsid w:val="006D042D"/>
    <w:rsid w:val="006D06EF"/>
    <w:rsid w:val="006D142E"/>
    <w:rsid w:val="006D3290"/>
    <w:rsid w:val="006D4497"/>
    <w:rsid w:val="006D4E6F"/>
    <w:rsid w:val="006D61F6"/>
    <w:rsid w:val="006D6D7D"/>
    <w:rsid w:val="006E0937"/>
    <w:rsid w:val="006E0EB0"/>
    <w:rsid w:val="006E1F4C"/>
    <w:rsid w:val="006E22C8"/>
    <w:rsid w:val="006E279A"/>
    <w:rsid w:val="006E2F3F"/>
    <w:rsid w:val="006E313B"/>
    <w:rsid w:val="006E442A"/>
    <w:rsid w:val="006E4434"/>
    <w:rsid w:val="006E59FC"/>
    <w:rsid w:val="006E5CFD"/>
    <w:rsid w:val="006E7E2C"/>
    <w:rsid w:val="006F1326"/>
    <w:rsid w:val="006F2BEE"/>
    <w:rsid w:val="006F3708"/>
    <w:rsid w:val="006F3E6B"/>
    <w:rsid w:val="006F4619"/>
    <w:rsid w:val="006F489F"/>
    <w:rsid w:val="006F4A59"/>
    <w:rsid w:val="006F59A3"/>
    <w:rsid w:val="00700232"/>
    <w:rsid w:val="007014C7"/>
    <w:rsid w:val="00702D6F"/>
    <w:rsid w:val="00703B6C"/>
    <w:rsid w:val="00703C6B"/>
    <w:rsid w:val="007047D5"/>
    <w:rsid w:val="00705025"/>
    <w:rsid w:val="00705D98"/>
    <w:rsid w:val="00707891"/>
    <w:rsid w:val="00707D43"/>
    <w:rsid w:val="00711CB9"/>
    <w:rsid w:val="00711EF1"/>
    <w:rsid w:val="0071229A"/>
    <w:rsid w:val="00712572"/>
    <w:rsid w:val="00713495"/>
    <w:rsid w:val="00713EEB"/>
    <w:rsid w:val="007159D2"/>
    <w:rsid w:val="007200D6"/>
    <w:rsid w:val="0072050E"/>
    <w:rsid w:val="00720FA2"/>
    <w:rsid w:val="007211F5"/>
    <w:rsid w:val="00724666"/>
    <w:rsid w:val="00725492"/>
    <w:rsid w:val="00726043"/>
    <w:rsid w:val="0072704A"/>
    <w:rsid w:val="007303DF"/>
    <w:rsid w:val="00730AE8"/>
    <w:rsid w:val="007315DA"/>
    <w:rsid w:val="00731963"/>
    <w:rsid w:val="00734321"/>
    <w:rsid w:val="0073532E"/>
    <w:rsid w:val="007377A7"/>
    <w:rsid w:val="00740310"/>
    <w:rsid w:val="00740652"/>
    <w:rsid w:val="00740F02"/>
    <w:rsid w:val="00740FEC"/>
    <w:rsid w:val="0074103A"/>
    <w:rsid w:val="0074132E"/>
    <w:rsid w:val="00741493"/>
    <w:rsid w:val="00741C92"/>
    <w:rsid w:val="007426B3"/>
    <w:rsid w:val="007426FD"/>
    <w:rsid w:val="0074329D"/>
    <w:rsid w:val="00743861"/>
    <w:rsid w:val="00744376"/>
    <w:rsid w:val="007449EA"/>
    <w:rsid w:val="00744D00"/>
    <w:rsid w:val="00745273"/>
    <w:rsid w:val="00746DD9"/>
    <w:rsid w:val="0075057A"/>
    <w:rsid w:val="00751771"/>
    <w:rsid w:val="00751C1C"/>
    <w:rsid w:val="00752180"/>
    <w:rsid w:val="007521A1"/>
    <w:rsid w:val="0075275A"/>
    <w:rsid w:val="00752BC3"/>
    <w:rsid w:val="0075315D"/>
    <w:rsid w:val="007538F9"/>
    <w:rsid w:val="00754253"/>
    <w:rsid w:val="00755045"/>
    <w:rsid w:val="007552BB"/>
    <w:rsid w:val="007558D3"/>
    <w:rsid w:val="007559D7"/>
    <w:rsid w:val="00755D3A"/>
    <w:rsid w:val="00760141"/>
    <w:rsid w:val="007609C6"/>
    <w:rsid w:val="007610A0"/>
    <w:rsid w:val="00761D43"/>
    <w:rsid w:val="00762036"/>
    <w:rsid w:val="007620F2"/>
    <w:rsid w:val="00762EBA"/>
    <w:rsid w:val="00763547"/>
    <w:rsid w:val="0076359D"/>
    <w:rsid w:val="007639E7"/>
    <w:rsid w:val="0077058D"/>
    <w:rsid w:val="007708DF"/>
    <w:rsid w:val="00772536"/>
    <w:rsid w:val="00773613"/>
    <w:rsid w:val="00774782"/>
    <w:rsid w:val="00776476"/>
    <w:rsid w:val="00776527"/>
    <w:rsid w:val="0077744C"/>
    <w:rsid w:val="007805E1"/>
    <w:rsid w:val="0078113E"/>
    <w:rsid w:val="00781834"/>
    <w:rsid w:val="007821DB"/>
    <w:rsid w:val="00782818"/>
    <w:rsid w:val="007838F1"/>
    <w:rsid w:val="00784712"/>
    <w:rsid w:val="00784C4A"/>
    <w:rsid w:val="00785FCA"/>
    <w:rsid w:val="00787432"/>
    <w:rsid w:val="00787507"/>
    <w:rsid w:val="0078777B"/>
    <w:rsid w:val="00787959"/>
    <w:rsid w:val="007879F2"/>
    <w:rsid w:val="00791CF8"/>
    <w:rsid w:val="00791E7B"/>
    <w:rsid w:val="00791EF9"/>
    <w:rsid w:val="00792262"/>
    <w:rsid w:val="00793387"/>
    <w:rsid w:val="00793BAE"/>
    <w:rsid w:val="00794E0A"/>
    <w:rsid w:val="007952D6"/>
    <w:rsid w:val="00796642"/>
    <w:rsid w:val="007A0BF4"/>
    <w:rsid w:val="007A11D9"/>
    <w:rsid w:val="007A327B"/>
    <w:rsid w:val="007A3BC7"/>
    <w:rsid w:val="007A4048"/>
    <w:rsid w:val="007A45B1"/>
    <w:rsid w:val="007A4606"/>
    <w:rsid w:val="007A48FC"/>
    <w:rsid w:val="007A5AC8"/>
    <w:rsid w:val="007B010B"/>
    <w:rsid w:val="007B06C4"/>
    <w:rsid w:val="007B089E"/>
    <w:rsid w:val="007B0D67"/>
    <w:rsid w:val="007B1966"/>
    <w:rsid w:val="007B19FC"/>
    <w:rsid w:val="007B2779"/>
    <w:rsid w:val="007B3DCC"/>
    <w:rsid w:val="007B4518"/>
    <w:rsid w:val="007B5031"/>
    <w:rsid w:val="007B573F"/>
    <w:rsid w:val="007B75A9"/>
    <w:rsid w:val="007B78F8"/>
    <w:rsid w:val="007C0065"/>
    <w:rsid w:val="007C010B"/>
    <w:rsid w:val="007C3AE3"/>
    <w:rsid w:val="007C605B"/>
    <w:rsid w:val="007D2A5A"/>
    <w:rsid w:val="007D2AD8"/>
    <w:rsid w:val="007D2C47"/>
    <w:rsid w:val="007D2F81"/>
    <w:rsid w:val="007D3167"/>
    <w:rsid w:val="007D4128"/>
    <w:rsid w:val="007D4281"/>
    <w:rsid w:val="007D42F5"/>
    <w:rsid w:val="007D44C3"/>
    <w:rsid w:val="007D4AA5"/>
    <w:rsid w:val="007D5947"/>
    <w:rsid w:val="007D65C1"/>
    <w:rsid w:val="007E0278"/>
    <w:rsid w:val="007E030F"/>
    <w:rsid w:val="007E0E59"/>
    <w:rsid w:val="007E0F4B"/>
    <w:rsid w:val="007E1D89"/>
    <w:rsid w:val="007E292E"/>
    <w:rsid w:val="007E3715"/>
    <w:rsid w:val="007E527B"/>
    <w:rsid w:val="007E54E8"/>
    <w:rsid w:val="007E6A56"/>
    <w:rsid w:val="007E7E61"/>
    <w:rsid w:val="007F0037"/>
    <w:rsid w:val="007F0845"/>
    <w:rsid w:val="007F123D"/>
    <w:rsid w:val="007F16F9"/>
    <w:rsid w:val="007F2732"/>
    <w:rsid w:val="007F2E1A"/>
    <w:rsid w:val="007F3E3E"/>
    <w:rsid w:val="007F4167"/>
    <w:rsid w:val="007F42E0"/>
    <w:rsid w:val="007F43A1"/>
    <w:rsid w:val="007F500D"/>
    <w:rsid w:val="007F5F14"/>
    <w:rsid w:val="007F7B54"/>
    <w:rsid w:val="00800073"/>
    <w:rsid w:val="008005D7"/>
    <w:rsid w:val="00801FDD"/>
    <w:rsid w:val="008020C2"/>
    <w:rsid w:val="0080255C"/>
    <w:rsid w:val="00803BD2"/>
    <w:rsid w:val="00804914"/>
    <w:rsid w:val="00806625"/>
    <w:rsid w:val="00806D07"/>
    <w:rsid w:val="00807B2D"/>
    <w:rsid w:val="00811859"/>
    <w:rsid w:val="0081187C"/>
    <w:rsid w:val="00811E24"/>
    <w:rsid w:val="00812386"/>
    <w:rsid w:val="00812E2B"/>
    <w:rsid w:val="008137CD"/>
    <w:rsid w:val="00813A70"/>
    <w:rsid w:val="00813FE6"/>
    <w:rsid w:val="00815C6E"/>
    <w:rsid w:val="0081645F"/>
    <w:rsid w:val="00816608"/>
    <w:rsid w:val="00816E02"/>
    <w:rsid w:val="00817702"/>
    <w:rsid w:val="00817755"/>
    <w:rsid w:val="008178C2"/>
    <w:rsid w:val="008178CF"/>
    <w:rsid w:val="00817C98"/>
    <w:rsid w:val="00820773"/>
    <w:rsid w:val="00820C9F"/>
    <w:rsid w:val="0082132B"/>
    <w:rsid w:val="00821FF6"/>
    <w:rsid w:val="00823AAF"/>
    <w:rsid w:val="0082401E"/>
    <w:rsid w:val="00824081"/>
    <w:rsid w:val="0082409A"/>
    <w:rsid w:val="008252D7"/>
    <w:rsid w:val="008253E0"/>
    <w:rsid w:val="00825C0F"/>
    <w:rsid w:val="00826ED1"/>
    <w:rsid w:val="00827181"/>
    <w:rsid w:val="0082733C"/>
    <w:rsid w:val="00827746"/>
    <w:rsid w:val="0083102D"/>
    <w:rsid w:val="0083143E"/>
    <w:rsid w:val="0083159D"/>
    <w:rsid w:val="008318FF"/>
    <w:rsid w:val="00831EF3"/>
    <w:rsid w:val="00832187"/>
    <w:rsid w:val="0083239D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604"/>
    <w:rsid w:val="00843ECF"/>
    <w:rsid w:val="00845AB1"/>
    <w:rsid w:val="00846673"/>
    <w:rsid w:val="0085049D"/>
    <w:rsid w:val="008507C8"/>
    <w:rsid w:val="0085281A"/>
    <w:rsid w:val="008559FE"/>
    <w:rsid w:val="00855F63"/>
    <w:rsid w:val="00857339"/>
    <w:rsid w:val="00860706"/>
    <w:rsid w:val="0086158A"/>
    <w:rsid w:val="00861DCB"/>
    <w:rsid w:val="00862A7A"/>
    <w:rsid w:val="00863104"/>
    <w:rsid w:val="008636CD"/>
    <w:rsid w:val="00863D9E"/>
    <w:rsid w:val="00863FDC"/>
    <w:rsid w:val="008642AF"/>
    <w:rsid w:val="00865729"/>
    <w:rsid w:val="00865ED4"/>
    <w:rsid w:val="008669A7"/>
    <w:rsid w:val="00867E29"/>
    <w:rsid w:val="00870F2B"/>
    <w:rsid w:val="00871F03"/>
    <w:rsid w:val="008724FE"/>
    <w:rsid w:val="008746E6"/>
    <w:rsid w:val="00875174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26F7"/>
    <w:rsid w:val="0088369C"/>
    <w:rsid w:val="00883A67"/>
    <w:rsid w:val="00883D45"/>
    <w:rsid w:val="00884D69"/>
    <w:rsid w:val="00884DD6"/>
    <w:rsid w:val="0088503D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4E39"/>
    <w:rsid w:val="008A615E"/>
    <w:rsid w:val="008A632B"/>
    <w:rsid w:val="008A6BFE"/>
    <w:rsid w:val="008A7D9F"/>
    <w:rsid w:val="008B00C2"/>
    <w:rsid w:val="008B07EF"/>
    <w:rsid w:val="008B16DE"/>
    <w:rsid w:val="008B190E"/>
    <w:rsid w:val="008B1A8A"/>
    <w:rsid w:val="008B1FC9"/>
    <w:rsid w:val="008B531F"/>
    <w:rsid w:val="008B6B67"/>
    <w:rsid w:val="008B7306"/>
    <w:rsid w:val="008B775F"/>
    <w:rsid w:val="008B7C02"/>
    <w:rsid w:val="008B7C62"/>
    <w:rsid w:val="008B7D13"/>
    <w:rsid w:val="008B7F9E"/>
    <w:rsid w:val="008C034E"/>
    <w:rsid w:val="008C0E88"/>
    <w:rsid w:val="008C1399"/>
    <w:rsid w:val="008C1AA8"/>
    <w:rsid w:val="008C22A8"/>
    <w:rsid w:val="008C4EBC"/>
    <w:rsid w:val="008C5B43"/>
    <w:rsid w:val="008C5E68"/>
    <w:rsid w:val="008C63FD"/>
    <w:rsid w:val="008C6CB8"/>
    <w:rsid w:val="008C7815"/>
    <w:rsid w:val="008C7A07"/>
    <w:rsid w:val="008D0171"/>
    <w:rsid w:val="008D1037"/>
    <w:rsid w:val="008D13EA"/>
    <w:rsid w:val="008D1C7C"/>
    <w:rsid w:val="008D2671"/>
    <w:rsid w:val="008D2A16"/>
    <w:rsid w:val="008D2ECF"/>
    <w:rsid w:val="008D347D"/>
    <w:rsid w:val="008D3F3D"/>
    <w:rsid w:val="008D4A87"/>
    <w:rsid w:val="008D59DD"/>
    <w:rsid w:val="008E0367"/>
    <w:rsid w:val="008E308D"/>
    <w:rsid w:val="008E30A5"/>
    <w:rsid w:val="008E31FF"/>
    <w:rsid w:val="008E46A3"/>
    <w:rsid w:val="008E5B85"/>
    <w:rsid w:val="008E5DE6"/>
    <w:rsid w:val="008E6113"/>
    <w:rsid w:val="008E6AB3"/>
    <w:rsid w:val="008E6AD3"/>
    <w:rsid w:val="008E71A6"/>
    <w:rsid w:val="008E77B6"/>
    <w:rsid w:val="008E7902"/>
    <w:rsid w:val="008E7C55"/>
    <w:rsid w:val="008F032E"/>
    <w:rsid w:val="008F0F14"/>
    <w:rsid w:val="008F226E"/>
    <w:rsid w:val="008F37DA"/>
    <w:rsid w:val="008F4FCE"/>
    <w:rsid w:val="008F5301"/>
    <w:rsid w:val="008F6967"/>
    <w:rsid w:val="008F6A0C"/>
    <w:rsid w:val="008F6F38"/>
    <w:rsid w:val="008F6F88"/>
    <w:rsid w:val="008F7019"/>
    <w:rsid w:val="008F7721"/>
    <w:rsid w:val="008F7D28"/>
    <w:rsid w:val="009003A8"/>
    <w:rsid w:val="009010A7"/>
    <w:rsid w:val="00901AF3"/>
    <w:rsid w:val="00901E9C"/>
    <w:rsid w:val="00902CBE"/>
    <w:rsid w:val="00902D74"/>
    <w:rsid w:val="00902EFF"/>
    <w:rsid w:val="00903E06"/>
    <w:rsid w:val="00904B9D"/>
    <w:rsid w:val="00905A11"/>
    <w:rsid w:val="009066E1"/>
    <w:rsid w:val="00907A41"/>
    <w:rsid w:val="009102BD"/>
    <w:rsid w:val="00910F93"/>
    <w:rsid w:val="00911AE9"/>
    <w:rsid w:val="0091255A"/>
    <w:rsid w:val="00914426"/>
    <w:rsid w:val="00914B3C"/>
    <w:rsid w:val="0091675F"/>
    <w:rsid w:val="00917709"/>
    <w:rsid w:val="00917918"/>
    <w:rsid w:val="00920874"/>
    <w:rsid w:val="00921DAB"/>
    <w:rsid w:val="00921F14"/>
    <w:rsid w:val="00923750"/>
    <w:rsid w:val="009243A5"/>
    <w:rsid w:val="0092500F"/>
    <w:rsid w:val="009250D2"/>
    <w:rsid w:val="0092540B"/>
    <w:rsid w:val="009256C5"/>
    <w:rsid w:val="00926283"/>
    <w:rsid w:val="009271BA"/>
    <w:rsid w:val="00927C5A"/>
    <w:rsid w:val="009306BE"/>
    <w:rsid w:val="00930C07"/>
    <w:rsid w:val="00932E61"/>
    <w:rsid w:val="00937B11"/>
    <w:rsid w:val="00940F1F"/>
    <w:rsid w:val="00941250"/>
    <w:rsid w:val="00941AF1"/>
    <w:rsid w:val="00941C48"/>
    <w:rsid w:val="00942546"/>
    <w:rsid w:val="00943373"/>
    <w:rsid w:val="00943C92"/>
    <w:rsid w:val="0094427A"/>
    <w:rsid w:val="00944380"/>
    <w:rsid w:val="009459C5"/>
    <w:rsid w:val="0094626C"/>
    <w:rsid w:val="0095013A"/>
    <w:rsid w:val="00950754"/>
    <w:rsid w:val="00953AEF"/>
    <w:rsid w:val="00953F7E"/>
    <w:rsid w:val="00954AAA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0B8"/>
    <w:rsid w:val="00962D2E"/>
    <w:rsid w:val="00963724"/>
    <w:rsid w:val="00963BC7"/>
    <w:rsid w:val="00964498"/>
    <w:rsid w:val="0096504D"/>
    <w:rsid w:val="00965795"/>
    <w:rsid w:val="00965A2D"/>
    <w:rsid w:val="009663EB"/>
    <w:rsid w:val="0096650F"/>
    <w:rsid w:val="0096701E"/>
    <w:rsid w:val="00967801"/>
    <w:rsid w:val="00967AD2"/>
    <w:rsid w:val="009700DB"/>
    <w:rsid w:val="00971D95"/>
    <w:rsid w:val="00971DC6"/>
    <w:rsid w:val="00972263"/>
    <w:rsid w:val="00972502"/>
    <w:rsid w:val="00972D8D"/>
    <w:rsid w:val="009733E3"/>
    <w:rsid w:val="00973AAE"/>
    <w:rsid w:val="0097476C"/>
    <w:rsid w:val="00974923"/>
    <w:rsid w:val="00974D48"/>
    <w:rsid w:val="00974D5F"/>
    <w:rsid w:val="00975017"/>
    <w:rsid w:val="009759DF"/>
    <w:rsid w:val="00975F89"/>
    <w:rsid w:val="00980373"/>
    <w:rsid w:val="00980621"/>
    <w:rsid w:val="0098095B"/>
    <w:rsid w:val="00980BE0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0C3F"/>
    <w:rsid w:val="00990D4D"/>
    <w:rsid w:val="00993D0C"/>
    <w:rsid w:val="009954FF"/>
    <w:rsid w:val="00995E2F"/>
    <w:rsid w:val="00995E5E"/>
    <w:rsid w:val="009961BC"/>
    <w:rsid w:val="00996355"/>
    <w:rsid w:val="00996686"/>
    <w:rsid w:val="00996A0B"/>
    <w:rsid w:val="009A1229"/>
    <w:rsid w:val="009A2014"/>
    <w:rsid w:val="009A3A87"/>
    <w:rsid w:val="009A3BB2"/>
    <w:rsid w:val="009A4E12"/>
    <w:rsid w:val="009A5C68"/>
    <w:rsid w:val="009A6EF7"/>
    <w:rsid w:val="009B04D0"/>
    <w:rsid w:val="009B052C"/>
    <w:rsid w:val="009B0EF2"/>
    <w:rsid w:val="009B1158"/>
    <w:rsid w:val="009B23A3"/>
    <w:rsid w:val="009B4925"/>
    <w:rsid w:val="009B4B4B"/>
    <w:rsid w:val="009B56EC"/>
    <w:rsid w:val="009B6FD3"/>
    <w:rsid w:val="009B70BD"/>
    <w:rsid w:val="009C07A5"/>
    <w:rsid w:val="009C21BA"/>
    <w:rsid w:val="009C24A8"/>
    <w:rsid w:val="009C3705"/>
    <w:rsid w:val="009C51CD"/>
    <w:rsid w:val="009C7388"/>
    <w:rsid w:val="009D0CFF"/>
    <w:rsid w:val="009D1551"/>
    <w:rsid w:val="009D2859"/>
    <w:rsid w:val="009D2DE9"/>
    <w:rsid w:val="009D36EC"/>
    <w:rsid w:val="009D4173"/>
    <w:rsid w:val="009D4612"/>
    <w:rsid w:val="009D6095"/>
    <w:rsid w:val="009D6306"/>
    <w:rsid w:val="009E048A"/>
    <w:rsid w:val="009E1B67"/>
    <w:rsid w:val="009E1FBA"/>
    <w:rsid w:val="009E2C54"/>
    <w:rsid w:val="009E3710"/>
    <w:rsid w:val="009E55E3"/>
    <w:rsid w:val="009E6F65"/>
    <w:rsid w:val="009E7340"/>
    <w:rsid w:val="009E7B1F"/>
    <w:rsid w:val="009F1790"/>
    <w:rsid w:val="009F2470"/>
    <w:rsid w:val="009F3FC3"/>
    <w:rsid w:val="009F41C4"/>
    <w:rsid w:val="009F5846"/>
    <w:rsid w:val="009F6C80"/>
    <w:rsid w:val="009F7B52"/>
    <w:rsid w:val="009F7D77"/>
    <w:rsid w:val="00A004D2"/>
    <w:rsid w:val="00A015EA"/>
    <w:rsid w:val="00A03A9E"/>
    <w:rsid w:val="00A06ADC"/>
    <w:rsid w:val="00A07582"/>
    <w:rsid w:val="00A10D66"/>
    <w:rsid w:val="00A1155A"/>
    <w:rsid w:val="00A12BA8"/>
    <w:rsid w:val="00A135F1"/>
    <w:rsid w:val="00A13C9E"/>
    <w:rsid w:val="00A1420C"/>
    <w:rsid w:val="00A1456C"/>
    <w:rsid w:val="00A14821"/>
    <w:rsid w:val="00A170B3"/>
    <w:rsid w:val="00A17754"/>
    <w:rsid w:val="00A2055B"/>
    <w:rsid w:val="00A2253C"/>
    <w:rsid w:val="00A23545"/>
    <w:rsid w:val="00A23A55"/>
    <w:rsid w:val="00A23E43"/>
    <w:rsid w:val="00A243B6"/>
    <w:rsid w:val="00A24F8C"/>
    <w:rsid w:val="00A262BF"/>
    <w:rsid w:val="00A2683D"/>
    <w:rsid w:val="00A271AD"/>
    <w:rsid w:val="00A276D5"/>
    <w:rsid w:val="00A30336"/>
    <w:rsid w:val="00A304FE"/>
    <w:rsid w:val="00A305E3"/>
    <w:rsid w:val="00A30BB5"/>
    <w:rsid w:val="00A3128F"/>
    <w:rsid w:val="00A31C8B"/>
    <w:rsid w:val="00A326D0"/>
    <w:rsid w:val="00A35287"/>
    <w:rsid w:val="00A36B1A"/>
    <w:rsid w:val="00A37483"/>
    <w:rsid w:val="00A378F8"/>
    <w:rsid w:val="00A37EE9"/>
    <w:rsid w:val="00A40B19"/>
    <w:rsid w:val="00A40C3F"/>
    <w:rsid w:val="00A41D07"/>
    <w:rsid w:val="00A420DF"/>
    <w:rsid w:val="00A424F8"/>
    <w:rsid w:val="00A42883"/>
    <w:rsid w:val="00A436CC"/>
    <w:rsid w:val="00A437B7"/>
    <w:rsid w:val="00A465B4"/>
    <w:rsid w:val="00A46D48"/>
    <w:rsid w:val="00A46DE0"/>
    <w:rsid w:val="00A4778A"/>
    <w:rsid w:val="00A47C94"/>
    <w:rsid w:val="00A504C0"/>
    <w:rsid w:val="00A5067F"/>
    <w:rsid w:val="00A50E27"/>
    <w:rsid w:val="00A517C1"/>
    <w:rsid w:val="00A53058"/>
    <w:rsid w:val="00A55301"/>
    <w:rsid w:val="00A572FB"/>
    <w:rsid w:val="00A57B3C"/>
    <w:rsid w:val="00A57F1B"/>
    <w:rsid w:val="00A6128E"/>
    <w:rsid w:val="00A62CE1"/>
    <w:rsid w:val="00A631FA"/>
    <w:rsid w:val="00A64203"/>
    <w:rsid w:val="00A64348"/>
    <w:rsid w:val="00A644E1"/>
    <w:rsid w:val="00A65901"/>
    <w:rsid w:val="00A67855"/>
    <w:rsid w:val="00A7015E"/>
    <w:rsid w:val="00A711B0"/>
    <w:rsid w:val="00A716EC"/>
    <w:rsid w:val="00A721FB"/>
    <w:rsid w:val="00A727BA"/>
    <w:rsid w:val="00A72D4B"/>
    <w:rsid w:val="00A732AE"/>
    <w:rsid w:val="00A73CF4"/>
    <w:rsid w:val="00A74E80"/>
    <w:rsid w:val="00A75E40"/>
    <w:rsid w:val="00A77EB2"/>
    <w:rsid w:val="00A81094"/>
    <w:rsid w:val="00A81441"/>
    <w:rsid w:val="00A82B66"/>
    <w:rsid w:val="00A83B58"/>
    <w:rsid w:val="00A84FAF"/>
    <w:rsid w:val="00A851B6"/>
    <w:rsid w:val="00A85729"/>
    <w:rsid w:val="00A8574B"/>
    <w:rsid w:val="00A857C0"/>
    <w:rsid w:val="00A859BA"/>
    <w:rsid w:val="00A85C47"/>
    <w:rsid w:val="00A87C44"/>
    <w:rsid w:val="00A90343"/>
    <w:rsid w:val="00A91336"/>
    <w:rsid w:val="00A9221C"/>
    <w:rsid w:val="00A94628"/>
    <w:rsid w:val="00A94954"/>
    <w:rsid w:val="00A95BD0"/>
    <w:rsid w:val="00A96463"/>
    <w:rsid w:val="00A96A24"/>
    <w:rsid w:val="00A977EC"/>
    <w:rsid w:val="00A97E3F"/>
    <w:rsid w:val="00AA09D3"/>
    <w:rsid w:val="00AA1F5D"/>
    <w:rsid w:val="00AA23FB"/>
    <w:rsid w:val="00AA42AB"/>
    <w:rsid w:val="00AA4B93"/>
    <w:rsid w:val="00AA559A"/>
    <w:rsid w:val="00AA5F10"/>
    <w:rsid w:val="00AA7FDC"/>
    <w:rsid w:val="00AB104D"/>
    <w:rsid w:val="00AB1441"/>
    <w:rsid w:val="00AB2AF1"/>
    <w:rsid w:val="00AB2FD6"/>
    <w:rsid w:val="00AB35BA"/>
    <w:rsid w:val="00AB440B"/>
    <w:rsid w:val="00AB47E3"/>
    <w:rsid w:val="00AB74C5"/>
    <w:rsid w:val="00AB76B0"/>
    <w:rsid w:val="00AB7BEE"/>
    <w:rsid w:val="00AB7DF2"/>
    <w:rsid w:val="00AC1E3F"/>
    <w:rsid w:val="00AC219A"/>
    <w:rsid w:val="00AC4F18"/>
    <w:rsid w:val="00AC58EF"/>
    <w:rsid w:val="00AC744A"/>
    <w:rsid w:val="00AD0898"/>
    <w:rsid w:val="00AD0B46"/>
    <w:rsid w:val="00AD1094"/>
    <w:rsid w:val="00AD2565"/>
    <w:rsid w:val="00AD306C"/>
    <w:rsid w:val="00AD3424"/>
    <w:rsid w:val="00AD50D1"/>
    <w:rsid w:val="00AD59BB"/>
    <w:rsid w:val="00AD5D68"/>
    <w:rsid w:val="00AD6C39"/>
    <w:rsid w:val="00AD6C73"/>
    <w:rsid w:val="00AD7D49"/>
    <w:rsid w:val="00AE06D0"/>
    <w:rsid w:val="00AE1B8A"/>
    <w:rsid w:val="00AE39DC"/>
    <w:rsid w:val="00AE3CDA"/>
    <w:rsid w:val="00AE42D2"/>
    <w:rsid w:val="00AE63EF"/>
    <w:rsid w:val="00AE6537"/>
    <w:rsid w:val="00AE65B8"/>
    <w:rsid w:val="00AE7968"/>
    <w:rsid w:val="00AE7DFF"/>
    <w:rsid w:val="00AF1032"/>
    <w:rsid w:val="00AF128B"/>
    <w:rsid w:val="00AF1AEA"/>
    <w:rsid w:val="00AF2491"/>
    <w:rsid w:val="00AF2852"/>
    <w:rsid w:val="00AF3225"/>
    <w:rsid w:val="00AF4983"/>
    <w:rsid w:val="00AF518B"/>
    <w:rsid w:val="00AF5275"/>
    <w:rsid w:val="00AF6367"/>
    <w:rsid w:val="00AF6A79"/>
    <w:rsid w:val="00AF724E"/>
    <w:rsid w:val="00AF73A9"/>
    <w:rsid w:val="00B01436"/>
    <w:rsid w:val="00B01C2C"/>
    <w:rsid w:val="00B0231C"/>
    <w:rsid w:val="00B03E79"/>
    <w:rsid w:val="00B07C2A"/>
    <w:rsid w:val="00B13681"/>
    <w:rsid w:val="00B15DCD"/>
    <w:rsid w:val="00B17E71"/>
    <w:rsid w:val="00B17FDE"/>
    <w:rsid w:val="00B208FC"/>
    <w:rsid w:val="00B20C65"/>
    <w:rsid w:val="00B20F7B"/>
    <w:rsid w:val="00B22E17"/>
    <w:rsid w:val="00B25567"/>
    <w:rsid w:val="00B266C5"/>
    <w:rsid w:val="00B27293"/>
    <w:rsid w:val="00B301BB"/>
    <w:rsid w:val="00B3229E"/>
    <w:rsid w:val="00B32DDB"/>
    <w:rsid w:val="00B34931"/>
    <w:rsid w:val="00B35174"/>
    <w:rsid w:val="00B356D8"/>
    <w:rsid w:val="00B35AA0"/>
    <w:rsid w:val="00B35BEA"/>
    <w:rsid w:val="00B37915"/>
    <w:rsid w:val="00B3793D"/>
    <w:rsid w:val="00B41BE6"/>
    <w:rsid w:val="00B4260F"/>
    <w:rsid w:val="00B428A4"/>
    <w:rsid w:val="00B45170"/>
    <w:rsid w:val="00B457E7"/>
    <w:rsid w:val="00B45D1B"/>
    <w:rsid w:val="00B46D25"/>
    <w:rsid w:val="00B47430"/>
    <w:rsid w:val="00B50186"/>
    <w:rsid w:val="00B502F7"/>
    <w:rsid w:val="00B52D2D"/>
    <w:rsid w:val="00B534EF"/>
    <w:rsid w:val="00B53B68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662EB"/>
    <w:rsid w:val="00B74317"/>
    <w:rsid w:val="00B76D1E"/>
    <w:rsid w:val="00B77BC8"/>
    <w:rsid w:val="00B800EB"/>
    <w:rsid w:val="00B822D2"/>
    <w:rsid w:val="00B83D46"/>
    <w:rsid w:val="00B848B8"/>
    <w:rsid w:val="00B84A41"/>
    <w:rsid w:val="00B84D57"/>
    <w:rsid w:val="00B8504B"/>
    <w:rsid w:val="00B85689"/>
    <w:rsid w:val="00B85A53"/>
    <w:rsid w:val="00B86748"/>
    <w:rsid w:val="00B87853"/>
    <w:rsid w:val="00B907EA"/>
    <w:rsid w:val="00B91EC9"/>
    <w:rsid w:val="00B924CA"/>
    <w:rsid w:val="00B92A4B"/>
    <w:rsid w:val="00B93384"/>
    <w:rsid w:val="00B94417"/>
    <w:rsid w:val="00B95566"/>
    <w:rsid w:val="00B95940"/>
    <w:rsid w:val="00B95EF8"/>
    <w:rsid w:val="00B95F50"/>
    <w:rsid w:val="00B96BD9"/>
    <w:rsid w:val="00BA759F"/>
    <w:rsid w:val="00BA7F01"/>
    <w:rsid w:val="00BB0274"/>
    <w:rsid w:val="00BB1CFD"/>
    <w:rsid w:val="00BB2C53"/>
    <w:rsid w:val="00BB32DA"/>
    <w:rsid w:val="00BB3A54"/>
    <w:rsid w:val="00BB4D26"/>
    <w:rsid w:val="00BB4E21"/>
    <w:rsid w:val="00BB5739"/>
    <w:rsid w:val="00BB6FED"/>
    <w:rsid w:val="00BB7746"/>
    <w:rsid w:val="00BC22EB"/>
    <w:rsid w:val="00BC52C3"/>
    <w:rsid w:val="00BC682B"/>
    <w:rsid w:val="00BC6B04"/>
    <w:rsid w:val="00BC6D27"/>
    <w:rsid w:val="00BC78E4"/>
    <w:rsid w:val="00BC7D5D"/>
    <w:rsid w:val="00BD186B"/>
    <w:rsid w:val="00BD1995"/>
    <w:rsid w:val="00BD1EAC"/>
    <w:rsid w:val="00BD254C"/>
    <w:rsid w:val="00BD29A3"/>
    <w:rsid w:val="00BD3428"/>
    <w:rsid w:val="00BD366B"/>
    <w:rsid w:val="00BD534C"/>
    <w:rsid w:val="00BD55A9"/>
    <w:rsid w:val="00BD56BC"/>
    <w:rsid w:val="00BD5D91"/>
    <w:rsid w:val="00BD6445"/>
    <w:rsid w:val="00BD6615"/>
    <w:rsid w:val="00BD6D50"/>
    <w:rsid w:val="00BD6E7C"/>
    <w:rsid w:val="00BE0D79"/>
    <w:rsid w:val="00BE0DB0"/>
    <w:rsid w:val="00BE20CF"/>
    <w:rsid w:val="00BE3381"/>
    <w:rsid w:val="00BE3F09"/>
    <w:rsid w:val="00BE627A"/>
    <w:rsid w:val="00BE670A"/>
    <w:rsid w:val="00BE6906"/>
    <w:rsid w:val="00BF1191"/>
    <w:rsid w:val="00BF18F4"/>
    <w:rsid w:val="00BF1A69"/>
    <w:rsid w:val="00BF3BC8"/>
    <w:rsid w:val="00BF3DF1"/>
    <w:rsid w:val="00BF4538"/>
    <w:rsid w:val="00BF4C31"/>
    <w:rsid w:val="00BF4E57"/>
    <w:rsid w:val="00BF5107"/>
    <w:rsid w:val="00BF53B8"/>
    <w:rsid w:val="00BF786A"/>
    <w:rsid w:val="00BF7CB8"/>
    <w:rsid w:val="00C00F20"/>
    <w:rsid w:val="00C01700"/>
    <w:rsid w:val="00C034E6"/>
    <w:rsid w:val="00C042C6"/>
    <w:rsid w:val="00C05715"/>
    <w:rsid w:val="00C05926"/>
    <w:rsid w:val="00C0784A"/>
    <w:rsid w:val="00C10B28"/>
    <w:rsid w:val="00C10D62"/>
    <w:rsid w:val="00C10FAE"/>
    <w:rsid w:val="00C11DAF"/>
    <w:rsid w:val="00C123B4"/>
    <w:rsid w:val="00C12A69"/>
    <w:rsid w:val="00C13737"/>
    <w:rsid w:val="00C138D8"/>
    <w:rsid w:val="00C150BE"/>
    <w:rsid w:val="00C158B0"/>
    <w:rsid w:val="00C15A0C"/>
    <w:rsid w:val="00C15DCB"/>
    <w:rsid w:val="00C16208"/>
    <w:rsid w:val="00C1711F"/>
    <w:rsid w:val="00C17E38"/>
    <w:rsid w:val="00C20489"/>
    <w:rsid w:val="00C20744"/>
    <w:rsid w:val="00C20C4D"/>
    <w:rsid w:val="00C21D46"/>
    <w:rsid w:val="00C21F94"/>
    <w:rsid w:val="00C222A1"/>
    <w:rsid w:val="00C22BDA"/>
    <w:rsid w:val="00C23371"/>
    <w:rsid w:val="00C235B9"/>
    <w:rsid w:val="00C238A2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190"/>
    <w:rsid w:val="00C31C7F"/>
    <w:rsid w:val="00C31DD8"/>
    <w:rsid w:val="00C3271C"/>
    <w:rsid w:val="00C34FDE"/>
    <w:rsid w:val="00C35C16"/>
    <w:rsid w:val="00C3634E"/>
    <w:rsid w:val="00C407B9"/>
    <w:rsid w:val="00C40F81"/>
    <w:rsid w:val="00C41463"/>
    <w:rsid w:val="00C41A72"/>
    <w:rsid w:val="00C42D45"/>
    <w:rsid w:val="00C4422D"/>
    <w:rsid w:val="00C46766"/>
    <w:rsid w:val="00C476C5"/>
    <w:rsid w:val="00C503B0"/>
    <w:rsid w:val="00C511C2"/>
    <w:rsid w:val="00C526C8"/>
    <w:rsid w:val="00C53CDB"/>
    <w:rsid w:val="00C53D82"/>
    <w:rsid w:val="00C54748"/>
    <w:rsid w:val="00C5476D"/>
    <w:rsid w:val="00C5672D"/>
    <w:rsid w:val="00C575FB"/>
    <w:rsid w:val="00C60696"/>
    <w:rsid w:val="00C60937"/>
    <w:rsid w:val="00C60943"/>
    <w:rsid w:val="00C60EEF"/>
    <w:rsid w:val="00C60FC9"/>
    <w:rsid w:val="00C6121D"/>
    <w:rsid w:val="00C615F1"/>
    <w:rsid w:val="00C61627"/>
    <w:rsid w:val="00C6331A"/>
    <w:rsid w:val="00C647E0"/>
    <w:rsid w:val="00C64E60"/>
    <w:rsid w:val="00C657A4"/>
    <w:rsid w:val="00C6736C"/>
    <w:rsid w:val="00C71A1D"/>
    <w:rsid w:val="00C71EC4"/>
    <w:rsid w:val="00C73B18"/>
    <w:rsid w:val="00C74822"/>
    <w:rsid w:val="00C7591E"/>
    <w:rsid w:val="00C75C7E"/>
    <w:rsid w:val="00C75C9B"/>
    <w:rsid w:val="00C75E71"/>
    <w:rsid w:val="00C76D8E"/>
    <w:rsid w:val="00C77833"/>
    <w:rsid w:val="00C80C9B"/>
    <w:rsid w:val="00C8335E"/>
    <w:rsid w:val="00C83F9C"/>
    <w:rsid w:val="00C84181"/>
    <w:rsid w:val="00C84CE3"/>
    <w:rsid w:val="00C85614"/>
    <w:rsid w:val="00C86127"/>
    <w:rsid w:val="00C90024"/>
    <w:rsid w:val="00C90CF4"/>
    <w:rsid w:val="00C91C19"/>
    <w:rsid w:val="00C929A0"/>
    <w:rsid w:val="00C92B7B"/>
    <w:rsid w:val="00C9333F"/>
    <w:rsid w:val="00C93389"/>
    <w:rsid w:val="00C937DB"/>
    <w:rsid w:val="00C94519"/>
    <w:rsid w:val="00C94E83"/>
    <w:rsid w:val="00C97038"/>
    <w:rsid w:val="00CA02B2"/>
    <w:rsid w:val="00CA0883"/>
    <w:rsid w:val="00CA1085"/>
    <w:rsid w:val="00CA140F"/>
    <w:rsid w:val="00CA25C2"/>
    <w:rsid w:val="00CA31A5"/>
    <w:rsid w:val="00CA34FB"/>
    <w:rsid w:val="00CA37BB"/>
    <w:rsid w:val="00CA37CA"/>
    <w:rsid w:val="00CA5268"/>
    <w:rsid w:val="00CA5724"/>
    <w:rsid w:val="00CA6508"/>
    <w:rsid w:val="00CA6BA1"/>
    <w:rsid w:val="00CA6CD5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4D09"/>
    <w:rsid w:val="00CD6954"/>
    <w:rsid w:val="00CD6DA3"/>
    <w:rsid w:val="00CD6EF1"/>
    <w:rsid w:val="00CD7E35"/>
    <w:rsid w:val="00CE0420"/>
    <w:rsid w:val="00CE21C7"/>
    <w:rsid w:val="00CE2682"/>
    <w:rsid w:val="00CE2756"/>
    <w:rsid w:val="00CE283F"/>
    <w:rsid w:val="00CE442A"/>
    <w:rsid w:val="00CE505D"/>
    <w:rsid w:val="00CE57D8"/>
    <w:rsid w:val="00CE617A"/>
    <w:rsid w:val="00CE6E3C"/>
    <w:rsid w:val="00CE76FC"/>
    <w:rsid w:val="00CF25D2"/>
    <w:rsid w:val="00CF28C2"/>
    <w:rsid w:val="00CF42BD"/>
    <w:rsid w:val="00CF4FCF"/>
    <w:rsid w:val="00CF51EC"/>
    <w:rsid w:val="00CF6A9D"/>
    <w:rsid w:val="00CF6CD7"/>
    <w:rsid w:val="00CF7031"/>
    <w:rsid w:val="00CF75EC"/>
    <w:rsid w:val="00CF7BDA"/>
    <w:rsid w:val="00D0037A"/>
    <w:rsid w:val="00D0061E"/>
    <w:rsid w:val="00D00DAF"/>
    <w:rsid w:val="00D017EC"/>
    <w:rsid w:val="00D01CDA"/>
    <w:rsid w:val="00D037E1"/>
    <w:rsid w:val="00D03F45"/>
    <w:rsid w:val="00D040DD"/>
    <w:rsid w:val="00D043CE"/>
    <w:rsid w:val="00D046DA"/>
    <w:rsid w:val="00D04E1B"/>
    <w:rsid w:val="00D0547B"/>
    <w:rsid w:val="00D05E80"/>
    <w:rsid w:val="00D076DB"/>
    <w:rsid w:val="00D07EFF"/>
    <w:rsid w:val="00D1067C"/>
    <w:rsid w:val="00D12E78"/>
    <w:rsid w:val="00D136D4"/>
    <w:rsid w:val="00D13830"/>
    <w:rsid w:val="00D13ECF"/>
    <w:rsid w:val="00D142E5"/>
    <w:rsid w:val="00D148CD"/>
    <w:rsid w:val="00D1611E"/>
    <w:rsid w:val="00D16E69"/>
    <w:rsid w:val="00D17A94"/>
    <w:rsid w:val="00D17F4A"/>
    <w:rsid w:val="00D205A9"/>
    <w:rsid w:val="00D217EE"/>
    <w:rsid w:val="00D245BA"/>
    <w:rsid w:val="00D26923"/>
    <w:rsid w:val="00D27315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2C31"/>
    <w:rsid w:val="00D33B78"/>
    <w:rsid w:val="00D34686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51E0"/>
    <w:rsid w:val="00D45A1D"/>
    <w:rsid w:val="00D4615E"/>
    <w:rsid w:val="00D475E6"/>
    <w:rsid w:val="00D4774E"/>
    <w:rsid w:val="00D478E2"/>
    <w:rsid w:val="00D508CF"/>
    <w:rsid w:val="00D5264C"/>
    <w:rsid w:val="00D52C37"/>
    <w:rsid w:val="00D547BA"/>
    <w:rsid w:val="00D55626"/>
    <w:rsid w:val="00D556BC"/>
    <w:rsid w:val="00D5626D"/>
    <w:rsid w:val="00D56631"/>
    <w:rsid w:val="00D60277"/>
    <w:rsid w:val="00D60336"/>
    <w:rsid w:val="00D609D3"/>
    <w:rsid w:val="00D6145B"/>
    <w:rsid w:val="00D6180A"/>
    <w:rsid w:val="00D61EC9"/>
    <w:rsid w:val="00D61F88"/>
    <w:rsid w:val="00D62108"/>
    <w:rsid w:val="00D62901"/>
    <w:rsid w:val="00D6470C"/>
    <w:rsid w:val="00D6484D"/>
    <w:rsid w:val="00D64853"/>
    <w:rsid w:val="00D64CB5"/>
    <w:rsid w:val="00D66D48"/>
    <w:rsid w:val="00D7162F"/>
    <w:rsid w:val="00D71B83"/>
    <w:rsid w:val="00D72897"/>
    <w:rsid w:val="00D73256"/>
    <w:rsid w:val="00D73A30"/>
    <w:rsid w:val="00D74C65"/>
    <w:rsid w:val="00D75DC2"/>
    <w:rsid w:val="00D766EF"/>
    <w:rsid w:val="00D76BE7"/>
    <w:rsid w:val="00D76C03"/>
    <w:rsid w:val="00D77F8D"/>
    <w:rsid w:val="00D8119B"/>
    <w:rsid w:val="00D81988"/>
    <w:rsid w:val="00D82462"/>
    <w:rsid w:val="00D868CE"/>
    <w:rsid w:val="00D86DAE"/>
    <w:rsid w:val="00D871DA"/>
    <w:rsid w:val="00D90116"/>
    <w:rsid w:val="00D90C1E"/>
    <w:rsid w:val="00D91BDF"/>
    <w:rsid w:val="00D91F2C"/>
    <w:rsid w:val="00D937AF"/>
    <w:rsid w:val="00D93F09"/>
    <w:rsid w:val="00D94C62"/>
    <w:rsid w:val="00D95378"/>
    <w:rsid w:val="00D954C2"/>
    <w:rsid w:val="00D96162"/>
    <w:rsid w:val="00D97BB8"/>
    <w:rsid w:val="00DA1318"/>
    <w:rsid w:val="00DA1382"/>
    <w:rsid w:val="00DA1F92"/>
    <w:rsid w:val="00DA28B7"/>
    <w:rsid w:val="00DA2FE8"/>
    <w:rsid w:val="00DA424A"/>
    <w:rsid w:val="00DA49E6"/>
    <w:rsid w:val="00DA4AF6"/>
    <w:rsid w:val="00DB016E"/>
    <w:rsid w:val="00DB06E9"/>
    <w:rsid w:val="00DB19BD"/>
    <w:rsid w:val="00DB1D55"/>
    <w:rsid w:val="00DB378E"/>
    <w:rsid w:val="00DB3B36"/>
    <w:rsid w:val="00DB3E9D"/>
    <w:rsid w:val="00DB47B9"/>
    <w:rsid w:val="00DB4A67"/>
    <w:rsid w:val="00DB4FB8"/>
    <w:rsid w:val="00DB53CE"/>
    <w:rsid w:val="00DB549D"/>
    <w:rsid w:val="00DB5792"/>
    <w:rsid w:val="00DB6A88"/>
    <w:rsid w:val="00DB6ABF"/>
    <w:rsid w:val="00DB7BA4"/>
    <w:rsid w:val="00DC226A"/>
    <w:rsid w:val="00DC257F"/>
    <w:rsid w:val="00DC350B"/>
    <w:rsid w:val="00DC3790"/>
    <w:rsid w:val="00DC3AFD"/>
    <w:rsid w:val="00DC408A"/>
    <w:rsid w:val="00DC436D"/>
    <w:rsid w:val="00DC519B"/>
    <w:rsid w:val="00DC5B3B"/>
    <w:rsid w:val="00DC6796"/>
    <w:rsid w:val="00DC78DF"/>
    <w:rsid w:val="00DC7D4C"/>
    <w:rsid w:val="00DD0821"/>
    <w:rsid w:val="00DD0E32"/>
    <w:rsid w:val="00DD2872"/>
    <w:rsid w:val="00DD2BFE"/>
    <w:rsid w:val="00DD373E"/>
    <w:rsid w:val="00DD4DAA"/>
    <w:rsid w:val="00DD57AD"/>
    <w:rsid w:val="00DD5AB6"/>
    <w:rsid w:val="00DD60D3"/>
    <w:rsid w:val="00DD6EDB"/>
    <w:rsid w:val="00DD7787"/>
    <w:rsid w:val="00DE009B"/>
    <w:rsid w:val="00DE0C31"/>
    <w:rsid w:val="00DE2ED9"/>
    <w:rsid w:val="00DE319A"/>
    <w:rsid w:val="00DE5291"/>
    <w:rsid w:val="00DE74B2"/>
    <w:rsid w:val="00DF0615"/>
    <w:rsid w:val="00DF0DC3"/>
    <w:rsid w:val="00DF21FD"/>
    <w:rsid w:val="00DF2873"/>
    <w:rsid w:val="00DF293C"/>
    <w:rsid w:val="00DF4413"/>
    <w:rsid w:val="00DF4C74"/>
    <w:rsid w:val="00DF5578"/>
    <w:rsid w:val="00DF55AB"/>
    <w:rsid w:val="00DF78DD"/>
    <w:rsid w:val="00DF792E"/>
    <w:rsid w:val="00DF7FEC"/>
    <w:rsid w:val="00E01C0E"/>
    <w:rsid w:val="00E02086"/>
    <w:rsid w:val="00E02740"/>
    <w:rsid w:val="00E03B27"/>
    <w:rsid w:val="00E042B3"/>
    <w:rsid w:val="00E04694"/>
    <w:rsid w:val="00E049F6"/>
    <w:rsid w:val="00E04CA9"/>
    <w:rsid w:val="00E05B2B"/>
    <w:rsid w:val="00E060DD"/>
    <w:rsid w:val="00E06A2A"/>
    <w:rsid w:val="00E06B3B"/>
    <w:rsid w:val="00E07F05"/>
    <w:rsid w:val="00E1136D"/>
    <w:rsid w:val="00E127E1"/>
    <w:rsid w:val="00E144D2"/>
    <w:rsid w:val="00E144D6"/>
    <w:rsid w:val="00E15346"/>
    <w:rsid w:val="00E15B7D"/>
    <w:rsid w:val="00E165A8"/>
    <w:rsid w:val="00E2097E"/>
    <w:rsid w:val="00E21121"/>
    <w:rsid w:val="00E215EA"/>
    <w:rsid w:val="00E21CAB"/>
    <w:rsid w:val="00E221FC"/>
    <w:rsid w:val="00E22E78"/>
    <w:rsid w:val="00E24619"/>
    <w:rsid w:val="00E25223"/>
    <w:rsid w:val="00E263A8"/>
    <w:rsid w:val="00E271DA"/>
    <w:rsid w:val="00E30BEA"/>
    <w:rsid w:val="00E31764"/>
    <w:rsid w:val="00E32BC2"/>
    <w:rsid w:val="00E340A1"/>
    <w:rsid w:val="00E34985"/>
    <w:rsid w:val="00E34E4A"/>
    <w:rsid w:val="00E365B3"/>
    <w:rsid w:val="00E366BB"/>
    <w:rsid w:val="00E3709C"/>
    <w:rsid w:val="00E37C45"/>
    <w:rsid w:val="00E40AAA"/>
    <w:rsid w:val="00E42444"/>
    <w:rsid w:val="00E4255E"/>
    <w:rsid w:val="00E42785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0ACF"/>
    <w:rsid w:val="00E522BB"/>
    <w:rsid w:val="00E539E4"/>
    <w:rsid w:val="00E55AF3"/>
    <w:rsid w:val="00E569C7"/>
    <w:rsid w:val="00E571F2"/>
    <w:rsid w:val="00E57429"/>
    <w:rsid w:val="00E61EA8"/>
    <w:rsid w:val="00E6374E"/>
    <w:rsid w:val="00E63C99"/>
    <w:rsid w:val="00E64EA1"/>
    <w:rsid w:val="00E653DE"/>
    <w:rsid w:val="00E669C7"/>
    <w:rsid w:val="00E70510"/>
    <w:rsid w:val="00E71262"/>
    <w:rsid w:val="00E71A58"/>
    <w:rsid w:val="00E7330E"/>
    <w:rsid w:val="00E737F6"/>
    <w:rsid w:val="00E7568F"/>
    <w:rsid w:val="00E75D69"/>
    <w:rsid w:val="00E7628E"/>
    <w:rsid w:val="00E764AE"/>
    <w:rsid w:val="00E7724B"/>
    <w:rsid w:val="00E77EAA"/>
    <w:rsid w:val="00E84F21"/>
    <w:rsid w:val="00E8618A"/>
    <w:rsid w:val="00E90A4B"/>
    <w:rsid w:val="00E90F73"/>
    <w:rsid w:val="00E910A7"/>
    <w:rsid w:val="00E914B7"/>
    <w:rsid w:val="00E91607"/>
    <w:rsid w:val="00E921C7"/>
    <w:rsid w:val="00E92995"/>
    <w:rsid w:val="00E93DB8"/>
    <w:rsid w:val="00E9402B"/>
    <w:rsid w:val="00E94612"/>
    <w:rsid w:val="00E952A1"/>
    <w:rsid w:val="00E95797"/>
    <w:rsid w:val="00E9682F"/>
    <w:rsid w:val="00E96A8D"/>
    <w:rsid w:val="00E972BA"/>
    <w:rsid w:val="00E975BC"/>
    <w:rsid w:val="00E978C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63C8"/>
    <w:rsid w:val="00EA76FD"/>
    <w:rsid w:val="00EB03D4"/>
    <w:rsid w:val="00EB0555"/>
    <w:rsid w:val="00EB17F4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424C"/>
    <w:rsid w:val="00EC454B"/>
    <w:rsid w:val="00EC6153"/>
    <w:rsid w:val="00EC7F92"/>
    <w:rsid w:val="00ED00A8"/>
    <w:rsid w:val="00ED0A79"/>
    <w:rsid w:val="00ED22FF"/>
    <w:rsid w:val="00ED2989"/>
    <w:rsid w:val="00ED2CA5"/>
    <w:rsid w:val="00ED32FB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10AA"/>
    <w:rsid w:val="00EE1637"/>
    <w:rsid w:val="00EE3B7A"/>
    <w:rsid w:val="00EE3E78"/>
    <w:rsid w:val="00EE495A"/>
    <w:rsid w:val="00EE5E02"/>
    <w:rsid w:val="00EE617D"/>
    <w:rsid w:val="00EE61BF"/>
    <w:rsid w:val="00EE6538"/>
    <w:rsid w:val="00EE6748"/>
    <w:rsid w:val="00EE6C6B"/>
    <w:rsid w:val="00EE7034"/>
    <w:rsid w:val="00EF0E75"/>
    <w:rsid w:val="00EF1F5A"/>
    <w:rsid w:val="00EF4685"/>
    <w:rsid w:val="00EF5397"/>
    <w:rsid w:val="00EF5420"/>
    <w:rsid w:val="00EF597F"/>
    <w:rsid w:val="00EF6217"/>
    <w:rsid w:val="00EF6BE3"/>
    <w:rsid w:val="00EF7D0F"/>
    <w:rsid w:val="00F00D0E"/>
    <w:rsid w:val="00F00D3C"/>
    <w:rsid w:val="00F04811"/>
    <w:rsid w:val="00F0488C"/>
    <w:rsid w:val="00F0496E"/>
    <w:rsid w:val="00F04D10"/>
    <w:rsid w:val="00F053EA"/>
    <w:rsid w:val="00F0625B"/>
    <w:rsid w:val="00F07EDF"/>
    <w:rsid w:val="00F101FF"/>
    <w:rsid w:val="00F104DF"/>
    <w:rsid w:val="00F10A33"/>
    <w:rsid w:val="00F10B64"/>
    <w:rsid w:val="00F1186C"/>
    <w:rsid w:val="00F14637"/>
    <w:rsid w:val="00F14ACD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5721"/>
    <w:rsid w:val="00F26197"/>
    <w:rsid w:val="00F26351"/>
    <w:rsid w:val="00F2646A"/>
    <w:rsid w:val="00F273D4"/>
    <w:rsid w:val="00F307DD"/>
    <w:rsid w:val="00F318FC"/>
    <w:rsid w:val="00F31F76"/>
    <w:rsid w:val="00F325A3"/>
    <w:rsid w:val="00F3364D"/>
    <w:rsid w:val="00F33DC6"/>
    <w:rsid w:val="00F359A1"/>
    <w:rsid w:val="00F35ACD"/>
    <w:rsid w:val="00F365BF"/>
    <w:rsid w:val="00F36BF8"/>
    <w:rsid w:val="00F36F50"/>
    <w:rsid w:val="00F375BA"/>
    <w:rsid w:val="00F37760"/>
    <w:rsid w:val="00F403D1"/>
    <w:rsid w:val="00F41CC8"/>
    <w:rsid w:val="00F43921"/>
    <w:rsid w:val="00F447E3"/>
    <w:rsid w:val="00F44E1B"/>
    <w:rsid w:val="00F4524F"/>
    <w:rsid w:val="00F45530"/>
    <w:rsid w:val="00F457CE"/>
    <w:rsid w:val="00F4591F"/>
    <w:rsid w:val="00F47321"/>
    <w:rsid w:val="00F4736B"/>
    <w:rsid w:val="00F47870"/>
    <w:rsid w:val="00F47997"/>
    <w:rsid w:val="00F47D05"/>
    <w:rsid w:val="00F50030"/>
    <w:rsid w:val="00F502F5"/>
    <w:rsid w:val="00F50B9D"/>
    <w:rsid w:val="00F51FC9"/>
    <w:rsid w:val="00F52B42"/>
    <w:rsid w:val="00F53243"/>
    <w:rsid w:val="00F538C3"/>
    <w:rsid w:val="00F541ED"/>
    <w:rsid w:val="00F54B31"/>
    <w:rsid w:val="00F54FD3"/>
    <w:rsid w:val="00F5508B"/>
    <w:rsid w:val="00F55605"/>
    <w:rsid w:val="00F57CD7"/>
    <w:rsid w:val="00F62F02"/>
    <w:rsid w:val="00F6339F"/>
    <w:rsid w:val="00F63DDE"/>
    <w:rsid w:val="00F63FB7"/>
    <w:rsid w:val="00F64726"/>
    <w:rsid w:val="00F6561A"/>
    <w:rsid w:val="00F65620"/>
    <w:rsid w:val="00F673CA"/>
    <w:rsid w:val="00F6758C"/>
    <w:rsid w:val="00F70309"/>
    <w:rsid w:val="00F7078A"/>
    <w:rsid w:val="00F70E45"/>
    <w:rsid w:val="00F71372"/>
    <w:rsid w:val="00F727D5"/>
    <w:rsid w:val="00F72F44"/>
    <w:rsid w:val="00F73A0C"/>
    <w:rsid w:val="00F759DC"/>
    <w:rsid w:val="00F7717C"/>
    <w:rsid w:val="00F771A5"/>
    <w:rsid w:val="00F817A4"/>
    <w:rsid w:val="00F81C3A"/>
    <w:rsid w:val="00F835FC"/>
    <w:rsid w:val="00F8373A"/>
    <w:rsid w:val="00F83E21"/>
    <w:rsid w:val="00F83FA4"/>
    <w:rsid w:val="00F84E18"/>
    <w:rsid w:val="00F852E5"/>
    <w:rsid w:val="00F862CF"/>
    <w:rsid w:val="00F87E58"/>
    <w:rsid w:val="00F929E7"/>
    <w:rsid w:val="00F9310A"/>
    <w:rsid w:val="00F937C0"/>
    <w:rsid w:val="00F95117"/>
    <w:rsid w:val="00F95796"/>
    <w:rsid w:val="00F97DBC"/>
    <w:rsid w:val="00F97ED2"/>
    <w:rsid w:val="00FA05D7"/>
    <w:rsid w:val="00FA15BD"/>
    <w:rsid w:val="00FA1C6C"/>
    <w:rsid w:val="00FA2447"/>
    <w:rsid w:val="00FA2C2A"/>
    <w:rsid w:val="00FA309A"/>
    <w:rsid w:val="00FA5B57"/>
    <w:rsid w:val="00FA7644"/>
    <w:rsid w:val="00FB039E"/>
    <w:rsid w:val="00FB0A9A"/>
    <w:rsid w:val="00FB16AD"/>
    <w:rsid w:val="00FB2EAA"/>
    <w:rsid w:val="00FB483B"/>
    <w:rsid w:val="00FB56F1"/>
    <w:rsid w:val="00FB590B"/>
    <w:rsid w:val="00FB5FD4"/>
    <w:rsid w:val="00FB67F3"/>
    <w:rsid w:val="00FC0D8A"/>
    <w:rsid w:val="00FC0E5F"/>
    <w:rsid w:val="00FC135D"/>
    <w:rsid w:val="00FC3C84"/>
    <w:rsid w:val="00FC3F3C"/>
    <w:rsid w:val="00FC4660"/>
    <w:rsid w:val="00FC56DE"/>
    <w:rsid w:val="00FC5E01"/>
    <w:rsid w:val="00FD1261"/>
    <w:rsid w:val="00FD1627"/>
    <w:rsid w:val="00FD1BBD"/>
    <w:rsid w:val="00FD473D"/>
    <w:rsid w:val="00FD4763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760"/>
    <w:rsid w:val="00FE3D8B"/>
    <w:rsid w:val="00FE440E"/>
    <w:rsid w:val="00FE4FCB"/>
    <w:rsid w:val="00FE688F"/>
    <w:rsid w:val="00FE705E"/>
    <w:rsid w:val="00FF02EB"/>
    <w:rsid w:val="00FF079B"/>
    <w:rsid w:val="00FF2436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71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302CC5"/>
    <w:pPr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302CC5"/>
    <w:rPr>
      <w:rFonts w:ascii="Arial" w:eastAsia="MS Gothic" w:hAnsi="Arial"/>
      <w:b/>
      <w:bCs/>
      <w:color w:val="71818C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1"/>
    <w:qFormat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qFormat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qFormat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1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qFormat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71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  <w:style w:type="paragraph" w:styleId="Normlnweb">
    <w:name w:val="Normal (Web)"/>
    <w:basedOn w:val="Normln"/>
    <w:uiPriority w:val="99"/>
    <w:semiHidden/>
    <w:locked/>
    <w:rsid w:val="005D4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semiHidden/>
    <w:locked/>
    <w:rsid w:val="00943373"/>
    <w:pPr>
      <w:autoSpaceDE w:val="0"/>
      <w:autoSpaceDN w:val="0"/>
      <w:adjustRightInd w:val="0"/>
      <w:spacing w:line="240" w:lineRule="auto"/>
      <w:ind w:left="720" w:hanging="720"/>
    </w:pPr>
    <w:rPr>
      <w:rFonts w:eastAsia="Times New Roman" w:cs="Arial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3373"/>
    <w:rPr>
      <w:rFonts w:ascii="Arial" w:eastAsia="Times New Roman" w:hAnsi="Arial" w:cs="Arial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293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29390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90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93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9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29390D"/>
    <w:rPr>
      <w:color w:val="800080"/>
      <w:u w:val="single"/>
    </w:rPr>
  </w:style>
  <w:style w:type="paragraph" w:customStyle="1" w:styleId="TLKontaktyerven">
    <w:name w:val="TL Kontakty červené"/>
    <w:basedOn w:val="Normln"/>
    <w:qFormat/>
    <w:rsid w:val="00616EA3"/>
    <w:pPr>
      <w:spacing w:after="40"/>
      <w:contextualSpacing/>
    </w:pPr>
    <w:rPr>
      <w:rFonts w:eastAsia="Times New Roman"/>
      <w:b/>
      <w:caps/>
      <w:color w:val="BD1B21"/>
      <w:sz w:val="24"/>
    </w:rPr>
  </w:style>
  <w:style w:type="paragraph" w:customStyle="1" w:styleId="TLKontakty">
    <w:name w:val="TL Kontakty"/>
    <w:qFormat/>
    <w:rsid w:val="00616EA3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character" w:customStyle="1" w:styleId="odkaz-style-wrapper">
    <w:name w:val="odkaz-style-wrapper"/>
    <w:basedOn w:val="Standardnpsmoodstavce"/>
    <w:rsid w:val="000E214B"/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C235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35B9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velke%20makro\9.%20Spot&#345;ebn&#237;%20a%20investi&#269;n&#237;%20v&#253;daje%20dom&#225;cnost&#237;\spotreba%20trvanlivos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velke%20makro\9.%20Spot&#345;ebn&#237;%20a%20investi&#269;n&#237;%20v&#253;daje%20dom&#225;cnost&#237;\spotreba_ucelov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4942586963863574E-2"/>
          <c:y val="2.501970055161569E-2"/>
          <c:w val="0.91556990881458966"/>
          <c:h val="0.77437014522120906"/>
        </c:manualLayout>
      </c:layout>
      <c:barChart>
        <c:barDir val="col"/>
        <c:grouping val="stacked"/>
        <c:ser>
          <c:idx val="0"/>
          <c:order val="0"/>
          <c:tx>
            <c:v>Předměty dlouhodobé spotřeby</c:v>
          </c:tx>
          <c:cat>
            <c:numRef>
              <c:f>H000504_bc_CZ!$R$41:$AB$41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H000504_bc_CZ!$R$67:$AB$67</c:f>
              <c:numCache>
                <c:formatCode>0.0</c:formatCode>
                <c:ptCount val="11"/>
                <c:pt idx="0">
                  <c:v>0.79047655957317664</c:v>
                </c:pt>
                <c:pt idx="1">
                  <c:v>0.77370742425720085</c:v>
                </c:pt>
                <c:pt idx="2">
                  <c:v>0.9294493017594857</c:v>
                </c:pt>
                <c:pt idx="3">
                  <c:v>5.0381864185247982E-2</c:v>
                </c:pt>
                <c:pt idx="4">
                  <c:v>0.54904363628379926</c:v>
                </c:pt>
                <c:pt idx="5">
                  <c:v>0.5330101031628165</c:v>
                </c:pt>
                <c:pt idx="6">
                  <c:v>-6.337510004369673E-2</c:v>
                </c:pt>
                <c:pt idx="7">
                  <c:v>0.29113774686374383</c:v>
                </c:pt>
                <c:pt idx="8">
                  <c:v>0.57342970616103495</c:v>
                </c:pt>
                <c:pt idx="9">
                  <c:v>0.88634728577693256</c:v>
                </c:pt>
                <c:pt idx="10">
                  <c:v>0.94440526747990061</c:v>
                </c:pt>
              </c:numCache>
            </c:numRef>
          </c:val>
        </c:ser>
        <c:ser>
          <c:idx val="1"/>
          <c:order val="1"/>
          <c:tx>
            <c:v>Předměty střednědobé spotřeby</c:v>
          </c:tx>
          <c:cat>
            <c:numRef>
              <c:f>H000504_bc_CZ!$R$41:$AB$41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H000504_bc_CZ!$R$68:$AB$68</c:f>
              <c:numCache>
                <c:formatCode>0.0</c:formatCode>
                <c:ptCount val="11"/>
                <c:pt idx="0">
                  <c:v>0.5028577334123201</c:v>
                </c:pt>
                <c:pt idx="1">
                  <c:v>0.38304933249955497</c:v>
                </c:pt>
                <c:pt idx="2">
                  <c:v>0.39916712237242458</c:v>
                </c:pt>
                <c:pt idx="3">
                  <c:v>-0.28984218970150588</c:v>
                </c:pt>
                <c:pt idx="4">
                  <c:v>1.3136787249459901E-2</c:v>
                </c:pt>
                <c:pt idx="5">
                  <c:v>0.20248529301016602</c:v>
                </c:pt>
                <c:pt idx="6">
                  <c:v>-9.9448383035024693E-2</c:v>
                </c:pt>
                <c:pt idx="7">
                  <c:v>0.22022860313886078</c:v>
                </c:pt>
                <c:pt idx="8">
                  <c:v>6.9321615451480814E-2</c:v>
                </c:pt>
                <c:pt idx="9">
                  <c:v>0.28999947294812117</c:v>
                </c:pt>
                <c:pt idx="10">
                  <c:v>0.48922080902088405</c:v>
                </c:pt>
              </c:numCache>
            </c:numRef>
          </c:val>
        </c:ser>
        <c:ser>
          <c:idx val="2"/>
          <c:order val="2"/>
          <c:tx>
            <c:v>Předměty krátkodobé spotřeby</c:v>
          </c:tx>
          <c:cat>
            <c:numRef>
              <c:f>H000504_bc_CZ!$R$41:$AB$41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H000504_bc_CZ!$R$69:$AB$69</c:f>
              <c:numCache>
                <c:formatCode>0.0</c:formatCode>
                <c:ptCount val="11"/>
                <c:pt idx="0">
                  <c:v>1.1114228750317565</c:v>
                </c:pt>
                <c:pt idx="1">
                  <c:v>1.109613268543431</c:v>
                </c:pt>
                <c:pt idx="2">
                  <c:v>0</c:v>
                </c:pt>
                <c:pt idx="3">
                  <c:v>0.64590885587267965</c:v>
                </c:pt>
                <c:pt idx="4">
                  <c:v>0.48886816265032274</c:v>
                </c:pt>
                <c:pt idx="5">
                  <c:v>-0.45612375849336873</c:v>
                </c:pt>
                <c:pt idx="6">
                  <c:v>-0.76529477174304061</c:v>
                </c:pt>
                <c:pt idx="7">
                  <c:v>-0.59960433686859982</c:v>
                </c:pt>
                <c:pt idx="8">
                  <c:v>0.42423040254211375</c:v>
                </c:pt>
                <c:pt idx="9">
                  <c:v>1.5108026811881978</c:v>
                </c:pt>
                <c:pt idx="10">
                  <c:v>1.4110142979358336</c:v>
                </c:pt>
              </c:numCache>
            </c:numRef>
          </c:val>
        </c:ser>
        <c:ser>
          <c:idx val="3"/>
          <c:order val="3"/>
          <c:tx>
            <c:v>Služby</c:v>
          </c:tx>
          <c:cat>
            <c:numRef>
              <c:f>H000504_bc_CZ!$R$41:$AB$41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H000504_bc_CZ!$R$70:$AB$70</c:f>
              <c:numCache>
                <c:formatCode>0.0</c:formatCode>
                <c:ptCount val="11"/>
                <c:pt idx="0">
                  <c:v>1.3045234681090978</c:v>
                </c:pt>
                <c:pt idx="1">
                  <c:v>1.9299977625683444</c:v>
                </c:pt>
                <c:pt idx="2">
                  <c:v>1.5969993637851139</c:v>
                </c:pt>
                <c:pt idx="3">
                  <c:v>-1.0233436713961257</c:v>
                </c:pt>
                <c:pt idx="4">
                  <c:v>0</c:v>
                </c:pt>
                <c:pt idx="5">
                  <c:v>0</c:v>
                </c:pt>
                <c:pt idx="6">
                  <c:v>-0.30342348642831568</c:v>
                </c:pt>
                <c:pt idx="7">
                  <c:v>0.55913370809476559</c:v>
                </c:pt>
                <c:pt idx="8">
                  <c:v>0.69117631952131631</c:v>
                </c:pt>
                <c:pt idx="9">
                  <c:v>1.1627889138401961</c:v>
                </c:pt>
                <c:pt idx="10">
                  <c:v>0.81162498882056511</c:v>
                </c:pt>
              </c:numCache>
            </c:numRef>
          </c:val>
        </c:ser>
        <c:gapWidth val="91"/>
        <c:overlap val="100"/>
        <c:axId val="71954432"/>
        <c:axId val="71956736"/>
      </c:barChart>
      <c:lineChart>
        <c:grouping val="standard"/>
        <c:ser>
          <c:idx val="4"/>
          <c:order val="4"/>
          <c:tx>
            <c:v>Celkem</c:v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val>
            <c:numRef>
              <c:f>H000504_bc_CZ!$R$71:$AB$71</c:f>
              <c:numCache>
                <c:formatCode>0.0</c:formatCode>
                <c:ptCount val="11"/>
                <c:pt idx="0">
                  <c:v>3.7092806361263602</c:v>
                </c:pt>
                <c:pt idx="1">
                  <c:v>4.1963677878685424</c:v>
                </c:pt>
                <c:pt idx="2">
                  <c:v>2.9256157879170215</c:v>
                </c:pt>
                <c:pt idx="3">
                  <c:v>-0.61689514103970833</c:v>
                </c:pt>
                <c:pt idx="4">
                  <c:v>1.0510485861835701</c:v>
                </c:pt>
                <c:pt idx="5">
                  <c:v>0.27937163767961393</c:v>
                </c:pt>
                <c:pt idx="6">
                  <c:v>-1.2315417412500758</c:v>
                </c:pt>
                <c:pt idx="7">
                  <c:v>0.47089572122877632</c:v>
                </c:pt>
                <c:pt idx="8">
                  <c:v>1.7581580436759461</c:v>
                </c:pt>
                <c:pt idx="9">
                  <c:v>3.8499383537534557</c:v>
                </c:pt>
                <c:pt idx="10">
                  <c:v>3.6562653632571767</c:v>
                </c:pt>
              </c:numCache>
            </c:numRef>
          </c:val>
        </c:ser>
        <c:marker val="1"/>
        <c:axId val="71954432"/>
        <c:axId val="71956736"/>
      </c:lineChart>
      <c:catAx>
        <c:axId val="7195443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cs-CZ"/>
          </a:p>
        </c:txPr>
        <c:crossAx val="71956736"/>
        <c:crosses val="autoZero"/>
        <c:auto val="1"/>
        <c:lblAlgn val="ctr"/>
        <c:lblOffset val="100"/>
      </c:catAx>
      <c:valAx>
        <c:axId val="71956736"/>
        <c:scaling>
          <c:orientation val="minMax"/>
        </c:scaling>
        <c:axPos val="l"/>
        <c:majorGridlines/>
        <c:numFmt formatCode="0" sourceLinked="0"/>
        <c:tickLblPos val="nextTo"/>
        <c:crossAx val="7195443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5.6520390070921973E-2"/>
          <c:y val="0.8673322638748171"/>
          <c:w val="0.91131142350557848"/>
          <c:h val="0.11243104806934594"/>
        </c:manualLayout>
      </c:layout>
      <c:overlay val="1"/>
      <c:spPr>
        <a:ln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4942586963863574E-2"/>
          <c:y val="2.5019700551615707E-2"/>
          <c:w val="0.93165400202634263"/>
          <c:h val="0.75292468760554221"/>
        </c:manualLayout>
      </c:layout>
      <c:barChart>
        <c:barDir val="col"/>
        <c:grouping val="stacked"/>
        <c:ser>
          <c:idx val="12"/>
          <c:order val="0"/>
          <c:tx>
            <c:strRef>
              <c:f>H000503_bc_CZ!$BT$87</c:f>
              <c:strCache>
                <c:ptCount val="1"/>
                <c:pt idx="0">
                  <c:v>Ostatní</c:v>
                </c:pt>
              </c:strCache>
            </c:strRef>
          </c:tx>
          <c:val>
            <c:numRef>
              <c:f>H000503_bc_CZ!$BU$87:$CE$87</c:f>
              <c:numCache>
                <c:formatCode>General</c:formatCode>
                <c:ptCount val="11"/>
                <c:pt idx="0">
                  <c:v>1.4515124056572728</c:v>
                </c:pt>
                <c:pt idx="1">
                  <c:v>1.836173705014716</c:v>
                </c:pt>
                <c:pt idx="2">
                  <c:v>0.97798755018969463</c:v>
                </c:pt>
                <c:pt idx="3">
                  <c:v>-0.24189845905883103</c:v>
                </c:pt>
                <c:pt idx="4">
                  <c:v>0.10467772848325589</c:v>
                </c:pt>
                <c:pt idx="5">
                  <c:v>-0.11747968583420837</c:v>
                </c:pt>
                <c:pt idx="6">
                  <c:v>-0.36858097563476699</c:v>
                </c:pt>
                <c:pt idx="7">
                  <c:v>0.29058021243604232</c:v>
                </c:pt>
                <c:pt idx="8">
                  <c:v>0.24237167750257702</c:v>
                </c:pt>
                <c:pt idx="9">
                  <c:v>1.0009469522283938</c:v>
                </c:pt>
                <c:pt idx="10">
                  <c:v>0.34412648167069526</c:v>
                </c:pt>
              </c:numCache>
            </c:numRef>
          </c:val>
        </c:ser>
        <c:ser>
          <c:idx val="2"/>
          <c:order val="1"/>
          <c:tx>
            <c:strRef>
              <c:f>H000503_bc_CZ!$BT$77</c:f>
              <c:strCache>
                <c:ptCount val="1"/>
                <c:pt idx="0">
                  <c:v>Odívání a obuv</c:v>
                </c:pt>
              </c:strCache>
            </c:strRef>
          </c:tx>
          <c:spPr>
            <a:solidFill>
              <a:schemeClr val="accent6"/>
            </a:solidFill>
          </c:spPr>
          <c:cat>
            <c:numRef>
              <c:f>H000503_bc_CZ!$BU$74:$CE$74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H000503_bc_CZ!$BU$77:$CE$77</c:f>
              <c:numCache>
                <c:formatCode>General</c:formatCode>
                <c:ptCount val="11"/>
                <c:pt idx="0">
                  <c:v>0.28110432587818951</c:v>
                </c:pt>
                <c:pt idx="1">
                  <c:v>0.19783904260873078</c:v>
                </c:pt>
                <c:pt idx="2">
                  <c:v>0.18416697342579391</c:v>
                </c:pt>
                <c:pt idx="3">
                  <c:v>-0.18604616346739061</c:v>
                </c:pt>
                <c:pt idx="4">
                  <c:v>3.3920510925016439E-2</c:v>
                </c:pt>
                <c:pt idx="5">
                  <c:v>1.6363271230038893E-2</c:v>
                </c:pt>
                <c:pt idx="6">
                  <c:v>4.8202918306994212E-2</c:v>
                </c:pt>
                <c:pt idx="7">
                  <c:v>0.20673208297105974</c:v>
                </c:pt>
                <c:pt idx="8">
                  <c:v>0.10686847173312122</c:v>
                </c:pt>
                <c:pt idx="9">
                  <c:v>0.13829493070209195</c:v>
                </c:pt>
                <c:pt idx="10">
                  <c:v>0.33007661641114522</c:v>
                </c:pt>
              </c:numCache>
            </c:numRef>
          </c:val>
        </c:ser>
        <c:ser>
          <c:idx val="4"/>
          <c:order val="2"/>
          <c:tx>
            <c:strRef>
              <c:f>H000503_bc_CZ!$BT$79</c:f>
              <c:strCache>
                <c:ptCount val="1"/>
                <c:pt idx="0">
                  <c:v>Bytové vybavení, zařízení domácností</c:v>
                </c:pt>
              </c:strCache>
            </c:strRef>
          </c:tx>
          <c:cat>
            <c:numRef>
              <c:f>H000503_bc_CZ!$BU$74:$CE$74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H000503_bc_CZ!$BU$79:$CE$79</c:f>
              <c:numCache>
                <c:formatCode>General</c:formatCode>
                <c:ptCount val="11"/>
                <c:pt idx="0">
                  <c:v>0.33713798506264969</c:v>
                </c:pt>
                <c:pt idx="1">
                  <c:v>0.30334668142989568</c:v>
                </c:pt>
                <c:pt idx="2">
                  <c:v>0.46681681905325711</c:v>
                </c:pt>
                <c:pt idx="3">
                  <c:v>-0.27140069248386611</c:v>
                </c:pt>
                <c:pt idx="4">
                  <c:v>0.17085309964731671</c:v>
                </c:pt>
                <c:pt idx="5">
                  <c:v>0.13191028723392953</c:v>
                </c:pt>
                <c:pt idx="6">
                  <c:v>-7.8872242993642414E-2</c:v>
                </c:pt>
                <c:pt idx="7">
                  <c:v>5.1942555723392347E-2</c:v>
                </c:pt>
                <c:pt idx="8">
                  <c:v>0.29285597933358887</c:v>
                </c:pt>
                <c:pt idx="9">
                  <c:v>0.25198524442972059</c:v>
                </c:pt>
                <c:pt idx="10">
                  <c:v>0.39776682268192687</c:v>
                </c:pt>
              </c:numCache>
            </c:numRef>
          </c:val>
        </c:ser>
        <c:ser>
          <c:idx val="8"/>
          <c:order val="3"/>
          <c:tx>
            <c:strRef>
              <c:f>H000503_bc_CZ!$BT$83</c:f>
              <c:strCache>
                <c:ptCount val="1"/>
                <c:pt idx="0">
                  <c:v>Rekreace, kultura a sport</c:v>
                </c:pt>
              </c:strCache>
            </c:strRef>
          </c:tx>
          <c:cat>
            <c:numRef>
              <c:f>H000503_bc_CZ!$BU$74:$CE$74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H000503_bc_CZ!$BU$83:$CE$83</c:f>
              <c:numCache>
                <c:formatCode>General</c:formatCode>
                <c:ptCount val="11"/>
                <c:pt idx="0">
                  <c:v>0.20787419206207741</c:v>
                </c:pt>
                <c:pt idx="1">
                  <c:v>0.22901828383254982</c:v>
                </c:pt>
                <c:pt idx="2">
                  <c:v>0.7909926122472436</c:v>
                </c:pt>
                <c:pt idx="3">
                  <c:v>-0.43062446712613067</c:v>
                </c:pt>
                <c:pt idx="4">
                  <c:v>9.2910476242253348E-3</c:v>
                </c:pt>
                <c:pt idx="5">
                  <c:v>0.15474212369804174</c:v>
                </c:pt>
                <c:pt idx="6">
                  <c:v>-0.47413876143238781</c:v>
                </c:pt>
                <c:pt idx="7">
                  <c:v>4.3445063927141904E-2</c:v>
                </c:pt>
                <c:pt idx="8">
                  <c:v>0.19079775158331821</c:v>
                </c:pt>
                <c:pt idx="9">
                  <c:v>0.40533814142684282</c:v>
                </c:pt>
                <c:pt idx="10">
                  <c:v>0.41260439787776304</c:v>
                </c:pt>
              </c:numCache>
            </c:numRef>
          </c:val>
        </c:ser>
        <c:ser>
          <c:idx val="0"/>
          <c:order val="4"/>
          <c:tx>
            <c:strRef>
              <c:f>H000503_bc_CZ!$BT$75</c:f>
              <c:strCache>
                <c:ptCount val="1"/>
                <c:pt idx="0">
                  <c:v>Potraviny, nealkoholické nápoje</c:v>
                </c:pt>
              </c:strCache>
            </c:strRef>
          </c:tx>
          <c:spPr>
            <a:solidFill>
              <a:schemeClr val="accent4"/>
            </a:solidFill>
          </c:spPr>
          <c:cat>
            <c:numRef>
              <c:f>H000503_bc_CZ!$BU$74:$CE$74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H000503_bc_CZ!$BU$75:$CE$75</c:f>
              <c:numCache>
                <c:formatCode>General</c:formatCode>
                <c:ptCount val="11"/>
                <c:pt idx="0">
                  <c:v>0.48128081575355514</c:v>
                </c:pt>
                <c:pt idx="1">
                  <c:v>0.49634512670173853</c:v>
                </c:pt>
                <c:pt idx="2">
                  <c:v>0.12055782640057661</c:v>
                </c:pt>
                <c:pt idx="3">
                  <c:v>-1.4591957971048916E-2</c:v>
                </c:pt>
                <c:pt idx="4">
                  <c:v>5.8099527072313924E-2</c:v>
                </c:pt>
                <c:pt idx="5">
                  <c:v>0.13662646269422221</c:v>
                </c:pt>
                <c:pt idx="6">
                  <c:v>7.9571343526582808E-2</c:v>
                </c:pt>
                <c:pt idx="7">
                  <c:v>-1.6207814296760679E-2</c:v>
                </c:pt>
                <c:pt idx="8">
                  <c:v>0.70510374542076659</c:v>
                </c:pt>
                <c:pt idx="9">
                  <c:v>0.7134567168056134</c:v>
                </c:pt>
                <c:pt idx="10">
                  <c:v>0.74278621392429922</c:v>
                </c:pt>
              </c:numCache>
            </c:numRef>
          </c:val>
        </c:ser>
        <c:ser>
          <c:idx val="6"/>
          <c:order val="5"/>
          <c:tx>
            <c:strRef>
              <c:f>H000503_bc_CZ!$BT$81</c:f>
              <c:strCache>
                <c:ptCount val="1"/>
                <c:pt idx="0">
                  <c:v>Doprava</c:v>
                </c:pt>
              </c:strCache>
            </c:strRef>
          </c:tx>
          <c:cat>
            <c:numRef>
              <c:f>H000503_bc_CZ!$BU$74:$CE$74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H000503_bc_CZ!$BU$81:$CE$81</c:f>
              <c:numCache>
                <c:formatCode>General</c:formatCode>
                <c:ptCount val="11"/>
                <c:pt idx="0">
                  <c:v>0.5384153066980647</c:v>
                </c:pt>
                <c:pt idx="1">
                  <c:v>0.48622464961246914</c:v>
                </c:pt>
                <c:pt idx="2">
                  <c:v>0.40289765026055041</c:v>
                </c:pt>
                <c:pt idx="3">
                  <c:v>0.15588000768718696</c:v>
                </c:pt>
                <c:pt idx="4">
                  <c:v>5.3945751858825934E-2</c:v>
                </c:pt>
                <c:pt idx="5">
                  <c:v>0.37418742056073812</c:v>
                </c:pt>
                <c:pt idx="6">
                  <c:v>-0.15802133487347164</c:v>
                </c:pt>
                <c:pt idx="7">
                  <c:v>4.5682063137818994E-2</c:v>
                </c:pt>
                <c:pt idx="8">
                  <c:v>0.67188985086703246</c:v>
                </c:pt>
                <c:pt idx="9">
                  <c:v>0.71810230265201214</c:v>
                </c:pt>
                <c:pt idx="10">
                  <c:v>0.83246314399204968</c:v>
                </c:pt>
              </c:numCache>
            </c:numRef>
          </c:val>
        </c:ser>
        <c:ser>
          <c:idx val="3"/>
          <c:order val="6"/>
          <c:tx>
            <c:strRef>
              <c:f>H000503_bc_CZ!$BT$78</c:f>
              <c:strCache>
                <c:ptCount val="1"/>
                <c:pt idx="0">
                  <c:v>Bydlení, voda, energie a paliva</c:v>
                </c:pt>
              </c:strCache>
            </c:strRef>
          </c:tx>
          <c:spPr>
            <a:solidFill>
              <a:schemeClr val="accent2"/>
            </a:solidFill>
          </c:spPr>
          <c:cat>
            <c:numRef>
              <c:f>H000503_bc_CZ!$BU$74:$CE$74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H000503_bc_CZ!$BU$78:$CE$78</c:f>
              <c:numCache>
                <c:formatCode>General</c:formatCode>
                <c:ptCount val="11"/>
                <c:pt idx="0">
                  <c:v>0.44355910380791286</c:v>
                </c:pt>
                <c:pt idx="1">
                  <c:v>0.73209429340188037</c:v>
                </c:pt>
                <c:pt idx="2">
                  <c:v>2.6454197847932501E-2</c:v>
                </c:pt>
                <c:pt idx="3">
                  <c:v>0.48479657092013795</c:v>
                </c:pt>
                <c:pt idx="4">
                  <c:v>0.66484264149405048</c:v>
                </c:pt>
                <c:pt idx="5">
                  <c:v>-0.37018867673209277</c:v>
                </c:pt>
                <c:pt idx="6">
                  <c:v>-0.25663754720514725</c:v>
                </c:pt>
                <c:pt idx="7">
                  <c:v>-0.14206535152916486</c:v>
                </c:pt>
                <c:pt idx="8">
                  <c:v>-0.35308746391767259</c:v>
                </c:pt>
                <c:pt idx="9">
                  <c:v>0.56724254927464257</c:v>
                </c:pt>
                <c:pt idx="10">
                  <c:v>0.61553828878270656</c:v>
                </c:pt>
              </c:numCache>
            </c:numRef>
          </c:val>
        </c:ser>
        <c:gapWidth val="92"/>
        <c:overlap val="100"/>
        <c:axId val="86316928"/>
        <c:axId val="86318464"/>
      </c:barChart>
      <c:lineChart>
        <c:grouping val="standard"/>
        <c:ser>
          <c:idx val="1"/>
          <c:order val="7"/>
          <c:tx>
            <c:strRef>
              <c:f>H000503_bc_CZ!$BT$88</c:f>
              <c:strCache>
                <c:ptCount val="1"/>
                <c:pt idx="0">
                  <c:v>Celkem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H000503_bc_CZ!$BU$88:$CE$88</c:f>
              <c:numCache>
                <c:formatCode>General</c:formatCode>
                <c:ptCount val="11"/>
                <c:pt idx="0">
                  <c:v>3.7000000000000042</c:v>
                </c:pt>
                <c:pt idx="1">
                  <c:v>4.2000000000000028</c:v>
                </c:pt>
                <c:pt idx="2">
                  <c:v>2.9000000000000057</c:v>
                </c:pt>
                <c:pt idx="3">
                  <c:v>-0.59999999999999432</c:v>
                </c:pt>
                <c:pt idx="4">
                  <c:v>1.0999999999999832</c:v>
                </c:pt>
                <c:pt idx="5">
                  <c:v>0.30000000000000032</c:v>
                </c:pt>
                <c:pt idx="6">
                  <c:v>-1.2999999999999841</c:v>
                </c:pt>
                <c:pt idx="7">
                  <c:v>0.5</c:v>
                </c:pt>
                <c:pt idx="8">
                  <c:v>1.7999999999999841</c:v>
                </c:pt>
                <c:pt idx="9">
                  <c:v>3.7999999999999972</c:v>
                </c:pt>
                <c:pt idx="10">
                  <c:v>3.5999999999999943</c:v>
                </c:pt>
              </c:numCache>
            </c:numRef>
          </c:val>
        </c:ser>
        <c:marker val="1"/>
        <c:axId val="86316928"/>
        <c:axId val="86318464"/>
      </c:lineChart>
      <c:catAx>
        <c:axId val="8631692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cs-CZ"/>
          </a:p>
        </c:txPr>
        <c:crossAx val="86318464"/>
        <c:crosses val="autoZero"/>
        <c:auto val="1"/>
        <c:lblAlgn val="ctr"/>
        <c:lblOffset val="100"/>
      </c:catAx>
      <c:valAx>
        <c:axId val="86318464"/>
        <c:scaling>
          <c:orientation val="minMax"/>
        </c:scaling>
        <c:axPos val="l"/>
        <c:majorGridlines/>
        <c:numFmt formatCode="General" sourceLinked="1"/>
        <c:tickLblPos val="nextTo"/>
        <c:crossAx val="86316928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5.4881163458291124E-2"/>
          <c:y val="0.85634667342114679"/>
          <c:w val="0.92903474332995606"/>
          <c:h val="0.13440222897669721"/>
        </c:manualLayout>
      </c:layout>
      <c:overlay val="1"/>
      <c:spPr>
        <a:ln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4036B-E7CD-4F97-A3DD-F495F139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2</TotalTime>
  <Pages>3</Pages>
  <Words>1384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Karolína Súkupová</cp:lastModifiedBy>
  <cp:revision>3</cp:revision>
  <cp:lastPrinted>2017-08-30T12:10:00Z</cp:lastPrinted>
  <dcterms:created xsi:type="dcterms:W3CDTF">2017-09-13T10:49:00Z</dcterms:created>
  <dcterms:modified xsi:type="dcterms:W3CDTF">2017-09-13T11:52:00Z</dcterms:modified>
</cp:coreProperties>
</file>