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B8C37" w14:textId="77777777" w:rsidR="005E53DC" w:rsidRPr="009110F7" w:rsidRDefault="005E53DC" w:rsidP="005E53DC">
      <w:pPr>
        <w:pStyle w:val="Nadpis1"/>
      </w:pPr>
      <w:bookmarkStart w:id="0" w:name="_Toc145318531"/>
      <w:bookmarkStart w:id="1" w:name="_Toc153531174"/>
      <w:bookmarkStart w:id="2" w:name="_Toc137233026"/>
      <w:bookmarkStart w:id="3" w:name="_Toc130286019"/>
      <w:bookmarkStart w:id="4" w:name="_Toc114134050"/>
      <w:bookmarkStart w:id="5" w:name="_Toc121993822"/>
      <w:r>
        <w:t>2. Souhrnná výkonnost</w:t>
      </w:r>
      <w:bookmarkEnd w:id="0"/>
      <w:bookmarkEnd w:id="1"/>
    </w:p>
    <w:tbl>
      <w:tblPr>
        <w:tblW w:w="9639" w:type="dxa"/>
        <w:tblInd w:w="-2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6"/>
        <w:gridCol w:w="223"/>
        <w:gridCol w:w="7610"/>
      </w:tblGrid>
      <w:tr w:rsidR="005E53DC" w:rsidRPr="009110F7" w14:paraId="0E450776" w14:textId="77777777" w:rsidTr="08AB0269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541F02E1" w14:textId="77777777" w:rsidR="005E53DC" w:rsidRDefault="005E53DC" w:rsidP="00EF1967">
            <w:pPr>
              <w:pStyle w:val="Marginlie"/>
            </w:pPr>
            <w:r>
              <w:t xml:space="preserve">Česká ekonomika ve </w:t>
            </w:r>
            <w:r>
              <w:br/>
              <w:t>3. čtvrtletí zpomalovala.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44BE56F7" w14:textId="77777777" w:rsidR="005E53DC" w:rsidRDefault="005E53DC" w:rsidP="00EF196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551B2AC7" w14:textId="77777777" w:rsidR="005E53DC" w:rsidRPr="00014ED0" w:rsidRDefault="005E53DC" w:rsidP="00EF1967">
            <w:pPr>
              <w:rPr>
                <w:spacing w:val="-2"/>
              </w:rPr>
            </w:pPr>
            <w:r>
              <w:rPr>
                <w:spacing w:val="-2"/>
              </w:rPr>
              <w:t>Česká ekonomika ve 3. čtvrtletí 2023 zpomalovala. Hrubý domácí produkt (HDP) meziročně zaostával o 0,7 %</w:t>
            </w:r>
            <w:r w:rsidRPr="00014ED0">
              <w:rPr>
                <w:rStyle w:val="Znakapoznpodarou"/>
                <w:rFonts w:cs="Arial"/>
                <w:spacing w:val="-2"/>
              </w:rPr>
              <w:footnoteReference w:id="1"/>
            </w:r>
            <w:r>
              <w:rPr>
                <w:spacing w:val="-2"/>
              </w:rPr>
              <w:t xml:space="preserve"> a klesl tak potřetí v řadě. Ve směru meziročního poklesu HDP působila zejména změna zásob a spotřeba domácností. Naopak stabilní meziroční přírůstek si držela vládní spotřeba a rostly také investice. K meziročnímu růstu HDP stále mírně pozitivně přispívala také zahraniční poptávka, její vliv ale ve srovnání s předchozími čtyřmi kvartály výrazně oslabil. Mezičtvrtletně byl HDP nižší o 0,5 %. Ve směru poklesu působily zejména výdaje na tvorbu hrubého kapitálu – negativní příspěvek měla změna zásob i investice. Mírně negativně se projevila i zahraniční poptávka, která tak po více než roce přestala vyvažovat propad domácí poptávky. Především spotřeba vládních institucí ovlivnila výsledný mírný mezičtvrtletní růst spotřeby – u domácností po přírůstku ze 2. kvartálu spotřeba opět klesla. Údaje o HDP v cenách roku 2015 ukazují, že ve 3. čtvrtletí 2023 HDP zaostával za úrovní stejného období roku 2019. Nejblíže k výstupu nad předpandemickou úroveň měl HDP ve 2. čtvrtletí 2022 a od té doby česká ekonomika klesá.</w:t>
            </w:r>
          </w:p>
        </w:tc>
      </w:tr>
      <w:tr w:rsidR="005E53DC" w:rsidRPr="009110F7" w14:paraId="4806C12D" w14:textId="77777777" w:rsidTr="08AB0269">
        <w:trPr>
          <w:trHeight w:val="170"/>
        </w:trPr>
        <w:tc>
          <w:tcPr>
            <w:tcW w:w="1806" w:type="dxa"/>
            <w:vMerge w:val="restart"/>
            <w:shd w:val="clear" w:color="auto" w:fill="auto"/>
            <w:tcMar>
              <w:left w:w="0" w:type="dxa"/>
            </w:tcMar>
          </w:tcPr>
          <w:p w14:paraId="093BF451" w14:textId="77777777" w:rsidR="005E53DC" w:rsidRDefault="005E53DC" w:rsidP="00EF1967">
            <w:pPr>
              <w:pStyle w:val="Marginlie"/>
            </w:pPr>
          </w:p>
        </w:tc>
        <w:tc>
          <w:tcPr>
            <w:tcW w:w="223" w:type="dxa"/>
            <w:vMerge w:val="restart"/>
            <w:shd w:val="clear" w:color="auto" w:fill="auto"/>
            <w:tcMar>
              <w:left w:w="0" w:type="dxa"/>
            </w:tcMar>
          </w:tcPr>
          <w:p w14:paraId="5C186E9D" w14:textId="77777777" w:rsidR="005E53DC" w:rsidRDefault="005E53DC" w:rsidP="00EF196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305856CD" w14:textId="77777777" w:rsidR="005E53DC" w:rsidRPr="00D721B4" w:rsidRDefault="005E53DC" w:rsidP="00EF1967">
            <w:pPr>
              <w:spacing w:after="0"/>
              <w:rPr>
                <w:b/>
                <w:szCs w:val="20"/>
              </w:rPr>
            </w:pPr>
            <w:r w:rsidRPr="00D721B4">
              <w:rPr>
                <w:rFonts w:cs="Arial"/>
                <w:b/>
                <w:bCs/>
                <w:color w:val="000000"/>
                <w:szCs w:val="20"/>
              </w:rPr>
              <w:t>Graf č. 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D721B4">
              <w:rPr>
                <w:rFonts w:cs="Arial"/>
                <w:b/>
                <w:szCs w:val="20"/>
                <w:lang w:eastAsia="en-US"/>
              </w:rPr>
              <w:t xml:space="preserve">HDP </w:t>
            </w:r>
            <w:r w:rsidRPr="00D721B4">
              <w:rPr>
                <w:rFonts w:cs="Arial"/>
                <w:bCs/>
                <w:szCs w:val="20"/>
                <w:lang w:eastAsia="en-US"/>
              </w:rPr>
              <w:t>(objemové indexy, očištěno o sezónní a kalendářní vlivy, v %)</w:t>
            </w:r>
          </w:p>
        </w:tc>
      </w:tr>
      <w:tr w:rsidR="005E53DC" w:rsidRPr="009110F7" w14:paraId="22CA9F7A" w14:textId="77777777" w:rsidTr="08AB0269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06" w:type="dxa"/>
            <w:vMerge/>
          </w:tcPr>
          <w:p w14:paraId="462DB8DC" w14:textId="77777777" w:rsidR="005E53DC" w:rsidRPr="009110F7" w:rsidRDefault="005E53DC" w:rsidP="00EF1967">
            <w:pPr>
              <w:pStyle w:val="Marginlie"/>
            </w:pPr>
          </w:p>
        </w:tc>
        <w:tc>
          <w:tcPr>
            <w:tcW w:w="223" w:type="dxa"/>
            <w:vMerge/>
          </w:tcPr>
          <w:p w14:paraId="63199DC5" w14:textId="77777777" w:rsidR="005E53DC" w:rsidRPr="009110F7" w:rsidRDefault="005E53DC" w:rsidP="00EF196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</w:tcPr>
          <w:p w14:paraId="68C68434" w14:textId="77777777" w:rsidR="005E53DC" w:rsidRPr="009110F7" w:rsidRDefault="005E53DC" w:rsidP="00EF1967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58171C58" wp14:editId="09A72E18">
                  <wp:extent cx="4737600" cy="3553200"/>
                  <wp:effectExtent l="0" t="0" r="6350" b="0"/>
                  <wp:docPr id="27" name="Graf 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5E53DC" w:rsidRPr="009110F7" w14:paraId="5C99F393" w14:textId="77777777" w:rsidTr="08AB0269">
        <w:trPr>
          <w:trHeight w:val="170"/>
        </w:trPr>
        <w:tc>
          <w:tcPr>
            <w:tcW w:w="1806" w:type="dxa"/>
            <w:vMerge/>
            <w:tcMar>
              <w:left w:w="0" w:type="dxa"/>
            </w:tcMar>
          </w:tcPr>
          <w:p w14:paraId="5254C3F7" w14:textId="77777777" w:rsidR="005E53DC" w:rsidRPr="009110F7" w:rsidRDefault="005E53DC" w:rsidP="00EF1967">
            <w:pPr>
              <w:pStyle w:val="Marginlie"/>
            </w:pPr>
          </w:p>
        </w:tc>
        <w:tc>
          <w:tcPr>
            <w:tcW w:w="223" w:type="dxa"/>
            <w:vMerge/>
            <w:tcMar>
              <w:left w:w="0" w:type="dxa"/>
            </w:tcMar>
          </w:tcPr>
          <w:p w14:paraId="18EEC0DC" w14:textId="77777777" w:rsidR="005E53DC" w:rsidRPr="009110F7" w:rsidRDefault="005E53DC" w:rsidP="00EF196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1A698181" w14:textId="77777777" w:rsidR="005E53DC" w:rsidRPr="009110F7" w:rsidRDefault="005E53DC" w:rsidP="00EF1967">
            <w:pPr>
              <w:spacing w:after="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Zdroj: ČSÚ, Eurostat</w:t>
            </w:r>
          </w:p>
        </w:tc>
      </w:tr>
      <w:tr w:rsidR="005E53DC" w:rsidRPr="009110F7" w14:paraId="0EFE63D6" w14:textId="77777777" w:rsidTr="08AB0269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192233B5" w14:textId="77777777" w:rsidR="005E53DC" w:rsidRDefault="005E53DC" w:rsidP="00EF1967">
            <w:pPr>
              <w:pStyle w:val="Marginlie"/>
            </w:pPr>
            <w:r>
              <w:t>Hrubý domácí produkt v EU mezičtvrtletně stagnoval.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50267068" w14:textId="77777777" w:rsidR="005E53DC" w:rsidRDefault="005E53DC" w:rsidP="00EF196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6DB334D3" w14:textId="4949CD19" w:rsidR="005E53DC" w:rsidRDefault="005E53DC" w:rsidP="000D7C6F">
            <w:r>
              <w:t xml:space="preserve">Hrubý domácí produkt v EU ve 3. čtvrtletí 2023 meziročně stagnoval. Ve většině zemí EU přitom HDP meziročně rostl, ale převážil negativní vývoj v dominantní německé ekonomice (−0,4 %) a jen mírný růst u Francie (0,6 %) nebo stagnace Itálie (0,1 %). Nejvíce se meziročně propadaly Irsko (−5,6 %), Estonsko (−4,0 %) a </w:t>
            </w:r>
            <w:r w:rsidR="21BE069A">
              <w:t>Lucembursko</w:t>
            </w:r>
            <w:r>
              <w:t xml:space="preserve"> (−1,</w:t>
            </w:r>
            <w:r w:rsidR="76D4E0D9">
              <w:t>8</w:t>
            </w:r>
            <w:r>
              <w:t xml:space="preserve"> %). Naopak nejvíce meziročně rostl HDP </w:t>
            </w:r>
            <w:r w:rsidR="78EC659F">
              <w:t>na Maltě (7,1 %). v</w:t>
            </w:r>
            <w:r>
              <w:t> Chorvatsku (3,0 %) a v Rumunsku (2,</w:t>
            </w:r>
            <w:r w:rsidR="36A6CB7D">
              <w:t>9</w:t>
            </w:r>
            <w:r>
              <w:t xml:space="preserve"> %). </w:t>
            </w:r>
            <w:r w:rsidR="754BB0AE">
              <w:t xml:space="preserve">Také mezičtvrtletně </w:t>
            </w:r>
            <w:r>
              <w:t xml:space="preserve">HDP v EU stagnoval. </w:t>
            </w:r>
            <w:r w:rsidR="64244C5C">
              <w:t>Rovněž</w:t>
            </w:r>
            <w:r>
              <w:t xml:space="preserve"> v případě mezičtvrtletní dynamiky měl na celkový výsledek vliv pokles nebo stagnace velkých ekonomik – Německa, Francie (shodně −0,1 %), Itálie (0,1 %) i Španělska (0,3 %). Nejvíce mezičtvrtletně rostl HDP</w:t>
            </w:r>
            <w:r w:rsidR="07FB41B9">
              <w:t xml:space="preserve"> na Maltě (2,4 %)</w:t>
            </w:r>
            <w:r>
              <w:t xml:space="preserve"> v Polsku (1,</w:t>
            </w:r>
            <w:r w:rsidR="64B5C10F">
              <w:t>5</w:t>
            </w:r>
            <w:r>
              <w:t xml:space="preserve"> %)</w:t>
            </w:r>
            <w:r w:rsidR="16EC38E2">
              <w:t xml:space="preserve"> a</w:t>
            </w:r>
            <w:r>
              <w:t xml:space="preserve"> na Kypru (1,1 %). Naopak nejhlubší poklesy vykázaly ekonomiky Irska (−1,9 %), Estonska (−1,3 %) </w:t>
            </w:r>
            <w:r>
              <w:lastRenderedPageBreak/>
              <w:t>a</w:t>
            </w:r>
            <w:r w:rsidR="000D7C6F">
              <w:t> </w:t>
            </w:r>
            <w:r>
              <w:t>Finska (−0,9 %). Údaje o HDP očištěné o vliv cen ukazují, že česká ekonomika jako jediná zaostávala za úrovní předpandemického 3. čtvrtletí 2019 (−1,0 %). Jen o 0,6 % překonal tuto úroveň HDP v Německu a Rakousku. Rozdíl mezi 3. čtvrtletím 2023 a</w:t>
            </w:r>
            <w:r w:rsidR="000D7C6F">
              <w:t> </w:t>
            </w:r>
            <w:r>
              <w:t>2019 v celé EU činil 3,</w:t>
            </w:r>
            <w:r w:rsidR="1371242A">
              <w:t>6</w:t>
            </w:r>
            <w:r>
              <w:t xml:space="preserve"> %.       </w:t>
            </w:r>
            <w:r w:rsidRPr="00A83392">
              <w:t xml:space="preserve"> </w:t>
            </w:r>
          </w:p>
        </w:tc>
      </w:tr>
      <w:tr w:rsidR="005E53DC" w:rsidRPr="009110F7" w14:paraId="60D345ED" w14:textId="77777777" w:rsidTr="08AB0269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5048D2D8" w14:textId="30DDDF77" w:rsidR="005E53DC" w:rsidRDefault="3204B56C" w:rsidP="00EF1967">
            <w:pPr>
              <w:pStyle w:val="Marginlie"/>
            </w:pPr>
            <w:r>
              <w:lastRenderedPageBreak/>
              <w:t>Objem me</w:t>
            </w:r>
            <w:r w:rsidR="005E53DC">
              <w:t>z</w:t>
            </w:r>
            <w:r w:rsidR="581B14F9">
              <w:t>d</w:t>
            </w:r>
            <w:r w:rsidR="005E53DC">
              <w:t xml:space="preserve"> a pla</w:t>
            </w:r>
            <w:r w:rsidR="15DD577B">
              <w:t>tů</w:t>
            </w:r>
            <w:r w:rsidR="005E53DC">
              <w:t xml:space="preserve"> se reálně meziročně zvýšil.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14CD9AF6" w14:textId="77777777" w:rsidR="005E53DC" w:rsidRDefault="005E53DC" w:rsidP="00EF196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2EBE97D3" w14:textId="200EB3B5" w:rsidR="005E53DC" w:rsidRPr="00014ED0" w:rsidRDefault="005E53DC" w:rsidP="00EF1967">
            <w:r>
              <w:t>Meziroční růst objemu vyplacených mezd a platů ve 3. čtvrtletí zpomalil na 7,5 % při mírném navýšení zaměstnanosti</w:t>
            </w:r>
            <w:r w:rsidRPr="00014ED0">
              <w:rPr>
                <w:rStyle w:val="Znakapoznpodarou"/>
                <w:spacing w:val="-2"/>
              </w:rPr>
              <w:footnoteReference w:id="2"/>
            </w:r>
            <w:r>
              <w:t xml:space="preserve"> (0,4 %). Růst cen také zpomaloval a ve 3. čtvrtletí se přírůstek cen dostal pod úroveň dynamiky mezd, což znamenalo reálný nárůst objemu mezd a platů o 0,5 %</w:t>
            </w:r>
            <w:r>
              <w:rPr>
                <w:rStyle w:val="Znakapoznpodarou"/>
                <w:spacing w:val="-2"/>
              </w:rPr>
              <w:footnoteReference w:id="3"/>
            </w:r>
            <w:r>
              <w:t>. Šlo o první přírůstek po pěti čtvrtletích poklesů. Nejvíce se meziročně zvýšil objem vyplacených mezd a platů v činnostech v oblasti nemovitostí (16,8 % při růstu zaměstnanosti o 0,5 %), v profesních vědeckých, technických a administrativních činnostech (10,7 % p</w:t>
            </w:r>
            <w:r w:rsidR="000D7C6F">
              <w:t xml:space="preserve">ři růstu zaměstnanosti o 2,7 %) </w:t>
            </w:r>
            <w:r>
              <w:t xml:space="preserve">a v informačních a komunikačních činnostech (9,0 % při růstu zaměstnanosti o 1,2 %) a nad celkovým průměrem ekonomiky bylo i navýšení mezd a platů ve veřejné správě a obraně, vzdělávání a zdravotní a sociální péči (8,5 % při růstu zaměstnanosti o 1,4 %). Podprůměrně rostly mzdy a platy ve stavebnictví (7,1 % při růstu zaměstnanosti o 2,1 %), v uskupení obchod, doprava, ubytování a pohostinství </w:t>
            </w:r>
            <w:r>
              <w:br/>
              <w:t>(6,5 %, zaměstnanost o 0,3 %), ve zpracovatelském průmyslu (6,0 %, zaměstnanost klesla o 1,4 %), v ostatních činnostech</w:t>
            </w:r>
            <w:r>
              <w:rPr>
                <w:rStyle w:val="Znakapoznpodarou"/>
                <w:spacing w:val="-2"/>
              </w:rPr>
              <w:footnoteReference w:id="4"/>
            </w:r>
            <w:r>
              <w:t xml:space="preserve"> (5,6 %, růst zaměstnanosti o 1,8 %), v peněžnictví a pojišťovnictví (5,0 % při poklesu zaměstnanosti o 0,6 %) </w:t>
            </w:r>
            <w:r>
              <w:br/>
              <w:t xml:space="preserve">a v zemědělství, lesnictví a rybářství (4,3 %, zaměstnanost o 0,2 %). </w:t>
            </w:r>
          </w:p>
        </w:tc>
      </w:tr>
      <w:tr w:rsidR="005E53DC" w:rsidRPr="009110F7" w14:paraId="027AE4C8" w14:textId="77777777" w:rsidTr="08AB0269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242E91DB" w14:textId="77777777" w:rsidR="005E53DC" w:rsidRDefault="005E53DC" w:rsidP="00EF1967">
            <w:pPr>
              <w:pStyle w:val="Marginlie"/>
            </w:pPr>
            <w:r>
              <w:t>Mzdy a platy mezičtvrtletně mírně rostly.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299E4298" w14:textId="77777777" w:rsidR="005E53DC" w:rsidRDefault="005E53DC" w:rsidP="00EF196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376D985C" w14:textId="77777777" w:rsidR="005E53DC" w:rsidRDefault="005E53DC" w:rsidP="00EF1967">
            <w:r>
              <w:t>Mezičtvrtletně se objem mezd a platů zvýšil o 0,4 % při současném poklesu celkové zaměstnanosti o 0,7 %. Při zahrnutí cenového růstu mzdy a platy reálně mezičtvrtletně klesly o 0,5 %. Nejvýraznější nárůst mezd a platů byl zaznamenán u profesních vědeckých, technických a administrativních činností (1,4 % při navýšení zaměstnanosti o 1,5 %), informačních a komunikačních činností (1,1 %, zaměstnanost se navýšila o 0,1 %) a ve veřejné správě a obraně, vzdělávání a zdravotní a sociální péči (0,7 % při poklesu zaměstnanosti o 0,3 %). Mírně rostly mzdy a platy také ve zpracovatelském průmyslu (0,5 %, zaměstnanost klesla o 1,1 %), ve stavebnictví (0,5 %, zaměstnanost −0,2 %) a v uskupení obchod, doprava, ubytování a pohostinství (0,2 %, zaměstnanost −0,8 %). Objem vyplacených mezd a platů se mezičtvrtletně snížil v ostatních činnostech (−3,8 % při poklesu zaměstnanosti o 3,3 %), v peněžnictví a pojišťovnictví (−2,0 %, zaměstnanost klesla o 1,7 %), v zemědělství, lesnictví a rybářství (−0,7 %, zaměstnanost −1,5 %) a v činnostech v oblasti nemovitostí (−0,1 %, zaměstnanost −1,1 %).</w:t>
            </w:r>
          </w:p>
        </w:tc>
      </w:tr>
      <w:tr w:rsidR="005E53DC" w:rsidRPr="009110F7" w14:paraId="33F6958F" w14:textId="77777777" w:rsidTr="08AB0269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3FA77A96" w14:textId="77777777" w:rsidR="005E53DC" w:rsidRDefault="005E53DC" w:rsidP="00EF1967">
            <w:pPr>
              <w:pStyle w:val="Marginlie"/>
            </w:pPr>
            <w:r>
              <w:t>Spotřeba domácností se nadále propadala.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1716B399" w14:textId="77777777" w:rsidR="005E53DC" w:rsidRDefault="005E53DC" w:rsidP="00EF196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5CF4BCA9" w14:textId="77777777" w:rsidR="005E53DC" w:rsidRDefault="005E53DC" w:rsidP="00EF1967">
            <w:pPr>
              <w:rPr>
                <w:spacing w:val="-2"/>
              </w:rPr>
            </w:pPr>
            <w:r>
              <w:rPr>
                <w:spacing w:val="-2"/>
              </w:rPr>
              <w:t xml:space="preserve">Výdaje na konečnou spotřebu byly ve 3. čtvrtletí meziročně nižší o 0,4 %. Přitom za tím stála výhradně spotřeba domácností, která se propadla o 2,3 %, zatímco spotřeba vládních institucí vzrostla o 3,9 %. Celkový příspěvek spotřeby k meziročnímu růstu HDP </w:t>
            </w:r>
            <w:r w:rsidRPr="08AB0269">
              <w:t>po vyloučení dovozu pro konečné užití</w:t>
            </w:r>
            <w:r w:rsidRPr="00AE3B94">
              <w:rPr>
                <w:spacing w:val="-2"/>
                <w:szCs w:val="20"/>
              </w:rPr>
              <w:t xml:space="preserve"> </w:t>
            </w:r>
            <w:r>
              <w:rPr>
                <w:spacing w:val="-2"/>
              </w:rPr>
              <w:t>byl ale ve výsledku mírně kladný (0,1 p. b.), z čehož lze usuzovat, že propad spotřeby domácností byl výrazně tažen importovanými statky. Mezičtvrtletně se spotřeba zvýšila o 0,2 %. Spotřeba domácností ale nenavázala na přírůstek z 2. čtvrtletí a ve 3. kvartálu mezičtvrtletně klesla o 0,3 %. Vládní spotřeba naopak rostla o 1,2 %. Spotřeba domácností ve 3. čtvrtletí reálně zaostávala za stejným obdobím let 2017–2022. Z pohledu spotřeby domácností podle trvanlivosti</w:t>
            </w:r>
            <w:r>
              <w:rPr>
                <w:rStyle w:val="Znakapoznpodarou"/>
              </w:rPr>
              <w:footnoteReference w:id="5"/>
            </w:r>
            <w:r>
              <w:rPr>
                <w:spacing w:val="-2"/>
              </w:rPr>
              <w:t xml:space="preserve"> je patrné, že meziročně zaostávala spotřeba u všech skupin statků – nejvíce u předmětů střednědobé spotřeby (−7,5 %) a dále krátkodobé (−3,7 %) a dlouhodobé (−3,4 %) spotřeby. Spotřeba služeb za stejným obdobím roku 2022 zaostávala o 0,6 %. Mezičtvrtletně se nejvíce </w:t>
            </w:r>
            <w:r>
              <w:rPr>
                <w:spacing w:val="-2"/>
              </w:rPr>
              <w:lastRenderedPageBreak/>
              <w:t xml:space="preserve">propadla spotřeba střednědobých statků (−4,0 %) a po dvou předchozích nárůstech opět mírně klesla i spotřeba netrvanlivého zboží (−0,8 %). Mezičtvrtletně nižší byla spotřeba služeb (−0,2 %). U předmětů dlouhodobé spotřeby došlo naopak k výraznému navýšení (1,9 %).       </w:t>
            </w:r>
          </w:p>
        </w:tc>
      </w:tr>
      <w:tr w:rsidR="005E53DC" w:rsidRPr="009110F7" w14:paraId="66526E29" w14:textId="77777777" w:rsidTr="08AB0269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15D45396" w14:textId="77777777" w:rsidR="005E53DC" w:rsidRDefault="005E53DC" w:rsidP="00EF1967">
            <w:pPr>
              <w:pStyle w:val="Marginlie"/>
            </w:pPr>
            <w:r>
              <w:lastRenderedPageBreak/>
              <w:t>Investiční aktivita meziročně rostla, mezičtvrtletně ale došlo k mírnému poklesu.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0D9763A8" w14:textId="77777777" w:rsidR="005E53DC" w:rsidRDefault="005E53DC" w:rsidP="00EF196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03D6E66C" w14:textId="77777777" w:rsidR="005E53DC" w:rsidRDefault="005E53DC" w:rsidP="00EF1967">
            <w:pPr>
              <w:rPr>
                <w:spacing w:val="-2"/>
              </w:rPr>
            </w:pPr>
            <w:r>
              <w:t>Výdaje na tvorbu hrubého kapitálu ve 3. čtvrtletí meziročně klesly o 4,3 % a hlavní podíl na tom měla opět změna zásob</w:t>
            </w:r>
            <w:r>
              <w:rPr>
                <w:rStyle w:val="Znakapoznpodarou"/>
              </w:rPr>
              <w:footnoteReference w:id="6"/>
            </w:r>
            <w:r>
              <w:t>. Kapitálové výdaje celkem přispěly ve směru poklesu HDP 1,1 p. b.</w:t>
            </w:r>
            <w:r w:rsidRPr="00014ED0">
              <w:rPr>
                <w:rStyle w:val="Znakapoznpodarou"/>
                <w:spacing w:val="-2"/>
              </w:rPr>
              <w:footnoteReference w:id="7"/>
            </w:r>
            <w:r>
              <w:t xml:space="preserve"> Samotné výdaje na tvorbu hrubého fixního kapitálu (investice) ale ve 3. čtvrtletí meziročně rostly o 3,3 %. Mezičtvrtletně se pokles výdajů na tvorbu hrubého kapitálu prohloubil na −1,8 % a přispívala k tomu změna zásob i oslabení investiční aktivity (−0,3 %). Věcné členění tvorby hrubého fixního kapitálu ukazuje, že ve 3. čtvrtletí meziročně zaostávaly výdaje na produkty duševního vlastnictví (−5,7 %), na ostatní budovy a stavby (−4,8 %) i na obydlí (−2,9 %, investice v této oblasti meziročně klesly pošesté v řadě). Tyto poklesy naopak vyvažoval výrazný meziroční růst investic do ICT a ostatních strojů a zařízení (16,7 %) a do dopravních prostředků a zařízení (20,5 %). Mezičtvrtletně se prudce propadly investice do obydlí (−7,5 %) a snížily se také výdaje na předměty duševního vlastnictví (−2,9 %). Oproti tomu rostly investice do dopravních prostředků a zařízení (3,7 %) a do ICT a ostatních strojů a zařízení (3,4 %). Mírně mezičtvrtletně rostly také výdaje na ostatní budovy a stavby (0,4 %).</w:t>
            </w:r>
          </w:p>
        </w:tc>
      </w:tr>
      <w:tr w:rsidR="005E53DC" w:rsidRPr="009110F7" w14:paraId="755EF2BC" w14:textId="77777777" w:rsidTr="08AB0269">
        <w:trPr>
          <w:trHeight w:val="154"/>
        </w:trPr>
        <w:tc>
          <w:tcPr>
            <w:tcW w:w="1806" w:type="dxa"/>
            <w:vMerge w:val="restart"/>
            <w:shd w:val="clear" w:color="auto" w:fill="auto"/>
            <w:tcMar>
              <w:left w:w="0" w:type="dxa"/>
            </w:tcMar>
          </w:tcPr>
          <w:p w14:paraId="03590C31" w14:textId="77777777" w:rsidR="005E53DC" w:rsidRDefault="005E53DC" w:rsidP="00EF1967">
            <w:pPr>
              <w:pStyle w:val="Marginlie"/>
            </w:pPr>
          </w:p>
        </w:tc>
        <w:tc>
          <w:tcPr>
            <w:tcW w:w="223" w:type="dxa"/>
            <w:vMerge w:val="restart"/>
            <w:shd w:val="clear" w:color="auto" w:fill="auto"/>
            <w:tcMar>
              <w:left w:w="0" w:type="dxa"/>
            </w:tcMar>
          </w:tcPr>
          <w:p w14:paraId="0A35597E" w14:textId="77777777" w:rsidR="005E53DC" w:rsidRDefault="005E53DC" w:rsidP="00EF196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3BB6F843" w14:textId="77777777" w:rsidR="005E53DC" w:rsidRDefault="005E53DC" w:rsidP="00EF1967">
            <w:pPr>
              <w:spacing w:after="0"/>
            </w:pPr>
            <w:r w:rsidRPr="00D721B4">
              <w:rPr>
                <w:b/>
                <w:szCs w:val="20"/>
              </w:rPr>
              <w:t>Graf č. 2</w:t>
            </w:r>
            <w:r>
              <w:rPr>
                <w:b/>
                <w:szCs w:val="20"/>
              </w:rPr>
              <w:t xml:space="preserve"> </w:t>
            </w:r>
            <w:r w:rsidRPr="00D721B4">
              <w:rPr>
                <w:rFonts w:cs="Arial"/>
                <w:b/>
                <w:szCs w:val="20"/>
                <w:lang w:eastAsia="en-US"/>
              </w:rPr>
              <w:t xml:space="preserve">Příspěvky výdajových složek k reálné změně HDP* </w:t>
            </w:r>
            <w:r w:rsidRPr="00D721B4">
              <w:rPr>
                <w:rFonts w:cs="Arial"/>
                <w:bCs/>
                <w:szCs w:val="20"/>
                <w:lang w:eastAsia="en-US"/>
              </w:rPr>
              <w:t>(objemové indexy, meziroční růst, příspěvky v p. b., HDP v %)</w:t>
            </w:r>
          </w:p>
        </w:tc>
      </w:tr>
      <w:tr w:rsidR="005E53DC" w:rsidRPr="009110F7" w14:paraId="53ECB1C2" w14:textId="77777777" w:rsidTr="08AB0269">
        <w:tblPrEx>
          <w:tblCellMar>
            <w:left w:w="70" w:type="dxa"/>
            <w:right w:w="70" w:type="dxa"/>
          </w:tblCellMar>
        </w:tblPrEx>
        <w:trPr>
          <w:trHeight w:val="154"/>
        </w:trPr>
        <w:tc>
          <w:tcPr>
            <w:tcW w:w="1806" w:type="dxa"/>
            <w:vMerge/>
          </w:tcPr>
          <w:p w14:paraId="569312AD" w14:textId="77777777" w:rsidR="005E53DC" w:rsidRDefault="005E53DC" w:rsidP="00EF1967">
            <w:pPr>
              <w:pStyle w:val="Marginlie"/>
            </w:pPr>
          </w:p>
        </w:tc>
        <w:tc>
          <w:tcPr>
            <w:tcW w:w="223" w:type="dxa"/>
            <w:vMerge/>
          </w:tcPr>
          <w:p w14:paraId="634064C4" w14:textId="77777777" w:rsidR="005E53DC" w:rsidRDefault="005E53DC" w:rsidP="00EF196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</w:tcPr>
          <w:p w14:paraId="38669EF3" w14:textId="77777777" w:rsidR="005E53DC" w:rsidRDefault="005E53DC" w:rsidP="00EF1967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6DA00530" wp14:editId="2EF404AA">
                  <wp:extent cx="4737600" cy="3553200"/>
                  <wp:effectExtent l="0" t="0" r="6350" b="0"/>
                  <wp:docPr id="3" name="Graf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5E53DC" w:rsidRPr="009110F7" w14:paraId="7386233B" w14:textId="77777777" w:rsidTr="08AB0269">
        <w:trPr>
          <w:trHeight w:val="154"/>
        </w:trPr>
        <w:tc>
          <w:tcPr>
            <w:tcW w:w="1806" w:type="dxa"/>
            <w:vMerge/>
            <w:tcMar>
              <w:left w:w="0" w:type="dxa"/>
            </w:tcMar>
          </w:tcPr>
          <w:p w14:paraId="3A6C4561" w14:textId="77777777" w:rsidR="005E53DC" w:rsidRDefault="005E53DC" w:rsidP="00EF1967">
            <w:pPr>
              <w:pStyle w:val="Marginlie"/>
            </w:pPr>
          </w:p>
        </w:tc>
        <w:tc>
          <w:tcPr>
            <w:tcW w:w="223" w:type="dxa"/>
            <w:vMerge/>
            <w:tcMar>
              <w:left w:w="0" w:type="dxa"/>
            </w:tcMar>
          </w:tcPr>
          <w:p w14:paraId="66AE7546" w14:textId="77777777" w:rsidR="005E53DC" w:rsidRDefault="005E53DC" w:rsidP="00EF196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4DD5F2DE" w14:textId="77777777" w:rsidR="005E53DC" w:rsidRDefault="005E53DC" w:rsidP="00EF1967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Zdroj: ČSÚ</w:t>
            </w:r>
          </w:p>
          <w:p w14:paraId="23D312D4" w14:textId="77777777" w:rsidR="005E53DC" w:rsidRDefault="005E53DC" w:rsidP="00EF1967">
            <w:r>
              <w:rPr>
                <w:sz w:val="14"/>
                <w:szCs w:val="14"/>
              </w:rPr>
              <w:t>* po vyloučení dovozu pro konečné užití</w:t>
            </w:r>
          </w:p>
        </w:tc>
      </w:tr>
      <w:tr w:rsidR="005E53DC" w:rsidRPr="009110F7" w14:paraId="7955F793" w14:textId="77777777" w:rsidTr="08AB0269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7C0294ED" w14:textId="77777777" w:rsidR="005E53DC" w:rsidRDefault="005E53DC" w:rsidP="00EF1967">
            <w:pPr>
              <w:pStyle w:val="Marginlie"/>
            </w:pPr>
            <w:r>
              <w:t xml:space="preserve">Export i import zboží </w:t>
            </w:r>
            <w:r>
              <w:br/>
              <w:t>a služeb klesal.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0A184A1A" w14:textId="77777777" w:rsidR="005E53DC" w:rsidRDefault="005E53DC" w:rsidP="00EF196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60DF809D" w14:textId="77777777" w:rsidR="005E53DC" w:rsidRDefault="005E53DC" w:rsidP="00EF1967">
            <w:r>
              <w:t>Ve 3. čtvrtletí se vývoz zboží a služeb reálně meziročně snížil o 0,5 %</w:t>
            </w:r>
            <w:r w:rsidRPr="009110F7">
              <w:rPr>
                <w:rStyle w:val="Znakapoznpodarou"/>
              </w:rPr>
              <w:footnoteReference w:id="8"/>
            </w:r>
            <w:r>
              <w:t xml:space="preserve">, poprvé po šesti čtvrtletích nárůstů. Klesal export zboží (−1,5 %), zatímco u služeb pokračoval růst (5,1 %). Dovoz zboží a služeb se meziročně propadal výrazněji než vývoz (−1,8 %). Hluboký pokles se týkal importu zboží (−4,1 %), zatímco u služeb dovoz silně rostl </w:t>
            </w:r>
            <w:r>
              <w:lastRenderedPageBreak/>
              <w:t xml:space="preserve">(12,4 %). Zahraniční poptávka stále mírně přispívala ve směru meziročního růstu HDP (0,3 p. b.). Mezičtvrtletně se vývoz zboží a služeb reálně snížil o 1,2 %, zatímco dovoz o 1,1 %. Tento drobný rozdíl v dynamice stál za negativním příspěvkem zahraniční poptávky k mezičtvrtletnímu růstu HDP. Vývoz zboží mezičtvrtletně klesl o 2,2 %, zatímco u služeb export vzrostl o 4,0 %. Bilance zahraničního obchodu se zbožím a službami v běžných cenách ve 3. čtvrtletí dosáhla 91,5 mld. korun. Meziročně tedy došlo ke zlepšení o 60,1 mld. korun. Z toho přebytek obchodu se zbožím vykázal meziroční růst o 66,1 mld. korun, zatímco bilance služeb se o 6,1 mld. zhoršila. Mezičtvrtletně se bilance zahraničního obchodu se zbožím a službami téměř nezměnila. Pokles přebytku zahraničního obchodu se zbožím byl zcela vykompenzován zlepšením přebytku obchodu se službami.         </w:t>
            </w:r>
          </w:p>
        </w:tc>
      </w:tr>
      <w:tr w:rsidR="005E53DC" w:rsidRPr="009110F7" w14:paraId="0F933825" w14:textId="77777777" w:rsidTr="08AB0269">
        <w:trPr>
          <w:trHeight w:val="170"/>
        </w:trPr>
        <w:tc>
          <w:tcPr>
            <w:tcW w:w="1806" w:type="dxa"/>
            <w:vMerge w:val="restart"/>
            <w:shd w:val="clear" w:color="auto" w:fill="auto"/>
            <w:tcMar>
              <w:left w:w="0" w:type="dxa"/>
            </w:tcMar>
          </w:tcPr>
          <w:p w14:paraId="7207BBDC" w14:textId="77777777" w:rsidR="005E53DC" w:rsidRDefault="005E53DC" w:rsidP="00EF1967">
            <w:pPr>
              <w:pStyle w:val="Marginlie"/>
            </w:pPr>
          </w:p>
        </w:tc>
        <w:tc>
          <w:tcPr>
            <w:tcW w:w="223" w:type="dxa"/>
            <w:vMerge w:val="restart"/>
            <w:shd w:val="clear" w:color="auto" w:fill="auto"/>
            <w:tcMar>
              <w:left w:w="0" w:type="dxa"/>
            </w:tcMar>
          </w:tcPr>
          <w:p w14:paraId="2DBED1B2" w14:textId="77777777" w:rsidR="005E53DC" w:rsidRDefault="005E53DC" w:rsidP="00EF196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0C7F6D5D" w14:textId="77777777" w:rsidR="005E53DC" w:rsidRDefault="005E53DC" w:rsidP="00EF1967">
            <w:pPr>
              <w:spacing w:after="0"/>
            </w:pPr>
            <w:r w:rsidRPr="00D721B4">
              <w:rPr>
                <w:b/>
                <w:szCs w:val="20"/>
              </w:rPr>
              <w:t>Graf č. 3</w:t>
            </w:r>
            <w:r>
              <w:rPr>
                <w:b/>
                <w:szCs w:val="20"/>
              </w:rPr>
              <w:t xml:space="preserve"> </w:t>
            </w:r>
            <w:r w:rsidRPr="00D721B4">
              <w:rPr>
                <w:rFonts w:cs="Arial"/>
                <w:b/>
                <w:szCs w:val="20"/>
                <w:lang w:eastAsia="en-US"/>
              </w:rPr>
              <w:t xml:space="preserve">Příspěvky odvětví k reálné změně HPH </w:t>
            </w:r>
            <w:r w:rsidRPr="00D721B4">
              <w:rPr>
                <w:rFonts w:cs="Arial"/>
                <w:bCs/>
                <w:szCs w:val="20"/>
                <w:lang w:eastAsia="en-US"/>
              </w:rPr>
              <w:t>(objemové indexy, meziroční příspěvky v p. b., HPH v %)</w:t>
            </w:r>
          </w:p>
        </w:tc>
      </w:tr>
      <w:tr w:rsidR="005E53DC" w:rsidRPr="009110F7" w14:paraId="1A19311B" w14:textId="77777777" w:rsidTr="08AB0269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06" w:type="dxa"/>
            <w:vMerge/>
          </w:tcPr>
          <w:p w14:paraId="1DDD8F21" w14:textId="77777777" w:rsidR="005E53DC" w:rsidRDefault="005E53DC" w:rsidP="00EF1967">
            <w:pPr>
              <w:pStyle w:val="Marginlie"/>
            </w:pPr>
          </w:p>
        </w:tc>
        <w:tc>
          <w:tcPr>
            <w:tcW w:w="223" w:type="dxa"/>
            <w:vMerge/>
          </w:tcPr>
          <w:p w14:paraId="57C8947E" w14:textId="77777777" w:rsidR="005E53DC" w:rsidRDefault="005E53DC" w:rsidP="00EF196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</w:tcPr>
          <w:p w14:paraId="44F585C2" w14:textId="77777777" w:rsidR="005E53DC" w:rsidRDefault="005E53DC" w:rsidP="00EF1967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6263BBE8" wp14:editId="272C9E6E">
                  <wp:extent cx="4737600" cy="3486525"/>
                  <wp:effectExtent l="0" t="0" r="6350" b="0"/>
                  <wp:docPr id="29" name="Graf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5E53DC" w:rsidRPr="009110F7" w14:paraId="48D1D3AE" w14:textId="77777777" w:rsidTr="08AB0269">
        <w:trPr>
          <w:trHeight w:val="170"/>
        </w:trPr>
        <w:tc>
          <w:tcPr>
            <w:tcW w:w="1806" w:type="dxa"/>
            <w:vMerge/>
            <w:tcMar>
              <w:left w:w="0" w:type="dxa"/>
            </w:tcMar>
          </w:tcPr>
          <w:p w14:paraId="537D932D" w14:textId="77777777" w:rsidR="005E53DC" w:rsidRDefault="005E53DC" w:rsidP="00EF1967">
            <w:pPr>
              <w:pStyle w:val="Marginlie"/>
            </w:pPr>
          </w:p>
        </w:tc>
        <w:tc>
          <w:tcPr>
            <w:tcW w:w="223" w:type="dxa"/>
            <w:vMerge/>
            <w:tcMar>
              <w:left w:w="0" w:type="dxa"/>
            </w:tcMar>
          </w:tcPr>
          <w:p w14:paraId="1384124C" w14:textId="77777777" w:rsidR="005E53DC" w:rsidRDefault="005E53DC" w:rsidP="00EF196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4CBEA521" w14:textId="77777777" w:rsidR="005E53DC" w:rsidRDefault="005E53DC" w:rsidP="00EF1967">
            <w:r w:rsidRPr="00A85DE1">
              <w:rPr>
                <w:sz w:val="14"/>
                <w:szCs w:val="14"/>
              </w:rPr>
              <w:t>Zdroj: ČSÚ</w:t>
            </w:r>
          </w:p>
        </w:tc>
      </w:tr>
      <w:tr w:rsidR="005E53DC" w:rsidRPr="009110F7" w14:paraId="40A95B52" w14:textId="77777777" w:rsidTr="08AB0269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34B29B3E" w14:textId="77777777" w:rsidR="005E53DC" w:rsidRDefault="005E53DC" w:rsidP="00EF1967">
            <w:pPr>
              <w:pStyle w:val="Marginlie"/>
            </w:pPr>
            <w:r>
              <w:t xml:space="preserve">Hrubá přidaná hodnota meziročně i mezičtvrtletně klesala. </w:t>
            </w:r>
          </w:p>
        </w:tc>
        <w:tc>
          <w:tcPr>
            <w:tcW w:w="223" w:type="dxa"/>
            <w:shd w:val="clear" w:color="auto" w:fill="auto"/>
            <w:tcMar>
              <w:left w:w="0" w:type="dxa"/>
            </w:tcMar>
          </w:tcPr>
          <w:p w14:paraId="42FA7BFB" w14:textId="77777777" w:rsidR="005E53DC" w:rsidRDefault="005E53DC" w:rsidP="00EF1967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1E731996" w14:textId="77777777" w:rsidR="005E53DC" w:rsidRPr="00F93F2C" w:rsidRDefault="005E53DC" w:rsidP="00EF1967">
            <w:r>
              <w:t>Hrubá přidaná hodnota (HPH) ve 3. čtvrtletí meziročně zaostávala o 0,1 %. V meziročním srovnání přetrval citelný rozdíl mezi dynamikou HPH a HDP</w:t>
            </w:r>
            <w:r>
              <w:rPr>
                <w:rStyle w:val="Znakapoznpodarou"/>
              </w:rPr>
              <w:footnoteReference w:id="9"/>
            </w:r>
            <w:r>
              <w:t xml:space="preserve">. Na téměř meziroční stagnaci HPH má podíl protichůdné působení služeb a průmyslu. Služby přispívaly celkově ve směru růstu HPH, když u nich převážil meziroční přírůstek HPH informačních a komunikačních činností (4,4 %), profesních, vědeckých, technických a administrativních činností (2,2 %) a peněžnictví a pojišťovnictví (2,5 %). Jen mírně rostla HPH ve veřejné správě a obraně, vzdělávání, zdravotní a sociální péči (0,5 %) a v ostatních činnostech (0,4 %). Naopak se meziročně propadlo uskupení obchod, doprava, ubytování a pohostinství (−1,1 %), které nejvíce závisí na poptávce domácností, a zaostávaly také činnosti v oblasti nemovitostí (−0,5 %). Hrubá přidaná hodnota průmyslu jako celku se poprvé po šesti čtvrtletích propadla (−1,6 %) a do poklesu se dostal i zpracovatelský průmysl (−0,3 %), který předtím vyvažoval úpadek ostatních průmyslových odvětví. HPH ve stavebnictví meziročně klesla o 0,4 %, čímž </w:t>
            </w:r>
            <w:r>
              <w:lastRenderedPageBreak/>
              <w:t>se série meziročních propadů protáhla na celé dva roky. V zemědělství, lesnictví a rybářství HPH meziročně zaostávala o 1,6 %. Mezičtvrtletně HPH klesla o 0,4 %. Propadala se HPH ve stavebnictví (−1,0 %), ve veřejné správě a obraně, vzdělávání, zdravotní a sociální péči (−0,8 %), ve zpracovatelském průmyslu (−0,7 %), v uskupení obchod, doprava, ubytování a pohostinství (−0,6 %), v informačních a komunikačních činnostech (−0,5 %) a v zemědělství, lesnictví a rybářství (−0,3 %). HPH stagnovala v profesních, vědeckých, technických a administrativních činnostech a v ostatních činnostech. Blízko stagnace se pohyboval mezičtvrtletní přírůstek HPH v činnostech v oblasti nemovitostí (0,2 %) a v peněžnictví a pojišťovnictví (0,1 %).</w:t>
            </w:r>
          </w:p>
        </w:tc>
      </w:tr>
    </w:tbl>
    <w:p w14:paraId="54F64EBB" w14:textId="67EA52DD" w:rsidR="005E53DC" w:rsidRDefault="005E53DC">
      <w:pPr>
        <w:spacing w:after="0" w:line="240" w:lineRule="auto"/>
        <w:jc w:val="left"/>
        <w:rPr>
          <w:rFonts w:eastAsia="MS Gothic"/>
          <w:b/>
          <w:bCs/>
          <w:color w:val="71818C"/>
          <w:sz w:val="32"/>
          <w:szCs w:val="32"/>
          <w:highlight w:val="yellow"/>
        </w:rPr>
      </w:pPr>
      <w:bookmarkStart w:id="6" w:name="_GoBack"/>
      <w:bookmarkEnd w:id="6"/>
    </w:p>
    <w:bookmarkEnd w:id="2"/>
    <w:bookmarkEnd w:id="3"/>
    <w:bookmarkEnd w:id="4"/>
    <w:bookmarkEnd w:id="5"/>
    <w:p w14:paraId="6CC221BC" w14:textId="77777777" w:rsidR="001E1AF1" w:rsidRPr="001C3855" w:rsidRDefault="001E1AF1" w:rsidP="001E1AF1">
      <w:pPr>
        <w:pStyle w:val="Nadpis11"/>
        <w:rPr>
          <w:sz w:val="2"/>
          <w:szCs w:val="2"/>
        </w:rPr>
      </w:pPr>
    </w:p>
    <w:p w14:paraId="6FD91E5A" w14:textId="4E3C7394" w:rsidR="00106BCC" w:rsidRPr="001C3855" w:rsidRDefault="00106BCC" w:rsidP="001E1AF1">
      <w:pPr>
        <w:pStyle w:val="Nadpis11"/>
        <w:rPr>
          <w:sz w:val="2"/>
          <w:szCs w:val="2"/>
        </w:rPr>
      </w:pPr>
    </w:p>
    <w:sectPr w:rsidR="00106BCC" w:rsidRPr="001C3855" w:rsidSect="006204D4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1134" w:right="1134" w:bottom="1418" w:left="1134" w:header="680" w:footer="737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2D669" w14:textId="77777777" w:rsidR="00726255" w:rsidRDefault="00726255" w:rsidP="00E71A58">
      <w:r>
        <w:separator/>
      </w:r>
    </w:p>
  </w:endnote>
  <w:endnote w:type="continuationSeparator" w:id="0">
    <w:p w14:paraId="2666D30A" w14:textId="77777777" w:rsidR="00726255" w:rsidRDefault="00726255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4B6C8" w14:textId="4EEFDC87" w:rsidR="000D7C6F" w:rsidRPr="00932443" w:rsidRDefault="000D7C6F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5009AFEB" wp14:editId="1EAEA9AF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2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6204D4">
      <w:rPr>
        <w:szCs w:val="16"/>
      </w:rPr>
      <w:t>8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1. až 3. čtvrtletí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FAFAF" w14:textId="110AA560" w:rsidR="000D7C6F" w:rsidRPr="00932443" w:rsidRDefault="000D7C6F" w:rsidP="00FA6CB6">
    <w:pPr>
      <w:pStyle w:val="Zpat"/>
      <w:rPr>
        <w:szCs w:val="16"/>
      </w:rPr>
    </w:pPr>
    <w:r w:rsidRPr="00FA6CB6">
      <w:rPr>
        <w:szCs w:val="16"/>
      </w:rPr>
      <w:tab/>
    </w:r>
    <w:r>
      <w:rPr>
        <w:szCs w:val="16"/>
      </w:rPr>
      <w:t>1. až 3. čtvrtletí 202</w:t>
    </w: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2DB053DA" wp14:editId="608D8B4A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4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Cs w:val="16"/>
      </w:rPr>
      <w:t>3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6204D4">
      <w:rPr>
        <w:rStyle w:val="ZpatChar"/>
        <w:szCs w:val="16"/>
      </w:rPr>
      <w:t>9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C386F" w14:textId="77777777" w:rsidR="00726255" w:rsidRDefault="00726255" w:rsidP="00A21B4D">
      <w:pPr>
        <w:spacing w:after="0"/>
      </w:pPr>
      <w:r>
        <w:separator/>
      </w:r>
    </w:p>
  </w:footnote>
  <w:footnote w:type="continuationSeparator" w:id="0">
    <w:p w14:paraId="3A27F022" w14:textId="77777777" w:rsidR="00726255" w:rsidRDefault="00726255" w:rsidP="00E71A58">
      <w:r>
        <w:continuationSeparator/>
      </w:r>
    </w:p>
  </w:footnote>
  <w:footnote w:id="1">
    <w:p w14:paraId="75C6B20E" w14:textId="77777777" w:rsidR="000D7C6F" w:rsidRPr="000348AF" w:rsidRDefault="000D7C6F" w:rsidP="005E53DC">
      <w:pPr>
        <w:pStyle w:val="Textpoznpodarou"/>
        <w:rPr>
          <w:sz w:val="16"/>
          <w:szCs w:val="16"/>
        </w:rPr>
      </w:pPr>
      <w:r w:rsidRPr="000348AF">
        <w:rPr>
          <w:rStyle w:val="Znakapoznpodarou"/>
          <w:sz w:val="16"/>
          <w:szCs w:val="16"/>
        </w:rPr>
        <w:footnoteRef/>
      </w:r>
      <w:r w:rsidRPr="000348AF">
        <w:rPr>
          <w:sz w:val="16"/>
          <w:szCs w:val="16"/>
        </w:rPr>
        <w:t xml:space="preserve"> Vývoj HDP, hrubé přidané hodnoty a jejich složek je vyjádřen prostřednictvím objemových indexů (tj. očištěn o vliv cen) a po očištění o sezónní a kalendářní vlivy. Údaje jsou platné k</w:t>
      </w:r>
      <w:r>
        <w:rPr>
          <w:sz w:val="16"/>
          <w:szCs w:val="16"/>
        </w:rPr>
        <w:t xml:space="preserve"> 1. 12. </w:t>
      </w:r>
      <w:r w:rsidRPr="000348AF">
        <w:rPr>
          <w:sz w:val="16"/>
          <w:szCs w:val="16"/>
        </w:rPr>
        <w:t>202</w:t>
      </w:r>
      <w:r>
        <w:rPr>
          <w:sz w:val="16"/>
          <w:szCs w:val="16"/>
        </w:rPr>
        <w:t>3</w:t>
      </w:r>
      <w:r w:rsidRPr="000348AF">
        <w:rPr>
          <w:sz w:val="16"/>
          <w:szCs w:val="16"/>
        </w:rPr>
        <w:t>.</w:t>
      </w:r>
    </w:p>
  </w:footnote>
  <w:footnote w:id="2">
    <w:p w14:paraId="26B5940C" w14:textId="77777777" w:rsidR="000D7C6F" w:rsidRDefault="000D7C6F" w:rsidP="005E53DC">
      <w:pPr>
        <w:pStyle w:val="Textpoznpodarou"/>
      </w:pPr>
      <w:r w:rsidRPr="009C6EA8">
        <w:rPr>
          <w:rStyle w:val="Znakapoznpodarou"/>
          <w:sz w:val="16"/>
          <w:szCs w:val="16"/>
        </w:rPr>
        <w:footnoteRef/>
      </w:r>
      <w:r w:rsidRPr="009C6EA8">
        <w:rPr>
          <w:sz w:val="16"/>
          <w:szCs w:val="16"/>
        </w:rPr>
        <w:t xml:space="preserve"> </w:t>
      </w:r>
      <w:r>
        <w:rPr>
          <w:sz w:val="16"/>
          <w:szCs w:val="16"/>
        </w:rPr>
        <w:t>Zaměstnanost v</w:t>
      </w:r>
      <w:r w:rsidRPr="009C6EA8">
        <w:rPr>
          <w:sz w:val="16"/>
          <w:szCs w:val="16"/>
        </w:rPr>
        <w:t> pojetí národních účtů</w:t>
      </w:r>
      <w:r>
        <w:rPr>
          <w:sz w:val="16"/>
          <w:szCs w:val="16"/>
        </w:rPr>
        <w:t xml:space="preserve"> (osoby)</w:t>
      </w:r>
      <w:r w:rsidRPr="009C6EA8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údaj je </w:t>
      </w:r>
      <w:r w:rsidRPr="009C6EA8">
        <w:rPr>
          <w:sz w:val="16"/>
          <w:szCs w:val="16"/>
        </w:rPr>
        <w:t>sezónně očištěn</w:t>
      </w:r>
      <w:r w:rsidRPr="00004BA8">
        <w:rPr>
          <w:sz w:val="16"/>
        </w:rPr>
        <w:t>.</w:t>
      </w:r>
    </w:p>
  </w:footnote>
  <w:footnote w:id="3">
    <w:p w14:paraId="1EFD543F" w14:textId="77777777" w:rsidR="000D7C6F" w:rsidRPr="005F75B1" w:rsidRDefault="000D7C6F" w:rsidP="005E53DC">
      <w:pPr>
        <w:pStyle w:val="Textpoznpodarou"/>
        <w:rPr>
          <w:sz w:val="16"/>
          <w:szCs w:val="16"/>
        </w:rPr>
      </w:pPr>
      <w:r w:rsidRPr="005F75B1">
        <w:rPr>
          <w:rStyle w:val="Znakapoznpodarou"/>
          <w:sz w:val="16"/>
          <w:szCs w:val="16"/>
        </w:rPr>
        <w:footnoteRef/>
      </w:r>
      <w:r w:rsidRPr="005F75B1">
        <w:rPr>
          <w:sz w:val="16"/>
          <w:szCs w:val="16"/>
        </w:rPr>
        <w:t xml:space="preserve"> Do reálného vyjádření převedeno s pomocí deflátoru spotřeby domácností.</w:t>
      </w:r>
    </w:p>
  </w:footnote>
  <w:footnote w:id="4">
    <w:p w14:paraId="7795BE17" w14:textId="77777777" w:rsidR="000D7C6F" w:rsidRPr="0053191D" w:rsidRDefault="000D7C6F" w:rsidP="005E53DC">
      <w:pPr>
        <w:pStyle w:val="Textpoznpodarou"/>
        <w:rPr>
          <w:sz w:val="16"/>
          <w:szCs w:val="16"/>
        </w:rPr>
      </w:pPr>
      <w:r w:rsidRPr="0053191D">
        <w:rPr>
          <w:rStyle w:val="Znakapoznpodarou"/>
          <w:sz w:val="16"/>
          <w:szCs w:val="16"/>
        </w:rPr>
        <w:footnoteRef/>
      </w:r>
      <w:r w:rsidRPr="0053191D">
        <w:rPr>
          <w:sz w:val="16"/>
          <w:szCs w:val="16"/>
        </w:rPr>
        <w:t xml:space="preserve"> Tato sekce zahrnuje činnosti organizací sdružujících osoby za účelem prosazování společných zájmů, opravy počítačů a výrobků pro osobní potřebu a převážně pro domácnost a řadu jiných osobních služeb</w:t>
      </w:r>
      <w:r>
        <w:rPr>
          <w:sz w:val="16"/>
          <w:szCs w:val="16"/>
        </w:rPr>
        <w:t xml:space="preserve"> (kosmetické, kadeřnické apod.).</w:t>
      </w:r>
    </w:p>
  </w:footnote>
  <w:footnote w:id="5">
    <w:p w14:paraId="46AA63F4" w14:textId="77777777" w:rsidR="000D7C6F" w:rsidRPr="00954992" w:rsidRDefault="000D7C6F" w:rsidP="005E53DC">
      <w:pPr>
        <w:pStyle w:val="Textpoznpodarou"/>
        <w:rPr>
          <w:sz w:val="16"/>
          <w:szCs w:val="16"/>
        </w:rPr>
      </w:pPr>
      <w:r w:rsidRPr="00954992">
        <w:rPr>
          <w:rStyle w:val="Znakapoznpodarou"/>
          <w:sz w:val="16"/>
          <w:szCs w:val="16"/>
        </w:rPr>
        <w:footnoteRef/>
      </w:r>
      <w:r w:rsidRPr="00954992">
        <w:rPr>
          <w:sz w:val="16"/>
          <w:szCs w:val="16"/>
        </w:rPr>
        <w:t xml:space="preserve"> Údaje o</w:t>
      </w:r>
      <w:r>
        <w:rPr>
          <w:sz w:val="16"/>
          <w:szCs w:val="16"/>
        </w:rPr>
        <w:t> </w:t>
      </w:r>
      <w:r w:rsidRPr="00954992">
        <w:rPr>
          <w:sz w:val="16"/>
          <w:szCs w:val="16"/>
        </w:rPr>
        <w:t>spotřebě dle trvanlivosti jsou v domácím pojetí</w:t>
      </w:r>
      <w:r>
        <w:rPr>
          <w:sz w:val="16"/>
          <w:szCs w:val="16"/>
        </w:rPr>
        <w:t>.</w:t>
      </w:r>
    </w:p>
  </w:footnote>
  <w:footnote w:id="6">
    <w:p w14:paraId="11C95B30" w14:textId="77777777" w:rsidR="000D7C6F" w:rsidRPr="004831F6" w:rsidRDefault="000D7C6F" w:rsidP="005E53DC">
      <w:pPr>
        <w:pStyle w:val="Textpoznpodarou"/>
        <w:rPr>
          <w:sz w:val="16"/>
          <w:szCs w:val="16"/>
        </w:rPr>
      </w:pPr>
      <w:r w:rsidRPr="004831F6">
        <w:rPr>
          <w:rStyle w:val="Znakapoznpodarou"/>
          <w:sz w:val="16"/>
          <w:szCs w:val="16"/>
        </w:rPr>
        <w:footnoteRef/>
      </w:r>
      <w:r w:rsidRPr="004831F6">
        <w:rPr>
          <w:sz w:val="16"/>
          <w:szCs w:val="16"/>
        </w:rPr>
        <w:t xml:space="preserve"> Změna zásob</w:t>
      </w:r>
      <w:r>
        <w:rPr>
          <w:sz w:val="16"/>
          <w:szCs w:val="16"/>
        </w:rPr>
        <w:t xml:space="preserve"> (v běžných cenách a sezónně neočištěná)</w:t>
      </w:r>
      <w:r w:rsidRPr="004831F6">
        <w:rPr>
          <w:sz w:val="16"/>
          <w:szCs w:val="16"/>
        </w:rPr>
        <w:t xml:space="preserve"> </w:t>
      </w:r>
      <w:r>
        <w:rPr>
          <w:sz w:val="16"/>
          <w:szCs w:val="16"/>
        </w:rPr>
        <w:t>ve 3. čtvrtletí 2022 dosáhla 130,2 mld. korun. Od té doby jsou zásoby postupně rozpouštěny a ve 3. čtvrtletí změna zásob dosáhla 79,3 mld. korun.</w:t>
      </w:r>
    </w:p>
  </w:footnote>
  <w:footnote w:id="7">
    <w:p w14:paraId="74BC0837" w14:textId="77777777" w:rsidR="000D7C6F" w:rsidRPr="009C6EA8" w:rsidRDefault="000D7C6F" w:rsidP="005E53DC">
      <w:pPr>
        <w:pStyle w:val="Textpoznpodarou"/>
        <w:rPr>
          <w:sz w:val="16"/>
          <w:szCs w:val="16"/>
        </w:rPr>
      </w:pPr>
      <w:r w:rsidRPr="009C6EA8">
        <w:rPr>
          <w:rStyle w:val="Znakapoznpodarou"/>
          <w:sz w:val="16"/>
          <w:szCs w:val="16"/>
        </w:rPr>
        <w:footnoteRef/>
      </w:r>
      <w:r w:rsidRPr="009C6EA8">
        <w:rPr>
          <w:sz w:val="16"/>
          <w:szCs w:val="16"/>
        </w:rPr>
        <w:t xml:space="preserve"> Příspěvky ke změně HDP po vyloučení dovozu pro konečné užití.</w:t>
      </w:r>
    </w:p>
  </w:footnote>
  <w:footnote w:id="8">
    <w:p w14:paraId="6C9426A1" w14:textId="77777777" w:rsidR="000D7C6F" w:rsidRPr="00167B30" w:rsidRDefault="000D7C6F" w:rsidP="005E53DC">
      <w:pPr>
        <w:pStyle w:val="Textpoznpodarou"/>
        <w:rPr>
          <w:sz w:val="16"/>
          <w:szCs w:val="16"/>
        </w:rPr>
      </w:pPr>
      <w:r w:rsidRPr="00167B30">
        <w:rPr>
          <w:rStyle w:val="Znakapoznpodarou"/>
          <w:sz w:val="16"/>
          <w:szCs w:val="16"/>
        </w:rPr>
        <w:footnoteRef/>
      </w:r>
      <w:r w:rsidRPr="00167B30">
        <w:rPr>
          <w:sz w:val="16"/>
          <w:szCs w:val="16"/>
        </w:rPr>
        <w:t xml:space="preserve"> Podle metodiky čtvrtletních národních účtů (vývoz a</w:t>
      </w:r>
      <w:r>
        <w:rPr>
          <w:sz w:val="16"/>
          <w:szCs w:val="16"/>
        </w:rPr>
        <w:t> </w:t>
      </w:r>
      <w:r w:rsidRPr="00167B30">
        <w:rPr>
          <w:sz w:val="16"/>
          <w:szCs w:val="16"/>
        </w:rPr>
        <w:t>dovoz v ocenění FOB/FOB)</w:t>
      </w:r>
      <w:r>
        <w:rPr>
          <w:sz w:val="16"/>
          <w:szCs w:val="16"/>
        </w:rPr>
        <w:t xml:space="preserve">. Bilance zahraničního obchodu v běžných cenách </w:t>
      </w:r>
      <w:r>
        <w:rPr>
          <w:sz w:val="16"/>
          <w:szCs w:val="16"/>
        </w:rPr>
        <w:br/>
        <w:t>a po sezónním očištění.</w:t>
      </w:r>
    </w:p>
  </w:footnote>
  <w:footnote w:id="9">
    <w:p w14:paraId="0A9AEA0C" w14:textId="77777777" w:rsidR="000D7C6F" w:rsidRPr="00AC5E0A" w:rsidRDefault="000D7C6F" w:rsidP="005E53DC">
      <w:pPr>
        <w:pStyle w:val="Textpoznpodarou"/>
        <w:rPr>
          <w:sz w:val="16"/>
          <w:szCs w:val="16"/>
        </w:rPr>
      </w:pPr>
      <w:r w:rsidRPr="00AC5E0A">
        <w:rPr>
          <w:rStyle w:val="Znakapoznpodarou"/>
          <w:sz w:val="16"/>
          <w:szCs w:val="16"/>
        </w:rPr>
        <w:footnoteRef/>
      </w:r>
      <w:r w:rsidRPr="00AC5E0A">
        <w:rPr>
          <w:sz w:val="16"/>
          <w:szCs w:val="16"/>
        </w:rPr>
        <w:t xml:space="preserve"> Výrazný rozdíl mezi dynamikou HDP a HPH byl způsoben vlivem různého ocenění HDP a HPH. Hrubá přidaná hodnota je oceněná </w:t>
      </w:r>
      <w:r>
        <w:rPr>
          <w:sz w:val="16"/>
          <w:szCs w:val="16"/>
        </w:rPr>
        <w:br/>
      </w:r>
      <w:r w:rsidRPr="00AC5E0A">
        <w:rPr>
          <w:sz w:val="16"/>
          <w:szCs w:val="16"/>
        </w:rPr>
        <w:t xml:space="preserve">v základních cenách, zatímco HDP je vyjádřen ve skutečných cenách. Aktuálně se v těchto rozdílech </w:t>
      </w:r>
      <w:r>
        <w:rPr>
          <w:sz w:val="16"/>
          <w:szCs w:val="16"/>
        </w:rPr>
        <w:t xml:space="preserve">projevují zejména klesající daňové výnosy </w:t>
      </w:r>
      <w:r w:rsidRPr="00AC5E0A">
        <w:rPr>
          <w:sz w:val="16"/>
          <w:szCs w:val="16"/>
        </w:rPr>
        <w:t>souvis</w:t>
      </w:r>
      <w:r>
        <w:rPr>
          <w:sz w:val="16"/>
          <w:szCs w:val="16"/>
        </w:rPr>
        <w:t>ející</w:t>
      </w:r>
      <w:r w:rsidRPr="00AC5E0A">
        <w:rPr>
          <w:sz w:val="16"/>
          <w:szCs w:val="16"/>
        </w:rPr>
        <w:t xml:space="preserve"> s propadající se spotřebou</w:t>
      </w:r>
      <w:r>
        <w:rPr>
          <w:sz w:val="16"/>
          <w:szCs w:val="16"/>
        </w:rPr>
        <w:t>. Dílčí vliv mohou mít také</w:t>
      </w:r>
      <w:r w:rsidRPr="00AC5E0A">
        <w:rPr>
          <w:sz w:val="16"/>
          <w:szCs w:val="16"/>
        </w:rPr>
        <w:t xml:space="preserve"> dotace zachycující stropy cen elektřiny</w:t>
      </w:r>
      <w:r>
        <w:rPr>
          <w:sz w:val="16"/>
          <w:szCs w:val="16"/>
        </w:rPr>
        <w:t xml:space="preserve">, které byly </w:t>
      </w:r>
      <w:r w:rsidRPr="00AC5E0A">
        <w:rPr>
          <w:sz w:val="16"/>
          <w:szCs w:val="16"/>
        </w:rPr>
        <w:t xml:space="preserve">ve </w:t>
      </w:r>
      <w:r>
        <w:rPr>
          <w:sz w:val="16"/>
          <w:szCs w:val="16"/>
        </w:rPr>
        <w:t>3</w:t>
      </w:r>
      <w:r w:rsidRPr="00AC5E0A">
        <w:rPr>
          <w:sz w:val="16"/>
          <w:szCs w:val="16"/>
        </w:rPr>
        <w:t>. kvartálu meziročně vyšší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94A67" w14:textId="77777777" w:rsidR="000D7C6F" w:rsidRDefault="000D7C6F" w:rsidP="00937AE2">
    <w:pPr>
      <w:pStyle w:val="Zhlav"/>
    </w:pPr>
    <w:r>
      <w:t>Vývoj ekonomiky České republiky</w:t>
    </w:r>
  </w:p>
  <w:p w14:paraId="3E881AB3" w14:textId="77777777" w:rsidR="000D7C6F" w:rsidRPr="006F5416" w:rsidRDefault="000D7C6F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2D3DB" w14:textId="77777777" w:rsidR="000D7C6F" w:rsidRDefault="000D7C6F" w:rsidP="00937AE2">
    <w:pPr>
      <w:pStyle w:val="Zhlav"/>
    </w:pPr>
    <w:r>
      <w:t>Vývoj ekonomiky České republiky</w:t>
    </w:r>
  </w:p>
  <w:p w14:paraId="57266714" w14:textId="77777777" w:rsidR="000D7C6F" w:rsidRPr="006F5416" w:rsidRDefault="000D7C6F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5764B"/>
    <w:multiLevelType w:val="hybridMultilevel"/>
    <w:tmpl w:val="84788BC8"/>
    <w:lvl w:ilvl="0" w:tplc="1B96A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55121"/>
    <w:multiLevelType w:val="hybridMultilevel"/>
    <w:tmpl w:val="338E2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1B2A5724"/>
    <w:multiLevelType w:val="hybridMultilevel"/>
    <w:tmpl w:val="0EA8A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35280B15"/>
    <w:multiLevelType w:val="hybridMultilevel"/>
    <w:tmpl w:val="5156A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41503"/>
    <w:multiLevelType w:val="hybridMultilevel"/>
    <w:tmpl w:val="322E8B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D23EC3"/>
    <w:multiLevelType w:val="hybridMultilevel"/>
    <w:tmpl w:val="B65A4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236EE"/>
    <w:multiLevelType w:val="hybridMultilevel"/>
    <w:tmpl w:val="CC2A1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8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BB1D16"/>
    <w:multiLevelType w:val="hybridMultilevel"/>
    <w:tmpl w:val="CA440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9678F7"/>
    <w:multiLevelType w:val="hybridMultilevel"/>
    <w:tmpl w:val="A4DE7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8567A6"/>
    <w:multiLevelType w:val="hybridMultilevel"/>
    <w:tmpl w:val="50E0F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E301A"/>
    <w:multiLevelType w:val="hybridMultilevel"/>
    <w:tmpl w:val="1A92D7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33"/>
  </w:num>
  <w:num w:numId="14">
    <w:abstractNumId w:val="14"/>
  </w:num>
  <w:num w:numId="15">
    <w:abstractNumId w:val="21"/>
  </w:num>
  <w:num w:numId="16">
    <w:abstractNumId w:val="17"/>
  </w:num>
  <w:num w:numId="17">
    <w:abstractNumId w:val="34"/>
  </w:num>
  <w:num w:numId="18">
    <w:abstractNumId w:val="26"/>
  </w:num>
  <w:num w:numId="19">
    <w:abstractNumId w:val="36"/>
  </w:num>
  <w:num w:numId="20">
    <w:abstractNumId w:val="37"/>
  </w:num>
  <w:num w:numId="21">
    <w:abstractNumId w:val="32"/>
  </w:num>
  <w:num w:numId="22">
    <w:abstractNumId w:val="20"/>
  </w:num>
  <w:num w:numId="23">
    <w:abstractNumId w:val="18"/>
  </w:num>
  <w:num w:numId="24">
    <w:abstractNumId w:val="19"/>
  </w:num>
  <w:num w:numId="25">
    <w:abstractNumId w:val="13"/>
  </w:num>
  <w:num w:numId="26">
    <w:abstractNumId w:val="28"/>
  </w:num>
  <w:num w:numId="27">
    <w:abstractNumId w:val="27"/>
  </w:num>
  <w:num w:numId="28">
    <w:abstractNumId w:val="10"/>
  </w:num>
  <w:num w:numId="29">
    <w:abstractNumId w:val="37"/>
  </w:num>
  <w:num w:numId="30">
    <w:abstractNumId w:val="29"/>
  </w:num>
  <w:num w:numId="31">
    <w:abstractNumId w:val="12"/>
  </w:num>
  <w:num w:numId="32">
    <w:abstractNumId w:val="38"/>
  </w:num>
  <w:num w:numId="33">
    <w:abstractNumId w:val="37"/>
  </w:num>
  <w:num w:numId="34">
    <w:abstractNumId w:val="11"/>
  </w:num>
  <w:num w:numId="35">
    <w:abstractNumId w:val="35"/>
  </w:num>
  <w:num w:numId="36">
    <w:abstractNumId w:val="30"/>
  </w:num>
  <w:num w:numId="37">
    <w:abstractNumId w:val="22"/>
  </w:num>
  <w:num w:numId="38">
    <w:abstractNumId w:val="25"/>
  </w:num>
  <w:num w:numId="39">
    <w:abstractNumId w:val="15"/>
  </w:num>
  <w:num w:numId="40">
    <w:abstractNumId w:val="23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28"/>
    <w:rsid w:val="000005AF"/>
    <w:rsid w:val="00000994"/>
    <w:rsid w:val="00000B55"/>
    <w:rsid w:val="0000209D"/>
    <w:rsid w:val="00002566"/>
    <w:rsid w:val="0000370A"/>
    <w:rsid w:val="00003849"/>
    <w:rsid w:val="00003F5C"/>
    <w:rsid w:val="00004D5A"/>
    <w:rsid w:val="00005219"/>
    <w:rsid w:val="000056D5"/>
    <w:rsid w:val="00005D9E"/>
    <w:rsid w:val="000063D5"/>
    <w:rsid w:val="00006625"/>
    <w:rsid w:val="00006ABD"/>
    <w:rsid w:val="00006B67"/>
    <w:rsid w:val="00006C0B"/>
    <w:rsid w:val="000073A0"/>
    <w:rsid w:val="0000767A"/>
    <w:rsid w:val="00007ABE"/>
    <w:rsid w:val="00010107"/>
    <w:rsid w:val="00010256"/>
    <w:rsid w:val="00010702"/>
    <w:rsid w:val="00010A2C"/>
    <w:rsid w:val="0001128E"/>
    <w:rsid w:val="00011912"/>
    <w:rsid w:val="000129B7"/>
    <w:rsid w:val="0001387D"/>
    <w:rsid w:val="00014ED0"/>
    <w:rsid w:val="00016420"/>
    <w:rsid w:val="00016BDB"/>
    <w:rsid w:val="00017B01"/>
    <w:rsid w:val="000200BE"/>
    <w:rsid w:val="000205D1"/>
    <w:rsid w:val="00020F22"/>
    <w:rsid w:val="0002195D"/>
    <w:rsid w:val="00021F9B"/>
    <w:rsid w:val="000228AE"/>
    <w:rsid w:val="000233D1"/>
    <w:rsid w:val="000234D6"/>
    <w:rsid w:val="00023D29"/>
    <w:rsid w:val="00024348"/>
    <w:rsid w:val="00026109"/>
    <w:rsid w:val="0002622B"/>
    <w:rsid w:val="00026389"/>
    <w:rsid w:val="0002669F"/>
    <w:rsid w:val="000279E5"/>
    <w:rsid w:val="000305E0"/>
    <w:rsid w:val="00031AE0"/>
    <w:rsid w:val="00031BB2"/>
    <w:rsid w:val="000322EF"/>
    <w:rsid w:val="00032C3C"/>
    <w:rsid w:val="00033FCD"/>
    <w:rsid w:val="000348AF"/>
    <w:rsid w:val="00034B70"/>
    <w:rsid w:val="00034DF7"/>
    <w:rsid w:val="00034E68"/>
    <w:rsid w:val="000350C8"/>
    <w:rsid w:val="00036195"/>
    <w:rsid w:val="000374B2"/>
    <w:rsid w:val="000376C0"/>
    <w:rsid w:val="000403A7"/>
    <w:rsid w:val="00040632"/>
    <w:rsid w:val="00041AFC"/>
    <w:rsid w:val="00041CEC"/>
    <w:rsid w:val="00041D02"/>
    <w:rsid w:val="00042596"/>
    <w:rsid w:val="00042A4A"/>
    <w:rsid w:val="00044183"/>
    <w:rsid w:val="0004431D"/>
    <w:rsid w:val="00044AAC"/>
    <w:rsid w:val="0004694F"/>
    <w:rsid w:val="00046F2F"/>
    <w:rsid w:val="00047AD4"/>
    <w:rsid w:val="00047D54"/>
    <w:rsid w:val="00050541"/>
    <w:rsid w:val="0005054A"/>
    <w:rsid w:val="00050A87"/>
    <w:rsid w:val="00051506"/>
    <w:rsid w:val="000522E4"/>
    <w:rsid w:val="00053713"/>
    <w:rsid w:val="0005434E"/>
    <w:rsid w:val="00055CB6"/>
    <w:rsid w:val="000572DD"/>
    <w:rsid w:val="00057B1E"/>
    <w:rsid w:val="0006033F"/>
    <w:rsid w:val="000610E1"/>
    <w:rsid w:val="000616AD"/>
    <w:rsid w:val="000622A6"/>
    <w:rsid w:val="00062D70"/>
    <w:rsid w:val="00062EC5"/>
    <w:rsid w:val="00062F22"/>
    <w:rsid w:val="00063975"/>
    <w:rsid w:val="00063CEA"/>
    <w:rsid w:val="0006444D"/>
    <w:rsid w:val="000645FC"/>
    <w:rsid w:val="00065296"/>
    <w:rsid w:val="0006533F"/>
    <w:rsid w:val="00065348"/>
    <w:rsid w:val="0006551C"/>
    <w:rsid w:val="0006558D"/>
    <w:rsid w:val="00065A75"/>
    <w:rsid w:val="000663F0"/>
    <w:rsid w:val="00066558"/>
    <w:rsid w:val="000671DB"/>
    <w:rsid w:val="00067982"/>
    <w:rsid w:val="00070A87"/>
    <w:rsid w:val="000712B3"/>
    <w:rsid w:val="00071A7C"/>
    <w:rsid w:val="00071E38"/>
    <w:rsid w:val="00072FF5"/>
    <w:rsid w:val="00073A5A"/>
    <w:rsid w:val="0007474E"/>
    <w:rsid w:val="00074988"/>
    <w:rsid w:val="0007512B"/>
    <w:rsid w:val="00075551"/>
    <w:rsid w:val="000767F5"/>
    <w:rsid w:val="00076D90"/>
    <w:rsid w:val="00077FF0"/>
    <w:rsid w:val="00081A55"/>
    <w:rsid w:val="0008263E"/>
    <w:rsid w:val="00082C19"/>
    <w:rsid w:val="00082F89"/>
    <w:rsid w:val="00083457"/>
    <w:rsid w:val="000834ED"/>
    <w:rsid w:val="000837CD"/>
    <w:rsid w:val="00083B7F"/>
    <w:rsid w:val="00084BFF"/>
    <w:rsid w:val="00085395"/>
    <w:rsid w:val="00086896"/>
    <w:rsid w:val="00086AC1"/>
    <w:rsid w:val="00086D19"/>
    <w:rsid w:val="00087634"/>
    <w:rsid w:val="00087F2B"/>
    <w:rsid w:val="00090694"/>
    <w:rsid w:val="00090EE2"/>
    <w:rsid w:val="00090FC6"/>
    <w:rsid w:val="0009122C"/>
    <w:rsid w:val="000913B1"/>
    <w:rsid w:val="0009290F"/>
    <w:rsid w:val="00093241"/>
    <w:rsid w:val="00093868"/>
    <w:rsid w:val="00094A84"/>
    <w:rsid w:val="00095025"/>
    <w:rsid w:val="00095135"/>
    <w:rsid w:val="00095152"/>
    <w:rsid w:val="0009626E"/>
    <w:rsid w:val="0009644D"/>
    <w:rsid w:val="00097191"/>
    <w:rsid w:val="000974D1"/>
    <w:rsid w:val="00097784"/>
    <w:rsid w:val="0009799E"/>
    <w:rsid w:val="000A07CB"/>
    <w:rsid w:val="000A0BC0"/>
    <w:rsid w:val="000A1183"/>
    <w:rsid w:val="000A12ED"/>
    <w:rsid w:val="000A1D49"/>
    <w:rsid w:val="000A212B"/>
    <w:rsid w:val="000A242D"/>
    <w:rsid w:val="000A256D"/>
    <w:rsid w:val="000A2643"/>
    <w:rsid w:val="000A2E5F"/>
    <w:rsid w:val="000A385C"/>
    <w:rsid w:val="000A3A2C"/>
    <w:rsid w:val="000A3D9E"/>
    <w:rsid w:val="000A4A54"/>
    <w:rsid w:val="000A4ED9"/>
    <w:rsid w:val="000A5DB7"/>
    <w:rsid w:val="000A6753"/>
    <w:rsid w:val="000A6D94"/>
    <w:rsid w:val="000A72BC"/>
    <w:rsid w:val="000A7377"/>
    <w:rsid w:val="000A74A4"/>
    <w:rsid w:val="000A775A"/>
    <w:rsid w:val="000A7D63"/>
    <w:rsid w:val="000A7FF4"/>
    <w:rsid w:val="000B03CC"/>
    <w:rsid w:val="000B4212"/>
    <w:rsid w:val="000B67B7"/>
    <w:rsid w:val="000B6A0A"/>
    <w:rsid w:val="000C0127"/>
    <w:rsid w:val="000C0CA6"/>
    <w:rsid w:val="000C0EA8"/>
    <w:rsid w:val="000C13A2"/>
    <w:rsid w:val="000C21E7"/>
    <w:rsid w:val="000C23EC"/>
    <w:rsid w:val="000C26A2"/>
    <w:rsid w:val="000C290E"/>
    <w:rsid w:val="000C30C3"/>
    <w:rsid w:val="000C3408"/>
    <w:rsid w:val="000C35AB"/>
    <w:rsid w:val="000C3F7B"/>
    <w:rsid w:val="000C4769"/>
    <w:rsid w:val="000C4D56"/>
    <w:rsid w:val="000C5DFA"/>
    <w:rsid w:val="000C6AFD"/>
    <w:rsid w:val="000C6C90"/>
    <w:rsid w:val="000C72B7"/>
    <w:rsid w:val="000C7A79"/>
    <w:rsid w:val="000D0A26"/>
    <w:rsid w:val="000D13CB"/>
    <w:rsid w:val="000D2196"/>
    <w:rsid w:val="000D2C2E"/>
    <w:rsid w:val="000D3058"/>
    <w:rsid w:val="000D310A"/>
    <w:rsid w:val="000D3EF4"/>
    <w:rsid w:val="000D4761"/>
    <w:rsid w:val="000D4DC0"/>
    <w:rsid w:val="000D55BA"/>
    <w:rsid w:val="000D5637"/>
    <w:rsid w:val="000D5A03"/>
    <w:rsid w:val="000D5ED3"/>
    <w:rsid w:val="000D6F4E"/>
    <w:rsid w:val="000D6FDA"/>
    <w:rsid w:val="000D73BB"/>
    <w:rsid w:val="000D7AC7"/>
    <w:rsid w:val="000D7C6F"/>
    <w:rsid w:val="000E04FD"/>
    <w:rsid w:val="000E0E96"/>
    <w:rsid w:val="000E298B"/>
    <w:rsid w:val="000E2C7D"/>
    <w:rsid w:val="000E3E56"/>
    <w:rsid w:val="000E440D"/>
    <w:rsid w:val="000E4AC5"/>
    <w:rsid w:val="000E6253"/>
    <w:rsid w:val="000E6AC4"/>
    <w:rsid w:val="000E6E4D"/>
    <w:rsid w:val="000E6FBD"/>
    <w:rsid w:val="000E6FCB"/>
    <w:rsid w:val="000F090B"/>
    <w:rsid w:val="000F0E42"/>
    <w:rsid w:val="000F15F7"/>
    <w:rsid w:val="000F1AA2"/>
    <w:rsid w:val="000F378E"/>
    <w:rsid w:val="000F3F3B"/>
    <w:rsid w:val="000F4721"/>
    <w:rsid w:val="000F47E8"/>
    <w:rsid w:val="000F70E4"/>
    <w:rsid w:val="000F76EA"/>
    <w:rsid w:val="00100A8B"/>
    <w:rsid w:val="00100F5C"/>
    <w:rsid w:val="00101B15"/>
    <w:rsid w:val="00101CDA"/>
    <w:rsid w:val="00102037"/>
    <w:rsid w:val="00103DCB"/>
    <w:rsid w:val="00104C4C"/>
    <w:rsid w:val="00105015"/>
    <w:rsid w:val="001055D2"/>
    <w:rsid w:val="001057C2"/>
    <w:rsid w:val="00106BCC"/>
    <w:rsid w:val="00107124"/>
    <w:rsid w:val="0011038E"/>
    <w:rsid w:val="00111573"/>
    <w:rsid w:val="00112370"/>
    <w:rsid w:val="0011239B"/>
    <w:rsid w:val="001125EF"/>
    <w:rsid w:val="00112CAB"/>
    <w:rsid w:val="0011440C"/>
    <w:rsid w:val="00114C33"/>
    <w:rsid w:val="00114D5B"/>
    <w:rsid w:val="00116D3F"/>
    <w:rsid w:val="00117474"/>
    <w:rsid w:val="00117623"/>
    <w:rsid w:val="00117FEA"/>
    <w:rsid w:val="001200CF"/>
    <w:rsid w:val="001208E3"/>
    <w:rsid w:val="00121609"/>
    <w:rsid w:val="0012192F"/>
    <w:rsid w:val="00122994"/>
    <w:rsid w:val="00123204"/>
    <w:rsid w:val="00124B46"/>
    <w:rsid w:val="001257BE"/>
    <w:rsid w:val="001257E0"/>
    <w:rsid w:val="00125D69"/>
    <w:rsid w:val="0012799C"/>
    <w:rsid w:val="00127BC2"/>
    <w:rsid w:val="00127E15"/>
    <w:rsid w:val="001308F1"/>
    <w:rsid w:val="00130ADC"/>
    <w:rsid w:val="00130D9F"/>
    <w:rsid w:val="00132C4D"/>
    <w:rsid w:val="00133FC1"/>
    <w:rsid w:val="00134659"/>
    <w:rsid w:val="00135111"/>
    <w:rsid w:val="00135376"/>
    <w:rsid w:val="00136A6F"/>
    <w:rsid w:val="00136C1A"/>
    <w:rsid w:val="00137812"/>
    <w:rsid w:val="001405FA"/>
    <w:rsid w:val="00140D1A"/>
    <w:rsid w:val="00141184"/>
    <w:rsid w:val="00141315"/>
    <w:rsid w:val="0014152B"/>
    <w:rsid w:val="00141AA0"/>
    <w:rsid w:val="001425C3"/>
    <w:rsid w:val="0014262D"/>
    <w:rsid w:val="00142B29"/>
    <w:rsid w:val="00143EED"/>
    <w:rsid w:val="00144108"/>
    <w:rsid w:val="00144588"/>
    <w:rsid w:val="001447DD"/>
    <w:rsid w:val="00145358"/>
    <w:rsid w:val="001459BC"/>
    <w:rsid w:val="0014779E"/>
    <w:rsid w:val="00147B13"/>
    <w:rsid w:val="00150ECA"/>
    <w:rsid w:val="0015108F"/>
    <w:rsid w:val="00151707"/>
    <w:rsid w:val="00152C86"/>
    <w:rsid w:val="00152EBC"/>
    <w:rsid w:val="00152F4F"/>
    <w:rsid w:val="00153264"/>
    <w:rsid w:val="0015329F"/>
    <w:rsid w:val="001544A1"/>
    <w:rsid w:val="001553B8"/>
    <w:rsid w:val="001554C2"/>
    <w:rsid w:val="00156D04"/>
    <w:rsid w:val="001571C0"/>
    <w:rsid w:val="001574FE"/>
    <w:rsid w:val="0015753D"/>
    <w:rsid w:val="00157984"/>
    <w:rsid w:val="00157CC9"/>
    <w:rsid w:val="00160C21"/>
    <w:rsid w:val="001612F4"/>
    <w:rsid w:val="00161553"/>
    <w:rsid w:val="0016216F"/>
    <w:rsid w:val="0016256B"/>
    <w:rsid w:val="00162F81"/>
    <w:rsid w:val="00163793"/>
    <w:rsid w:val="00163868"/>
    <w:rsid w:val="00164CA1"/>
    <w:rsid w:val="00165313"/>
    <w:rsid w:val="001659C3"/>
    <w:rsid w:val="001665AB"/>
    <w:rsid w:val="00167485"/>
    <w:rsid w:val="001679F5"/>
    <w:rsid w:val="00167B92"/>
    <w:rsid w:val="00167CB9"/>
    <w:rsid w:val="00167DD8"/>
    <w:rsid w:val="001705AD"/>
    <w:rsid w:val="001706D6"/>
    <w:rsid w:val="001714F2"/>
    <w:rsid w:val="00171FEA"/>
    <w:rsid w:val="00173622"/>
    <w:rsid w:val="00175B9F"/>
    <w:rsid w:val="001762F4"/>
    <w:rsid w:val="001777BA"/>
    <w:rsid w:val="00181029"/>
    <w:rsid w:val="00181BBC"/>
    <w:rsid w:val="0018385F"/>
    <w:rsid w:val="00183BCF"/>
    <w:rsid w:val="00184017"/>
    <w:rsid w:val="001847BB"/>
    <w:rsid w:val="00184B08"/>
    <w:rsid w:val="00185010"/>
    <w:rsid w:val="001854F2"/>
    <w:rsid w:val="00185C22"/>
    <w:rsid w:val="00186BA9"/>
    <w:rsid w:val="00187D50"/>
    <w:rsid w:val="00190B4D"/>
    <w:rsid w:val="0019123D"/>
    <w:rsid w:val="0019196C"/>
    <w:rsid w:val="001926A9"/>
    <w:rsid w:val="00192F05"/>
    <w:rsid w:val="00194729"/>
    <w:rsid w:val="00194850"/>
    <w:rsid w:val="00195234"/>
    <w:rsid w:val="00195EA6"/>
    <w:rsid w:val="00196016"/>
    <w:rsid w:val="00196117"/>
    <w:rsid w:val="00197A70"/>
    <w:rsid w:val="00197C0F"/>
    <w:rsid w:val="00197D0E"/>
    <w:rsid w:val="001A0487"/>
    <w:rsid w:val="001A0675"/>
    <w:rsid w:val="001A0A37"/>
    <w:rsid w:val="001A164B"/>
    <w:rsid w:val="001A1F68"/>
    <w:rsid w:val="001A21FA"/>
    <w:rsid w:val="001A4D7C"/>
    <w:rsid w:val="001A4EF0"/>
    <w:rsid w:val="001A552F"/>
    <w:rsid w:val="001A70B1"/>
    <w:rsid w:val="001A7672"/>
    <w:rsid w:val="001B0738"/>
    <w:rsid w:val="001B1235"/>
    <w:rsid w:val="001B158D"/>
    <w:rsid w:val="001B1BBB"/>
    <w:rsid w:val="001B2CA9"/>
    <w:rsid w:val="001B3110"/>
    <w:rsid w:val="001B3E38"/>
    <w:rsid w:val="001B40F5"/>
    <w:rsid w:val="001B4729"/>
    <w:rsid w:val="001B4F0E"/>
    <w:rsid w:val="001B5F40"/>
    <w:rsid w:val="001B6310"/>
    <w:rsid w:val="001B6C09"/>
    <w:rsid w:val="001B6E12"/>
    <w:rsid w:val="001C05CD"/>
    <w:rsid w:val="001C082B"/>
    <w:rsid w:val="001C0F17"/>
    <w:rsid w:val="001C11A6"/>
    <w:rsid w:val="001C1B24"/>
    <w:rsid w:val="001C1B66"/>
    <w:rsid w:val="001C1BB5"/>
    <w:rsid w:val="001C2732"/>
    <w:rsid w:val="001C31A2"/>
    <w:rsid w:val="001C351D"/>
    <w:rsid w:val="001C3794"/>
    <w:rsid w:val="001C3855"/>
    <w:rsid w:val="001C4B8F"/>
    <w:rsid w:val="001C4BB8"/>
    <w:rsid w:val="001C4D8C"/>
    <w:rsid w:val="001C4FD0"/>
    <w:rsid w:val="001C544D"/>
    <w:rsid w:val="001C5E46"/>
    <w:rsid w:val="001C6B3B"/>
    <w:rsid w:val="001C7A26"/>
    <w:rsid w:val="001C7E3F"/>
    <w:rsid w:val="001D0EF1"/>
    <w:rsid w:val="001D1A44"/>
    <w:rsid w:val="001D22C2"/>
    <w:rsid w:val="001D2C99"/>
    <w:rsid w:val="001D3B75"/>
    <w:rsid w:val="001D452E"/>
    <w:rsid w:val="001D54C1"/>
    <w:rsid w:val="001D556E"/>
    <w:rsid w:val="001D5DF2"/>
    <w:rsid w:val="001D6175"/>
    <w:rsid w:val="001D68B2"/>
    <w:rsid w:val="001D6B3F"/>
    <w:rsid w:val="001D7EFD"/>
    <w:rsid w:val="001D7F60"/>
    <w:rsid w:val="001E085B"/>
    <w:rsid w:val="001E149B"/>
    <w:rsid w:val="001E15CB"/>
    <w:rsid w:val="001E1AF1"/>
    <w:rsid w:val="001E3306"/>
    <w:rsid w:val="001E504C"/>
    <w:rsid w:val="001E56AC"/>
    <w:rsid w:val="001E5A17"/>
    <w:rsid w:val="001E6441"/>
    <w:rsid w:val="001E74C5"/>
    <w:rsid w:val="001F1236"/>
    <w:rsid w:val="001F2F90"/>
    <w:rsid w:val="001F4597"/>
    <w:rsid w:val="001F4826"/>
    <w:rsid w:val="001F4933"/>
    <w:rsid w:val="001F59C8"/>
    <w:rsid w:val="001F6483"/>
    <w:rsid w:val="001F6CD3"/>
    <w:rsid w:val="001F75DA"/>
    <w:rsid w:val="001F7931"/>
    <w:rsid w:val="001F7CE0"/>
    <w:rsid w:val="00200085"/>
    <w:rsid w:val="00201633"/>
    <w:rsid w:val="00203332"/>
    <w:rsid w:val="002036E6"/>
    <w:rsid w:val="00203CD5"/>
    <w:rsid w:val="00203D8F"/>
    <w:rsid w:val="00203DA4"/>
    <w:rsid w:val="00204EA6"/>
    <w:rsid w:val="00205186"/>
    <w:rsid w:val="00206516"/>
    <w:rsid w:val="002070CF"/>
    <w:rsid w:val="002071D5"/>
    <w:rsid w:val="002073FD"/>
    <w:rsid w:val="002111E5"/>
    <w:rsid w:val="0021149E"/>
    <w:rsid w:val="002118B9"/>
    <w:rsid w:val="00213691"/>
    <w:rsid w:val="002142C0"/>
    <w:rsid w:val="00217BED"/>
    <w:rsid w:val="00217C5B"/>
    <w:rsid w:val="00220A43"/>
    <w:rsid w:val="0022139E"/>
    <w:rsid w:val="00222729"/>
    <w:rsid w:val="0022287B"/>
    <w:rsid w:val="002228DB"/>
    <w:rsid w:val="00223185"/>
    <w:rsid w:val="00223264"/>
    <w:rsid w:val="002233D6"/>
    <w:rsid w:val="0022441D"/>
    <w:rsid w:val="00224574"/>
    <w:rsid w:val="00224E3F"/>
    <w:rsid w:val="00225000"/>
    <w:rsid w:val="0022521D"/>
    <w:rsid w:val="002252E0"/>
    <w:rsid w:val="002255F6"/>
    <w:rsid w:val="00226032"/>
    <w:rsid w:val="0022738D"/>
    <w:rsid w:val="00227605"/>
    <w:rsid w:val="00227850"/>
    <w:rsid w:val="00227A53"/>
    <w:rsid w:val="00227C6C"/>
    <w:rsid w:val="00227E2E"/>
    <w:rsid w:val="00227F53"/>
    <w:rsid w:val="00230C6E"/>
    <w:rsid w:val="00230E21"/>
    <w:rsid w:val="00231066"/>
    <w:rsid w:val="002316A8"/>
    <w:rsid w:val="00231859"/>
    <w:rsid w:val="002320C9"/>
    <w:rsid w:val="0023288F"/>
    <w:rsid w:val="0023359B"/>
    <w:rsid w:val="00233603"/>
    <w:rsid w:val="002340EF"/>
    <w:rsid w:val="00234B82"/>
    <w:rsid w:val="00236443"/>
    <w:rsid w:val="00236700"/>
    <w:rsid w:val="00237C8B"/>
    <w:rsid w:val="00240391"/>
    <w:rsid w:val="00240AF3"/>
    <w:rsid w:val="002418D5"/>
    <w:rsid w:val="00241A9F"/>
    <w:rsid w:val="00241B06"/>
    <w:rsid w:val="0024343A"/>
    <w:rsid w:val="002436BA"/>
    <w:rsid w:val="002438DC"/>
    <w:rsid w:val="00244652"/>
    <w:rsid w:val="00244A15"/>
    <w:rsid w:val="002452D9"/>
    <w:rsid w:val="00247319"/>
    <w:rsid w:val="0024799E"/>
    <w:rsid w:val="00247E60"/>
    <w:rsid w:val="002512B7"/>
    <w:rsid w:val="00251496"/>
    <w:rsid w:val="00251B08"/>
    <w:rsid w:val="00251C53"/>
    <w:rsid w:val="00252AB9"/>
    <w:rsid w:val="002532B1"/>
    <w:rsid w:val="00253C0F"/>
    <w:rsid w:val="00253F48"/>
    <w:rsid w:val="00254FC3"/>
    <w:rsid w:val="002558C1"/>
    <w:rsid w:val="00256207"/>
    <w:rsid w:val="002575F3"/>
    <w:rsid w:val="002601B4"/>
    <w:rsid w:val="002603E1"/>
    <w:rsid w:val="002605FE"/>
    <w:rsid w:val="0026120E"/>
    <w:rsid w:val="002617EE"/>
    <w:rsid w:val="00262582"/>
    <w:rsid w:val="0026291D"/>
    <w:rsid w:val="00262CF3"/>
    <w:rsid w:val="00264309"/>
    <w:rsid w:val="00264992"/>
    <w:rsid w:val="00264B4F"/>
    <w:rsid w:val="00264B85"/>
    <w:rsid w:val="0026564B"/>
    <w:rsid w:val="00265C83"/>
    <w:rsid w:val="00265E85"/>
    <w:rsid w:val="00267B49"/>
    <w:rsid w:val="00267C51"/>
    <w:rsid w:val="002700D9"/>
    <w:rsid w:val="0027025F"/>
    <w:rsid w:val="002709CC"/>
    <w:rsid w:val="00270D25"/>
    <w:rsid w:val="00271022"/>
    <w:rsid w:val="00271465"/>
    <w:rsid w:val="00271A07"/>
    <w:rsid w:val="00271E47"/>
    <w:rsid w:val="002721F5"/>
    <w:rsid w:val="00272DF4"/>
    <w:rsid w:val="00275062"/>
    <w:rsid w:val="00275758"/>
    <w:rsid w:val="0027583D"/>
    <w:rsid w:val="002759C7"/>
    <w:rsid w:val="00275DEF"/>
    <w:rsid w:val="00275E43"/>
    <w:rsid w:val="002763A2"/>
    <w:rsid w:val="00276B33"/>
    <w:rsid w:val="00277669"/>
    <w:rsid w:val="002803A5"/>
    <w:rsid w:val="00280ACB"/>
    <w:rsid w:val="002812E3"/>
    <w:rsid w:val="00281576"/>
    <w:rsid w:val="00282AD4"/>
    <w:rsid w:val="0028341F"/>
    <w:rsid w:val="002837AE"/>
    <w:rsid w:val="00283C13"/>
    <w:rsid w:val="00283F7B"/>
    <w:rsid w:val="0028431A"/>
    <w:rsid w:val="002853FA"/>
    <w:rsid w:val="00285412"/>
    <w:rsid w:val="00286220"/>
    <w:rsid w:val="0029110B"/>
    <w:rsid w:val="00291640"/>
    <w:rsid w:val="0029237E"/>
    <w:rsid w:val="00292997"/>
    <w:rsid w:val="00293D24"/>
    <w:rsid w:val="0029461A"/>
    <w:rsid w:val="0029509B"/>
    <w:rsid w:val="0029588F"/>
    <w:rsid w:val="00295E96"/>
    <w:rsid w:val="00297256"/>
    <w:rsid w:val="00297A5C"/>
    <w:rsid w:val="00297D51"/>
    <w:rsid w:val="002A0122"/>
    <w:rsid w:val="002A016B"/>
    <w:rsid w:val="002A103E"/>
    <w:rsid w:val="002A16D4"/>
    <w:rsid w:val="002A1E4F"/>
    <w:rsid w:val="002A230C"/>
    <w:rsid w:val="002A2AF7"/>
    <w:rsid w:val="002A30ED"/>
    <w:rsid w:val="002A3209"/>
    <w:rsid w:val="002A34B5"/>
    <w:rsid w:val="002A38F3"/>
    <w:rsid w:val="002A3EA2"/>
    <w:rsid w:val="002A51AC"/>
    <w:rsid w:val="002A532A"/>
    <w:rsid w:val="002A5846"/>
    <w:rsid w:val="002A5D97"/>
    <w:rsid w:val="002A603E"/>
    <w:rsid w:val="002A63B9"/>
    <w:rsid w:val="002A7089"/>
    <w:rsid w:val="002B0692"/>
    <w:rsid w:val="002B1619"/>
    <w:rsid w:val="002B3EF4"/>
    <w:rsid w:val="002B4845"/>
    <w:rsid w:val="002B5567"/>
    <w:rsid w:val="002B5812"/>
    <w:rsid w:val="002B72AA"/>
    <w:rsid w:val="002B75C0"/>
    <w:rsid w:val="002C1110"/>
    <w:rsid w:val="002C1BC2"/>
    <w:rsid w:val="002C1F09"/>
    <w:rsid w:val="002C22A4"/>
    <w:rsid w:val="002C260B"/>
    <w:rsid w:val="002C27A6"/>
    <w:rsid w:val="002C31E4"/>
    <w:rsid w:val="002C398D"/>
    <w:rsid w:val="002C40D2"/>
    <w:rsid w:val="002C43BD"/>
    <w:rsid w:val="002C5245"/>
    <w:rsid w:val="002C564A"/>
    <w:rsid w:val="002C59D8"/>
    <w:rsid w:val="002C5FEB"/>
    <w:rsid w:val="002C6494"/>
    <w:rsid w:val="002D05CB"/>
    <w:rsid w:val="002D0E59"/>
    <w:rsid w:val="002D2C4F"/>
    <w:rsid w:val="002D3EBB"/>
    <w:rsid w:val="002D455C"/>
    <w:rsid w:val="002D6066"/>
    <w:rsid w:val="002D6A4C"/>
    <w:rsid w:val="002E02A1"/>
    <w:rsid w:val="002E196A"/>
    <w:rsid w:val="002E1F8A"/>
    <w:rsid w:val="002E20C7"/>
    <w:rsid w:val="002E20CD"/>
    <w:rsid w:val="002E222E"/>
    <w:rsid w:val="002E28D8"/>
    <w:rsid w:val="002E3638"/>
    <w:rsid w:val="002E37D1"/>
    <w:rsid w:val="002E3BEE"/>
    <w:rsid w:val="002E4DCE"/>
    <w:rsid w:val="002E4E4C"/>
    <w:rsid w:val="002E4EA7"/>
    <w:rsid w:val="002E5846"/>
    <w:rsid w:val="002E631B"/>
    <w:rsid w:val="002E792B"/>
    <w:rsid w:val="002E7AEB"/>
    <w:rsid w:val="002E7B79"/>
    <w:rsid w:val="002F1B09"/>
    <w:rsid w:val="002F1D56"/>
    <w:rsid w:val="002F1DCB"/>
    <w:rsid w:val="002F1DE4"/>
    <w:rsid w:val="002F333D"/>
    <w:rsid w:val="002F351A"/>
    <w:rsid w:val="002F357F"/>
    <w:rsid w:val="002F46D6"/>
    <w:rsid w:val="002F498A"/>
    <w:rsid w:val="002F4AD8"/>
    <w:rsid w:val="002F5285"/>
    <w:rsid w:val="002F5820"/>
    <w:rsid w:val="002F64BB"/>
    <w:rsid w:val="002F7D9B"/>
    <w:rsid w:val="00300C31"/>
    <w:rsid w:val="00300D42"/>
    <w:rsid w:val="00301294"/>
    <w:rsid w:val="003017EC"/>
    <w:rsid w:val="00302165"/>
    <w:rsid w:val="00303BB4"/>
    <w:rsid w:val="00304771"/>
    <w:rsid w:val="00304F9C"/>
    <w:rsid w:val="003052D4"/>
    <w:rsid w:val="00305863"/>
    <w:rsid w:val="003060D6"/>
    <w:rsid w:val="003060E9"/>
    <w:rsid w:val="00306C5B"/>
    <w:rsid w:val="00307529"/>
    <w:rsid w:val="00307DB3"/>
    <w:rsid w:val="00307ED2"/>
    <w:rsid w:val="0031076D"/>
    <w:rsid w:val="0031169A"/>
    <w:rsid w:val="00311AA6"/>
    <w:rsid w:val="00311C4D"/>
    <w:rsid w:val="003121AB"/>
    <w:rsid w:val="00312A85"/>
    <w:rsid w:val="00315169"/>
    <w:rsid w:val="003153C8"/>
    <w:rsid w:val="00315524"/>
    <w:rsid w:val="00315561"/>
    <w:rsid w:val="00316A8B"/>
    <w:rsid w:val="00316B3D"/>
    <w:rsid w:val="0032058C"/>
    <w:rsid w:val="003208D0"/>
    <w:rsid w:val="003209D6"/>
    <w:rsid w:val="003217B9"/>
    <w:rsid w:val="00321924"/>
    <w:rsid w:val="00321AF1"/>
    <w:rsid w:val="00321EB6"/>
    <w:rsid w:val="003220A5"/>
    <w:rsid w:val="003238E0"/>
    <w:rsid w:val="00323A1C"/>
    <w:rsid w:val="00323A2F"/>
    <w:rsid w:val="00323A8E"/>
    <w:rsid w:val="003247E1"/>
    <w:rsid w:val="00324B59"/>
    <w:rsid w:val="00325E46"/>
    <w:rsid w:val="0032656E"/>
    <w:rsid w:val="0032788F"/>
    <w:rsid w:val="00332190"/>
    <w:rsid w:val="00332A98"/>
    <w:rsid w:val="003334BD"/>
    <w:rsid w:val="00333973"/>
    <w:rsid w:val="00333CD0"/>
    <w:rsid w:val="0033448D"/>
    <w:rsid w:val="00334AD2"/>
    <w:rsid w:val="00334CB6"/>
    <w:rsid w:val="0033709C"/>
    <w:rsid w:val="003370C5"/>
    <w:rsid w:val="003373C6"/>
    <w:rsid w:val="0033753A"/>
    <w:rsid w:val="003375E0"/>
    <w:rsid w:val="00340BF3"/>
    <w:rsid w:val="00341C6C"/>
    <w:rsid w:val="00341D26"/>
    <w:rsid w:val="00341F05"/>
    <w:rsid w:val="0034335E"/>
    <w:rsid w:val="00344668"/>
    <w:rsid w:val="00344940"/>
    <w:rsid w:val="0034506D"/>
    <w:rsid w:val="00346234"/>
    <w:rsid w:val="003462D9"/>
    <w:rsid w:val="0034723F"/>
    <w:rsid w:val="00347247"/>
    <w:rsid w:val="003474B6"/>
    <w:rsid w:val="00347DD4"/>
    <w:rsid w:val="00352B43"/>
    <w:rsid w:val="00352C28"/>
    <w:rsid w:val="003541BB"/>
    <w:rsid w:val="00354502"/>
    <w:rsid w:val="00354F89"/>
    <w:rsid w:val="0035506D"/>
    <w:rsid w:val="003579A1"/>
    <w:rsid w:val="0036077F"/>
    <w:rsid w:val="00360A35"/>
    <w:rsid w:val="00360C86"/>
    <w:rsid w:val="00360F7A"/>
    <w:rsid w:val="00360FBC"/>
    <w:rsid w:val="00361537"/>
    <w:rsid w:val="00361B2D"/>
    <w:rsid w:val="00361FB7"/>
    <w:rsid w:val="0036242A"/>
    <w:rsid w:val="00362C23"/>
    <w:rsid w:val="00362DCA"/>
    <w:rsid w:val="00362E90"/>
    <w:rsid w:val="00364FA0"/>
    <w:rsid w:val="003657F3"/>
    <w:rsid w:val="00365844"/>
    <w:rsid w:val="00365F61"/>
    <w:rsid w:val="0036624C"/>
    <w:rsid w:val="00367F84"/>
    <w:rsid w:val="003712BC"/>
    <w:rsid w:val="00372164"/>
    <w:rsid w:val="003738BD"/>
    <w:rsid w:val="00374263"/>
    <w:rsid w:val="003746F0"/>
    <w:rsid w:val="00374A20"/>
    <w:rsid w:val="00374B96"/>
    <w:rsid w:val="00374E21"/>
    <w:rsid w:val="0037537A"/>
    <w:rsid w:val="00377B2E"/>
    <w:rsid w:val="00380C9B"/>
    <w:rsid w:val="003810F0"/>
    <w:rsid w:val="003815D4"/>
    <w:rsid w:val="003818DC"/>
    <w:rsid w:val="00382513"/>
    <w:rsid w:val="00383388"/>
    <w:rsid w:val="003834F8"/>
    <w:rsid w:val="003838D0"/>
    <w:rsid w:val="003840C2"/>
    <w:rsid w:val="00384327"/>
    <w:rsid w:val="00384A89"/>
    <w:rsid w:val="00385086"/>
    <w:rsid w:val="00385D98"/>
    <w:rsid w:val="00390306"/>
    <w:rsid w:val="003908A6"/>
    <w:rsid w:val="0039109D"/>
    <w:rsid w:val="00391989"/>
    <w:rsid w:val="00391A6C"/>
    <w:rsid w:val="003927F6"/>
    <w:rsid w:val="0039398D"/>
    <w:rsid w:val="00393B3F"/>
    <w:rsid w:val="0039402D"/>
    <w:rsid w:val="00396739"/>
    <w:rsid w:val="003978B1"/>
    <w:rsid w:val="003A04F6"/>
    <w:rsid w:val="003A0837"/>
    <w:rsid w:val="003A2B4D"/>
    <w:rsid w:val="003A2D12"/>
    <w:rsid w:val="003A2EBA"/>
    <w:rsid w:val="003A32DB"/>
    <w:rsid w:val="003A45E3"/>
    <w:rsid w:val="003A46B8"/>
    <w:rsid w:val="003A478C"/>
    <w:rsid w:val="003A4A38"/>
    <w:rsid w:val="003A5295"/>
    <w:rsid w:val="003A5525"/>
    <w:rsid w:val="003A5889"/>
    <w:rsid w:val="003A5C8C"/>
    <w:rsid w:val="003A6B38"/>
    <w:rsid w:val="003A6B83"/>
    <w:rsid w:val="003A6C97"/>
    <w:rsid w:val="003A722F"/>
    <w:rsid w:val="003A7373"/>
    <w:rsid w:val="003A7D09"/>
    <w:rsid w:val="003B039F"/>
    <w:rsid w:val="003B0DF4"/>
    <w:rsid w:val="003B1F9D"/>
    <w:rsid w:val="003B2A8D"/>
    <w:rsid w:val="003B2AD1"/>
    <w:rsid w:val="003B2D2E"/>
    <w:rsid w:val="003B376A"/>
    <w:rsid w:val="003B461F"/>
    <w:rsid w:val="003B483F"/>
    <w:rsid w:val="003B4998"/>
    <w:rsid w:val="003B5A32"/>
    <w:rsid w:val="003B5B59"/>
    <w:rsid w:val="003B709D"/>
    <w:rsid w:val="003B7B50"/>
    <w:rsid w:val="003C0B07"/>
    <w:rsid w:val="003C2CE7"/>
    <w:rsid w:val="003C2DB8"/>
    <w:rsid w:val="003C3490"/>
    <w:rsid w:val="003C3608"/>
    <w:rsid w:val="003C3A87"/>
    <w:rsid w:val="003C3AE8"/>
    <w:rsid w:val="003C3D2C"/>
    <w:rsid w:val="003C4058"/>
    <w:rsid w:val="003C4E13"/>
    <w:rsid w:val="003C58A5"/>
    <w:rsid w:val="003C6221"/>
    <w:rsid w:val="003C63D7"/>
    <w:rsid w:val="003C68CC"/>
    <w:rsid w:val="003C7E62"/>
    <w:rsid w:val="003D12B9"/>
    <w:rsid w:val="003D1E7A"/>
    <w:rsid w:val="003D242B"/>
    <w:rsid w:val="003D2492"/>
    <w:rsid w:val="003D29AA"/>
    <w:rsid w:val="003D2A99"/>
    <w:rsid w:val="003D5EBF"/>
    <w:rsid w:val="003D6920"/>
    <w:rsid w:val="003D6982"/>
    <w:rsid w:val="003E0249"/>
    <w:rsid w:val="003E08A4"/>
    <w:rsid w:val="003E105C"/>
    <w:rsid w:val="003E1EF8"/>
    <w:rsid w:val="003E2DFB"/>
    <w:rsid w:val="003E4466"/>
    <w:rsid w:val="003E4C91"/>
    <w:rsid w:val="003E52D8"/>
    <w:rsid w:val="003E62F1"/>
    <w:rsid w:val="003E6ED5"/>
    <w:rsid w:val="003E6F84"/>
    <w:rsid w:val="003F0148"/>
    <w:rsid w:val="003F313C"/>
    <w:rsid w:val="003F33B1"/>
    <w:rsid w:val="003F33B9"/>
    <w:rsid w:val="003F37FC"/>
    <w:rsid w:val="003F3E76"/>
    <w:rsid w:val="003F4318"/>
    <w:rsid w:val="003F4B2C"/>
    <w:rsid w:val="003F551C"/>
    <w:rsid w:val="003F626D"/>
    <w:rsid w:val="003F72ED"/>
    <w:rsid w:val="003F7D23"/>
    <w:rsid w:val="00400050"/>
    <w:rsid w:val="004002C8"/>
    <w:rsid w:val="00400468"/>
    <w:rsid w:val="0040099D"/>
    <w:rsid w:val="004016CB"/>
    <w:rsid w:val="00401B23"/>
    <w:rsid w:val="00402ADB"/>
    <w:rsid w:val="0040368D"/>
    <w:rsid w:val="00403D1D"/>
    <w:rsid w:val="00403F57"/>
    <w:rsid w:val="004046BD"/>
    <w:rsid w:val="00404BAB"/>
    <w:rsid w:val="00405318"/>
    <w:rsid w:val="004059D2"/>
    <w:rsid w:val="004060C9"/>
    <w:rsid w:val="004066D0"/>
    <w:rsid w:val="00406C2E"/>
    <w:rsid w:val="00406CDA"/>
    <w:rsid w:val="00406EB0"/>
    <w:rsid w:val="00407711"/>
    <w:rsid w:val="00407C13"/>
    <w:rsid w:val="004103F6"/>
    <w:rsid w:val="00410638"/>
    <w:rsid w:val="00412511"/>
    <w:rsid w:val="004125C2"/>
    <w:rsid w:val="00412DFA"/>
    <w:rsid w:val="00413465"/>
    <w:rsid w:val="004149AC"/>
    <w:rsid w:val="0041501E"/>
    <w:rsid w:val="00415452"/>
    <w:rsid w:val="004159C3"/>
    <w:rsid w:val="00415A57"/>
    <w:rsid w:val="00416DAC"/>
    <w:rsid w:val="00417106"/>
    <w:rsid w:val="00420880"/>
    <w:rsid w:val="00421179"/>
    <w:rsid w:val="004225D7"/>
    <w:rsid w:val="00423623"/>
    <w:rsid w:val="0042470E"/>
    <w:rsid w:val="0042507B"/>
    <w:rsid w:val="00425352"/>
    <w:rsid w:val="00426C99"/>
    <w:rsid w:val="004272BE"/>
    <w:rsid w:val="00430C96"/>
    <w:rsid w:val="0043174F"/>
    <w:rsid w:val="00431BFF"/>
    <w:rsid w:val="00432199"/>
    <w:rsid w:val="00432A58"/>
    <w:rsid w:val="004331C3"/>
    <w:rsid w:val="00433C17"/>
    <w:rsid w:val="00434617"/>
    <w:rsid w:val="00434DE9"/>
    <w:rsid w:val="00435051"/>
    <w:rsid w:val="00435C69"/>
    <w:rsid w:val="004360FB"/>
    <w:rsid w:val="00437CED"/>
    <w:rsid w:val="004407BF"/>
    <w:rsid w:val="00440900"/>
    <w:rsid w:val="00440D2A"/>
    <w:rsid w:val="0044121D"/>
    <w:rsid w:val="00441BF6"/>
    <w:rsid w:val="00441D2B"/>
    <w:rsid w:val="00441F8B"/>
    <w:rsid w:val="00442085"/>
    <w:rsid w:val="0044279E"/>
    <w:rsid w:val="004441A0"/>
    <w:rsid w:val="00445861"/>
    <w:rsid w:val="00445A8E"/>
    <w:rsid w:val="00446D44"/>
    <w:rsid w:val="0045078A"/>
    <w:rsid w:val="0045086D"/>
    <w:rsid w:val="00450DAB"/>
    <w:rsid w:val="0045125B"/>
    <w:rsid w:val="00451E25"/>
    <w:rsid w:val="00451EF1"/>
    <w:rsid w:val="00452E60"/>
    <w:rsid w:val="0045321B"/>
    <w:rsid w:val="00455833"/>
    <w:rsid w:val="00456FB5"/>
    <w:rsid w:val="00456FE5"/>
    <w:rsid w:val="00457490"/>
    <w:rsid w:val="0045778B"/>
    <w:rsid w:val="0045786C"/>
    <w:rsid w:val="00457953"/>
    <w:rsid w:val="004604D8"/>
    <w:rsid w:val="00460656"/>
    <w:rsid w:val="00460FB3"/>
    <w:rsid w:val="00463D3C"/>
    <w:rsid w:val="00464851"/>
    <w:rsid w:val="00464BF5"/>
    <w:rsid w:val="00466595"/>
    <w:rsid w:val="00466B3E"/>
    <w:rsid w:val="0046746A"/>
    <w:rsid w:val="00467B14"/>
    <w:rsid w:val="004707FE"/>
    <w:rsid w:val="00470EDC"/>
    <w:rsid w:val="00472418"/>
    <w:rsid w:val="0047276D"/>
    <w:rsid w:val="00472AF6"/>
    <w:rsid w:val="00473482"/>
    <w:rsid w:val="00474646"/>
    <w:rsid w:val="00474A04"/>
    <w:rsid w:val="00476240"/>
    <w:rsid w:val="00476439"/>
    <w:rsid w:val="00476450"/>
    <w:rsid w:val="004769BF"/>
    <w:rsid w:val="004769E1"/>
    <w:rsid w:val="00476AEE"/>
    <w:rsid w:val="0047735C"/>
    <w:rsid w:val="004776BC"/>
    <w:rsid w:val="00477820"/>
    <w:rsid w:val="00477B96"/>
    <w:rsid w:val="00480802"/>
    <w:rsid w:val="00480BAE"/>
    <w:rsid w:val="00480D7F"/>
    <w:rsid w:val="0048139F"/>
    <w:rsid w:val="00481E40"/>
    <w:rsid w:val="00482405"/>
    <w:rsid w:val="004826A7"/>
    <w:rsid w:val="004828DA"/>
    <w:rsid w:val="0048368C"/>
    <w:rsid w:val="0048372F"/>
    <w:rsid w:val="0048399F"/>
    <w:rsid w:val="00483A0C"/>
    <w:rsid w:val="004841CC"/>
    <w:rsid w:val="00484ECE"/>
    <w:rsid w:val="00485E82"/>
    <w:rsid w:val="00486132"/>
    <w:rsid w:val="0048686D"/>
    <w:rsid w:val="00486A4D"/>
    <w:rsid w:val="004915CB"/>
    <w:rsid w:val="00491A2B"/>
    <w:rsid w:val="004924DC"/>
    <w:rsid w:val="00492879"/>
    <w:rsid w:val="00493E85"/>
    <w:rsid w:val="00495145"/>
    <w:rsid w:val="0049531F"/>
    <w:rsid w:val="004979A5"/>
    <w:rsid w:val="004A0144"/>
    <w:rsid w:val="004A036E"/>
    <w:rsid w:val="004A0389"/>
    <w:rsid w:val="004A0498"/>
    <w:rsid w:val="004A06B0"/>
    <w:rsid w:val="004A0D0E"/>
    <w:rsid w:val="004A14E4"/>
    <w:rsid w:val="004A204E"/>
    <w:rsid w:val="004A26A5"/>
    <w:rsid w:val="004A27F0"/>
    <w:rsid w:val="004A3212"/>
    <w:rsid w:val="004A37CD"/>
    <w:rsid w:val="004A3BE4"/>
    <w:rsid w:val="004A40D9"/>
    <w:rsid w:val="004A49A5"/>
    <w:rsid w:val="004A4F8A"/>
    <w:rsid w:val="004A52AB"/>
    <w:rsid w:val="004A5494"/>
    <w:rsid w:val="004A5D4E"/>
    <w:rsid w:val="004A61C5"/>
    <w:rsid w:val="004A62A0"/>
    <w:rsid w:val="004A77DF"/>
    <w:rsid w:val="004A7DC0"/>
    <w:rsid w:val="004B1417"/>
    <w:rsid w:val="004B1627"/>
    <w:rsid w:val="004B305C"/>
    <w:rsid w:val="004B31B8"/>
    <w:rsid w:val="004B339A"/>
    <w:rsid w:val="004B4C83"/>
    <w:rsid w:val="004B55B7"/>
    <w:rsid w:val="004B591D"/>
    <w:rsid w:val="004B5BFA"/>
    <w:rsid w:val="004B619E"/>
    <w:rsid w:val="004B6468"/>
    <w:rsid w:val="004B6EF8"/>
    <w:rsid w:val="004B7125"/>
    <w:rsid w:val="004B756A"/>
    <w:rsid w:val="004B7FB1"/>
    <w:rsid w:val="004C0970"/>
    <w:rsid w:val="004C0B3F"/>
    <w:rsid w:val="004C0F87"/>
    <w:rsid w:val="004C25F9"/>
    <w:rsid w:val="004C2794"/>
    <w:rsid w:val="004C2BB6"/>
    <w:rsid w:val="004C2C2D"/>
    <w:rsid w:val="004C3027"/>
    <w:rsid w:val="004C384C"/>
    <w:rsid w:val="004C3867"/>
    <w:rsid w:val="004C3CE4"/>
    <w:rsid w:val="004C3DB0"/>
    <w:rsid w:val="004C439A"/>
    <w:rsid w:val="004C4720"/>
    <w:rsid w:val="004C4CD0"/>
    <w:rsid w:val="004C5060"/>
    <w:rsid w:val="004C5165"/>
    <w:rsid w:val="004C589C"/>
    <w:rsid w:val="004C5AE8"/>
    <w:rsid w:val="004C6E0E"/>
    <w:rsid w:val="004C70DC"/>
    <w:rsid w:val="004D0211"/>
    <w:rsid w:val="004D0794"/>
    <w:rsid w:val="004D17A6"/>
    <w:rsid w:val="004D2D31"/>
    <w:rsid w:val="004D2E03"/>
    <w:rsid w:val="004D3296"/>
    <w:rsid w:val="004D4056"/>
    <w:rsid w:val="004D4CB0"/>
    <w:rsid w:val="004D5B0F"/>
    <w:rsid w:val="004D7626"/>
    <w:rsid w:val="004E085C"/>
    <w:rsid w:val="004E12DF"/>
    <w:rsid w:val="004E186A"/>
    <w:rsid w:val="004E1A40"/>
    <w:rsid w:val="004E1DB2"/>
    <w:rsid w:val="004E200A"/>
    <w:rsid w:val="004E23FC"/>
    <w:rsid w:val="004E2409"/>
    <w:rsid w:val="004E261D"/>
    <w:rsid w:val="004E3927"/>
    <w:rsid w:val="004E3B7F"/>
    <w:rsid w:val="004E57BF"/>
    <w:rsid w:val="004E5F41"/>
    <w:rsid w:val="004E6011"/>
    <w:rsid w:val="004E6DE6"/>
    <w:rsid w:val="004E765E"/>
    <w:rsid w:val="004E7815"/>
    <w:rsid w:val="004F06F5"/>
    <w:rsid w:val="004F12A4"/>
    <w:rsid w:val="004F253F"/>
    <w:rsid w:val="004F33A0"/>
    <w:rsid w:val="004F3873"/>
    <w:rsid w:val="004F3BD2"/>
    <w:rsid w:val="004F46ED"/>
    <w:rsid w:val="004F49A3"/>
    <w:rsid w:val="004F4C99"/>
    <w:rsid w:val="004F5358"/>
    <w:rsid w:val="004F601B"/>
    <w:rsid w:val="004F6484"/>
    <w:rsid w:val="004F6539"/>
    <w:rsid w:val="00503D54"/>
    <w:rsid w:val="005048E2"/>
    <w:rsid w:val="00505FC8"/>
    <w:rsid w:val="00506603"/>
    <w:rsid w:val="0050689D"/>
    <w:rsid w:val="005077F5"/>
    <w:rsid w:val="005108C0"/>
    <w:rsid w:val="0051094F"/>
    <w:rsid w:val="00511217"/>
    <w:rsid w:val="00511873"/>
    <w:rsid w:val="00511BAF"/>
    <w:rsid w:val="00512461"/>
    <w:rsid w:val="00512585"/>
    <w:rsid w:val="00512A2F"/>
    <w:rsid w:val="00513B7E"/>
    <w:rsid w:val="00513E9D"/>
    <w:rsid w:val="0051475D"/>
    <w:rsid w:val="00514B11"/>
    <w:rsid w:val="00514DED"/>
    <w:rsid w:val="00515485"/>
    <w:rsid w:val="00515BE9"/>
    <w:rsid w:val="00515C74"/>
    <w:rsid w:val="00515CEB"/>
    <w:rsid w:val="0051630F"/>
    <w:rsid w:val="00517113"/>
    <w:rsid w:val="0052007E"/>
    <w:rsid w:val="0052032E"/>
    <w:rsid w:val="00521CAD"/>
    <w:rsid w:val="0052200D"/>
    <w:rsid w:val="00522425"/>
    <w:rsid w:val="00522A1B"/>
    <w:rsid w:val="00522E01"/>
    <w:rsid w:val="0052337A"/>
    <w:rsid w:val="00524385"/>
    <w:rsid w:val="005246BE"/>
    <w:rsid w:val="00525137"/>
    <w:rsid w:val="005251DD"/>
    <w:rsid w:val="0052762C"/>
    <w:rsid w:val="0052792D"/>
    <w:rsid w:val="0053012B"/>
    <w:rsid w:val="005301A6"/>
    <w:rsid w:val="00530A68"/>
    <w:rsid w:val="00530AD4"/>
    <w:rsid w:val="0053129F"/>
    <w:rsid w:val="00531C5A"/>
    <w:rsid w:val="00532CE7"/>
    <w:rsid w:val="00532D8B"/>
    <w:rsid w:val="0053324C"/>
    <w:rsid w:val="00533A8D"/>
    <w:rsid w:val="00534A28"/>
    <w:rsid w:val="00535018"/>
    <w:rsid w:val="00535782"/>
    <w:rsid w:val="0053595E"/>
    <w:rsid w:val="00537571"/>
    <w:rsid w:val="00540056"/>
    <w:rsid w:val="005410E2"/>
    <w:rsid w:val="00541508"/>
    <w:rsid w:val="00541AE3"/>
    <w:rsid w:val="00543498"/>
    <w:rsid w:val="00544011"/>
    <w:rsid w:val="00544BE5"/>
    <w:rsid w:val="005453A3"/>
    <w:rsid w:val="005455F6"/>
    <w:rsid w:val="0054582F"/>
    <w:rsid w:val="0054632B"/>
    <w:rsid w:val="00546FC7"/>
    <w:rsid w:val="005500F9"/>
    <w:rsid w:val="00550160"/>
    <w:rsid w:val="00550249"/>
    <w:rsid w:val="00550540"/>
    <w:rsid w:val="005519E2"/>
    <w:rsid w:val="00551E16"/>
    <w:rsid w:val="005523A8"/>
    <w:rsid w:val="00552F2C"/>
    <w:rsid w:val="00553A25"/>
    <w:rsid w:val="005547EB"/>
    <w:rsid w:val="00554863"/>
    <w:rsid w:val="005555E0"/>
    <w:rsid w:val="0055599F"/>
    <w:rsid w:val="00556D68"/>
    <w:rsid w:val="0055707B"/>
    <w:rsid w:val="005570D6"/>
    <w:rsid w:val="00557E0E"/>
    <w:rsid w:val="00557E45"/>
    <w:rsid w:val="005605F3"/>
    <w:rsid w:val="00560C41"/>
    <w:rsid w:val="00560C68"/>
    <w:rsid w:val="00560CAC"/>
    <w:rsid w:val="00561F44"/>
    <w:rsid w:val="00562B4D"/>
    <w:rsid w:val="00562DB1"/>
    <w:rsid w:val="00563EB8"/>
    <w:rsid w:val="005647BF"/>
    <w:rsid w:val="00564AF1"/>
    <w:rsid w:val="005655DB"/>
    <w:rsid w:val="00565E88"/>
    <w:rsid w:val="00567339"/>
    <w:rsid w:val="005678EE"/>
    <w:rsid w:val="00567910"/>
    <w:rsid w:val="00570270"/>
    <w:rsid w:val="00570464"/>
    <w:rsid w:val="00570601"/>
    <w:rsid w:val="00570BC3"/>
    <w:rsid w:val="00571766"/>
    <w:rsid w:val="0057182A"/>
    <w:rsid w:val="00571E59"/>
    <w:rsid w:val="00572079"/>
    <w:rsid w:val="00572900"/>
    <w:rsid w:val="00573602"/>
    <w:rsid w:val="0057364B"/>
    <w:rsid w:val="00574773"/>
    <w:rsid w:val="005761EC"/>
    <w:rsid w:val="00576E34"/>
    <w:rsid w:val="00577C07"/>
    <w:rsid w:val="00577DB1"/>
    <w:rsid w:val="00580AD3"/>
    <w:rsid w:val="00580DE7"/>
    <w:rsid w:val="005810E1"/>
    <w:rsid w:val="005820CD"/>
    <w:rsid w:val="00583BDD"/>
    <w:rsid w:val="00583E52"/>
    <w:rsid w:val="00583FFD"/>
    <w:rsid w:val="00584252"/>
    <w:rsid w:val="005848DD"/>
    <w:rsid w:val="0058519A"/>
    <w:rsid w:val="005856BD"/>
    <w:rsid w:val="00585983"/>
    <w:rsid w:val="00586BCA"/>
    <w:rsid w:val="00587038"/>
    <w:rsid w:val="00590608"/>
    <w:rsid w:val="00590B28"/>
    <w:rsid w:val="005911BE"/>
    <w:rsid w:val="00591273"/>
    <w:rsid w:val="00591E9E"/>
    <w:rsid w:val="005927A4"/>
    <w:rsid w:val="00593152"/>
    <w:rsid w:val="00593389"/>
    <w:rsid w:val="00593FE6"/>
    <w:rsid w:val="005956A3"/>
    <w:rsid w:val="00595958"/>
    <w:rsid w:val="00595CAB"/>
    <w:rsid w:val="0059622E"/>
    <w:rsid w:val="0059684D"/>
    <w:rsid w:val="00597671"/>
    <w:rsid w:val="00597BBF"/>
    <w:rsid w:val="005A040C"/>
    <w:rsid w:val="005A0463"/>
    <w:rsid w:val="005A05DF"/>
    <w:rsid w:val="005A0948"/>
    <w:rsid w:val="005A0A03"/>
    <w:rsid w:val="005A10F2"/>
    <w:rsid w:val="005A16C0"/>
    <w:rsid w:val="005A2156"/>
    <w:rsid w:val="005A21E0"/>
    <w:rsid w:val="005A2401"/>
    <w:rsid w:val="005A28FF"/>
    <w:rsid w:val="005A2C09"/>
    <w:rsid w:val="005A3778"/>
    <w:rsid w:val="005A37B0"/>
    <w:rsid w:val="005A3DF8"/>
    <w:rsid w:val="005A5549"/>
    <w:rsid w:val="005A566A"/>
    <w:rsid w:val="005A56E0"/>
    <w:rsid w:val="005A70CA"/>
    <w:rsid w:val="005A7ABD"/>
    <w:rsid w:val="005A7CF8"/>
    <w:rsid w:val="005B0EDA"/>
    <w:rsid w:val="005B121D"/>
    <w:rsid w:val="005B1705"/>
    <w:rsid w:val="005B26B0"/>
    <w:rsid w:val="005B41C9"/>
    <w:rsid w:val="005B44E6"/>
    <w:rsid w:val="005B4853"/>
    <w:rsid w:val="005B591B"/>
    <w:rsid w:val="005B6CA1"/>
    <w:rsid w:val="005B770C"/>
    <w:rsid w:val="005C06ED"/>
    <w:rsid w:val="005C0CE1"/>
    <w:rsid w:val="005C11B8"/>
    <w:rsid w:val="005C1B24"/>
    <w:rsid w:val="005C216C"/>
    <w:rsid w:val="005C2609"/>
    <w:rsid w:val="005C2B30"/>
    <w:rsid w:val="005C412B"/>
    <w:rsid w:val="005C43EC"/>
    <w:rsid w:val="005C45DD"/>
    <w:rsid w:val="005C4704"/>
    <w:rsid w:val="005C4CB1"/>
    <w:rsid w:val="005C70AB"/>
    <w:rsid w:val="005D015C"/>
    <w:rsid w:val="005D3F06"/>
    <w:rsid w:val="005D4608"/>
    <w:rsid w:val="005D4B73"/>
    <w:rsid w:val="005D533D"/>
    <w:rsid w:val="005D5645"/>
    <w:rsid w:val="005D5802"/>
    <w:rsid w:val="005D5AA9"/>
    <w:rsid w:val="005D5B60"/>
    <w:rsid w:val="005D66E6"/>
    <w:rsid w:val="005D7119"/>
    <w:rsid w:val="005D76C8"/>
    <w:rsid w:val="005D7890"/>
    <w:rsid w:val="005D7AAF"/>
    <w:rsid w:val="005E19C1"/>
    <w:rsid w:val="005E2194"/>
    <w:rsid w:val="005E24F0"/>
    <w:rsid w:val="005E3113"/>
    <w:rsid w:val="005E36FE"/>
    <w:rsid w:val="005E3F66"/>
    <w:rsid w:val="005E490F"/>
    <w:rsid w:val="005E4BC9"/>
    <w:rsid w:val="005E5314"/>
    <w:rsid w:val="005E53DC"/>
    <w:rsid w:val="005E764D"/>
    <w:rsid w:val="005E7724"/>
    <w:rsid w:val="005E7C78"/>
    <w:rsid w:val="005F04A7"/>
    <w:rsid w:val="005F114F"/>
    <w:rsid w:val="005F18C5"/>
    <w:rsid w:val="005F247B"/>
    <w:rsid w:val="005F2A08"/>
    <w:rsid w:val="005F36CC"/>
    <w:rsid w:val="005F3EB1"/>
    <w:rsid w:val="005F413E"/>
    <w:rsid w:val="005F466B"/>
    <w:rsid w:val="005F46D8"/>
    <w:rsid w:val="005F480F"/>
    <w:rsid w:val="005F5271"/>
    <w:rsid w:val="005F5469"/>
    <w:rsid w:val="005F63F3"/>
    <w:rsid w:val="005F66F0"/>
    <w:rsid w:val="005F6D7F"/>
    <w:rsid w:val="005F6DFE"/>
    <w:rsid w:val="005F7174"/>
    <w:rsid w:val="005F7B79"/>
    <w:rsid w:val="0060120D"/>
    <w:rsid w:val="006017C1"/>
    <w:rsid w:val="00601ADE"/>
    <w:rsid w:val="00601EEF"/>
    <w:rsid w:val="0060255A"/>
    <w:rsid w:val="00602998"/>
    <w:rsid w:val="00602EB3"/>
    <w:rsid w:val="00604307"/>
    <w:rsid w:val="0060487F"/>
    <w:rsid w:val="00604EAD"/>
    <w:rsid w:val="0060513F"/>
    <w:rsid w:val="006065E2"/>
    <w:rsid w:val="0060694B"/>
    <w:rsid w:val="00607E1D"/>
    <w:rsid w:val="006104FB"/>
    <w:rsid w:val="006116FF"/>
    <w:rsid w:val="0061176D"/>
    <w:rsid w:val="0061200F"/>
    <w:rsid w:val="00612756"/>
    <w:rsid w:val="00612A2F"/>
    <w:rsid w:val="00612AAE"/>
    <w:rsid w:val="00612B07"/>
    <w:rsid w:val="00612FD9"/>
    <w:rsid w:val="006139E0"/>
    <w:rsid w:val="00614D35"/>
    <w:rsid w:val="006156B4"/>
    <w:rsid w:val="00615DAF"/>
    <w:rsid w:val="00616254"/>
    <w:rsid w:val="0061672A"/>
    <w:rsid w:val="00616E05"/>
    <w:rsid w:val="00617985"/>
    <w:rsid w:val="006204D4"/>
    <w:rsid w:val="00620641"/>
    <w:rsid w:val="00620B77"/>
    <w:rsid w:val="00621190"/>
    <w:rsid w:val="0062131B"/>
    <w:rsid w:val="00621E26"/>
    <w:rsid w:val="006224EA"/>
    <w:rsid w:val="0062263A"/>
    <w:rsid w:val="006227DF"/>
    <w:rsid w:val="006234A0"/>
    <w:rsid w:val="006236C8"/>
    <w:rsid w:val="00624093"/>
    <w:rsid w:val="0062415E"/>
    <w:rsid w:val="00625A84"/>
    <w:rsid w:val="00626079"/>
    <w:rsid w:val="006275B5"/>
    <w:rsid w:val="00631698"/>
    <w:rsid w:val="00631E44"/>
    <w:rsid w:val="00634C57"/>
    <w:rsid w:val="00634CE7"/>
    <w:rsid w:val="006350D5"/>
    <w:rsid w:val="00635EBE"/>
    <w:rsid w:val="0063642C"/>
    <w:rsid w:val="006376B3"/>
    <w:rsid w:val="00637858"/>
    <w:rsid w:val="006404A7"/>
    <w:rsid w:val="00640A38"/>
    <w:rsid w:val="00640E6B"/>
    <w:rsid w:val="00641787"/>
    <w:rsid w:val="0064179B"/>
    <w:rsid w:val="00642338"/>
    <w:rsid w:val="00642489"/>
    <w:rsid w:val="00644055"/>
    <w:rsid w:val="00644137"/>
    <w:rsid w:val="0064478C"/>
    <w:rsid w:val="00644938"/>
    <w:rsid w:val="00645160"/>
    <w:rsid w:val="006451E4"/>
    <w:rsid w:val="0064574B"/>
    <w:rsid w:val="00645B33"/>
    <w:rsid w:val="00650FFC"/>
    <w:rsid w:val="0065153D"/>
    <w:rsid w:val="006516CB"/>
    <w:rsid w:val="00652444"/>
    <w:rsid w:val="00652E30"/>
    <w:rsid w:val="00653BD0"/>
    <w:rsid w:val="00654110"/>
    <w:rsid w:val="00656C5D"/>
    <w:rsid w:val="00656CFB"/>
    <w:rsid w:val="00656D25"/>
    <w:rsid w:val="00657E87"/>
    <w:rsid w:val="00660D2D"/>
    <w:rsid w:val="0066110B"/>
    <w:rsid w:val="00661C41"/>
    <w:rsid w:val="00661EC9"/>
    <w:rsid w:val="00662469"/>
    <w:rsid w:val="0066411C"/>
    <w:rsid w:val="00664205"/>
    <w:rsid w:val="00664647"/>
    <w:rsid w:val="00664803"/>
    <w:rsid w:val="0066502F"/>
    <w:rsid w:val="006653CC"/>
    <w:rsid w:val="00665501"/>
    <w:rsid w:val="00665982"/>
    <w:rsid w:val="00665BA4"/>
    <w:rsid w:val="00666BF3"/>
    <w:rsid w:val="00667748"/>
    <w:rsid w:val="00667856"/>
    <w:rsid w:val="00667AF2"/>
    <w:rsid w:val="00670489"/>
    <w:rsid w:val="006710C9"/>
    <w:rsid w:val="00671D85"/>
    <w:rsid w:val="00672586"/>
    <w:rsid w:val="006727BC"/>
    <w:rsid w:val="006741CD"/>
    <w:rsid w:val="006745DF"/>
    <w:rsid w:val="00674BAC"/>
    <w:rsid w:val="00674D89"/>
    <w:rsid w:val="0067514E"/>
    <w:rsid w:val="00675E37"/>
    <w:rsid w:val="0067635D"/>
    <w:rsid w:val="00676736"/>
    <w:rsid w:val="006769A4"/>
    <w:rsid w:val="006769C6"/>
    <w:rsid w:val="00676D76"/>
    <w:rsid w:val="00676F9F"/>
    <w:rsid w:val="00677519"/>
    <w:rsid w:val="00677591"/>
    <w:rsid w:val="00677594"/>
    <w:rsid w:val="00677FA3"/>
    <w:rsid w:val="0068032F"/>
    <w:rsid w:val="00680D37"/>
    <w:rsid w:val="0068174E"/>
    <w:rsid w:val="00681DCE"/>
    <w:rsid w:val="00682110"/>
    <w:rsid w:val="0068260E"/>
    <w:rsid w:val="006846B3"/>
    <w:rsid w:val="006849F8"/>
    <w:rsid w:val="00684B9B"/>
    <w:rsid w:val="00684D59"/>
    <w:rsid w:val="00684E25"/>
    <w:rsid w:val="006858A4"/>
    <w:rsid w:val="00685C08"/>
    <w:rsid w:val="00685C8C"/>
    <w:rsid w:val="00686718"/>
    <w:rsid w:val="00686BFA"/>
    <w:rsid w:val="00686DED"/>
    <w:rsid w:val="006875A0"/>
    <w:rsid w:val="006878C6"/>
    <w:rsid w:val="00687D27"/>
    <w:rsid w:val="00691943"/>
    <w:rsid w:val="00693550"/>
    <w:rsid w:val="00694622"/>
    <w:rsid w:val="00695065"/>
    <w:rsid w:val="00695BEF"/>
    <w:rsid w:val="00696251"/>
    <w:rsid w:val="006966C7"/>
    <w:rsid w:val="006968C1"/>
    <w:rsid w:val="006977F6"/>
    <w:rsid w:val="00697A13"/>
    <w:rsid w:val="006A0DD4"/>
    <w:rsid w:val="006A109C"/>
    <w:rsid w:val="006A3CAF"/>
    <w:rsid w:val="006A4E91"/>
    <w:rsid w:val="006A5F4B"/>
    <w:rsid w:val="006A6114"/>
    <w:rsid w:val="006A6565"/>
    <w:rsid w:val="006A7665"/>
    <w:rsid w:val="006A7691"/>
    <w:rsid w:val="006A7EE2"/>
    <w:rsid w:val="006B0514"/>
    <w:rsid w:val="006B0F92"/>
    <w:rsid w:val="006B2785"/>
    <w:rsid w:val="006B27C7"/>
    <w:rsid w:val="006B344A"/>
    <w:rsid w:val="006B58C9"/>
    <w:rsid w:val="006B60ED"/>
    <w:rsid w:val="006B6CC5"/>
    <w:rsid w:val="006B74AC"/>
    <w:rsid w:val="006B78D8"/>
    <w:rsid w:val="006B79EA"/>
    <w:rsid w:val="006C0C5D"/>
    <w:rsid w:val="006C113F"/>
    <w:rsid w:val="006C123E"/>
    <w:rsid w:val="006C15A1"/>
    <w:rsid w:val="006C1752"/>
    <w:rsid w:val="006C1DDC"/>
    <w:rsid w:val="006C28CA"/>
    <w:rsid w:val="006C2BBF"/>
    <w:rsid w:val="006C2FBD"/>
    <w:rsid w:val="006C3336"/>
    <w:rsid w:val="006C3495"/>
    <w:rsid w:val="006C4355"/>
    <w:rsid w:val="006C4587"/>
    <w:rsid w:val="006C469D"/>
    <w:rsid w:val="006C46B5"/>
    <w:rsid w:val="006C484F"/>
    <w:rsid w:val="006C52EC"/>
    <w:rsid w:val="006C5506"/>
    <w:rsid w:val="006C56D4"/>
    <w:rsid w:val="006C6681"/>
    <w:rsid w:val="006C683C"/>
    <w:rsid w:val="006C6924"/>
    <w:rsid w:val="006C6C1E"/>
    <w:rsid w:val="006C7076"/>
    <w:rsid w:val="006C7981"/>
    <w:rsid w:val="006C7AEC"/>
    <w:rsid w:val="006C7CA6"/>
    <w:rsid w:val="006D15D3"/>
    <w:rsid w:val="006D18B3"/>
    <w:rsid w:val="006D1E89"/>
    <w:rsid w:val="006D26CE"/>
    <w:rsid w:val="006D317E"/>
    <w:rsid w:val="006D3E8A"/>
    <w:rsid w:val="006D47D9"/>
    <w:rsid w:val="006D61F6"/>
    <w:rsid w:val="006E1081"/>
    <w:rsid w:val="006E1332"/>
    <w:rsid w:val="006E19CB"/>
    <w:rsid w:val="006E279A"/>
    <w:rsid w:val="006E313B"/>
    <w:rsid w:val="006E34B2"/>
    <w:rsid w:val="006E3A45"/>
    <w:rsid w:val="006E4078"/>
    <w:rsid w:val="006E51C4"/>
    <w:rsid w:val="006E53AD"/>
    <w:rsid w:val="006E58CB"/>
    <w:rsid w:val="006E6A93"/>
    <w:rsid w:val="006E7227"/>
    <w:rsid w:val="006E761A"/>
    <w:rsid w:val="006F0646"/>
    <w:rsid w:val="006F0741"/>
    <w:rsid w:val="006F1C27"/>
    <w:rsid w:val="006F2A65"/>
    <w:rsid w:val="006F3DD6"/>
    <w:rsid w:val="006F40DF"/>
    <w:rsid w:val="006F42BB"/>
    <w:rsid w:val="006F438E"/>
    <w:rsid w:val="006F440B"/>
    <w:rsid w:val="006F48A3"/>
    <w:rsid w:val="006F4DA4"/>
    <w:rsid w:val="006F5416"/>
    <w:rsid w:val="006F624B"/>
    <w:rsid w:val="006F6D87"/>
    <w:rsid w:val="006F6FF2"/>
    <w:rsid w:val="006F79FB"/>
    <w:rsid w:val="007008A9"/>
    <w:rsid w:val="00700E8A"/>
    <w:rsid w:val="007018A4"/>
    <w:rsid w:val="0070398A"/>
    <w:rsid w:val="00705242"/>
    <w:rsid w:val="007055E0"/>
    <w:rsid w:val="007056ED"/>
    <w:rsid w:val="00705F4E"/>
    <w:rsid w:val="0070658E"/>
    <w:rsid w:val="007065C5"/>
    <w:rsid w:val="007068E1"/>
    <w:rsid w:val="00706AA0"/>
    <w:rsid w:val="00706AD4"/>
    <w:rsid w:val="00707150"/>
    <w:rsid w:val="007124D7"/>
    <w:rsid w:val="00712C20"/>
    <w:rsid w:val="00713549"/>
    <w:rsid w:val="007140BE"/>
    <w:rsid w:val="007147AB"/>
    <w:rsid w:val="00715502"/>
    <w:rsid w:val="00715D01"/>
    <w:rsid w:val="00715E4D"/>
    <w:rsid w:val="00715F12"/>
    <w:rsid w:val="0071677A"/>
    <w:rsid w:val="00716F48"/>
    <w:rsid w:val="007170FB"/>
    <w:rsid w:val="00717114"/>
    <w:rsid w:val="0071779F"/>
    <w:rsid w:val="007201A6"/>
    <w:rsid w:val="00720310"/>
    <w:rsid w:val="00720D7A"/>
    <w:rsid w:val="007211F5"/>
    <w:rsid w:val="007213C3"/>
    <w:rsid w:val="00721601"/>
    <w:rsid w:val="00722777"/>
    <w:rsid w:val="00723435"/>
    <w:rsid w:val="00723436"/>
    <w:rsid w:val="007240E2"/>
    <w:rsid w:val="0072454C"/>
    <w:rsid w:val="0072583E"/>
    <w:rsid w:val="00725BB5"/>
    <w:rsid w:val="00726255"/>
    <w:rsid w:val="00727C02"/>
    <w:rsid w:val="0073008E"/>
    <w:rsid w:val="00730A8B"/>
    <w:rsid w:val="00730AE8"/>
    <w:rsid w:val="00730F1B"/>
    <w:rsid w:val="0073186D"/>
    <w:rsid w:val="007324A6"/>
    <w:rsid w:val="0073261D"/>
    <w:rsid w:val="0073333D"/>
    <w:rsid w:val="007343D9"/>
    <w:rsid w:val="00734F71"/>
    <w:rsid w:val="00735448"/>
    <w:rsid w:val="00736F07"/>
    <w:rsid w:val="007377BD"/>
    <w:rsid w:val="00737DEC"/>
    <w:rsid w:val="0074004D"/>
    <w:rsid w:val="00741493"/>
    <w:rsid w:val="00741F2A"/>
    <w:rsid w:val="007434E5"/>
    <w:rsid w:val="00743884"/>
    <w:rsid w:val="0074499B"/>
    <w:rsid w:val="007449D6"/>
    <w:rsid w:val="0074501E"/>
    <w:rsid w:val="007450BF"/>
    <w:rsid w:val="0074599A"/>
    <w:rsid w:val="00746EE5"/>
    <w:rsid w:val="00746F45"/>
    <w:rsid w:val="007471A1"/>
    <w:rsid w:val="007477BD"/>
    <w:rsid w:val="007477DA"/>
    <w:rsid w:val="00747EE9"/>
    <w:rsid w:val="007520B6"/>
    <w:rsid w:val="00752180"/>
    <w:rsid w:val="00752323"/>
    <w:rsid w:val="007532B7"/>
    <w:rsid w:val="00753CAB"/>
    <w:rsid w:val="00754A70"/>
    <w:rsid w:val="00754BC9"/>
    <w:rsid w:val="00754FB0"/>
    <w:rsid w:val="00755202"/>
    <w:rsid w:val="00755D3A"/>
    <w:rsid w:val="00757241"/>
    <w:rsid w:val="0075751D"/>
    <w:rsid w:val="0075763E"/>
    <w:rsid w:val="007578D3"/>
    <w:rsid w:val="007602CF"/>
    <w:rsid w:val="00760391"/>
    <w:rsid w:val="007609C6"/>
    <w:rsid w:val="007615F3"/>
    <w:rsid w:val="0076175D"/>
    <w:rsid w:val="00761CB5"/>
    <w:rsid w:val="007629D5"/>
    <w:rsid w:val="007635F8"/>
    <w:rsid w:val="00763A88"/>
    <w:rsid w:val="00763B23"/>
    <w:rsid w:val="00763B85"/>
    <w:rsid w:val="007644A2"/>
    <w:rsid w:val="00764974"/>
    <w:rsid w:val="00764D18"/>
    <w:rsid w:val="0076521E"/>
    <w:rsid w:val="0076579C"/>
    <w:rsid w:val="00765928"/>
    <w:rsid w:val="00765BCC"/>
    <w:rsid w:val="0076600D"/>
    <w:rsid w:val="007661E9"/>
    <w:rsid w:val="00766460"/>
    <w:rsid w:val="00767062"/>
    <w:rsid w:val="00767601"/>
    <w:rsid w:val="00767777"/>
    <w:rsid w:val="00767933"/>
    <w:rsid w:val="00770AB9"/>
    <w:rsid w:val="00770CFC"/>
    <w:rsid w:val="0077130E"/>
    <w:rsid w:val="007715EE"/>
    <w:rsid w:val="00771972"/>
    <w:rsid w:val="00772279"/>
    <w:rsid w:val="00772DAB"/>
    <w:rsid w:val="00772FF9"/>
    <w:rsid w:val="0077348B"/>
    <w:rsid w:val="007743DB"/>
    <w:rsid w:val="00774D2C"/>
    <w:rsid w:val="00775E00"/>
    <w:rsid w:val="0077605B"/>
    <w:rsid w:val="00776169"/>
    <w:rsid w:val="00776527"/>
    <w:rsid w:val="00777040"/>
    <w:rsid w:val="00777CE6"/>
    <w:rsid w:val="00777D57"/>
    <w:rsid w:val="00780BF0"/>
    <w:rsid w:val="00780EF1"/>
    <w:rsid w:val="00781A91"/>
    <w:rsid w:val="00781AD3"/>
    <w:rsid w:val="00781F36"/>
    <w:rsid w:val="00783576"/>
    <w:rsid w:val="00784980"/>
    <w:rsid w:val="007853FD"/>
    <w:rsid w:val="00785778"/>
    <w:rsid w:val="00786C87"/>
    <w:rsid w:val="0078755E"/>
    <w:rsid w:val="007877C9"/>
    <w:rsid w:val="00790764"/>
    <w:rsid w:val="0079085F"/>
    <w:rsid w:val="00790E96"/>
    <w:rsid w:val="00791005"/>
    <w:rsid w:val="00793D78"/>
    <w:rsid w:val="0079420B"/>
    <w:rsid w:val="0079453C"/>
    <w:rsid w:val="00794677"/>
    <w:rsid w:val="00795759"/>
    <w:rsid w:val="007A0B5E"/>
    <w:rsid w:val="007A170B"/>
    <w:rsid w:val="007A20EB"/>
    <w:rsid w:val="007A282C"/>
    <w:rsid w:val="007A293C"/>
    <w:rsid w:val="007A2A3A"/>
    <w:rsid w:val="007A33E2"/>
    <w:rsid w:val="007A3CAF"/>
    <w:rsid w:val="007A4551"/>
    <w:rsid w:val="007A4664"/>
    <w:rsid w:val="007A4782"/>
    <w:rsid w:val="007A516D"/>
    <w:rsid w:val="007A5E65"/>
    <w:rsid w:val="007A65E1"/>
    <w:rsid w:val="007A6A6E"/>
    <w:rsid w:val="007A6AAA"/>
    <w:rsid w:val="007A7033"/>
    <w:rsid w:val="007A775D"/>
    <w:rsid w:val="007B04B0"/>
    <w:rsid w:val="007B0834"/>
    <w:rsid w:val="007B0E83"/>
    <w:rsid w:val="007B11FA"/>
    <w:rsid w:val="007B1396"/>
    <w:rsid w:val="007B16D6"/>
    <w:rsid w:val="007B1D1B"/>
    <w:rsid w:val="007B1E3F"/>
    <w:rsid w:val="007B2011"/>
    <w:rsid w:val="007B2CFE"/>
    <w:rsid w:val="007B309B"/>
    <w:rsid w:val="007B3D5E"/>
    <w:rsid w:val="007B3DCB"/>
    <w:rsid w:val="007B54AE"/>
    <w:rsid w:val="007B5725"/>
    <w:rsid w:val="007B5C1F"/>
    <w:rsid w:val="007B6689"/>
    <w:rsid w:val="007B6747"/>
    <w:rsid w:val="007B6F72"/>
    <w:rsid w:val="007B74AA"/>
    <w:rsid w:val="007C10BD"/>
    <w:rsid w:val="007C162D"/>
    <w:rsid w:val="007C1A03"/>
    <w:rsid w:val="007C1F0C"/>
    <w:rsid w:val="007C1FFB"/>
    <w:rsid w:val="007C2D94"/>
    <w:rsid w:val="007C4A6B"/>
    <w:rsid w:val="007C5F92"/>
    <w:rsid w:val="007C6227"/>
    <w:rsid w:val="007C64F7"/>
    <w:rsid w:val="007C6BBD"/>
    <w:rsid w:val="007C6D89"/>
    <w:rsid w:val="007C6F5E"/>
    <w:rsid w:val="007D0382"/>
    <w:rsid w:val="007D0F6B"/>
    <w:rsid w:val="007D14FE"/>
    <w:rsid w:val="007D1A1F"/>
    <w:rsid w:val="007D213B"/>
    <w:rsid w:val="007D2783"/>
    <w:rsid w:val="007D2E18"/>
    <w:rsid w:val="007D3EF3"/>
    <w:rsid w:val="007D40DF"/>
    <w:rsid w:val="007D42E5"/>
    <w:rsid w:val="007D4458"/>
    <w:rsid w:val="007D6AF9"/>
    <w:rsid w:val="007D7763"/>
    <w:rsid w:val="007D7F4F"/>
    <w:rsid w:val="007E0535"/>
    <w:rsid w:val="007E07F2"/>
    <w:rsid w:val="007E0D4A"/>
    <w:rsid w:val="007E1788"/>
    <w:rsid w:val="007E1EE3"/>
    <w:rsid w:val="007E29B4"/>
    <w:rsid w:val="007E2F12"/>
    <w:rsid w:val="007E3627"/>
    <w:rsid w:val="007E435A"/>
    <w:rsid w:val="007E445C"/>
    <w:rsid w:val="007E49F7"/>
    <w:rsid w:val="007E4C70"/>
    <w:rsid w:val="007E5149"/>
    <w:rsid w:val="007E5B5F"/>
    <w:rsid w:val="007E69C6"/>
    <w:rsid w:val="007E78B6"/>
    <w:rsid w:val="007E7E61"/>
    <w:rsid w:val="007F0845"/>
    <w:rsid w:val="007F0873"/>
    <w:rsid w:val="007F20F3"/>
    <w:rsid w:val="007F2353"/>
    <w:rsid w:val="007F2390"/>
    <w:rsid w:val="007F2CAC"/>
    <w:rsid w:val="007F3CB6"/>
    <w:rsid w:val="007F4740"/>
    <w:rsid w:val="007F595A"/>
    <w:rsid w:val="007F5C38"/>
    <w:rsid w:val="007F708D"/>
    <w:rsid w:val="007F7E3F"/>
    <w:rsid w:val="008006B3"/>
    <w:rsid w:val="00800B63"/>
    <w:rsid w:val="0080158A"/>
    <w:rsid w:val="00801E13"/>
    <w:rsid w:val="00803008"/>
    <w:rsid w:val="00803069"/>
    <w:rsid w:val="0080346B"/>
    <w:rsid w:val="00803E08"/>
    <w:rsid w:val="00804155"/>
    <w:rsid w:val="00804C9F"/>
    <w:rsid w:val="0080559E"/>
    <w:rsid w:val="00805AF3"/>
    <w:rsid w:val="00806C9C"/>
    <w:rsid w:val="008071B1"/>
    <w:rsid w:val="0080734C"/>
    <w:rsid w:val="00807C82"/>
    <w:rsid w:val="008107EE"/>
    <w:rsid w:val="008117CC"/>
    <w:rsid w:val="00811FF8"/>
    <w:rsid w:val="0081249F"/>
    <w:rsid w:val="00813D58"/>
    <w:rsid w:val="00813DCA"/>
    <w:rsid w:val="008161A6"/>
    <w:rsid w:val="008165B8"/>
    <w:rsid w:val="00816905"/>
    <w:rsid w:val="00816D98"/>
    <w:rsid w:val="00816E42"/>
    <w:rsid w:val="00817040"/>
    <w:rsid w:val="00817A17"/>
    <w:rsid w:val="00817EC1"/>
    <w:rsid w:val="0082112D"/>
    <w:rsid w:val="00821624"/>
    <w:rsid w:val="00821FF6"/>
    <w:rsid w:val="00822574"/>
    <w:rsid w:val="00822980"/>
    <w:rsid w:val="00822F08"/>
    <w:rsid w:val="00824BA6"/>
    <w:rsid w:val="00825007"/>
    <w:rsid w:val="00825120"/>
    <w:rsid w:val="00825C4D"/>
    <w:rsid w:val="00826A08"/>
    <w:rsid w:val="00826AC0"/>
    <w:rsid w:val="00826D45"/>
    <w:rsid w:val="00827186"/>
    <w:rsid w:val="00827C8E"/>
    <w:rsid w:val="00830569"/>
    <w:rsid w:val="00830AEA"/>
    <w:rsid w:val="00830E86"/>
    <w:rsid w:val="0083143E"/>
    <w:rsid w:val="008315B8"/>
    <w:rsid w:val="008315D5"/>
    <w:rsid w:val="00831CDE"/>
    <w:rsid w:val="00831F2B"/>
    <w:rsid w:val="008320CF"/>
    <w:rsid w:val="008324A3"/>
    <w:rsid w:val="00832F77"/>
    <w:rsid w:val="00834304"/>
    <w:rsid w:val="008343CE"/>
    <w:rsid w:val="0083471A"/>
    <w:rsid w:val="00834FAA"/>
    <w:rsid w:val="00835495"/>
    <w:rsid w:val="008354FB"/>
    <w:rsid w:val="00835FF1"/>
    <w:rsid w:val="00836086"/>
    <w:rsid w:val="0083630F"/>
    <w:rsid w:val="00836A06"/>
    <w:rsid w:val="008374BC"/>
    <w:rsid w:val="008379D6"/>
    <w:rsid w:val="00837E48"/>
    <w:rsid w:val="00840293"/>
    <w:rsid w:val="008402AD"/>
    <w:rsid w:val="008408D4"/>
    <w:rsid w:val="008417B5"/>
    <w:rsid w:val="00841901"/>
    <w:rsid w:val="008458BD"/>
    <w:rsid w:val="00846121"/>
    <w:rsid w:val="008461C2"/>
    <w:rsid w:val="008462F1"/>
    <w:rsid w:val="008466C6"/>
    <w:rsid w:val="0084708F"/>
    <w:rsid w:val="008477C8"/>
    <w:rsid w:val="008478A6"/>
    <w:rsid w:val="008502F6"/>
    <w:rsid w:val="0085036C"/>
    <w:rsid w:val="00850E83"/>
    <w:rsid w:val="0085114D"/>
    <w:rsid w:val="00851163"/>
    <w:rsid w:val="008520A8"/>
    <w:rsid w:val="00852217"/>
    <w:rsid w:val="00853282"/>
    <w:rsid w:val="0085334C"/>
    <w:rsid w:val="00854291"/>
    <w:rsid w:val="00855408"/>
    <w:rsid w:val="00855D03"/>
    <w:rsid w:val="00856AA1"/>
    <w:rsid w:val="00856D65"/>
    <w:rsid w:val="00856FA4"/>
    <w:rsid w:val="00860D79"/>
    <w:rsid w:val="00861B41"/>
    <w:rsid w:val="00861B9F"/>
    <w:rsid w:val="00861BE3"/>
    <w:rsid w:val="00861EB6"/>
    <w:rsid w:val="008625D3"/>
    <w:rsid w:val="00862C0A"/>
    <w:rsid w:val="00863434"/>
    <w:rsid w:val="0086344F"/>
    <w:rsid w:val="008641AC"/>
    <w:rsid w:val="00865E4C"/>
    <w:rsid w:val="00866074"/>
    <w:rsid w:val="00867546"/>
    <w:rsid w:val="0086796D"/>
    <w:rsid w:val="00867DAB"/>
    <w:rsid w:val="0087000B"/>
    <w:rsid w:val="008701E4"/>
    <w:rsid w:val="008704E9"/>
    <w:rsid w:val="008705FB"/>
    <w:rsid w:val="00870ECD"/>
    <w:rsid w:val="0087347C"/>
    <w:rsid w:val="008734E7"/>
    <w:rsid w:val="0087368D"/>
    <w:rsid w:val="008740CC"/>
    <w:rsid w:val="0087442A"/>
    <w:rsid w:val="00874578"/>
    <w:rsid w:val="00874FE8"/>
    <w:rsid w:val="00875A32"/>
    <w:rsid w:val="00875CC1"/>
    <w:rsid w:val="00876086"/>
    <w:rsid w:val="00876651"/>
    <w:rsid w:val="00876E83"/>
    <w:rsid w:val="0087722C"/>
    <w:rsid w:val="008772BC"/>
    <w:rsid w:val="00880A0E"/>
    <w:rsid w:val="008817FE"/>
    <w:rsid w:val="00881CD7"/>
    <w:rsid w:val="00882911"/>
    <w:rsid w:val="00882F6E"/>
    <w:rsid w:val="00883202"/>
    <w:rsid w:val="00884E02"/>
    <w:rsid w:val="0088502B"/>
    <w:rsid w:val="00885D40"/>
    <w:rsid w:val="008873D4"/>
    <w:rsid w:val="008902A5"/>
    <w:rsid w:val="00890CB1"/>
    <w:rsid w:val="00891EDF"/>
    <w:rsid w:val="00892872"/>
    <w:rsid w:val="0089296D"/>
    <w:rsid w:val="00893E85"/>
    <w:rsid w:val="00893EBE"/>
    <w:rsid w:val="00894031"/>
    <w:rsid w:val="00894C5D"/>
    <w:rsid w:val="00895508"/>
    <w:rsid w:val="00895797"/>
    <w:rsid w:val="008967E9"/>
    <w:rsid w:val="00896A5C"/>
    <w:rsid w:val="00897155"/>
    <w:rsid w:val="008972D2"/>
    <w:rsid w:val="0089754C"/>
    <w:rsid w:val="00897CFA"/>
    <w:rsid w:val="008A0659"/>
    <w:rsid w:val="008A0ADD"/>
    <w:rsid w:val="008A0D27"/>
    <w:rsid w:val="008A1C59"/>
    <w:rsid w:val="008A2254"/>
    <w:rsid w:val="008A37E2"/>
    <w:rsid w:val="008A388E"/>
    <w:rsid w:val="008A394E"/>
    <w:rsid w:val="008A3CBA"/>
    <w:rsid w:val="008A4B59"/>
    <w:rsid w:val="008A63E1"/>
    <w:rsid w:val="008A66B7"/>
    <w:rsid w:val="008A68BB"/>
    <w:rsid w:val="008A6AA5"/>
    <w:rsid w:val="008A7127"/>
    <w:rsid w:val="008B02E7"/>
    <w:rsid w:val="008B0CBA"/>
    <w:rsid w:val="008B1850"/>
    <w:rsid w:val="008B2639"/>
    <w:rsid w:val="008B3537"/>
    <w:rsid w:val="008B35C1"/>
    <w:rsid w:val="008B3690"/>
    <w:rsid w:val="008B3A80"/>
    <w:rsid w:val="008B3AEC"/>
    <w:rsid w:val="008B3C07"/>
    <w:rsid w:val="008B3C6E"/>
    <w:rsid w:val="008B3F7B"/>
    <w:rsid w:val="008B43CA"/>
    <w:rsid w:val="008B5324"/>
    <w:rsid w:val="008B5C99"/>
    <w:rsid w:val="008B6106"/>
    <w:rsid w:val="008B7C02"/>
    <w:rsid w:val="008B7D2B"/>
    <w:rsid w:val="008B7EF9"/>
    <w:rsid w:val="008C0049"/>
    <w:rsid w:val="008C025A"/>
    <w:rsid w:val="008C0314"/>
    <w:rsid w:val="008C0E88"/>
    <w:rsid w:val="008C0EBE"/>
    <w:rsid w:val="008C1717"/>
    <w:rsid w:val="008C17F0"/>
    <w:rsid w:val="008C3A32"/>
    <w:rsid w:val="008C3B05"/>
    <w:rsid w:val="008C4B50"/>
    <w:rsid w:val="008C5A37"/>
    <w:rsid w:val="008C7569"/>
    <w:rsid w:val="008C79C3"/>
    <w:rsid w:val="008D006F"/>
    <w:rsid w:val="008D033D"/>
    <w:rsid w:val="008D06A2"/>
    <w:rsid w:val="008D0DBD"/>
    <w:rsid w:val="008D117E"/>
    <w:rsid w:val="008D127E"/>
    <w:rsid w:val="008D1CA8"/>
    <w:rsid w:val="008D1E0A"/>
    <w:rsid w:val="008D1E6A"/>
    <w:rsid w:val="008D2407"/>
    <w:rsid w:val="008D2A16"/>
    <w:rsid w:val="008D2AEC"/>
    <w:rsid w:val="008D3295"/>
    <w:rsid w:val="008D33F5"/>
    <w:rsid w:val="008D35E4"/>
    <w:rsid w:val="008D3ACD"/>
    <w:rsid w:val="008D3D21"/>
    <w:rsid w:val="008D6C3A"/>
    <w:rsid w:val="008D70E2"/>
    <w:rsid w:val="008D7F47"/>
    <w:rsid w:val="008E0001"/>
    <w:rsid w:val="008E039E"/>
    <w:rsid w:val="008E292B"/>
    <w:rsid w:val="008E2C57"/>
    <w:rsid w:val="008E31FF"/>
    <w:rsid w:val="008E3287"/>
    <w:rsid w:val="008E38E4"/>
    <w:rsid w:val="008E3DFA"/>
    <w:rsid w:val="008E419B"/>
    <w:rsid w:val="008E51EB"/>
    <w:rsid w:val="008E5746"/>
    <w:rsid w:val="008E64D7"/>
    <w:rsid w:val="008E6DCB"/>
    <w:rsid w:val="008E6E5D"/>
    <w:rsid w:val="008E6F06"/>
    <w:rsid w:val="008E7000"/>
    <w:rsid w:val="008E723E"/>
    <w:rsid w:val="008E7B8E"/>
    <w:rsid w:val="008E7FC9"/>
    <w:rsid w:val="008F0107"/>
    <w:rsid w:val="008F029B"/>
    <w:rsid w:val="008F0589"/>
    <w:rsid w:val="008F130B"/>
    <w:rsid w:val="008F2A5D"/>
    <w:rsid w:val="008F2BC7"/>
    <w:rsid w:val="008F2E83"/>
    <w:rsid w:val="008F3636"/>
    <w:rsid w:val="008F3FC9"/>
    <w:rsid w:val="008F418F"/>
    <w:rsid w:val="008F509F"/>
    <w:rsid w:val="008F525A"/>
    <w:rsid w:val="008F5383"/>
    <w:rsid w:val="008F585B"/>
    <w:rsid w:val="008F7FB0"/>
    <w:rsid w:val="009003A8"/>
    <w:rsid w:val="009005E4"/>
    <w:rsid w:val="00900977"/>
    <w:rsid w:val="009021DA"/>
    <w:rsid w:val="00902500"/>
    <w:rsid w:val="00902EFF"/>
    <w:rsid w:val="00903A8E"/>
    <w:rsid w:val="0090432C"/>
    <w:rsid w:val="00904F96"/>
    <w:rsid w:val="009052A3"/>
    <w:rsid w:val="00905314"/>
    <w:rsid w:val="009056D7"/>
    <w:rsid w:val="00905B8D"/>
    <w:rsid w:val="00906401"/>
    <w:rsid w:val="009065CB"/>
    <w:rsid w:val="009067EA"/>
    <w:rsid w:val="00906B79"/>
    <w:rsid w:val="0090786F"/>
    <w:rsid w:val="0091001E"/>
    <w:rsid w:val="00910C18"/>
    <w:rsid w:val="009110F7"/>
    <w:rsid w:val="009112E3"/>
    <w:rsid w:val="0091155E"/>
    <w:rsid w:val="00912437"/>
    <w:rsid w:val="00912A92"/>
    <w:rsid w:val="00913237"/>
    <w:rsid w:val="00913B36"/>
    <w:rsid w:val="0091476D"/>
    <w:rsid w:val="00915D07"/>
    <w:rsid w:val="009162AE"/>
    <w:rsid w:val="00917154"/>
    <w:rsid w:val="00917251"/>
    <w:rsid w:val="0091728D"/>
    <w:rsid w:val="0092036B"/>
    <w:rsid w:val="009203CC"/>
    <w:rsid w:val="00920EC4"/>
    <w:rsid w:val="0092180B"/>
    <w:rsid w:val="00921F14"/>
    <w:rsid w:val="0092292F"/>
    <w:rsid w:val="00922D28"/>
    <w:rsid w:val="00923CB0"/>
    <w:rsid w:val="00923D8C"/>
    <w:rsid w:val="00924871"/>
    <w:rsid w:val="00924AC8"/>
    <w:rsid w:val="00925429"/>
    <w:rsid w:val="00925615"/>
    <w:rsid w:val="0092597A"/>
    <w:rsid w:val="00926520"/>
    <w:rsid w:val="00926CF0"/>
    <w:rsid w:val="009273A9"/>
    <w:rsid w:val="00930251"/>
    <w:rsid w:val="0093033E"/>
    <w:rsid w:val="009305FC"/>
    <w:rsid w:val="00930FB1"/>
    <w:rsid w:val="0093139F"/>
    <w:rsid w:val="00932239"/>
    <w:rsid w:val="00932443"/>
    <w:rsid w:val="00932B32"/>
    <w:rsid w:val="0093305E"/>
    <w:rsid w:val="00933F4A"/>
    <w:rsid w:val="009341F1"/>
    <w:rsid w:val="00934FF2"/>
    <w:rsid w:val="009358D7"/>
    <w:rsid w:val="00935BD4"/>
    <w:rsid w:val="00935DFE"/>
    <w:rsid w:val="00935F70"/>
    <w:rsid w:val="009360FA"/>
    <w:rsid w:val="0093648B"/>
    <w:rsid w:val="00937017"/>
    <w:rsid w:val="009373B2"/>
    <w:rsid w:val="00937AE2"/>
    <w:rsid w:val="0094061F"/>
    <w:rsid w:val="00940F0F"/>
    <w:rsid w:val="00941912"/>
    <w:rsid w:val="0094416B"/>
    <w:rsid w:val="0094427A"/>
    <w:rsid w:val="009449C6"/>
    <w:rsid w:val="00944C7C"/>
    <w:rsid w:val="00945245"/>
    <w:rsid w:val="00945523"/>
    <w:rsid w:val="00946C43"/>
    <w:rsid w:val="00950921"/>
    <w:rsid w:val="00951D68"/>
    <w:rsid w:val="00951E5B"/>
    <w:rsid w:val="00952050"/>
    <w:rsid w:val="00952315"/>
    <w:rsid w:val="009523D9"/>
    <w:rsid w:val="00952B7B"/>
    <w:rsid w:val="0095357B"/>
    <w:rsid w:val="009538B3"/>
    <w:rsid w:val="00954F39"/>
    <w:rsid w:val="009555FD"/>
    <w:rsid w:val="00955BAD"/>
    <w:rsid w:val="0095664B"/>
    <w:rsid w:val="009568DC"/>
    <w:rsid w:val="00956B8B"/>
    <w:rsid w:val="00957140"/>
    <w:rsid w:val="00957445"/>
    <w:rsid w:val="0095759C"/>
    <w:rsid w:val="009618EE"/>
    <w:rsid w:val="00961DDD"/>
    <w:rsid w:val="009624D2"/>
    <w:rsid w:val="009628D9"/>
    <w:rsid w:val="009637AE"/>
    <w:rsid w:val="00963A06"/>
    <w:rsid w:val="00964068"/>
    <w:rsid w:val="009640F6"/>
    <w:rsid w:val="0096469D"/>
    <w:rsid w:val="00964776"/>
    <w:rsid w:val="00964A4E"/>
    <w:rsid w:val="00964B35"/>
    <w:rsid w:val="009651C7"/>
    <w:rsid w:val="00965797"/>
    <w:rsid w:val="00965A10"/>
    <w:rsid w:val="00965AD0"/>
    <w:rsid w:val="009670A3"/>
    <w:rsid w:val="009674BE"/>
    <w:rsid w:val="00970FB5"/>
    <w:rsid w:val="00971710"/>
    <w:rsid w:val="00971B87"/>
    <w:rsid w:val="00971C77"/>
    <w:rsid w:val="0097203A"/>
    <w:rsid w:val="00972FCD"/>
    <w:rsid w:val="00973324"/>
    <w:rsid w:val="009736DF"/>
    <w:rsid w:val="009741AE"/>
    <w:rsid w:val="009741FC"/>
    <w:rsid w:val="00974782"/>
    <w:rsid w:val="00974923"/>
    <w:rsid w:val="00975909"/>
    <w:rsid w:val="00977C33"/>
    <w:rsid w:val="00977C3D"/>
    <w:rsid w:val="00980D3D"/>
    <w:rsid w:val="0098103E"/>
    <w:rsid w:val="0098157D"/>
    <w:rsid w:val="00983101"/>
    <w:rsid w:val="00983E41"/>
    <w:rsid w:val="009845E1"/>
    <w:rsid w:val="00984CE5"/>
    <w:rsid w:val="00984D1B"/>
    <w:rsid w:val="00986246"/>
    <w:rsid w:val="00987A30"/>
    <w:rsid w:val="00990312"/>
    <w:rsid w:val="009908AF"/>
    <w:rsid w:val="0099182E"/>
    <w:rsid w:val="00991D45"/>
    <w:rsid w:val="00992B49"/>
    <w:rsid w:val="00992BB3"/>
    <w:rsid w:val="00992CF3"/>
    <w:rsid w:val="00993194"/>
    <w:rsid w:val="0099321E"/>
    <w:rsid w:val="00993ECA"/>
    <w:rsid w:val="00994171"/>
    <w:rsid w:val="00994868"/>
    <w:rsid w:val="00994976"/>
    <w:rsid w:val="00994D28"/>
    <w:rsid w:val="00994F2C"/>
    <w:rsid w:val="00995720"/>
    <w:rsid w:val="009957CC"/>
    <w:rsid w:val="009968D6"/>
    <w:rsid w:val="00997953"/>
    <w:rsid w:val="00997D55"/>
    <w:rsid w:val="009A0BFF"/>
    <w:rsid w:val="009A10A0"/>
    <w:rsid w:val="009A12B7"/>
    <w:rsid w:val="009A1CAB"/>
    <w:rsid w:val="009A2359"/>
    <w:rsid w:val="009A24F1"/>
    <w:rsid w:val="009A27E0"/>
    <w:rsid w:val="009A4D57"/>
    <w:rsid w:val="009A51A5"/>
    <w:rsid w:val="009A5309"/>
    <w:rsid w:val="009A5759"/>
    <w:rsid w:val="009A60D1"/>
    <w:rsid w:val="009A6225"/>
    <w:rsid w:val="009A64F5"/>
    <w:rsid w:val="009B00D2"/>
    <w:rsid w:val="009B05B3"/>
    <w:rsid w:val="009B07C8"/>
    <w:rsid w:val="009B0CAF"/>
    <w:rsid w:val="009B1324"/>
    <w:rsid w:val="009B2558"/>
    <w:rsid w:val="009B284F"/>
    <w:rsid w:val="009B3764"/>
    <w:rsid w:val="009B3840"/>
    <w:rsid w:val="009B52AC"/>
    <w:rsid w:val="009B553D"/>
    <w:rsid w:val="009B59EA"/>
    <w:rsid w:val="009B5B6E"/>
    <w:rsid w:val="009B66CE"/>
    <w:rsid w:val="009B6FD3"/>
    <w:rsid w:val="009B72BE"/>
    <w:rsid w:val="009B78A4"/>
    <w:rsid w:val="009B7DB2"/>
    <w:rsid w:val="009C03DB"/>
    <w:rsid w:val="009C15AF"/>
    <w:rsid w:val="009C1750"/>
    <w:rsid w:val="009C2E29"/>
    <w:rsid w:val="009C3E8F"/>
    <w:rsid w:val="009C554B"/>
    <w:rsid w:val="009C5E83"/>
    <w:rsid w:val="009C66F8"/>
    <w:rsid w:val="009C7126"/>
    <w:rsid w:val="009C719E"/>
    <w:rsid w:val="009C7799"/>
    <w:rsid w:val="009D07A9"/>
    <w:rsid w:val="009D0AE2"/>
    <w:rsid w:val="009D0D9F"/>
    <w:rsid w:val="009D0EBB"/>
    <w:rsid w:val="009D2C46"/>
    <w:rsid w:val="009D3ACD"/>
    <w:rsid w:val="009D4254"/>
    <w:rsid w:val="009D4F21"/>
    <w:rsid w:val="009D587D"/>
    <w:rsid w:val="009D6EA6"/>
    <w:rsid w:val="009D7731"/>
    <w:rsid w:val="009D78C3"/>
    <w:rsid w:val="009E1120"/>
    <w:rsid w:val="009E1393"/>
    <w:rsid w:val="009E1922"/>
    <w:rsid w:val="009E1A3D"/>
    <w:rsid w:val="009E4715"/>
    <w:rsid w:val="009E4A58"/>
    <w:rsid w:val="009E5273"/>
    <w:rsid w:val="009E57A8"/>
    <w:rsid w:val="009E5B85"/>
    <w:rsid w:val="009E5DDB"/>
    <w:rsid w:val="009F032E"/>
    <w:rsid w:val="009F1CA6"/>
    <w:rsid w:val="009F2921"/>
    <w:rsid w:val="009F3063"/>
    <w:rsid w:val="009F42CF"/>
    <w:rsid w:val="009F4982"/>
    <w:rsid w:val="009F4CA7"/>
    <w:rsid w:val="009F4F6A"/>
    <w:rsid w:val="009F55BA"/>
    <w:rsid w:val="009F7D36"/>
    <w:rsid w:val="009F7D61"/>
    <w:rsid w:val="00A00470"/>
    <w:rsid w:val="00A00E71"/>
    <w:rsid w:val="00A0187B"/>
    <w:rsid w:val="00A02E8B"/>
    <w:rsid w:val="00A0306F"/>
    <w:rsid w:val="00A03511"/>
    <w:rsid w:val="00A03B10"/>
    <w:rsid w:val="00A03E2E"/>
    <w:rsid w:val="00A04616"/>
    <w:rsid w:val="00A04717"/>
    <w:rsid w:val="00A05D8F"/>
    <w:rsid w:val="00A05EB1"/>
    <w:rsid w:val="00A05EE4"/>
    <w:rsid w:val="00A06F99"/>
    <w:rsid w:val="00A1053B"/>
    <w:rsid w:val="00A10D66"/>
    <w:rsid w:val="00A113A4"/>
    <w:rsid w:val="00A12A8E"/>
    <w:rsid w:val="00A133F9"/>
    <w:rsid w:val="00A14114"/>
    <w:rsid w:val="00A16413"/>
    <w:rsid w:val="00A16545"/>
    <w:rsid w:val="00A16A1A"/>
    <w:rsid w:val="00A16A9F"/>
    <w:rsid w:val="00A16AED"/>
    <w:rsid w:val="00A16BD3"/>
    <w:rsid w:val="00A16C37"/>
    <w:rsid w:val="00A16E1D"/>
    <w:rsid w:val="00A171D5"/>
    <w:rsid w:val="00A17A15"/>
    <w:rsid w:val="00A17A37"/>
    <w:rsid w:val="00A17D5B"/>
    <w:rsid w:val="00A2016A"/>
    <w:rsid w:val="00A201E1"/>
    <w:rsid w:val="00A2028B"/>
    <w:rsid w:val="00A20FE1"/>
    <w:rsid w:val="00A2102F"/>
    <w:rsid w:val="00A21B4D"/>
    <w:rsid w:val="00A22073"/>
    <w:rsid w:val="00A223E0"/>
    <w:rsid w:val="00A22959"/>
    <w:rsid w:val="00A23158"/>
    <w:rsid w:val="00A232D7"/>
    <w:rsid w:val="00A23847"/>
    <w:rsid w:val="00A23E43"/>
    <w:rsid w:val="00A24726"/>
    <w:rsid w:val="00A24DEB"/>
    <w:rsid w:val="00A24ED9"/>
    <w:rsid w:val="00A251DB"/>
    <w:rsid w:val="00A25216"/>
    <w:rsid w:val="00A2597D"/>
    <w:rsid w:val="00A25FC3"/>
    <w:rsid w:val="00A2628E"/>
    <w:rsid w:val="00A266BF"/>
    <w:rsid w:val="00A26777"/>
    <w:rsid w:val="00A269AB"/>
    <w:rsid w:val="00A2731E"/>
    <w:rsid w:val="00A309AC"/>
    <w:rsid w:val="00A30EA4"/>
    <w:rsid w:val="00A30F65"/>
    <w:rsid w:val="00A315D0"/>
    <w:rsid w:val="00A3279E"/>
    <w:rsid w:val="00A33DB1"/>
    <w:rsid w:val="00A33EEB"/>
    <w:rsid w:val="00A351C8"/>
    <w:rsid w:val="00A35900"/>
    <w:rsid w:val="00A35F33"/>
    <w:rsid w:val="00A401A3"/>
    <w:rsid w:val="00A40EAC"/>
    <w:rsid w:val="00A418BC"/>
    <w:rsid w:val="00A419FF"/>
    <w:rsid w:val="00A41FCF"/>
    <w:rsid w:val="00A42936"/>
    <w:rsid w:val="00A43CF8"/>
    <w:rsid w:val="00A43DF2"/>
    <w:rsid w:val="00A445A8"/>
    <w:rsid w:val="00A44B0D"/>
    <w:rsid w:val="00A44D21"/>
    <w:rsid w:val="00A45087"/>
    <w:rsid w:val="00A45489"/>
    <w:rsid w:val="00A45858"/>
    <w:rsid w:val="00A45CED"/>
    <w:rsid w:val="00A465E9"/>
    <w:rsid w:val="00A468E7"/>
    <w:rsid w:val="00A46DE0"/>
    <w:rsid w:val="00A47240"/>
    <w:rsid w:val="00A478BA"/>
    <w:rsid w:val="00A50D73"/>
    <w:rsid w:val="00A518BB"/>
    <w:rsid w:val="00A52A88"/>
    <w:rsid w:val="00A52CAD"/>
    <w:rsid w:val="00A53340"/>
    <w:rsid w:val="00A53FC7"/>
    <w:rsid w:val="00A55569"/>
    <w:rsid w:val="00A55C36"/>
    <w:rsid w:val="00A5661B"/>
    <w:rsid w:val="00A566A0"/>
    <w:rsid w:val="00A601E7"/>
    <w:rsid w:val="00A60AC1"/>
    <w:rsid w:val="00A62162"/>
    <w:rsid w:val="00A626FF"/>
    <w:rsid w:val="00A62CE1"/>
    <w:rsid w:val="00A65469"/>
    <w:rsid w:val="00A65528"/>
    <w:rsid w:val="00A655D3"/>
    <w:rsid w:val="00A662D9"/>
    <w:rsid w:val="00A6630C"/>
    <w:rsid w:val="00A6741E"/>
    <w:rsid w:val="00A67E29"/>
    <w:rsid w:val="00A7016A"/>
    <w:rsid w:val="00A7018D"/>
    <w:rsid w:val="00A7191D"/>
    <w:rsid w:val="00A722F9"/>
    <w:rsid w:val="00A72D42"/>
    <w:rsid w:val="00A746C9"/>
    <w:rsid w:val="00A74C2A"/>
    <w:rsid w:val="00A75E40"/>
    <w:rsid w:val="00A76818"/>
    <w:rsid w:val="00A77D1D"/>
    <w:rsid w:val="00A77E6B"/>
    <w:rsid w:val="00A809AD"/>
    <w:rsid w:val="00A81652"/>
    <w:rsid w:val="00A82BF0"/>
    <w:rsid w:val="00A82C91"/>
    <w:rsid w:val="00A83150"/>
    <w:rsid w:val="00A83398"/>
    <w:rsid w:val="00A83D6E"/>
    <w:rsid w:val="00A83FD5"/>
    <w:rsid w:val="00A8521A"/>
    <w:rsid w:val="00A857C0"/>
    <w:rsid w:val="00A85ACB"/>
    <w:rsid w:val="00A9036F"/>
    <w:rsid w:val="00A9092B"/>
    <w:rsid w:val="00A90F2C"/>
    <w:rsid w:val="00A90FED"/>
    <w:rsid w:val="00A91482"/>
    <w:rsid w:val="00A9189D"/>
    <w:rsid w:val="00A91E71"/>
    <w:rsid w:val="00A91EAD"/>
    <w:rsid w:val="00A925B1"/>
    <w:rsid w:val="00A92A3E"/>
    <w:rsid w:val="00A934F9"/>
    <w:rsid w:val="00A940E3"/>
    <w:rsid w:val="00A94983"/>
    <w:rsid w:val="00A9532C"/>
    <w:rsid w:val="00A95F1A"/>
    <w:rsid w:val="00A96116"/>
    <w:rsid w:val="00A9614E"/>
    <w:rsid w:val="00A96422"/>
    <w:rsid w:val="00A96C0F"/>
    <w:rsid w:val="00A97075"/>
    <w:rsid w:val="00AA0E80"/>
    <w:rsid w:val="00AA16F4"/>
    <w:rsid w:val="00AA17CD"/>
    <w:rsid w:val="00AA1D85"/>
    <w:rsid w:val="00AA212B"/>
    <w:rsid w:val="00AA212F"/>
    <w:rsid w:val="00AA26A9"/>
    <w:rsid w:val="00AA2996"/>
    <w:rsid w:val="00AA2AF4"/>
    <w:rsid w:val="00AA4282"/>
    <w:rsid w:val="00AA43F2"/>
    <w:rsid w:val="00AA4790"/>
    <w:rsid w:val="00AA49E1"/>
    <w:rsid w:val="00AA52BF"/>
    <w:rsid w:val="00AA559A"/>
    <w:rsid w:val="00AA6C31"/>
    <w:rsid w:val="00AA7752"/>
    <w:rsid w:val="00AA7CE8"/>
    <w:rsid w:val="00AB1457"/>
    <w:rsid w:val="00AB2AF1"/>
    <w:rsid w:val="00AB32CB"/>
    <w:rsid w:val="00AB3AD7"/>
    <w:rsid w:val="00AB3BA7"/>
    <w:rsid w:val="00AB3EC7"/>
    <w:rsid w:val="00AB5A64"/>
    <w:rsid w:val="00AB5CA1"/>
    <w:rsid w:val="00AB6456"/>
    <w:rsid w:val="00AB75C5"/>
    <w:rsid w:val="00AC044E"/>
    <w:rsid w:val="00AC2118"/>
    <w:rsid w:val="00AC2395"/>
    <w:rsid w:val="00AC2960"/>
    <w:rsid w:val="00AC2AC4"/>
    <w:rsid w:val="00AC4284"/>
    <w:rsid w:val="00AC45BD"/>
    <w:rsid w:val="00AC50BB"/>
    <w:rsid w:val="00AC5256"/>
    <w:rsid w:val="00AC78F1"/>
    <w:rsid w:val="00AC7B96"/>
    <w:rsid w:val="00AD0B22"/>
    <w:rsid w:val="00AD0EE7"/>
    <w:rsid w:val="00AD168E"/>
    <w:rsid w:val="00AD306C"/>
    <w:rsid w:val="00AD44CD"/>
    <w:rsid w:val="00AD47A7"/>
    <w:rsid w:val="00AD5AD2"/>
    <w:rsid w:val="00AD6462"/>
    <w:rsid w:val="00AD66C5"/>
    <w:rsid w:val="00AD68C4"/>
    <w:rsid w:val="00AD71F9"/>
    <w:rsid w:val="00AE09B3"/>
    <w:rsid w:val="00AE1A83"/>
    <w:rsid w:val="00AE2A78"/>
    <w:rsid w:val="00AE30BE"/>
    <w:rsid w:val="00AE3E6A"/>
    <w:rsid w:val="00AE417E"/>
    <w:rsid w:val="00AE56EE"/>
    <w:rsid w:val="00AE6414"/>
    <w:rsid w:val="00AE7269"/>
    <w:rsid w:val="00AE797C"/>
    <w:rsid w:val="00AE7CE7"/>
    <w:rsid w:val="00AE7FAB"/>
    <w:rsid w:val="00AF0DE4"/>
    <w:rsid w:val="00AF12A0"/>
    <w:rsid w:val="00AF1E87"/>
    <w:rsid w:val="00AF422A"/>
    <w:rsid w:val="00AF436B"/>
    <w:rsid w:val="00AF5179"/>
    <w:rsid w:val="00AF5CC2"/>
    <w:rsid w:val="00AF660D"/>
    <w:rsid w:val="00AF6776"/>
    <w:rsid w:val="00AF6F98"/>
    <w:rsid w:val="00AF7277"/>
    <w:rsid w:val="00B00550"/>
    <w:rsid w:val="00B00913"/>
    <w:rsid w:val="00B00D4D"/>
    <w:rsid w:val="00B01593"/>
    <w:rsid w:val="00B01D0F"/>
    <w:rsid w:val="00B01FF9"/>
    <w:rsid w:val="00B023F2"/>
    <w:rsid w:val="00B026FE"/>
    <w:rsid w:val="00B0271F"/>
    <w:rsid w:val="00B038CA"/>
    <w:rsid w:val="00B05F00"/>
    <w:rsid w:val="00B06DB4"/>
    <w:rsid w:val="00B0750D"/>
    <w:rsid w:val="00B07850"/>
    <w:rsid w:val="00B0799C"/>
    <w:rsid w:val="00B102CE"/>
    <w:rsid w:val="00B10A4D"/>
    <w:rsid w:val="00B10C90"/>
    <w:rsid w:val="00B11002"/>
    <w:rsid w:val="00B1114F"/>
    <w:rsid w:val="00B121B2"/>
    <w:rsid w:val="00B131B1"/>
    <w:rsid w:val="00B141B6"/>
    <w:rsid w:val="00B14BC1"/>
    <w:rsid w:val="00B154DE"/>
    <w:rsid w:val="00B162C3"/>
    <w:rsid w:val="00B16DD1"/>
    <w:rsid w:val="00B16EB8"/>
    <w:rsid w:val="00B1700A"/>
    <w:rsid w:val="00B17E71"/>
    <w:rsid w:val="00B17FDE"/>
    <w:rsid w:val="00B20632"/>
    <w:rsid w:val="00B2379C"/>
    <w:rsid w:val="00B23D5D"/>
    <w:rsid w:val="00B23E6E"/>
    <w:rsid w:val="00B2450C"/>
    <w:rsid w:val="00B2687D"/>
    <w:rsid w:val="00B27EC6"/>
    <w:rsid w:val="00B3108D"/>
    <w:rsid w:val="00B32DDB"/>
    <w:rsid w:val="00B32F57"/>
    <w:rsid w:val="00B3345C"/>
    <w:rsid w:val="00B343C4"/>
    <w:rsid w:val="00B34528"/>
    <w:rsid w:val="00B34750"/>
    <w:rsid w:val="00B34CC9"/>
    <w:rsid w:val="00B34CDA"/>
    <w:rsid w:val="00B35160"/>
    <w:rsid w:val="00B3563B"/>
    <w:rsid w:val="00B36BDC"/>
    <w:rsid w:val="00B37D3A"/>
    <w:rsid w:val="00B37D96"/>
    <w:rsid w:val="00B402FC"/>
    <w:rsid w:val="00B422E2"/>
    <w:rsid w:val="00B42517"/>
    <w:rsid w:val="00B42902"/>
    <w:rsid w:val="00B42D5F"/>
    <w:rsid w:val="00B43216"/>
    <w:rsid w:val="00B439DA"/>
    <w:rsid w:val="00B4411A"/>
    <w:rsid w:val="00B45FE8"/>
    <w:rsid w:val="00B46604"/>
    <w:rsid w:val="00B47089"/>
    <w:rsid w:val="00B47587"/>
    <w:rsid w:val="00B5150A"/>
    <w:rsid w:val="00B52151"/>
    <w:rsid w:val="00B530CD"/>
    <w:rsid w:val="00B53639"/>
    <w:rsid w:val="00B53C7D"/>
    <w:rsid w:val="00B53E56"/>
    <w:rsid w:val="00B55311"/>
    <w:rsid w:val="00B55A97"/>
    <w:rsid w:val="00B55F5E"/>
    <w:rsid w:val="00B5601B"/>
    <w:rsid w:val="00B5642C"/>
    <w:rsid w:val="00B5658D"/>
    <w:rsid w:val="00B56B6F"/>
    <w:rsid w:val="00B5752E"/>
    <w:rsid w:val="00B60AC1"/>
    <w:rsid w:val="00B61FF6"/>
    <w:rsid w:val="00B62316"/>
    <w:rsid w:val="00B6274C"/>
    <w:rsid w:val="00B63A11"/>
    <w:rsid w:val="00B64425"/>
    <w:rsid w:val="00B64C24"/>
    <w:rsid w:val="00B64E72"/>
    <w:rsid w:val="00B65CEF"/>
    <w:rsid w:val="00B6608F"/>
    <w:rsid w:val="00B674C7"/>
    <w:rsid w:val="00B67749"/>
    <w:rsid w:val="00B679FB"/>
    <w:rsid w:val="00B71FBF"/>
    <w:rsid w:val="00B734A0"/>
    <w:rsid w:val="00B73A14"/>
    <w:rsid w:val="00B73FE8"/>
    <w:rsid w:val="00B748BD"/>
    <w:rsid w:val="00B74964"/>
    <w:rsid w:val="00B76100"/>
    <w:rsid w:val="00B7680F"/>
    <w:rsid w:val="00B76B48"/>
    <w:rsid w:val="00B76D1E"/>
    <w:rsid w:val="00B77543"/>
    <w:rsid w:val="00B77584"/>
    <w:rsid w:val="00B77E34"/>
    <w:rsid w:val="00B80D44"/>
    <w:rsid w:val="00B80D89"/>
    <w:rsid w:val="00B80EC6"/>
    <w:rsid w:val="00B81288"/>
    <w:rsid w:val="00B81D70"/>
    <w:rsid w:val="00B833B9"/>
    <w:rsid w:val="00B83AAF"/>
    <w:rsid w:val="00B83E07"/>
    <w:rsid w:val="00B84CF6"/>
    <w:rsid w:val="00B85016"/>
    <w:rsid w:val="00B8561A"/>
    <w:rsid w:val="00B86628"/>
    <w:rsid w:val="00B86643"/>
    <w:rsid w:val="00B868F7"/>
    <w:rsid w:val="00B86EB1"/>
    <w:rsid w:val="00B871A7"/>
    <w:rsid w:val="00B90131"/>
    <w:rsid w:val="00B92951"/>
    <w:rsid w:val="00B92D1D"/>
    <w:rsid w:val="00B92D7E"/>
    <w:rsid w:val="00B930CE"/>
    <w:rsid w:val="00B938C5"/>
    <w:rsid w:val="00B940A8"/>
    <w:rsid w:val="00B9554A"/>
    <w:rsid w:val="00B95940"/>
    <w:rsid w:val="00B95ACA"/>
    <w:rsid w:val="00B95C12"/>
    <w:rsid w:val="00B96D74"/>
    <w:rsid w:val="00B9720E"/>
    <w:rsid w:val="00B97ACC"/>
    <w:rsid w:val="00B97F3A"/>
    <w:rsid w:val="00B97FE2"/>
    <w:rsid w:val="00BA0E0B"/>
    <w:rsid w:val="00BA201A"/>
    <w:rsid w:val="00BA21DF"/>
    <w:rsid w:val="00BA361D"/>
    <w:rsid w:val="00BA3787"/>
    <w:rsid w:val="00BA403A"/>
    <w:rsid w:val="00BA46E8"/>
    <w:rsid w:val="00BA49DB"/>
    <w:rsid w:val="00BA4AE9"/>
    <w:rsid w:val="00BA4E19"/>
    <w:rsid w:val="00BA6436"/>
    <w:rsid w:val="00BA64F2"/>
    <w:rsid w:val="00BA684E"/>
    <w:rsid w:val="00BA6C2B"/>
    <w:rsid w:val="00BA7B64"/>
    <w:rsid w:val="00BB02A3"/>
    <w:rsid w:val="00BB0351"/>
    <w:rsid w:val="00BB15C3"/>
    <w:rsid w:val="00BB1AF4"/>
    <w:rsid w:val="00BB2202"/>
    <w:rsid w:val="00BB3C6B"/>
    <w:rsid w:val="00BB3FD6"/>
    <w:rsid w:val="00BB453F"/>
    <w:rsid w:val="00BB46F3"/>
    <w:rsid w:val="00BB4A71"/>
    <w:rsid w:val="00BB4CB1"/>
    <w:rsid w:val="00BB4E47"/>
    <w:rsid w:val="00BB4F98"/>
    <w:rsid w:val="00BB50C0"/>
    <w:rsid w:val="00BB5AB2"/>
    <w:rsid w:val="00BB5ABF"/>
    <w:rsid w:val="00BB5F94"/>
    <w:rsid w:val="00BB6EA2"/>
    <w:rsid w:val="00BB7142"/>
    <w:rsid w:val="00BB76F3"/>
    <w:rsid w:val="00BB7B5B"/>
    <w:rsid w:val="00BB7EB1"/>
    <w:rsid w:val="00BC003F"/>
    <w:rsid w:val="00BC0930"/>
    <w:rsid w:val="00BC223A"/>
    <w:rsid w:val="00BC327F"/>
    <w:rsid w:val="00BC3512"/>
    <w:rsid w:val="00BC4B35"/>
    <w:rsid w:val="00BC50BE"/>
    <w:rsid w:val="00BC5332"/>
    <w:rsid w:val="00BC5715"/>
    <w:rsid w:val="00BC5C12"/>
    <w:rsid w:val="00BC641B"/>
    <w:rsid w:val="00BC7154"/>
    <w:rsid w:val="00BC731E"/>
    <w:rsid w:val="00BC7614"/>
    <w:rsid w:val="00BC7EFA"/>
    <w:rsid w:val="00BD041B"/>
    <w:rsid w:val="00BD25BB"/>
    <w:rsid w:val="00BD2AF8"/>
    <w:rsid w:val="00BD366B"/>
    <w:rsid w:val="00BD3C09"/>
    <w:rsid w:val="00BD410B"/>
    <w:rsid w:val="00BD4A73"/>
    <w:rsid w:val="00BD4EDD"/>
    <w:rsid w:val="00BD4EF4"/>
    <w:rsid w:val="00BD6659"/>
    <w:rsid w:val="00BD6C75"/>
    <w:rsid w:val="00BD6D50"/>
    <w:rsid w:val="00BD7105"/>
    <w:rsid w:val="00BD73D2"/>
    <w:rsid w:val="00BE0AD1"/>
    <w:rsid w:val="00BE0EF9"/>
    <w:rsid w:val="00BE10A1"/>
    <w:rsid w:val="00BE18B9"/>
    <w:rsid w:val="00BE190A"/>
    <w:rsid w:val="00BE2495"/>
    <w:rsid w:val="00BE24DD"/>
    <w:rsid w:val="00BE34BB"/>
    <w:rsid w:val="00BE386D"/>
    <w:rsid w:val="00BE4DA9"/>
    <w:rsid w:val="00BE54BF"/>
    <w:rsid w:val="00BE557B"/>
    <w:rsid w:val="00BE55EF"/>
    <w:rsid w:val="00BE652B"/>
    <w:rsid w:val="00BE7F5F"/>
    <w:rsid w:val="00BF02C8"/>
    <w:rsid w:val="00BF1578"/>
    <w:rsid w:val="00BF15CA"/>
    <w:rsid w:val="00BF1D12"/>
    <w:rsid w:val="00BF1D3A"/>
    <w:rsid w:val="00BF2B5B"/>
    <w:rsid w:val="00BF2D41"/>
    <w:rsid w:val="00BF3274"/>
    <w:rsid w:val="00BF32DC"/>
    <w:rsid w:val="00BF35C9"/>
    <w:rsid w:val="00BF4329"/>
    <w:rsid w:val="00BF4E43"/>
    <w:rsid w:val="00BF5C4C"/>
    <w:rsid w:val="00BF765C"/>
    <w:rsid w:val="00BF77FC"/>
    <w:rsid w:val="00C006D6"/>
    <w:rsid w:val="00C00BD7"/>
    <w:rsid w:val="00C01410"/>
    <w:rsid w:val="00C024BB"/>
    <w:rsid w:val="00C02D23"/>
    <w:rsid w:val="00C03D4D"/>
    <w:rsid w:val="00C044F4"/>
    <w:rsid w:val="00C04B78"/>
    <w:rsid w:val="00C052AA"/>
    <w:rsid w:val="00C06EE3"/>
    <w:rsid w:val="00C07279"/>
    <w:rsid w:val="00C07749"/>
    <w:rsid w:val="00C07C67"/>
    <w:rsid w:val="00C10805"/>
    <w:rsid w:val="00C11244"/>
    <w:rsid w:val="00C118A9"/>
    <w:rsid w:val="00C11D48"/>
    <w:rsid w:val="00C12304"/>
    <w:rsid w:val="00C12316"/>
    <w:rsid w:val="00C1246C"/>
    <w:rsid w:val="00C1493E"/>
    <w:rsid w:val="00C15537"/>
    <w:rsid w:val="00C15DBD"/>
    <w:rsid w:val="00C161C5"/>
    <w:rsid w:val="00C172F7"/>
    <w:rsid w:val="00C2010D"/>
    <w:rsid w:val="00C20CB5"/>
    <w:rsid w:val="00C21430"/>
    <w:rsid w:val="00C216DF"/>
    <w:rsid w:val="00C21E61"/>
    <w:rsid w:val="00C21F94"/>
    <w:rsid w:val="00C224BD"/>
    <w:rsid w:val="00C2272B"/>
    <w:rsid w:val="00C234DB"/>
    <w:rsid w:val="00C23C5C"/>
    <w:rsid w:val="00C2479A"/>
    <w:rsid w:val="00C24903"/>
    <w:rsid w:val="00C2590D"/>
    <w:rsid w:val="00C25D9C"/>
    <w:rsid w:val="00C26086"/>
    <w:rsid w:val="00C27913"/>
    <w:rsid w:val="00C27FA7"/>
    <w:rsid w:val="00C300E2"/>
    <w:rsid w:val="00C31F21"/>
    <w:rsid w:val="00C32631"/>
    <w:rsid w:val="00C33301"/>
    <w:rsid w:val="00C33311"/>
    <w:rsid w:val="00C33B68"/>
    <w:rsid w:val="00C34AD4"/>
    <w:rsid w:val="00C35570"/>
    <w:rsid w:val="00C35A2A"/>
    <w:rsid w:val="00C36A79"/>
    <w:rsid w:val="00C401A9"/>
    <w:rsid w:val="00C401D2"/>
    <w:rsid w:val="00C4031A"/>
    <w:rsid w:val="00C405D4"/>
    <w:rsid w:val="00C419D5"/>
    <w:rsid w:val="00C41D54"/>
    <w:rsid w:val="00C42EBB"/>
    <w:rsid w:val="00C435E8"/>
    <w:rsid w:val="00C4513B"/>
    <w:rsid w:val="00C475E8"/>
    <w:rsid w:val="00C50E79"/>
    <w:rsid w:val="00C5197D"/>
    <w:rsid w:val="00C525FB"/>
    <w:rsid w:val="00C527AD"/>
    <w:rsid w:val="00C5390B"/>
    <w:rsid w:val="00C54257"/>
    <w:rsid w:val="00C54697"/>
    <w:rsid w:val="00C550CE"/>
    <w:rsid w:val="00C553A5"/>
    <w:rsid w:val="00C55402"/>
    <w:rsid w:val="00C5603B"/>
    <w:rsid w:val="00C6020C"/>
    <w:rsid w:val="00C60AE3"/>
    <w:rsid w:val="00C61F47"/>
    <w:rsid w:val="00C62828"/>
    <w:rsid w:val="00C63132"/>
    <w:rsid w:val="00C655DA"/>
    <w:rsid w:val="00C672C1"/>
    <w:rsid w:val="00C706D2"/>
    <w:rsid w:val="00C715CC"/>
    <w:rsid w:val="00C719A3"/>
    <w:rsid w:val="00C71D2F"/>
    <w:rsid w:val="00C72984"/>
    <w:rsid w:val="00C73885"/>
    <w:rsid w:val="00C73C93"/>
    <w:rsid w:val="00C7435A"/>
    <w:rsid w:val="00C747B1"/>
    <w:rsid w:val="00C75510"/>
    <w:rsid w:val="00C755F9"/>
    <w:rsid w:val="00C75752"/>
    <w:rsid w:val="00C75B60"/>
    <w:rsid w:val="00C761EC"/>
    <w:rsid w:val="00C770C9"/>
    <w:rsid w:val="00C8019E"/>
    <w:rsid w:val="00C81070"/>
    <w:rsid w:val="00C8174E"/>
    <w:rsid w:val="00C82191"/>
    <w:rsid w:val="00C83134"/>
    <w:rsid w:val="00C831E7"/>
    <w:rsid w:val="00C832F3"/>
    <w:rsid w:val="00C84307"/>
    <w:rsid w:val="00C845A4"/>
    <w:rsid w:val="00C8504C"/>
    <w:rsid w:val="00C85545"/>
    <w:rsid w:val="00C855B5"/>
    <w:rsid w:val="00C85F0E"/>
    <w:rsid w:val="00C867F9"/>
    <w:rsid w:val="00C872AA"/>
    <w:rsid w:val="00C87C6B"/>
    <w:rsid w:val="00C90357"/>
    <w:rsid w:val="00C90CF4"/>
    <w:rsid w:val="00C91C20"/>
    <w:rsid w:val="00C922DE"/>
    <w:rsid w:val="00C92843"/>
    <w:rsid w:val="00C929FE"/>
    <w:rsid w:val="00C92EB6"/>
    <w:rsid w:val="00C93389"/>
    <w:rsid w:val="00C948E6"/>
    <w:rsid w:val="00C94CDD"/>
    <w:rsid w:val="00C95123"/>
    <w:rsid w:val="00C97588"/>
    <w:rsid w:val="00CA0346"/>
    <w:rsid w:val="00CA0649"/>
    <w:rsid w:val="00CA0BD5"/>
    <w:rsid w:val="00CA0DA1"/>
    <w:rsid w:val="00CA1BD6"/>
    <w:rsid w:val="00CA2D95"/>
    <w:rsid w:val="00CA37FF"/>
    <w:rsid w:val="00CA423A"/>
    <w:rsid w:val="00CA47BC"/>
    <w:rsid w:val="00CA5EAD"/>
    <w:rsid w:val="00CA6AB4"/>
    <w:rsid w:val="00CA7255"/>
    <w:rsid w:val="00CA79E2"/>
    <w:rsid w:val="00CA7E12"/>
    <w:rsid w:val="00CB111E"/>
    <w:rsid w:val="00CB1BEE"/>
    <w:rsid w:val="00CB2351"/>
    <w:rsid w:val="00CB3605"/>
    <w:rsid w:val="00CB4022"/>
    <w:rsid w:val="00CB4257"/>
    <w:rsid w:val="00CB4930"/>
    <w:rsid w:val="00CB4BA9"/>
    <w:rsid w:val="00CB4C48"/>
    <w:rsid w:val="00CB4C63"/>
    <w:rsid w:val="00CB5A48"/>
    <w:rsid w:val="00CB5E10"/>
    <w:rsid w:val="00CB613B"/>
    <w:rsid w:val="00CB6152"/>
    <w:rsid w:val="00CB64E1"/>
    <w:rsid w:val="00CB6C6F"/>
    <w:rsid w:val="00CB6E4D"/>
    <w:rsid w:val="00CC009B"/>
    <w:rsid w:val="00CC0834"/>
    <w:rsid w:val="00CC0AEA"/>
    <w:rsid w:val="00CC20FE"/>
    <w:rsid w:val="00CC225C"/>
    <w:rsid w:val="00CC2E7D"/>
    <w:rsid w:val="00CC469E"/>
    <w:rsid w:val="00CC5BE8"/>
    <w:rsid w:val="00CC612B"/>
    <w:rsid w:val="00CC655F"/>
    <w:rsid w:val="00CC66F9"/>
    <w:rsid w:val="00CC6C2A"/>
    <w:rsid w:val="00CC6FE5"/>
    <w:rsid w:val="00CC7458"/>
    <w:rsid w:val="00CC76BD"/>
    <w:rsid w:val="00CC7A87"/>
    <w:rsid w:val="00CD08BF"/>
    <w:rsid w:val="00CD0D6B"/>
    <w:rsid w:val="00CD1060"/>
    <w:rsid w:val="00CD10A5"/>
    <w:rsid w:val="00CD1129"/>
    <w:rsid w:val="00CD1A80"/>
    <w:rsid w:val="00CD1CB5"/>
    <w:rsid w:val="00CD2076"/>
    <w:rsid w:val="00CD24CE"/>
    <w:rsid w:val="00CD29B5"/>
    <w:rsid w:val="00CD2B78"/>
    <w:rsid w:val="00CD3866"/>
    <w:rsid w:val="00CD3FAB"/>
    <w:rsid w:val="00CD5456"/>
    <w:rsid w:val="00CD5C3E"/>
    <w:rsid w:val="00CD5C57"/>
    <w:rsid w:val="00CD5EE0"/>
    <w:rsid w:val="00CD6331"/>
    <w:rsid w:val="00CD7E9E"/>
    <w:rsid w:val="00CE12FB"/>
    <w:rsid w:val="00CE14BE"/>
    <w:rsid w:val="00CE17A4"/>
    <w:rsid w:val="00CE1BA9"/>
    <w:rsid w:val="00CE2D8F"/>
    <w:rsid w:val="00CE3532"/>
    <w:rsid w:val="00CE3E48"/>
    <w:rsid w:val="00CE46C0"/>
    <w:rsid w:val="00CE47B8"/>
    <w:rsid w:val="00CE54FD"/>
    <w:rsid w:val="00CE5C92"/>
    <w:rsid w:val="00CE5E12"/>
    <w:rsid w:val="00CE62FA"/>
    <w:rsid w:val="00CE670B"/>
    <w:rsid w:val="00CE6833"/>
    <w:rsid w:val="00CE7562"/>
    <w:rsid w:val="00CF020B"/>
    <w:rsid w:val="00CF0E03"/>
    <w:rsid w:val="00CF15BF"/>
    <w:rsid w:val="00CF2E4D"/>
    <w:rsid w:val="00CF35A7"/>
    <w:rsid w:val="00CF4205"/>
    <w:rsid w:val="00CF4908"/>
    <w:rsid w:val="00CF51EC"/>
    <w:rsid w:val="00CF545D"/>
    <w:rsid w:val="00CF5873"/>
    <w:rsid w:val="00CF6AB7"/>
    <w:rsid w:val="00CF73AE"/>
    <w:rsid w:val="00CF7777"/>
    <w:rsid w:val="00D0085A"/>
    <w:rsid w:val="00D0197F"/>
    <w:rsid w:val="00D01B31"/>
    <w:rsid w:val="00D0242D"/>
    <w:rsid w:val="00D02716"/>
    <w:rsid w:val="00D03A72"/>
    <w:rsid w:val="00D040DD"/>
    <w:rsid w:val="00D04134"/>
    <w:rsid w:val="00D05C65"/>
    <w:rsid w:val="00D06B56"/>
    <w:rsid w:val="00D06D68"/>
    <w:rsid w:val="00D075BE"/>
    <w:rsid w:val="00D07AFF"/>
    <w:rsid w:val="00D07CC2"/>
    <w:rsid w:val="00D10C15"/>
    <w:rsid w:val="00D11011"/>
    <w:rsid w:val="00D11476"/>
    <w:rsid w:val="00D12C25"/>
    <w:rsid w:val="00D133B4"/>
    <w:rsid w:val="00D13986"/>
    <w:rsid w:val="00D13F3E"/>
    <w:rsid w:val="00D14C5B"/>
    <w:rsid w:val="00D15D3A"/>
    <w:rsid w:val="00D15FED"/>
    <w:rsid w:val="00D16712"/>
    <w:rsid w:val="00D174E0"/>
    <w:rsid w:val="00D214EF"/>
    <w:rsid w:val="00D215B0"/>
    <w:rsid w:val="00D21B36"/>
    <w:rsid w:val="00D21D6D"/>
    <w:rsid w:val="00D21D83"/>
    <w:rsid w:val="00D22A47"/>
    <w:rsid w:val="00D235B7"/>
    <w:rsid w:val="00D23A99"/>
    <w:rsid w:val="00D23FAE"/>
    <w:rsid w:val="00D25F28"/>
    <w:rsid w:val="00D26071"/>
    <w:rsid w:val="00D260C7"/>
    <w:rsid w:val="00D26133"/>
    <w:rsid w:val="00D269B9"/>
    <w:rsid w:val="00D26E6B"/>
    <w:rsid w:val="00D27973"/>
    <w:rsid w:val="00D27F07"/>
    <w:rsid w:val="00D27F3A"/>
    <w:rsid w:val="00D31537"/>
    <w:rsid w:val="00D31E1E"/>
    <w:rsid w:val="00D322A0"/>
    <w:rsid w:val="00D32824"/>
    <w:rsid w:val="00D33297"/>
    <w:rsid w:val="00D334E2"/>
    <w:rsid w:val="00D335E5"/>
    <w:rsid w:val="00D350B1"/>
    <w:rsid w:val="00D35AD6"/>
    <w:rsid w:val="00D35BBB"/>
    <w:rsid w:val="00D35E1A"/>
    <w:rsid w:val="00D36B0A"/>
    <w:rsid w:val="00D36DFB"/>
    <w:rsid w:val="00D36E1C"/>
    <w:rsid w:val="00D373AF"/>
    <w:rsid w:val="00D40556"/>
    <w:rsid w:val="00D418E9"/>
    <w:rsid w:val="00D41F74"/>
    <w:rsid w:val="00D428C8"/>
    <w:rsid w:val="00D43034"/>
    <w:rsid w:val="00D43ED2"/>
    <w:rsid w:val="00D50F46"/>
    <w:rsid w:val="00D5302A"/>
    <w:rsid w:val="00D533C4"/>
    <w:rsid w:val="00D5384E"/>
    <w:rsid w:val="00D544E7"/>
    <w:rsid w:val="00D5499F"/>
    <w:rsid w:val="00D5560A"/>
    <w:rsid w:val="00D56FBF"/>
    <w:rsid w:val="00D57677"/>
    <w:rsid w:val="00D5781F"/>
    <w:rsid w:val="00D60415"/>
    <w:rsid w:val="00D60DAE"/>
    <w:rsid w:val="00D60E3C"/>
    <w:rsid w:val="00D60FA7"/>
    <w:rsid w:val="00D61FAB"/>
    <w:rsid w:val="00D62C4E"/>
    <w:rsid w:val="00D63BE5"/>
    <w:rsid w:val="00D6475F"/>
    <w:rsid w:val="00D652EB"/>
    <w:rsid w:val="00D655D4"/>
    <w:rsid w:val="00D66223"/>
    <w:rsid w:val="00D667B8"/>
    <w:rsid w:val="00D67D55"/>
    <w:rsid w:val="00D70289"/>
    <w:rsid w:val="00D7041F"/>
    <w:rsid w:val="00D70822"/>
    <w:rsid w:val="00D72076"/>
    <w:rsid w:val="00D721B4"/>
    <w:rsid w:val="00D726A9"/>
    <w:rsid w:val="00D72DBA"/>
    <w:rsid w:val="00D743E0"/>
    <w:rsid w:val="00D7469D"/>
    <w:rsid w:val="00D7490C"/>
    <w:rsid w:val="00D75AC1"/>
    <w:rsid w:val="00D77252"/>
    <w:rsid w:val="00D8084C"/>
    <w:rsid w:val="00D81809"/>
    <w:rsid w:val="00D82EF1"/>
    <w:rsid w:val="00D84CC9"/>
    <w:rsid w:val="00D84F43"/>
    <w:rsid w:val="00D85114"/>
    <w:rsid w:val="00D85821"/>
    <w:rsid w:val="00D8598C"/>
    <w:rsid w:val="00D87C06"/>
    <w:rsid w:val="00D915EA"/>
    <w:rsid w:val="00D919ED"/>
    <w:rsid w:val="00D922A1"/>
    <w:rsid w:val="00D928BE"/>
    <w:rsid w:val="00D92CD7"/>
    <w:rsid w:val="00D932B8"/>
    <w:rsid w:val="00D932F0"/>
    <w:rsid w:val="00D95302"/>
    <w:rsid w:val="00D95889"/>
    <w:rsid w:val="00D95C5D"/>
    <w:rsid w:val="00D95CBE"/>
    <w:rsid w:val="00D95E7F"/>
    <w:rsid w:val="00D97D00"/>
    <w:rsid w:val="00DA0121"/>
    <w:rsid w:val="00DA096C"/>
    <w:rsid w:val="00DA1AB6"/>
    <w:rsid w:val="00DA2E65"/>
    <w:rsid w:val="00DA37DE"/>
    <w:rsid w:val="00DA3ADF"/>
    <w:rsid w:val="00DA4174"/>
    <w:rsid w:val="00DA544C"/>
    <w:rsid w:val="00DA5F8E"/>
    <w:rsid w:val="00DA6364"/>
    <w:rsid w:val="00DA7114"/>
    <w:rsid w:val="00DA7C0C"/>
    <w:rsid w:val="00DA7E2F"/>
    <w:rsid w:val="00DB03DD"/>
    <w:rsid w:val="00DB08A9"/>
    <w:rsid w:val="00DB0B33"/>
    <w:rsid w:val="00DB0FD9"/>
    <w:rsid w:val="00DB13EF"/>
    <w:rsid w:val="00DB2DFA"/>
    <w:rsid w:val="00DB2EC8"/>
    <w:rsid w:val="00DB321D"/>
    <w:rsid w:val="00DB459B"/>
    <w:rsid w:val="00DB47FD"/>
    <w:rsid w:val="00DB5E3A"/>
    <w:rsid w:val="00DB5E9A"/>
    <w:rsid w:val="00DB613B"/>
    <w:rsid w:val="00DB657E"/>
    <w:rsid w:val="00DB7342"/>
    <w:rsid w:val="00DB7489"/>
    <w:rsid w:val="00DC0B4D"/>
    <w:rsid w:val="00DC0CBB"/>
    <w:rsid w:val="00DC17D0"/>
    <w:rsid w:val="00DC1E5D"/>
    <w:rsid w:val="00DC2B41"/>
    <w:rsid w:val="00DC2EA7"/>
    <w:rsid w:val="00DC3128"/>
    <w:rsid w:val="00DC435B"/>
    <w:rsid w:val="00DC4AC4"/>
    <w:rsid w:val="00DC53D8"/>
    <w:rsid w:val="00DC56FE"/>
    <w:rsid w:val="00DC5B3B"/>
    <w:rsid w:val="00DC5F11"/>
    <w:rsid w:val="00DC6C2D"/>
    <w:rsid w:val="00DC7B1A"/>
    <w:rsid w:val="00DD04B0"/>
    <w:rsid w:val="00DD129F"/>
    <w:rsid w:val="00DD13FC"/>
    <w:rsid w:val="00DD1A3F"/>
    <w:rsid w:val="00DD29B5"/>
    <w:rsid w:val="00DD32DD"/>
    <w:rsid w:val="00DD33E8"/>
    <w:rsid w:val="00DD5287"/>
    <w:rsid w:val="00DD5B36"/>
    <w:rsid w:val="00DD7849"/>
    <w:rsid w:val="00DE03DE"/>
    <w:rsid w:val="00DE0D8B"/>
    <w:rsid w:val="00DE1237"/>
    <w:rsid w:val="00DE140F"/>
    <w:rsid w:val="00DE17E9"/>
    <w:rsid w:val="00DE2491"/>
    <w:rsid w:val="00DE273F"/>
    <w:rsid w:val="00DE27CD"/>
    <w:rsid w:val="00DE3231"/>
    <w:rsid w:val="00DE3E22"/>
    <w:rsid w:val="00DE3E5D"/>
    <w:rsid w:val="00DE450F"/>
    <w:rsid w:val="00DE4865"/>
    <w:rsid w:val="00DE5CA6"/>
    <w:rsid w:val="00DE5E55"/>
    <w:rsid w:val="00DE6209"/>
    <w:rsid w:val="00DE63AE"/>
    <w:rsid w:val="00DE7156"/>
    <w:rsid w:val="00DE7AC8"/>
    <w:rsid w:val="00DF0830"/>
    <w:rsid w:val="00DF1D57"/>
    <w:rsid w:val="00DF2C5D"/>
    <w:rsid w:val="00DF2CD3"/>
    <w:rsid w:val="00DF3643"/>
    <w:rsid w:val="00DF42FF"/>
    <w:rsid w:val="00DF4369"/>
    <w:rsid w:val="00DF4423"/>
    <w:rsid w:val="00DF4ADF"/>
    <w:rsid w:val="00DF57D6"/>
    <w:rsid w:val="00DF5D1E"/>
    <w:rsid w:val="00DF77E4"/>
    <w:rsid w:val="00DF7F88"/>
    <w:rsid w:val="00E00B88"/>
    <w:rsid w:val="00E01C0E"/>
    <w:rsid w:val="00E0368F"/>
    <w:rsid w:val="00E03D73"/>
    <w:rsid w:val="00E03F9A"/>
    <w:rsid w:val="00E040DA"/>
    <w:rsid w:val="00E04694"/>
    <w:rsid w:val="00E05333"/>
    <w:rsid w:val="00E1168B"/>
    <w:rsid w:val="00E12191"/>
    <w:rsid w:val="00E129E7"/>
    <w:rsid w:val="00E12ABE"/>
    <w:rsid w:val="00E12B1E"/>
    <w:rsid w:val="00E135EB"/>
    <w:rsid w:val="00E13995"/>
    <w:rsid w:val="00E1444C"/>
    <w:rsid w:val="00E159C6"/>
    <w:rsid w:val="00E17262"/>
    <w:rsid w:val="00E17F36"/>
    <w:rsid w:val="00E20016"/>
    <w:rsid w:val="00E2009B"/>
    <w:rsid w:val="00E20BB9"/>
    <w:rsid w:val="00E20BCC"/>
    <w:rsid w:val="00E2251C"/>
    <w:rsid w:val="00E2363D"/>
    <w:rsid w:val="00E23C6A"/>
    <w:rsid w:val="00E2484B"/>
    <w:rsid w:val="00E253A2"/>
    <w:rsid w:val="00E260F6"/>
    <w:rsid w:val="00E27127"/>
    <w:rsid w:val="00E27233"/>
    <w:rsid w:val="00E274BB"/>
    <w:rsid w:val="00E30F15"/>
    <w:rsid w:val="00E31771"/>
    <w:rsid w:val="00E3186D"/>
    <w:rsid w:val="00E31A3E"/>
    <w:rsid w:val="00E32080"/>
    <w:rsid w:val="00E32778"/>
    <w:rsid w:val="00E3309D"/>
    <w:rsid w:val="00E34E3F"/>
    <w:rsid w:val="00E350B1"/>
    <w:rsid w:val="00E35A53"/>
    <w:rsid w:val="00E3634A"/>
    <w:rsid w:val="00E3656B"/>
    <w:rsid w:val="00E3712B"/>
    <w:rsid w:val="00E3724A"/>
    <w:rsid w:val="00E378B1"/>
    <w:rsid w:val="00E41131"/>
    <w:rsid w:val="00E41179"/>
    <w:rsid w:val="00E417BE"/>
    <w:rsid w:val="00E41CD5"/>
    <w:rsid w:val="00E42054"/>
    <w:rsid w:val="00E4372D"/>
    <w:rsid w:val="00E43A9E"/>
    <w:rsid w:val="00E44243"/>
    <w:rsid w:val="00E453F9"/>
    <w:rsid w:val="00E45D7D"/>
    <w:rsid w:val="00E4623F"/>
    <w:rsid w:val="00E4665D"/>
    <w:rsid w:val="00E47854"/>
    <w:rsid w:val="00E478E2"/>
    <w:rsid w:val="00E47C5D"/>
    <w:rsid w:val="00E47EBA"/>
    <w:rsid w:val="00E50156"/>
    <w:rsid w:val="00E504EB"/>
    <w:rsid w:val="00E5076C"/>
    <w:rsid w:val="00E50D2E"/>
    <w:rsid w:val="00E50D7D"/>
    <w:rsid w:val="00E51EF0"/>
    <w:rsid w:val="00E53470"/>
    <w:rsid w:val="00E5368D"/>
    <w:rsid w:val="00E539F6"/>
    <w:rsid w:val="00E54698"/>
    <w:rsid w:val="00E54BE9"/>
    <w:rsid w:val="00E54D22"/>
    <w:rsid w:val="00E54FB4"/>
    <w:rsid w:val="00E5539A"/>
    <w:rsid w:val="00E55791"/>
    <w:rsid w:val="00E55E1A"/>
    <w:rsid w:val="00E578A2"/>
    <w:rsid w:val="00E579ED"/>
    <w:rsid w:val="00E60043"/>
    <w:rsid w:val="00E61740"/>
    <w:rsid w:val="00E61EB5"/>
    <w:rsid w:val="00E6324D"/>
    <w:rsid w:val="00E647C1"/>
    <w:rsid w:val="00E65084"/>
    <w:rsid w:val="00E6519D"/>
    <w:rsid w:val="00E66062"/>
    <w:rsid w:val="00E6660E"/>
    <w:rsid w:val="00E66768"/>
    <w:rsid w:val="00E67305"/>
    <w:rsid w:val="00E67696"/>
    <w:rsid w:val="00E709AF"/>
    <w:rsid w:val="00E70C5F"/>
    <w:rsid w:val="00E71A58"/>
    <w:rsid w:val="00E728D7"/>
    <w:rsid w:val="00E72A26"/>
    <w:rsid w:val="00E72A7A"/>
    <w:rsid w:val="00E7335A"/>
    <w:rsid w:val="00E73986"/>
    <w:rsid w:val="00E7467D"/>
    <w:rsid w:val="00E747DC"/>
    <w:rsid w:val="00E74A2D"/>
    <w:rsid w:val="00E75C94"/>
    <w:rsid w:val="00E76A08"/>
    <w:rsid w:val="00E76B9B"/>
    <w:rsid w:val="00E76E61"/>
    <w:rsid w:val="00E76EE4"/>
    <w:rsid w:val="00E77CC0"/>
    <w:rsid w:val="00E80B3D"/>
    <w:rsid w:val="00E80CA3"/>
    <w:rsid w:val="00E81AAA"/>
    <w:rsid w:val="00E82618"/>
    <w:rsid w:val="00E82A42"/>
    <w:rsid w:val="00E84E09"/>
    <w:rsid w:val="00E87CE2"/>
    <w:rsid w:val="00E87D5B"/>
    <w:rsid w:val="00E90CA8"/>
    <w:rsid w:val="00E911C6"/>
    <w:rsid w:val="00E920DE"/>
    <w:rsid w:val="00E930A1"/>
    <w:rsid w:val="00E93820"/>
    <w:rsid w:val="00E94A86"/>
    <w:rsid w:val="00E951AB"/>
    <w:rsid w:val="00E953F6"/>
    <w:rsid w:val="00E96143"/>
    <w:rsid w:val="00E96833"/>
    <w:rsid w:val="00E97506"/>
    <w:rsid w:val="00E97BB5"/>
    <w:rsid w:val="00E97D5B"/>
    <w:rsid w:val="00E97F14"/>
    <w:rsid w:val="00EA0B1A"/>
    <w:rsid w:val="00EA0C68"/>
    <w:rsid w:val="00EA0E39"/>
    <w:rsid w:val="00EA1D0E"/>
    <w:rsid w:val="00EA2072"/>
    <w:rsid w:val="00EA2841"/>
    <w:rsid w:val="00EA32BC"/>
    <w:rsid w:val="00EA35A7"/>
    <w:rsid w:val="00EA3B32"/>
    <w:rsid w:val="00EA3CEB"/>
    <w:rsid w:val="00EA3D05"/>
    <w:rsid w:val="00EA4222"/>
    <w:rsid w:val="00EA4402"/>
    <w:rsid w:val="00EA4B8D"/>
    <w:rsid w:val="00EA513E"/>
    <w:rsid w:val="00EA7419"/>
    <w:rsid w:val="00EB0E32"/>
    <w:rsid w:val="00EB1CDC"/>
    <w:rsid w:val="00EB1D89"/>
    <w:rsid w:val="00EB3E60"/>
    <w:rsid w:val="00EB4511"/>
    <w:rsid w:val="00EB48D7"/>
    <w:rsid w:val="00EB49F1"/>
    <w:rsid w:val="00EB4A8E"/>
    <w:rsid w:val="00EB4BC5"/>
    <w:rsid w:val="00EB5BF7"/>
    <w:rsid w:val="00EB5E79"/>
    <w:rsid w:val="00EB6473"/>
    <w:rsid w:val="00EB6DA6"/>
    <w:rsid w:val="00EB6FAC"/>
    <w:rsid w:val="00EB7BAC"/>
    <w:rsid w:val="00EB7CC9"/>
    <w:rsid w:val="00EC03D7"/>
    <w:rsid w:val="00EC13A7"/>
    <w:rsid w:val="00EC189D"/>
    <w:rsid w:val="00EC2EB6"/>
    <w:rsid w:val="00EC4FFF"/>
    <w:rsid w:val="00EC5517"/>
    <w:rsid w:val="00EC6E8C"/>
    <w:rsid w:val="00ED0962"/>
    <w:rsid w:val="00ED0EF0"/>
    <w:rsid w:val="00ED0F73"/>
    <w:rsid w:val="00ED12B9"/>
    <w:rsid w:val="00ED16B8"/>
    <w:rsid w:val="00ED1959"/>
    <w:rsid w:val="00ED1A00"/>
    <w:rsid w:val="00ED1DF0"/>
    <w:rsid w:val="00ED2386"/>
    <w:rsid w:val="00ED2525"/>
    <w:rsid w:val="00ED2EA1"/>
    <w:rsid w:val="00ED3851"/>
    <w:rsid w:val="00ED3E51"/>
    <w:rsid w:val="00ED3F10"/>
    <w:rsid w:val="00ED3F9B"/>
    <w:rsid w:val="00ED3FB3"/>
    <w:rsid w:val="00ED4D04"/>
    <w:rsid w:val="00ED566D"/>
    <w:rsid w:val="00ED5907"/>
    <w:rsid w:val="00ED5F5B"/>
    <w:rsid w:val="00ED62C6"/>
    <w:rsid w:val="00ED64C1"/>
    <w:rsid w:val="00ED781F"/>
    <w:rsid w:val="00EE0E7E"/>
    <w:rsid w:val="00EE249F"/>
    <w:rsid w:val="00EE2EB4"/>
    <w:rsid w:val="00EE3446"/>
    <w:rsid w:val="00EE3E78"/>
    <w:rsid w:val="00EE41FD"/>
    <w:rsid w:val="00EE460E"/>
    <w:rsid w:val="00EE4B1B"/>
    <w:rsid w:val="00EE5FBA"/>
    <w:rsid w:val="00EE601C"/>
    <w:rsid w:val="00EE6A09"/>
    <w:rsid w:val="00EE6E06"/>
    <w:rsid w:val="00EE7179"/>
    <w:rsid w:val="00EF0D90"/>
    <w:rsid w:val="00EF150D"/>
    <w:rsid w:val="00EF1967"/>
    <w:rsid w:val="00EF1F5A"/>
    <w:rsid w:val="00EF23B5"/>
    <w:rsid w:val="00EF326A"/>
    <w:rsid w:val="00EF3898"/>
    <w:rsid w:val="00EF47BF"/>
    <w:rsid w:val="00EF52F7"/>
    <w:rsid w:val="00EF54CF"/>
    <w:rsid w:val="00EF59B1"/>
    <w:rsid w:val="00EF5A13"/>
    <w:rsid w:val="00EF5FF9"/>
    <w:rsid w:val="00EF77D4"/>
    <w:rsid w:val="00EF7CC7"/>
    <w:rsid w:val="00F00535"/>
    <w:rsid w:val="00F00853"/>
    <w:rsid w:val="00F00866"/>
    <w:rsid w:val="00F00EC8"/>
    <w:rsid w:val="00F0160B"/>
    <w:rsid w:val="00F0193E"/>
    <w:rsid w:val="00F03E2F"/>
    <w:rsid w:val="00F03F8D"/>
    <w:rsid w:val="00F04811"/>
    <w:rsid w:val="00F0488C"/>
    <w:rsid w:val="00F04955"/>
    <w:rsid w:val="00F052D2"/>
    <w:rsid w:val="00F06002"/>
    <w:rsid w:val="00F067B8"/>
    <w:rsid w:val="00F0730A"/>
    <w:rsid w:val="00F073ED"/>
    <w:rsid w:val="00F07C4C"/>
    <w:rsid w:val="00F07E45"/>
    <w:rsid w:val="00F10F11"/>
    <w:rsid w:val="00F11159"/>
    <w:rsid w:val="00F1152E"/>
    <w:rsid w:val="00F115E4"/>
    <w:rsid w:val="00F11AC4"/>
    <w:rsid w:val="00F11FDC"/>
    <w:rsid w:val="00F120A5"/>
    <w:rsid w:val="00F12CFB"/>
    <w:rsid w:val="00F13E60"/>
    <w:rsid w:val="00F13FDB"/>
    <w:rsid w:val="00F15AAA"/>
    <w:rsid w:val="00F15BEF"/>
    <w:rsid w:val="00F1770C"/>
    <w:rsid w:val="00F17898"/>
    <w:rsid w:val="00F204BF"/>
    <w:rsid w:val="00F207C2"/>
    <w:rsid w:val="00F21337"/>
    <w:rsid w:val="00F219A1"/>
    <w:rsid w:val="00F23927"/>
    <w:rsid w:val="00F23E20"/>
    <w:rsid w:val="00F24407"/>
    <w:rsid w:val="00F249CE"/>
    <w:rsid w:val="00F24FAA"/>
    <w:rsid w:val="00F25040"/>
    <w:rsid w:val="00F269D7"/>
    <w:rsid w:val="00F26FB5"/>
    <w:rsid w:val="00F27071"/>
    <w:rsid w:val="00F27331"/>
    <w:rsid w:val="00F276D3"/>
    <w:rsid w:val="00F27EE5"/>
    <w:rsid w:val="00F27FB1"/>
    <w:rsid w:val="00F27FD6"/>
    <w:rsid w:val="00F307CB"/>
    <w:rsid w:val="00F30C0C"/>
    <w:rsid w:val="00F30C65"/>
    <w:rsid w:val="00F321D2"/>
    <w:rsid w:val="00F32649"/>
    <w:rsid w:val="00F33523"/>
    <w:rsid w:val="00F3364D"/>
    <w:rsid w:val="00F33914"/>
    <w:rsid w:val="00F349BF"/>
    <w:rsid w:val="00F34DDC"/>
    <w:rsid w:val="00F36191"/>
    <w:rsid w:val="00F3629F"/>
    <w:rsid w:val="00F36DF3"/>
    <w:rsid w:val="00F37362"/>
    <w:rsid w:val="00F37EDC"/>
    <w:rsid w:val="00F437CC"/>
    <w:rsid w:val="00F442E7"/>
    <w:rsid w:val="00F44537"/>
    <w:rsid w:val="00F46185"/>
    <w:rsid w:val="00F46423"/>
    <w:rsid w:val="00F4696A"/>
    <w:rsid w:val="00F47067"/>
    <w:rsid w:val="00F47234"/>
    <w:rsid w:val="00F51ADD"/>
    <w:rsid w:val="00F525AB"/>
    <w:rsid w:val="00F525EB"/>
    <w:rsid w:val="00F52CB5"/>
    <w:rsid w:val="00F53378"/>
    <w:rsid w:val="00F53917"/>
    <w:rsid w:val="00F53A68"/>
    <w:rsid w:val="00F54934"/>
    <w:rsid w:val="00F55A92"/>
    <w:rsid w:val="00F5615B"/>
    <w:rsid w:val="00F575D3"/>
    <w:rsid w:val="00F57983"/>
    <w:rsid w:val="00F57A76"/>
    <w:rsid w:val="00F57D57"/>
    <w:rsid w:val="00F6178B"/>
    <w:rsid w:val="00F62BFF"/>
    <w:rsid w:val="00F62CCE"/>
    <w:rsid w:val="00F63092"/>
    <w:rsid w:val="00F63AAE"/>
    <w:rsid w:val="00F63DDE"/>
    <w:rsid w:val="00F63FB7"/>
    <w:rsid w:val="00F6421B"/>
    <w:rsid w:val="00F647F1"/>
    <w:rsid w:val="00F649D2"/>
    <w:rsid w:val="00F64D5A"/>
    <w:rsid w:val="00F6602B"/>
    <w:rsid w:val="00F6799D"/>
    <w:rsid w:val="00F7150B"/>
    <w:rsid w:val="00F717E4"/>
    <w:rsid w:val="00F71DE6"/>
    <w:rsid w:val="00F72D71"/>
    <w:rsid w:val="00F7381C"/>
    <w:rsid w:val="00F73A0C"/>
    <w:rsid w:val="00F752DC"/>
    <w:rsid w:val="00F7549F"/>
    <w:rsid w:val="00F756DB"/>
    <w:rsid w:val="00F766BE"/>
    <w:rsid w:val="00F767A8"/>
    <w:rsid w:val="00F77590"/>
    <w:rsid w:val="00F77A50"/>
    <w:rsid w:val="00F82D14"/>
    <w:rsid w:val="00F84E7D"/>
    <w:rsid w:val="00F85066"/>
    <w:rsid w:val="00F874F8"/>
    <w:rsid w:val="00F87A4D"/>
    <w:rsid w:val="00F90EEB"/>
    <w:rsid w:val="00F9135C"/>
    <w:rsid w:val="00F91B66"/>
    <w:rsid w:val="00F9354A"/>
    <w:rsid w:val="00F93688"/>
    <w:rsid w:val="00F939F3"/>
    <w:rsid w:val="00F93C6E"/>
    <w:rsid w:val="00F93F2C"/>
    <w:rsid w:val="00F947E9"/>
    <w:rsid w:val="00F962AD"/>
    <w:rsid w:val="00F9644E"/>
    <w:rsid w:val="00FA0105"/>
    <w:rsid w:val="00FA05A0"/>
    <w:rsid w:val="00FA0AEF"/>
    <w:rsid w:val="00FA17CC"/>
    <w:rsid w:val="00FA1CFE"/>
    <w:rsid w:val="00FA1EE7"/>
    <w:rsid w:val="00FA1F01"/>
    <w:rsid w:val="00FA26DF"/>
    <w:rsid w:val="00FA2C07"/>
    <w:rsid w:val="00FA32BC"/>
    <w:rsid w:val="00FA3FA8"/>
    <w:rsid w:val="00FA4059"/>
    <w:rsid w:val="00FA4574"/>
    <w:rsid w:val="00FA48A4"/>
    <w:rsid w:val="00FA4CB7"/>
    <w:rsid w:val="00FA5112"/>
    <w:rsid w:val="00FA5526"/>
    <w:rsid w:val="00FA5D4D"/>
    <w:rsid w:val="00FA6CB6"/>
    <w:rsid w:val="00FA70D3"/>
    <w:rsid w:val="00FA7AEC"/>
    <w:rsid w:val="00FB0AEA"/>
    <w:rsid w:val="00FB0EE2"/>
    <w:rsid w:val="00FB1A79"/>
    <w:rsid w:val="00FB1BA4"/>
    <w:rsid w:val="00FB208B"/>
    <w:rsid w:val="00FB2B2D"/>
    <w:rsid w:val="00FB542E"/>
    <w:rsid w:val="00FB5580"/>
    <w:rsid w:val="00FB564F"/>
    <w:rsid w:val="00FB7DBB"/>
    <w:rsid w:val="00FC05F8"/>
    <w:rsid w:val="00FC077B"/>
    <w:rsid w:val="00FC0E5F"/>
    <w:rsid w:val="00FC1070"/>
    <w:rsid w:val="00FC1266"/>
    <w:rsid w:val="00FC1A95"/>
    <w:rsid w:val="00FC1ED4"/>
    <w:rsid w:val="00FC3BEC"/>
    <w:rsid w:val="00FC42C5"/>
    <w:rsid w:val="00FC440B"/>
    <w:rsid w:val="00FC56DE"/>
    <w:rsid w:val="00FC63D9"/>
    <w:rsid w:val="00FC64DE"/>
    <w:rsid w:val="00FC6785"/>
    <w:rsid w:val="00FC684B"/>
    <w:rsid w:val="00FC7D98"/>
    <w:rsid w:val="00FD1135"/>
    <w:rsid w:val="00FD3265"/>
    <w:rsid w:val="00FD3CF7"/>
    <w:rsid w:val="00FD4124"/>
    <w:rsid w:val="00FD4372"/>
    <w:rsid w:val="00FD4916"/>
    <w:rsid w:val="00FD4D12"/>
    <w:rsid w:val="00FD4F73"/>
    <w:rsid w:val="00FD595E"/>
    <w:rsid w:val="00FD6667"/>
    <w:rsid w:val="00FD7802"/>
    <w:rsid w:val="00FD7D3B"/>
    <w:rsid w:val="00FD7FBE"/>
    <w:rsid w:val="00FE27C7"/>
    <w:rsid w:val="00FE2C7E"/>
    <w:rsid w:val="00FE2F78"/>
    <w:rsid w:val="00FE3137"/>
    <w:rsid w:val="00FE346B"/>
    <w:rsid w:val="00FE346F"/>
    <w:rsid w:val="00FE431E"/>
    <w:rsid w:val="00FE460E"/>
    <w:rsid w:val="00FE48E4"/>
    <w:rsid w:val="00FE5466"/>
    <w:rsid w:val="00FE634C"/>
    <w:rsid w:val="00FE6E69"/>
    <w:rsid w:val="00FE6F59"/>
    <w:rsid w:val="00FF01B6"/>
    <w:rsid w:val="00FF0989"/>
    <w:rsid w:val="00FF0F79"/>
    <w:rsid w:val="00FF1136"/>
    <w:rsid w:val="00FF3D76"/>
    <w:rsid w:val="00FF556A"/>
    <w:rsid w:val="00FF5B8C"/>
    <w:rsid w:val="00FF63E6"/>
    <w:rsid w:val="00FF72DC"/>
    <w:rsid w:val="00FF7B96"/>
    <w:rsid w:val="019CB78C"/>
    <w:rsid w:val="0241D284"/>
    <w:rsid w:val="04BD1937"/>
    <w:rsid w:val="0523CDF2"/>
    <w:rsid w:val="06B1A837"/>
    <w:rsid w:val="07FB41B9"/>
    <w:rsid w:val="08A648BF"/>
    <w:rsid w:val="08AB0269"/>
    <w:rsid w:val="0A844D4D"/>
    <w:rsid w:val="0BCD71E1"/>
    <w:rsid w:val="0EBE9DEC"/>
    <w:rsid w:val="0FBB85B6"/>
    <w:rsid w:val="12650F4E"/>
    <w:rsid w:val="1371242A"/>
    <w:rsid w:val="1394E51D"/>
    <w:rsid w:val="14DB2A87"/>
    <w:rsid w:val="15DD577B"/>
    <w:rsid w:val="16EC38E2"/>
    <w:rsid w:val="17178072"/>
    <w:rsid w:val="173F358F"/>
    <w:rsid w:val="17513AF8"/>
    <w:rsid w:val="1812CB49"/>
    <w:rsid w:val="1B53A8C8"/>
    <w:rsid w:val="1BEE6986"/>
    <w:rsid w:val="20D21749"/>
    <w:rsid w:val="2111A021"/>
    <w:rsid w:val="21BE069A"/>
    <w:rsid w:val="224238BC"/>
    <w:rsid w:val="224482AD"/>
    <w:rsid w:val="23E0530E"/>
    <w:rsid w:val="24FC0D77"/>
    <w:rsid w:val="2A0E9F3A"/>
    <w:rsid w:val="2A2A6298"/>
    <w:rsid w:val="2F72CB2D"/>
    <w:rsid w:val="3204B56C"/>
    <w:rsid w:val="36A6CB7D"/>
    <w:rsid w:val="37D604A5"/>
    <w:rsid w:val="38C72AFC"/>
    <w:rsid w:val="3A31F626"/>
    <w:rsid w:val="3AA0BED0"/>
    <w:rsid w:val="3C7646FC"/>
    <w:rsid w:val="3E4A9713"/>
    <w:rsid w:val="3E77F3B4"/>
    <w:rsid w:val="40C3BF09"/>
    <w:rsid w:val="47207A7B"/>
    <w:rsid w:val="48038D4B"/>
    <w:rsid w:val="49E8263C"/>
    <w:rsid w:val="4A567F3C"/>
    <w:rsid w:val="50A35788"/>
    <w:rsid w:val="52944939"/>
    <w:rsid w:val="53942896"/>
    <w:rsid w:val="5536E42E"/>
    <w:rsid w:val="55914544"/>
    <w:rsid w:val="581B14F9"/>
    <w:rsid w:val="58FD3BB8"/>
    <w:rsid w:val="5B145290"/>
    <w:rsid w:val="5CF587E8"/>
    <w:rsid w:val="5DD689BF"/>
    <w:rsid w:val="5E8D8646"/>
    <w:rsid w:val="60B2C930"/>
    <w:rsid w:val="64244C5C"/>
    <w:rsid w:val="64B5C10F"/>
    <w:rsid w:val="661E5011"/>
    <w:rsid w:val="67F8BB57"/>
    <w:rsid w:val="6AEA4E8B"/>
    <w:rsid w:val="6AEC8A78"/>
    <w:rsid w:val="6D951AA9"/>
    <w:rsid w:val="7059F910"/>
    <w:rsid w:val="74248E8F"/>
    <w:rsid w:val="74EA3077"/>
    <w:rsid w:val="754BB0AE"/>
    <w:rsid w:val="75B5B795"/>
    <w:rsid w:val="76D4E0D9"/>
    <w:rsid w:val="78058569"/>
    <w:rsid w:val="785B85D1"/>
    <w:rsid w:val="78E73CD1"/>
    <w:rsid w:val="78EC659F"/>
    <w:rsid w:val="7C941E33"/>
    <w:rsid w:val="7E2BC7B5"/>
    <w:rsid w:val="7F508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D395025"/>
  <w15:docId w15:val="{56910147-D8D0-4759-AD79-65565E20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  <w:style w:type="paragraph" w:customStyle="1" w:styleId="Default">
    <w:name w:val="Default"/>
    <w:rsid w:val="00100A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77A5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Standardnpsmoodstavce"/>
    <w:rsid w:val="006A3CAF"/>
  </w:style>
  <w:style w:type="paragraph" w:customStyle="1" w:styleId="paragraph">
    <w:name w:val="paragraph"/>
    <w:basedOn w:val="Normln"/>
    <w:rsid w:val="006A3CA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eop">
    <w:name w:val="eop"/>
    <w:basedOn w:val="Standardnpsmoodstavce"/>
    <w:rsid w:val="00784980"/>
  </w:style>
  <w:style w:type="character" w:customStyle="1" w:styleId="scxw9398236">
    <w:name w:val="scxw9398236"/>
    <w:basedOn w:val="Standardnpsmoodstavce"/>
    <w:rsid w:val="000D7C6F"/>
  </w:style>
  <w:style w:type="character" w:customStyle="1" w:styleId="superscript">
    <w:name w:val="superscript"/>
    <w:basedOn w:val="Standardnpsmoodstavce"/>
    <w:rsid w:val="000D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2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5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6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1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0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7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2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5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5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9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1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5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abojnikova31519.CZSO\Documents\Anal&#253;za\Q\2023Q3\Makroanal&#253;za%20graf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abojnikova31519.CZSO\Documents\Anal&#253;za\Q\2023Q3\Makroanal&#253;za%20graf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abojnikova31519.CZSO\Documents\Anal&#253;za\Q\2023Q3\Makroanal&#253;za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324257007767701E-2"/>
          <c:y val="2.304663608562698E-2"/>
          <c:w val="0.92008633063154344"/>
          <c:h val="0.741928402566717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'souhrnná výkonnost 1'!$C$4</c:f>
              <c:strCache>
                <c:ptCount val="1"/>
                <c:pt idx="0">
                  <c:v>ČR meziroční změna</c:v>
                </c:pt>
              </c:strCache>
            </c:strRef>
          </c:tx>
          <c:spPr>
            <a:solidFill>
              <a:srgbClr val="A6A6A6"/>
            </a:solidFill>
            <a:ln>
              <a:noFill/>
            </a:ln>
          </c:spPr>
          <c:invertIfNegative val="0"/>
          <c:cat>
            <c:multiLvlStrRef>
              <c:f>'souhrnná výkonnost 1'!$A$29:$B$51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</c:lvl>
              </c:multiLvlStrCache>
            </c:multiLvlStrRef>
          </c:cat>
          <c:val>
            <c:numRef>
              <c:f>'souhrnná výkonnost 1'!$C$29:$C$51</c:f>
              <c:numCache>
                <c:formatCode>0.0</c:formatCode>
                <c:ptCount val="23"/>
                <c:pt idx="0">
                  <c:v>4.7409690869492094</c:v>
                </c:pt>
                <c:pt idx="1">
                  <c:v>2.8084745992628513</c:v>
                </c:pt>
                <c:pt idx="2">
                  <c:v>2.6946757492296172</c:v>
                </c:pt>
                <c:pt idx="3">
                  <c:v>2.6327282626460686</c:v>
                </c:pt>
                <c:pt idx="4">
                  <c:v>2.9925598229108177</c:v>
                </c:pt>
                <c:pt idx="5">
                  <c:v>3.0577797411869398</c:v>
                </c:pt>
                <c:pt idx="6">
                  <c:v>3.0222821330284777</c:v>
                </c:pt>
                <c:pt idx="7">
                  <c:v>2.7919398416799659</c:v>
                </c:pt>
                <c:pt idx="8">
                  <c:v>-1.4737630559722406</c:v>
                </c:pt>
                <c:pt idx="9">
                  <c:v>-10.802828827516109</c:v>
                </c:pt>
                <c:pt idx="10">
                  <c:v>-5.2166971565464166</c:v>
                </c:pt>
                <c:pt idx="11">
                  <c:v>-4.5664791785978451</c:v>
                </c:pt>
                <c:pt idx="12">
                  <c:v>-1.9186413648622118</c:v>
                </c:pt>
                <c:pt idx="13">
                  <c:v>9.179288410047473</c:v>
                </c:pt>
                <c:pt idx="14">
                  <c:v>3.8208995035486284</c:v>
                </c:pt>
                <c:pt idx="15">
                  <c:v>3.4133294018282068</c:v>
                </c:pt>
                <c:pt idx="16">
                  <c:v>4.6827760503125955</c:v>
                </c:pt>
                <c:pt idx="17">
                  <c:v>3.3595353964859953</c:v>
                </c:pt>
                <c:pt idx="18">
                  <c:v>1.3500170189121981</c:v>
                </c:pt>
                <c:pt idx="19">
                  <c:v>0.12011038697296783</c:v>
                </c:pt>
                <c:pt idx="20">
                  <c:v>-0.37781887870443243</c:v>
                </c:pt>
                <c:pt idx="21">
                  <c:v>-0.419832424919932</c:v>
                </c:pt>
                <c:pt idx="22" formatCode="General">
                  <c:v>-0.71929526766406671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D5-40CE-87ED-5DF9CE55C83A}"/>
            </c:ext>
          </c:extLst>
        </c:ser>
        <c:ser>
          <c:idx val="1"/>
          <c:order val="1"/>
          <c:tx>
            <c:strRef>
              <c:f>'souhrnná výkonnost 1'!$D$4</c:f>
              <c:strCache>
                <c:ptCount val="1"/>
                <c:pt idx="0">
                  <c:v>EU27 meziroční změna</c:v>
                </c:pt>
              </c:strCache>
            </c:strRef>
          </c:tx>
          <c:spPr>
            <a:solidFill>
              <a:srgbClr val="808080"/>
            </a:solidFill>
            <a:ln>
              <a:noFill/>
            </a:ln>
          </c:spPr>
          <c:invertIfNegative val="0"/>
          <c:cat>
            <c:multiLvlStrRef>
              <c:f>'souhrnná výkonnost 1'!$A$29:$B$51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</c:lvl>
              </c:multiLvlStrCache>
            </c:multiLvlStrRef>
          </c:cat>
          <c:val>
            <c:numRef>
              <c:f>'souhrnná výkonnost 1'!$D$29:$D$51</c:f>
              <c:numCache>
                <c:formatCode>#\ ##0.##########</c:formatCode>
                <c:ptCount val="23"/>
                <c:pt idx="0">
                  <c:v>2.6</c:v>
                </c:pt>
                <c:pt idx="1">
                  <c:v>2.4</c:v>
                </c:pt>
                <c:pt idx="2">
                  <c:v>1.7000000000000006</c:v>
                </c:pt>
                <c:pt idx="3">
                  <c:v>1.6</c:v>
                </c:pt>
                <c:pt idx="4">
                  <c:v>2.1</c:v>
                </c:pt>
                <c:pt idx="5">
                  <c:v>1.9000000000000001</c:v>
                </c:pt>
                <c:pt idx="6" formatCode="#\ ##0.0">
                  <c:v>2</c:v>
                </c:pt>
                <c:pt idx="7">
                  <c:v>1.4</c:v>
                </c:pt>
                <c:pt idx="8">
                  <c:v>-2.2999999999999998</c:v>
                </c:pt>
                <c:pt idx="9">
                  <c:v>-13.3</c:v>
                </c:pt>
                <c:pt idx="10">
                  <c:v>-3.8</c:v>
                </c:pt>
                <c:pt idx="11">
                  <c:v>-3.7</c:v>
                </c:pt>
                <c:pt idx="12">
                  <c:v>-0.1</c:v>
                </c:pt>
                <c:pt idx="13">
                  <c:v>14.4</c:v>
                </c:pt>
                <c:pt idx="14">
                  <c:v>4.9000000000000004</c:v>
                </c:pt>
                <c:pt idx="15">
                  <c:v>5.5</c:v>
                </c:pt>
                <c:pt idx="16">
                  <c:v>5.6</c:v>
                </c:pt>
                <c:pt idx="17">
                  <c:v>4.2</c:v>
                </c:pt>
                <c:pt idx="18">
                  <c:v>2.5</c:v>
                </c:pt>
                <c:pt idx="19">
                  <c:v>1.7000000000000006</c:v>
                </c:pt>
                <c:pt idx="20">
                  <c:v>1.1000000000000001</c:v>
                </c:pt>
                <c:pt idx="21">
                  <c:v>0.4</c:v>
                </c:pt>
                <c:pt idx="2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D5-40CE-87ED-5DF9CE55C8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axId val="105330944"/>
        <c:axId val="105547264"/>
      </c:barChart>
      <c:lineChart>
        <c:grouping val="standard"/>
        <c:varyColors val="0"/>
        <c:ser>
          <c:idx val="2"/>
          <c:order val="2"/>
          <c:tx>
            <c:strRef>
              <c:f>'souhrnná výkonnost 1'!$E$4</c:f>
              <c:strCache>
                <c:ptCount val="1"/>
                <c:pt idx="0">
                  <c:v>ČR mezičtvrtletní změna</c:v>
                </c:pt>
              </c:strCache>
            </c:strRef>
          </c:tx>
          <c:spPr>
            <a:ln w="19050">
              <a:noFill/>
            </a:ln>
          </c:spPr>
          <c:marker>
            <c:symbol val="dash"/>
            <c:size val="8"/>
            <c:spPr>
              <a:solidFill>
                <a:srgbClr val="0071BC"/>
              </a:solidFill>
              <a:ln>
                <a:noFill/>
              </a:ln>
            </c:spPr>
          </c:marker>
          <c:cat>
            <c:multiLvlStrRef>
              <c:f>'souhrnná výkonnost 1'!$A$29:$B$51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</c:lvl>
              </c:multiLvlStrCache>
            </c:multiLvlStrRef>
          </c:cat>
          <c:val>
            <c:numRef>
              <c:f>'souhrnná výkonnost 1'!$E$29:$E$51</c:f>
              <c:numCache>
                <c:formatCode>0.0</c:formatCode>
                <c:ptCount val="23"/>
                <c:pt idx="0">
                  <c:v>0.51859772519729497</c:v>
                </c:pt>
                <c:pt idx="1">
                  <c:v>0.59123747503038249</c:v>
                </c:pt>
                <c:pt idx="2">
                  <c:v>0.73257343037091971</c:v>
                </c:pt>
                <c:pt idx="3">
                  <c:v>0.76492186562109188</c:v>
                </c:pt>
                <c:pt idx="4">
                  <c:v>0.87101711877043897</c:v>
                </c:pt>
                <c:pt idx="5">
                  <c:v>0.65493675873298651</c:v>
                </c:pt>
                <c:pt idx="6">
                  <c:v>0.697876724994558</c:v>
                </c:pt>
                <c:pt idx="7">
                  <c:v>0.53962669151388942</c:v>
                </c:pt>
                <c:pt idx="8">
                  <c:v>-3.3149705245738472</c:v>
                </c:pt>
                <c:pt idx="9">
                  <c:v>-8.8756873103285532</c:v>
                </c:pt>
                <c:pt idx="10">
                  <c:v>7.0042605595799046</c:v>
                </c:pt>
                <c:pt idx="11">
                  <c:v>1.2293333255930037</c:v>
                </c:pt>
                <c:pt idx="12">
                  <c:v>-0.6324091471488783</c:v>
                </c:pt>
                <c:pt idx="13">
                  <c:v>1.4350510102822782</c:v>
                </c:pt>
                <c:pt idx="14">
                  <c:v>1.7526194188431679</c:v>
                </c:pt>
                <c:pt idx="15">
                  <c:v>0.83193694511574257</c:v>
                </c:pt>
                <c:pt idx="16">
                  <c:v>0.58737418161310051</c:v>
                </c:pt>
                <c:pt idx="17">
                  <c:v>0.15286316349390477</c:v>
                </c:pt>
                <c:pt idx="18">
                  <c:v>-0.22565726268484801</c:v>
                </c:pt>
                <c:pt idx="19">
                  <c:v>-0.39168266154831655</c:v>
                </c:pt>
                <c:pt idx="20">
                  <c:v>8.7121063941907564E-2</c:v>
                </c:pt>
                <c:pt idx="21">
                  <c:v>0.11062581335987436</c:v>
                </c:pt>
                <c:pt idx="22" formatCode="General">
                  <c:v>-0.52570403943400446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DD5-40CE-87ED-5DF9CE55C83A}"/>
            </c:ext>
          </c:extLst>
        </c:ser>
        <c:ser>
          <c:idx val="3"/>
          <c:order val="3"/>
          <c:tx>
            <c:strRef>
              <c:f>'souhrnná výkonnost 1'!$F$4</c:f>
              <c:strCache>
                <c:ptCount val="1"/>
                <c:pt idx="0">
                  <c:v>EU27 mezičtvrtletní změna</c:v>
                </c:pt>
              </c:strCache>
            </c:strRef>
          </c:tx>
          <c:spPr>
            <a:ln w="19050">
              <a:noFill/>
            </a:ln>
          </c:spPr>
          <c:marker>
            <c:symbol val="dash"/>
            <c:size val="8"/>
            <c:spPr>
              <a:solidFill>
                <a:srgbClr val="BD1B21"/>
              </a:solidFill>
              <a:ln>
                <a:noFill/>
              </a:ln>
            </c:spPr>
          </c:marker>
          <c:cat>
            <c:multiLvlStrRef>
              <c:f>'souhrnná výkonnost 1'!$A$29:$B$51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</c:lvl>
              </c:multiLvlStrCache>
            </c:multiLvlStrRef>
          </c:cat>
          <c:val>
            <c:numRef>
              <c:f>'souhrnná výkonnost 1'!$F$29:$F$51</c:f>
              <c:numCache>
                <c:formatCode>#\ ##0.##########</c:formatCode>
                <c:ptCount val="23"/>
                <c:pt idx="0">
                  <c:v>0.2</c:v>
                </c:pt>
                <c:pt idx="1">
                  <c:v>0.60000000000000064</c:v>
                </c:pt>
                <c:pt idx="2">
                  <c:v>0.1</c:v>
                </c:pt>
                <c:pt idx="3">
                  <c:v>0.70000000000000062</c:v>
                </c:pt>
                <c:pt idx="4">
                  <c:v>0.60000000000000064</c:v>
                </c:pt>
                <c:pt idx="5">
                  <c:v>0.4</c:v>
                </c:pt>
                <c:pt idx="6">
                  <c:v>0.2</c:v>
                </c:pt>
                <c:pt idx="7">
                  <c:v>0.1</c:v>
                </c:pt>
                <c:pt idx="8" formatCode="#\ ##0.0">
                  <c:v>-3</c:v>
                </c:pt>
                <c:pt idx="9">
                  <c:v>-10.9</c:v>
                </c:pt>
                <c:pt idx="10">
                  <c:v>11.2</c:v>
                </c:pt>
                <c:pt idx="11">
                  <c:v>0.2</c:v>
                </c:pt>
                <c:pt idx="12">
                  <c:v>0.60000000000000064</c:v>
                </c:pt>
                <c:pt idx="13">
                  <c:v>2.1</c:v>
                </c:pt>
                <c:pt idx="14" formatCode="#\ ##0.0">
                  <c:v>2</c:v>
                </c:pt>
                <c:pt idx="15">
                  <c:v>0.70000000000000062</c:v>
                </c:pt>
                <c:pt idx="16">
                  <c:v>0.70000000000000062</c:v>
                </c:pt>
                <c:pt idx="17">
                  <c:v>0.70000000000000062</c:v>
                </c:pt>
                <c:pt idx="18">
                  <c:v>0.4</c:v>
                </c:pt>
                <c:pt idx="19">
                  <c:v>-0.1</c:v>
                </c:pt>
                <c:pt idx="20">
                  <c:v>0.1</c:v>
                </c:pt>
                <c:pt idx="21" formatCode="#\ ##0.0">
                  <c:v>0</c:v>
                </c:pt>
                <c:pt idx="22" formatCode="#\ ##0.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DD5-40CE-87ED-5DF9CE55C8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5330944"/>
        <c:axId val="105547264"/>
      </c:lineChart>
      <c:catAx>
        <c:axId val="105330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05547264"/>
        <c:crosses val="autoZero"/>
        <c:auto val="1"/>
        <c:lblAlgn val="ctr"/>
        <c:lblOffset val="100"/>
        <c:noMultiLvlLbl val="0"/>
      </c:catAx>
      <c:valAx>
        <c:axId val="105547264"/>
        <c:scaling>
          <c:orientation val="minMax"/>
          <c:max val="15"/>
          <c:min val="-15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05330944"/>
        <c:crosses val="autoZero"/>
        <c:crossBetween val="between"/>
        <c:majorUnit val="3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8431906450523527E-2"/>
          <c:y val="0.89437255125718029"/>
          <c:w val="0.91838441404930771"/>
          <c:h val="9.0301755758791014E-2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629137115839293E-2"/>
          <c:y val="2.8458510079622041E-2"/>
          <c:w val="0.93688386524822698"/>
          <c:h val="0.67476668918158345"/>
        </c:manualLayout>
      </c:layout>
      <c:barChart>
        <c:barDir val="col"/>
        <c:grouping val="stacked"/>
        <c:varyColors val="0"/>
        <c:ser>
          <c:idx val="1"/>
          <c:order val="1"/>
          <c:tx>
            <c:strRef>
              <c:f>'souhrnná výkonnost 3'!$F$5</c:f>
              <c:strCache>
                <c:ptCount val="1"/>
                <c:pt idx="0">
                  <c:v>Bilance zahraničního obchodu</c:v>
                </c:pt>
              </c:strCache>
            </c:strRef>
          </c:tx>
          <c:spPr>
            <a:solidFill>
              <a:srgbClr val="7DBB2D"/>
            </a:solidFill>
            <a:ln>
              <a:noFill/>
            </a:ln>
          </c:spPr>
          <c:invertIfNegative val="0"/>
          <c:cat>
            <c:multiLvlStrRef>
              <c:f>'souhrnná výkonnost 3'!$A$30:$B$52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</c:lvl>
              </c:multiLvlStrCache>
            </c:multiLvlStrRef>
          </c:cat>
          <c:val>
            <c:numRef>
              <c:f>'souhrnná výkonnost 3'!$F$30:$F$52</c:f>
              <c:numCache>
                <c:formatCode>#\ ##0.0</c:formatCode>
                <c:ptCount val="23"/>
                <c:pt idx="0">
                  <c:v>-0.45416719953824236</c:v>
                </c:pt>
                <c:pt idx="1">
                  <c:v>-0.74378891592524266</c:v>
                </c:pt>
                <c:pt idx="2">
                  <c:v>-1.1266373010786321</c:v>
                </c:pt>
                <c:pt idx="3">
                  <c:v>0.26399371013949136</c:v>
                </c:pt>
                <c:pt idx="4">
                  <c:v>-0.10063574701283935</c:v>
                </c:pt>
                <c:pt idx="5">
                  <c:v>1.3529610725744305</c:v>
                </c:pt>
                <c:pt idx="6">
                  <c:v>1.4268251487477539</c:v>
                </c:pt>
                <c:pt idx="7">
                  <c:v>-1.1473798908006598</c:v>
                </c:pt>
                <c:pt idx="8">
                  <c:v>-2.0624772509655744</c:v>
                </c:pt>
                <c:pt idx="9">
                  <c:v>-9.064274960248131</c:v>
                </c:pt>
                <c:pt idx="10">
                  <c:v>-1.0204260219992571</c:v>
                </c:pt>
                <c:pt idx="11">
                  <c:v>2.0095740720498352</c:v>
                </c:pt>
                <c:pt idx="12">
                  <c:v>-0.28507028363562364</c:v>
                </c:pt>
                <c:pt idx="13">
                  <c:v>4.4273326570028857</c:v>
                </c:pt>
                <c:pt idx="14">
                  <c:v>-5.8942461279131582</c:v>
                </c:pt>
                <c:pt idx="15">
                  <c:v>-6.4422946124320806</c:v>
                </c:pt>
                <c:pt idx="16">
                  <c:v>-1.839110198464498</c:v>
                </c:pt>
                <c:pt idx="17">
                  <c:v>0.40419610251387095</c:v>
                </c:pt>
                <c:pt idx="18">
                  <c:v>4.1503989386715165</c:v>
                </c:pt>
                <c:pt idx="19">
                  <c:v>2.8839143571693686</c:v>
                </c:pt>
                <c:pt idx="20">
                  <c:v>2.6828416916448656</c:v>
                </c:pt>
                <c:pt idx="21">
                  <c:v>2.1305493058318561</c:v>
                </c:pt>
                <c:pt idx="22">
                  <c:v>0.26928370236368848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7A-4912-A3C2-754102600CCF}"/>
            </c:ext>
          </c:extLst>
        </c:ser>
        <c:ser>
          <c:idx val="2"/>
          <c:order val="2"/>
          <c:tx>
            <c:strRef>
              <c:f>'souhrnná výkonnost 3'!$H$5</c:f>
              <c:strCache>
                <c:ptCount val="1"/>
                <c:pt idx="0">
                  <c:v>Změna zásob</c:v>
                </c:pt>
              </c:strCache>
            </c:strRef>
          </c:tx>
          <c:spPr>
            <a:solidFill>
              <a:srgbClr val="E8AFB2"/>
            </a:solidFill>
            <a:ln>
              <a:noFill/>
            </a:ln>
          </c:spPr>
          <c:invertIfNegative val="0"/>
          <c:cat>
            <c:multiLvlStrRef>
              <c:f>'souhrnná výkonnost 3'!$A$30:$B$52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</c:lvl>
              </c:multiLvlStrCache>
            </c:multiLvlStrRef>
          </c:cat>
          <c:val>
            <c:numRef>
              <c:f>'souhrnná výkonnost 3'!$H$30:$H$52</c:f>
              <c:numCache>
                <c:formatCode>#\ ##0.0</c:formatCode>
                <c:ptCount val="23"/>
                <c:pt idx="0">
                  <c:v>1.0524813582033086</c:v>
                </c:pt>
                <c:pt idx="1">
                  <c:v>-0.47777606515227167</c:v>
                </c:pt>
                <c:pt idx="2">
                  <c:v>-0.35555734821242635</c:v>
                </c:pt>
                <c:pt idx="3">
                  <c:v>-1.4481535119733133</c:v>
                </c:pt>
                <c:pt idx="4">
                  <c:v>2.9922981882277922E-2</c:v>
                </c:pt>
                <c:pt idx="5">
                  <c:v>-1.2537553229299498</c:v>
                </c:pt>
                <c:pt idx="6">
                  <c:v>-0.57463433558824872</c:v>
                </c:pt>
                <c:pt idx="7">
                  <c:v>1.8085807340728106</c:v>
                </c:pt>
                <c:pt idx="8">
                  <c:v>0.91584880445412986</c:v>
                </c:pt>
                <c:pt idx="9">
                  <c:v>0.66860369572466505</c:v>
                </c:pt>
                <c:pt idx="10">
                  <c:v>-1.5736478906912501</c:v>
                </c:pt>
                <c:pt idx="11">
                  <c:v>-2.0771500306216089</c:v>
                </c:pt>
                <c:pt idx="12">
                  <c:v>2.4159623458993353</c:v>
                </c:pt>
                <c:pt idx="13">
                  <c:v>4.4035123965182708</c:v>
                </c:pt>
                <c:pt idx="14">
                  <c:v>6.5480200971506584</c:v>
                </c:pt>
                <c:pt idx="15">
                  <c:v>5.6378094597142576</c:v>
                </c:pt>
                <c:pt idx="16">
                  <c:v>1.7599138045171958</c:v>
                </c:pt>
                <c:pt idx="17">
                  <c:v>1.6830617792805977</c:v>
                </c:pt>
                <c:pt idx="18">
                  <c:v>-0.13522737694425827</c:v>
                </c:pt>
                <c:pt idx="19">
                  <c:v>6.8011691232444382E-2</c:v>
                </c:pt>
                <c:pt idx="20">
                  <c:v>-0.9797345539072041</c:v>
                </c:pt>
                <c:pt idx="21">
                  <c:v>-2.4398319170718548</c:v>
                </c:pt>
                <c:pt idx="22">
                  <c:v>-2.2521821876331547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17A-4912-A3C2-754102600CCF}"/>
            </c:ext>
          </c:extLst>
        </c:ser>
        <c:ser>
          <c:idx val="3"/>
          <c:order val="3"/>
          <c:tx>
            <c:strRef>
              <c:f>'souhrnná výkonnost 3'!$G$5</c:f>
              <c:strCache>
                <c:ptCount val="1"/>
                <c:pt idx="0">
                  <c:v>Tvorba hrubého fixního kapitálu</c:v>
                </c:pt>
              </c:strCache>
            </c:strRef>
          </c:tx>
          <c:spPr>
            <a:solidFill>
              <a:srgbClr val="BD1B21"/>
            </a:solidFill>
            <a:ln>
              <a:noFill/>
            </a:ln>
          </c:spPr>
          <c:invertIfNegative val="0"/>
          <c:cat>
            <c:multiLvlStrRef>
              <c:f>'souhrnná výkonnost 3'!$A$30:$B$52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</c:lvl>
              </c:multiLvlStrCache>
            </c:multiLvlStrRef>
          </c:cat>
          <c:val>
            <c:numRef>
              <c:f>'souhrnná výkonnost 3'!$G$30:$G$52</c:f>
              <c:numCache>
                <c:formatCode>#\ ##0.0</c:formatCode>
                <c:ptCount val="23"/>
                <c:pt idx="0">
                  <c:v>1.884854699569958</c:v>
                </c:pt>
                <c:pt idx="1">
                  <c:v>2.053547364624257</c:v>
                </c:pt>
                <c:pt idx="2">
                  <c:v>2.2324390876929563</c:v>
                </c:pt>
                <c:pt idx="3">
                  <c:v>1.9592291913679716</c:v>
                </c:pt>
                <c:pt idx="4">
                  <c:v>1.6664742572861304</c:v>
                </c:pt>
                <c:pt idx="5">
                  <c:v>1.1031620490038367</c:v>
                </c:pt>
                <c:pt idx="6">
                  <c:v>0.60351051109238796</c:v>
                </c:pt>
                <c:pt idx="7">
                  <c:v>0.61015699901503451</c:v>
                </c:pt>
                <c:pt idx="8">
                  <c:v>-0.18505385313730408</c:v>
                </c:pt>
                <c:pt idx="9">
                  <c:v>0.26545371936590584</c:v>
                </c:pt>
                <c:pt idx="10">
                  <c:v>-1.1365453004257866</c:v>
                </c:pt>
                <c:pt idx="11">
                  <c:v>-1.5484962788918575</c:v>
                </c:pt>
                <c:pt idx="12">
                  <c:v>-1.1386301164844839</c:v>
                </c:pt>
                <c:pt idx="13">
                  <c:v>-1.6478950671691945</c:v>
                </c:pt>
                <c:pt idx="14">
                  <c:v>0.35561087195381641</c:v>
                </c:pt>
                <c:pt idx="15">
                  <c:v>0.78646457641002898</c:v>
                </c:pt>
                <c:pt idx="16">
                  <c:v>1.2056425074201875</c:v>
                </c:pt>
                <c:pt idx="17">
                  <c:v>0.94551509887167851</c:v>
                </c:pt>
                <c:pt idx="18">
                  <c:v>0.23606202143119698</c:v>
                </c:pt>
                <c:pt idx="19">
                  <c:v>-0.12541596439909741</c:v>
                </c:pt>
                <c:pt idx="20">
                  <c:v>-0.23031184488118941</c:v>
                </c:pt>
                <c:pt idx="21">
                  <c:v>0.99503881966024421</c:v>
                </c:pt>
                <c:pt idx="22">
                  <c:v>1.2000495062693335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17A-4912-A3C2-754102600CCF}"/>
            </c:ext>
          </c:extLst>
        </c:ser>
        <c:ser>
          <c:idx val="5"/>
          <c:order val="4"/>
          <c:tx>
            <c:strRef>
              <c:f>'souhrnná výkonnost 3'!$D$5</c:f>
              <c:strCache>
                <c:ptCount val="1"/>
                <c:pt idx="0">
                  <c:v>Výdaje na konečnou spotřebu domácností (vč. nezisk. inst.)</c:v>
                </c:pt>
              </c:strCache>
            </c:strRef>
          </c:tx>
          <c:spPr>
            <a:solidFill>
              <a:srgbClr val="0071BC"/>
            </a:solidFill>
            <a:ln>
              <a:noFill/>
            </a:ln>
          </c:spPr>
          <c:invertIfNegative val="0"/>
          <c:cat>
            <c:multiLvlStrRef>
              <c:f>'souhrnná výkonnost 3'!$A$30:$B$52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</c:lvl>
              </c:multiLvlStrCache>
            </c:multiLvlStrRef>
          </c:cat>
          <c:val>
            <c:numRef>
              <c:f>'souhrnná výkonnost 3'!$D$30:$D$52</c:f>
              <c:numCache>
                <c:formatCode>#\ ##0.0</c:formatCode>
                <c:ptCount val="23"/>
                <c:pt idx="0">
                  <c:v>1.540080312662943</c:v>
                </c:pt>
                <c:pt idx="1">
                  <c:v>1.2364606818393462</c:v>
                </c:pt>
                <c:pt idx="2">
                  <c:v>0.93963380194395907</c:v>
                </c:pt>
                <c:pt idx="3">
                  <c:v>0.9479187361797885</c:v>
                </c:pt>
                <c:pt idx="4">
                  <c:v>0.89975778114159266</c:v>
                </c:pt>
                <c:pt idx="5">
                  <c:v>1.2410325032352101</c:v>
                </c:pt>
                <c:pt idx="6">
                  <c:v>0.94788645941574889</c:v>
                </c:pt>
                <c:pt idx="7">
                  <c:v>1.3125840520821423</c:v>
                </c:pt>
                <c:pt idx="8">
                  <c:v>-1.0446704916645397</c:v>
                </c:pt>
                <c:pt idx="9">
                  <c:v>-3.3401453756905828</c:v>
                </c:pt>
                <c:pt idx="10">
                  <c:v>-1.8238505965980329</c:v>
                </c:pt>
                <c:pt idx="11">
                  <c:v>-4.3451439574225965</c:v>
                </c:pt>
                <c:pt idx="12">
                  <c:v>-2.8838668819945754</c:v>
                </c:pt>
                <c:pt idx="13">
                  <c:v>1.9930858902923905</c:v>
                </c:pt>
                <c:pt idx="14">
                  <c:v>1.7335129439561141</c:v>
                </c:pt>
                <c:pt idx="15">
                  <c:v>3.2860285615183655</c:v>
                </c:pt>
                <c:pt idx="16">
                  <c:v>3.1132919265413141</c:v>
                </c:pt>
                <c:pt idx="17">
                  <c:v>-0.20478152182535223</c:v>
                </c:pt>
                <c:pt idx="18">
                  <c:v>-2.6249574056935399</c:v>
                </c:pt>
                <c:pt idx="19">
                  <c:v>-2.9076885203083829</c:v>
                </c:pt>
                <c:pt idx="20">
                  <c:v>-2.5131763644201941</c:v>
                </c:pt>
                <c:pt idx="21">
                  <c:v>-1.8012784518924818</c:v>
                </c:pt>
                <c:pt idx="22">
                  <c:v>-0.70873240759317913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17A-4912-A3C2-754102600CCF}"/>
            </c:ext>
          </c:extLst>
        </c:ser>
        <c:ser>
          <c:idx val="4"/>
          <c:order val="5"/>
          <c:tx>
            <c:strRef>
              <c:f>'souhrnná výkonnost 3'!$E$5</c:f>
              <c:strCache>
                <c:ptCount val="1"/>
                <c:pt idx="0">
                  <c:v>Výdaje na konečnou spotřebu vládních institucí</c:v>
                </c:pt>
              </c:strCache>
            </c:strRef>
          </c:tx>
          <c:spPr>
            <a:solidFill>
              <a:srgbClr val="A6CDE8"/>
            </a:solidFill>
            <a:ln>
              <a:noFill/>
            </a:ln>
          </c:spPr>
          <c:invertIfNegative val="0"/>
          <c:cat>
            <c:multiLvlStrRef>
              <c:f>'souhrnná výkonnost 3'!$A$30:$B$52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</c:lvl>
              </c:multiLvlStrCache>
            </c:multiLvlStrRef>
          </c:cat>
          <c:val>
            <c:numRef>
              <c:f>'souhrnná výkonnost 3'!$E$30:$E$52</c:f>
              <c:numCache>
                <c:formatCode>#\ ##0.0</c:formatCode>
                <c:ptCount val="23"/>
                <c:pt idx="0">
                  <c:v>0.59778499254771711</c:v>
                </c:pt>
                <c:pt idx="1">
                  <c:v>0.60746684411638396</c:v>
                </c:pt>
                <c:pt idx="2">
                  <c:v>0.8711455590227708</c:v>
                </c:pt>
                <c:pt idx="3">
                  <c:v>0.78687144586984825</c:v>
                </c:pt>
                <c:pt idx="4">
                  <c:v>0.42281243223978354</c:v>
                </c:pt>
                <c:pt idx="5">
                  <c:v>0.54406400829840962</c:v>
                </c:pt>
                <c:pt idx="6">
                  <c:v>0.5678128516426465</c:v>
                </c:pt>
                <c:pt idx="7">
                  <c:v>0.18039196202538721</c:v>
                </c:pt>
                <c:pt idx="8">
                  <c:v>0.86345208967516851</c:v>
                </c:pt>
                <c:pt idx="9">
                  <c:v>0.63518061172427265</c:v>
                </c:pt>
                <c:pt idx="10">
                  <c:v>0.30945908783825116</c:v>
                </c:pt>
                <c:pt idx="11">
                  <c:v>1.3407546216216222</c:v>
                </c:pt>
                <c:pt idx="12">
                  <c:v>-8.5095004004240526E-2</c:v>
                </c:pt>
                <c:pt idx="13">
                  <c:v>-5.3280721089043984E-2</c:v>
                </c:pt>
                <c:pt idx="14">
                  <c:v>0.99915273207784439</c:v>
                </c:pt>
                <c:pt idx="15">
                  <c:v>6.8585362783250656E-2</c:v>
                </c:pt>
                <c:pt idx="16">
                  <c:v>0.32383662791128426</c:v>
                </c:pt>
                <c:pt idx="17">
                  <c:v>0.37450810976545357</c:v>
                </c:pt>
                <c:pt idx="18">
                  <c:v>-0.41396996520400398</c:v>
                </c:pt>
                <c:pt idx="19">
                  <c:v>8.6105307469658346E-2</c:v>
                </c:pt>
                <c:pt idx="20">
                  <c:v>0.64466139861584093</c:v>
                </c:pt>
                <c:pt idx="21">
                  <c:v>0.71465230902957433</c:v>
                </c:pt>
                <c:pt idx="22">
                  <c:v>0.79678792056436354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17A-4912-A3C2-754102600C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overlap val="100"/>
        <c:axId val="121489280"/>
        <c:axId val="121791232"/>
      </c:barChart>
      <c:lineChart>
        <c:grouping val="standard"/>
        <c:varyColors val="0"/>
        <c:ser>
          <c:idx val="0"/>
          <c:order val="0"/>
          <c:tx>
            <c:strRef>
              <c:f>'souhrnná výkonnost 3'!$C$5</c:f>
              <c:strCache>
                <c:ptCount val="1"/>
                <c:pt idx="0">
                  <c:v>HDP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marker>
            <c:symbol val="none"/>
          </c:marker>
          <c:cat>
            <c:multiLvlStrRef>
              <c:f>'souhrnná výkonnost 3'!$A$30:$B$52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</c:lvl>
              </c:multiLvlStrCache>
            </c:multiLvlStrRef>
          </c:cat>
          <c:val>
            <c:numRef>
              <c:f>'souhrnná výkonnost 3'!$C$30:$C$52</c:f>
              <c:numCache>
                <c:formatCode>#\ ##0.0</c:formatCode>
                <c:ptCount val="23"/>
                <c:pt idx="0">
                  <c:v>4.7410158709829009</c:v>
                </c:pt>
                <c:pt idx="1">
                  <c:v>2.8085121382809888</c:v>
                </c:pt>
                <c:pt idx="2">
                  <c:v>2.6946747602240042</c:v>
                </c:pt>
                <c:pt idx="3">
                  <c:v>2.632738011287671</c:v>
                </c:pt>
                <c:pt idx="4">
                  <c:v>2.9925808638806188</c:v>
                </c:pt>
                <c:pt idx="5">
                  <c:v>3.0577465249692581</c:v>
                </c:pt>
                <c:pt idx="6">
                  <c:v>3.0222812889930282</c:v>
                </c:pt>
                <c:pt idx="7">
                  <c:v>2.7919056462255591</c:v>
                </c:pt>
                <c:pt idx="8">
                  <c:v>-1.4738194413261558</c:v>
                </c:pt>
                <c:pt idx="9">
                  <c:v>-10.802865399708754</c:v>
                </c:pt>
                <c:pt idx="10">
                  <c:v>-5.2167494638705918</c:v>
                </c:pt>
                <c:pt idx="11">
                  <c:v>-4.5664750245340713</c:v>
                </c:pt>
                <c:pt idx="12">
                  <c:v>-1.9186323159540564</c:v>
                </c:pt>
                <c:pt idx="13">
                  <c:v>9.17929312195146</c:v>
                </c:pt>
                <c:pt idx="14">
                  <c:v>3.8209037046074203</c:v>
                </c:pt>
                <c:pt idx="15">
                  <c:v>3.4133373401856804</c:v>
                </c:pt>
                <c:pt idx="16">
                  <c:v>4.6828065809266475</c:v>
                </c:pt>
                <c:pt idx="17">
                  <c:v>3.3595998605536987</c:v>
                </c:pt>
                <c:pt idx="18">
                  <c:v>1.3500706587594058</c:v>
                </c:pt>
                <c:pt idx="19">
                  <c:v>0.1200974401158704</c:v>
                </c:pt>
                <c:pt idx="20">
                  <c:v>-0.37782437260615653</c:v>
                </c:pt>
                <c:pt idx="21">
                  <c:v>-0.41984013172869117</c:v>
                </c:pt>
                <c:pt idx="22">
                  <c:v>-0.71931017296120059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817A-4912-A3C2-754102600C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489280"/>
        <c:axId val="121791232"/>
      </c:lineChart>
      <c:catAx>
        <c:axId val="121489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21791232"/>
        <c:crosses val="autoZero"/>
        <c:auto val="1"/>
        <c:lblAlgn val="ctr"/>
        <c:lblOffset val="100"/>
        <c:noMultiLvlLbl val="0"/>
      </c:catAx>
      <c:valAx>
        <c:axId val="121791232"/>
        <c:scaling>
          <c:orientation val="minMax"/>
          <c:max val="12"/>
          <c:min val="-14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#,##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21489280"/>
        <c:crosses val="autoZero"/>
        <c:crossBetween val="between"/>
        <c:majorUnit val="2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4.7571766295170556E-2"/>
          <c:y val="0.81445992344928564"/>
          <c:w val="0.9443262411347515"/>
          <c:h val="0.17481734774287994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126857480580875E-2"/>
          <c:y val="2.9499886988623578E-2"/>
          <c:w val="0.9260266801756164"/>
          <c:h val="0.63445260610154264"/>
        </c:manualLayout>
      </c:layout>
      <c:barChart>
        <c:barDir val="col"/>
        <c:grouping val="stacked"/>
        <c:varyColors val="0"/>
        <c:ser>
          <c:idx val="4"/>
          <c:order val="0"/>
          <c:tx>
            <c:strRef>
              <c:f>'souhrnná výkonnost 4'!$C$5</c:f>
              <c:strCache>
                <c:ptCount val="1"/>
                <c:pt idx="0">
                  <c:v>Zemědělství, lesnictví a rybářství</c:v>
                </c:pt>
              </c:strCache>
            </c:strRef>
          </c:tx>
          <c:spPr>
            <a:solidFill>
              <a:srgbClr val="0071BC"/>
            </a:solidFill>
            <a:ln>
              <a:noFill/>
            </a:ln>
          </c:spPr>
          <c:invertIfNegative val="0"/>
          <c:val>
            <c:numRef>
              <c:f>'souhrnná výkonnost 4'!$C$30:$C$52</c:f>
              <c:numCache>
                <c:formatCode>#\ ##0.0</c:formatCode>
                <c:ptCount val="23"/>
                <c:pt idx="0">
                  <c:v>3.2678809349882994E-2</c:v>
                </c:pt>
                <c:pt idx="1">
                  <c:v>7.1043352951455641E-2</c:v>
                </c:pt>
                <c:pt idx="2">
                  <c:v>0.13147416955081714</c:v>
                </c:pt>
                <c:pt idx="3">
                  <c:v>0.1355750838589089</c:v>
                </c:pt>
                <c:pt idx="4">
                  <c:v>7.3815312527439711E-2</c:v>
                </c:pt>
                <c:pt idx="5">
                  <c:v>8.6198359198018548E-2</c:v>
                </c:pt>
                <c:pt idx="6">
                  <c:v>0.10932770534860808</c:v>
                </c:pt>
                <c:pt idx="7">
                  <c:v>0.13255154938774669</c:v>
                </c:pt>
                <c:pt idx="8">
                  <c:v>0.21545052259669276</c:v>
                </c:pt>
                <c:pt idx="9">
                  <c:v>0.23619938628539758</c:v>
                </c:pt>
                <c:pt idx="10">
                  <c:v>0.24181149955858294</c:v>
                </c:pt>
                <c:pt idx="11">
                  <c:v>0.21681429221385648</c:v>
                </c:pt>
                <c:pt idx="12">
                  <c:v>-0.19657363835640351</c:v>
                </c:pt>
                <c:pt idx="13">
                  <c:v>-0.34178536991297342</c:v>
                </c:pt>
                <c:pt idx="14">
                  <c:v>-0.37570182006417735</c:v>
                </c:pt>
                <c:pt idx="15">
                  <c:v>-0.37221295215760858</c:v>
                </c:pt>
                <c:pt idx="16">
                  <c:v>-0.16234638940102447</c:v>
                </c:pt>
                <c:pt idx="17">
                  <c:v>-0.13442866084554098</c:v>
                </c:pt>
                <c:pt idx="18">
                  <c:v>-0.14434356404006071</c:v>
                </c:pt>
                <c:pt idx="19">
                  <c:v>-0.23576011287971271</c:v>
                </c:pt>
                <c:pt idx="20">
                  <c:v>-5.1737137498792121E-2</c:v>
                </c:pt>
                <c:pt idx="21">
                  <c:v>-3.8669417225782141E-2</c:v>
                </c:pt>
                <c:pt idx="22">
                  <c:v>-2.5235995276039119E-2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04-44DC-AA6D-5A2206400528}"/>
            </c:ext>
          </c:extLst>
        </c:ser>
        <c:ser>
          <c:idx val="3"/>
          <c:order val="1"/>
          <c:tx>
            <c:strRef>
              <c:f>'souhrnná výkonnost 4'!$D$5</c:f>
              <c:strCache>
                <c:ptCount val="1"/>
                <c:pt idx="0">
                  <c:v>Zpracovatelský průmysl (CZ-NACE C)</c:v>
                </c:pt>
              </c:strCache>
            </c:strRef>
          </c:tx>
          <c:spPr>
            <a:solidFill>
              <a:srgbClr val="A6CDE8"/>
            </a:solidFill>
            <a:ln>
              <a:noFill/>
            </a:ln>
          </c:spPr>
          <c:invertIfNegative val="0"/>
          <c:val>
            <c:numRef>
              <c:f>'souhrnná výkonnost 4'!$D$30:$D$52</c:f>
              <c:numCache>
                <c:formatCode>#\ ##0.0</c:formatCode>
                <c:ptCount val="23"/>
                <c:pt idx="0">
                  <c:v>1.49104591482017</c:v>
                </c:pt>
                <c:pt idx="1">
                  <c:v>0.13833830178262282</c:v>
                </c:pt>
                <c:pt idx="2">
                  <c:v>1.1371114606629321E-2</c:v>
                </c:pt>
                <c:pt idx="3">
                  <c:v>0.33553515446267096</c:v>
                </c:pt>
                <c:pt idx="4">
                  <c:v>0.79394406110374971</c:v>
                </c:pt>
                <c:pt idx="5">
                  <c:v>1.3559231668786855</c:v>
                </c:pt>
                <c:pt idx="6">
                  <c:v>1.3631060989469754</c:v>
                </c:pt>
                <c:pt idx="7">
                  <c:v>0.99560862159706953</c:v>
                </c:pt>
                <c:pt idx="8">
                  <c:v>-1.168057523172517</c:v>
                </c:pt>
                <c:pt idx="9">
                  <c:v>-5.8896682937773726</c:v>
                </c:pt>
                <c:pt idx="10">
                  <c:v>-2.5137505183360016</c:v>
                </c:pt>
                <c:pt idx="11">
                  <c:v>-1.8978845716379917</c:v>
                </c:pt>
                <c:pt idx="12">
                  <c:v>0.17537901886028953</c:v>
                </c:pt>
                <c:pt idx="13">
                  <c:v>4.9740222929440359</c:v>
                </c:pt>
                <c:pt idx="14">
                  <c:v>0.20509799209873486</c:v>
                </c:pt>
                <c:pt idx="15">
                  <c:v>-0.48173040936348782</c:v>
                </c:pt>
                <c:pt idx="16">
                  <c:v>0.83288419096617161</c:v>
                </c:pt>
                <c:pt idx="17">
                  <c:v>1.2132518080186516</c:v>
                </c:pt>
                <c:pt idx="18">
                  <c:v>2.1267494750096785</c:v>
                </c:pt>
                <c:pt idx="19">
                  <c:v>2.7466658745830967</c:v>
                </c:pt>
                <c:pt idx="20">
                  <c:v>0.90544085285447806</c:v>
                </c:pt>
                <c:pt idx="21">
                  <c:v>0.57526517926545317</c:v>
                </c:pt>
                <c:pt idx="22">
                  <c:v>-6.9011142227570085E-2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04-44DC-AA6D-5A2206400528}"/>
            </c:ext>
          </c:extLst>
        </c:ser>
        <c:ser>
          <c:idx val="2"/>
          <c:order val="2"/>
          <c:tx>
            <c:strRef>
              <c:f>'souhrnná výkonnost 4'!$E$5</c:f>
              <c:strCache>
                <c:ptCount val="1"/>
                <c:pt idx="0">
                  <c:v>Ostatní průmyslová odvětví (CZ-NACE B, D, E)</c:v>
                </c:pt>
              </c:strCache>
            </c:strRef>
          </c:tx>
          <c:spPr>
            <a:solidFill>
              <a:srgbClr val="BD1B21"/>
            </a:solidFill>
            <a:ln>
              <a:noFill/>
            </a:ln>
          </c:spPr>
          <c:invertIfNegative val="0"/>
          <c:val>
            <c:numRef>
              <c:f>'souhrnná výkonnost 4'!$E$30:$E$52</c:f>
              <c:numCache>
                <c:formatCode>#\ ##0.0</c:formatCode>
                <c:ptCount val="23"/>
                <c:pt idx="0">
                  <c:v>-8.4827402194146473E-2</c:v>
                </c:pt>
                <c:pt idx="1">
                  <c:v>-2.6313910996506903E-3</c:v>
                </c:pt>
                <c:pt idx="2" formatCode="General">
                  <c:v>9.1594113054016754E-2</c:v>
                </c:pt>
                <c:pt idx="3" formatCode="General">
                  <c:v>-2.3532244840282983E-2</c:v>
                </c:pt>
                <c:pt idx="4" formatCode="General">
                  <c:v>-0.22319978862492373</c:v>
                </c:pt>
                <c:pt idx="5" formatCode="General">
                  <c:v>-0.42608130827198082</c:v>
                </c:pt>
                <c:pt idx="6" formatCode="General">
                  <c:v>-0.63322416622310196</c:v>
                </c:pt>
                <c:pt idx="7" formatCode="General">
                  <c:v>-0.47005936665406084</c:v>
                </c:pt>
                <c:pt idx="8" formatCode="General">
                  <c:v>-0.39879519059346102</c:v>
                </c:pt>
                <c:pt idx="9" formatCode="General">
                  <c:v>-0.29594961815162701</c:v>
                </c:pt>
                <c:pt idx="10" formatCode="General">
                  <c:v>3.6558427102720191E-2</c:v>
                </c:pt>
                <c:pt idx="11" formatCode="General">
                  <c:v>0.49474509851361503</c:v>
                </c:pt>
                <c:pt idx="12" formatCode="General">
                  <c:v>0.10268524637411176</c:v>
                </c:pt>
                <c:pt idx="13" formatCode="General">
                  <c:v>0.15208374901925303</c:v>
                </c:pt>
                <c:pt idx="14" formatCode="General">
                  <c:v>-8.3157118283756312E-2</c:v>
                </c:pt>
                <c:pt idx="15" formatCode="General">
                  <c:v>-0.23038326613496624</c:v>
                </c:pt>
                <c:pt idx="16" formatCode="General">
                  <c:v>-0.96496939035385765</c:v>
                </c:pt>
                <c:pt idx="17" formatCode="General">
                  <c:v>-1.0281885364300396</c:v>
                </c:pt>
                <c:pt idx="18" formatCode="General">
                  <c:v>-1.0754299799558713</c:v>
                </c:pt>
                <c:pt idx="19" formatCode="General">
                  <c:v>-1.8164022619582592</c:v>
                </c:pt>
                <c:pt idx="20" formatCode="General">
                  <c:v>-0.45507855968465266</c:v>
                </c:pt>
                <c:pt idx="21" formatCode="General">
                  <c:v>-0.55947298291534953</c:v>
                </c:pt>
                <c:pt idx="22" formatCode="General">
                  <c:v>-0.38250746569803906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104-44DC-AA6D-5A2206400528}"/>
            </c:ext>
          </c:extLst>
        </c:ser>
        <c:ser>
          <c:idx val="1"/>
          <c:order val="3"/>
          <c:tx>
            <c:strRef>
              <c:f>'souhrnná výkonnost 4'!$F$5</c:f>
              <c:strCache>
                <c:ptCount val="1"/>
                <c:pt idx="0">
                  <c:v>Stavebnictví</c:v>
                </c:pt>
              </c:strCache>
            </c:strRef>
          </c:tx>
          <c:spPr>
            <a:solidFill>
              <a:srgbClr val="E8AFB2"/>
            </a:solidFill>
            <a:ln>
              <a:noFill/>
            </a:ln>
          </c:spPr>
          <c:invertIfNegative val="0"/>
          <c:val>
            <c:numRef>
              <c:f>'souhrnná výkonnost 4'!$F$30:$F$52</c:f>
              <c:numCache>
                <c:formatCode>#\ ##0.0</c:formatCode>
                <c:ptCount val="23"/>
                <c:pt idx="0">
                  <c:v>0.12203771789133691</c:v>
                </c:pt>
                <c:pt idx="1">
                  <c:v>2.721405326342801E-3</c:v>
                </c:pt>
                <c:pt idx="2">
                  <c:v>-1.6093365386526861E-2</c:v>
                </c:pt>
                <c:pt idx="3">
                  <c:v>-0.11938213609361673</c:v>
                </c:pt>
                <c:pt idx="4">
                  <c:v>-0.15414075128507621</c:v>
                </c:pt>
                <c:pt idx="5">
                  <c:v>-4.3532590886408554E-2</c:v>
                </c:pt>
                <c:pt idx="6">
                  <c:v>-0.10941238277351652</c:v>
                </c:pt>
                <c:pt idx="7">
                  <c:v>-9.8598207180954411E-2</c:v>
                </c:pt>
                <c:pt idx="8">
                  <c:v>-0.33875372028708373</c:v>
                </c:pt>
                <c:pt idx="9">
                  <c:v>-0.70304287917967145</c:v>
                </c:pt>
                <c:pt idx="10">
                  <c:v>-0.63194153032185796</c:v>
                </c:pt>
                <c:pt idx="11">
                  <c:v>-0.61557506939559248</c:v>
                </c:pt>
                <c:pt idx="12">
                  <c:v>-0.50618553672420052</c:v>
                </c:pt>
                <c:pt idx="13">
                  <c:v>-8.0324212744330645E-2</c:v>
                </c:pt>
                <c:pt idx="14">
                  <c:v>-5.5314929764280884E-3</c:v>
                </c:pt>
                <c:pt idx="15">
                  <c:v>-4.5147882953895054E-2</c:v>
                </c:pt>
                <c:pt idx="16">
                  <c:v>-7.9624117393123084E-2</c:v>
                </c:pt>
                <c:pt idx="17">
                  <c:v>-0.2752367782299015</c:v>
                </c:pt>
                <c:pt idx="18">
                  <c:v>-0.50021356452078947</c:v>
                </c:pt>
                <c:pt idx="19">
                  <c:v>-0.5002872032383201</c:v>
                </c:pt>
                <c:pt idx="20">
                  <c:v>-0.2897511679957343</c:v>
                </c:pt>
                <c:pt idx="21">
                  <c:v>-0.13433431811417004</c:v>
                </c:pt>
                <c:pt idx="22">
                  <c:v>-3.3110379011137933E-2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104-44DC-AA6D-5A2206400528}"/>
            </c:ext>
          </c:extLst>
        </c:ser>
        <c:ser>
          <c:idx val="0"/>
          <c:order val="4"/>
          <c:tx>
            <c:strRef>
              <c:f>'souhrnná výkonnost 4'!$G$5</c:f>
              <c:strCache>
                <c:ptCount val="1"/>
                <c:pt idx="0">
                  <c:v>Služby (CZ-NACE G až U)</c:v>
                </c:pt>
              </c:strCache>
            </c:strRef>
          </c:tx>
          <c:spPr>
            <a:solidFill>
              <a:srgbClr val="7DBB2D"/>
            </a:solidFill>
            <a:ln>
              <a:noFill/>
            </a:ln>
          </c:spPr>
          <c:invertIfNegative val="0"/>
          <c:val>
            <c:numRef>
              <c:f>'souhrnná výkonnost 4'!$G$30:$G$52</c:f>
              <c:numCache>
                <c:formatCode>#\ ##0.0</c:formatCode>
                <c:ptCount val="23"/>
                <c:pt idx="0">
                  <c:v>3.1237068943138597</c:v>
                </c:pt>
                <c:pt idx="1">
                  <c:v>2.7517321166092374</c:v>
                </c:pt>
                <c:pt idx="2" formatCode="General">
                  <c:v>2.7131816334348331</c:v>
                </c:pt>
                <c:pt idx="3" formatCode="General">
                  <c:v>2.6018048024583842</c:v>
                </c:pt>
                <c:pt idx="4" formatCode="General">
                  <c:v>2.4822220084523612</c:v>
                </c:pt>
                <c:pt idx="5" formatCode="General">
                  <c:v>2.1921234953504332</c:v>
                </c:pt>
                <c:pt idx="6" formatCode="General">
                  <c:v>2.1636986023312041</c:v>
                </c:pt>
                <c:pt idx="7" formatCode="General">
                  <c:v>2.1557420268059597</c:v>
                </c:pt>
                <c:pt idx="8" formatCode="General">
                  <c:v>0.58107492482466483</c:v>
                </c:pt>
                <c:pt idx="9" formatCode="General">
                  <c:v>-4.3400754756564135</c:v>
                </c:pt>
                <c:pt idx="10" formatCode="General">
                  <c:v>-1.9966606979356536</c:v>
                </c:pt>
                <c:pt idx="11" formatCode="General">
                  <c:v>-2.3417286799070345</c:v>
                </c:pt>
                <c:pt idx="12" formatCode="General">
                  <c:v>-1.4413683522936211</c:v>
                </c:pt>
                <c:pt idx="13" formatCode="General">
                  <c:v>4.6756952859719902</c:v>
                </c:pt>
                <c:pt idx="14" formatCode="General">
                  <c:v>3.758749287293734</c:v>
                </c:pt>
                <c:pt idx="15" formatCode="General">
                  <c:v>4.1104404660252181</c:v>
                </c:pt>
                <c:pt idx="16" formatCode="General">
                  <c:v>4.4078314303948014</c:v>
                </c:pt>
                <c:pt idx="17" formatCode="General">
                  <c:v>3.4337768421922812</c:v>
                </c:pt>
                <c:pt idx="18" formatCode="General">
                  <c:v>0.99886480410734668</c:v>
                </c:pt>
                <c:pt idx="19" formatCode="General">
                  <c:v>0.62822985446220803</c:v>
                </c:pt>
                <c:pt idx="20" formatCode="General">
                  <c:v>0.91937198855582269</c:v>
                </c:pt>
                <c:pt idx="21" formatCode="General">
                  <c:v>0.44322330876594335</c:v>
                </c:pt>
                <c:pt idx="22" formatCode="General">
                  <c:v>0.40041202931675934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104-44DC-AA6D-5A22064005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overlap val="100"/>
        <c:axId val="39276544"/>
        <c:axId val="39278080"/>
      </c:barChart>
      <c:lineChart>
        <c:grouping val="standard"/>
        <c:varyColors val="0"/>
        <c:ser>
          <c:idx val="5"/>
          <c:order val="5"/>
          <c:tx>
            <c:strRef>
              <c:f>'souhrnná výkonnost 4'!$H$5</c:f>
              <c:strCache>
                <c:ptCount val="1"/>
                <c:pt idx="0">
                  <c:v>Hrubá přidaná hodnota celkem</c:v>
                </c:pt>
              </c:strCache>
            </c:strRef>
          </c:tx>
          <c:spPr>
            <a:ln w="19050">
              <a:solidFill>
                <a:prstClr val="black"/>
              </a:solidFill>
            </a:ln>
          </c:spPr>
          <c:marker>
            <c:symbol val="none"/>
          </c:marker>
          <c:cat>
            <c:multiLvlStrRef>
              <c:f>'souhrnná výkonnost 4'!$A$30:$B$52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2018</c:v>
                  </c:pt>
                  <c:pt idx="4">
                    <c:v>2019</c:v>
                  </c:pt>
                  <c:pt idx="8">
                    <c:v>2020</c:v>
                  </c:pt>
                  <c:pt idx="12">
                    <c:v>2021</c:v>
                  </c:pt>
                  <c:pt idx="16">
                    <c:v>2022</c:v>
                  </c:pt>
                  <c:pt idx="20">
                    <c:v>2023</c:v>
                  </c:pt>
                </c:lvl>
              </c:multiLvlStrCache>
            </c:multiLvlStrRef>
          </c:cat>
          <c:val>
            <c:numRef>
              <c:f>'souhrnná výkonnost 4'!$H$30:$H$52</c:f>
              <c:numCache>
                <c:formatCode>#\ ##0.0</c:formatCode>
                <c:ptCount val="23"/>
                <c:pt idx="0">
                  <c:v>4.7958884315215471</c:v>
                </c:pt>
                <c:pt idx="1">
                  <c:v>2.9611349370848932</c:v>
                </c:pt>
                <c:pt idx="2">
                  <c:v>2.9313757908427505</c:v>
                </c:pt>
                <c:pt idx="3">
                  <c:v>2.9300970074841501</c:v>
                </c:pt>
                <c:pt idx="4">
                  <c:v>2.9726357886500532</c:v>
                </c:pt>
                <c:pt idx="5">
                  <c:v>3.1648414337946034</c:v>
                </c:pt>
                <c:pt idx="6">
                  <c:v>2.8935535187896448</c:v>
                </c:pt>
                <c:pt idx="7">
                  <c:v>2.7150260301270781</c:v>
                </c:pt>
                <c:pt idx="8">
                  <c:v>-1.1091532796304051</c:v>
                </c:pt>
                <c:pt idx="9">
                  <c:v>-10.992463627261657</c:v>
                </c:pt>
                <c:pt idx="10">
                  <c:v>-4.863890979571984</c:v>
                </c:pt>
                <c:pt idx="11">
                  <c:v>-4.1436644792680095</c:v>
                </c:pt>
                <c:pt idx="12">
                  <c:v>-1.8659927600573798</c:v>
                </c:pt>
                <c:pt idx="13">
                  <c:v>9.3795330142279862</c:v>
                </c:pt>
                <c:pt idx="14">
                  <c:v>3.4995046714904281</c:v>
                </c:pt>
                <c:pt idx="15">
                  <c:v>2.9809101848340589</c:v>
                </c:pt>
                <c:pt idx="16">
                  <c:v>4.0336725177132324</c:v>
                </c:pt>
                <c:pt idx="17">
                  <c:v>3.2093274629342154</c:v>
                </c:pt>
                <c:pt idx="18">
                  <c:v>1.4055555931354875</c:v>
                </c:pt>
                <c:pt idx="19">
                  <c:v>0.82246982529750312</c:v>
                </c:pt>
                <c:pt idx="20">
                  <c:v>1.0281922882651444</c:v>
                </c:pt>
                <c:pt idx="21">
                  <c:v>0.28592155293176802</c:v>
                </c:pt>
                <c:pt idx="22">
                  <c:v>-0.10931495130023458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B104-44DC-AA6D-5A22064005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276544"/>
        <c:axId val="39278080"/>
      </c:lineChart>
      <c:catAx>
        <c:axId val="39276544"/>
        <c:scaling>
          <c:orientation val="minMax"/>
        </c:scaling>
        <c:delete val="0"/>
        <c:axPos val="b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39278080"/>
        <c:crosses val="autoZero"/>
        <c:auto val="1"/>
        <c:lblAlgn val="ctr"/>
        <c:lblOffset val="100"/>
        <c:noMultiLvlLbl val="0"/>
      </c:catAx>
      <c:valAx>
        <c:axId val="39278080"/>
        <c:scaling>
          <c:orientation val="minMax"/>
          <c:max val="10"/>
          <c:min val="-12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39276544"/>
        <c:crosses val="autoZero"/>
        <c:crossBetween val="between"/>
        <c:majorUnit val="2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4144292468760548E-2"/>
          <c:y val="0.79016604750647301"/>
          <c:w val="0.92386482607227283"/>
          <c:h val="0.19462484520994924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1BBA9E39CFCF469C5C18733081B222" ma:contentTypeVersion="5" ma:contentTypeDescription="Vytvoří nový dokument" ma:contentTypeScope="" ma:versionID="ba9ac22ffeb23664e7e881489bfb3a01">
  <xsd:schema xmlns:xsd="http://www.w3.org/2001/XMLSchema" xmlns:xs="http://www.w3.org/2001/XMLSchema" xmlns:p="http://schemas.microsoft.com/office/2006/metadata/properties" xmlns:ns2="eabc42bd-08fe-4a27-9645-04f6ad96d74a" xmlns:ns3="ea86e659-3cf4-4ff9-8d76-72c2490bfb13" targetNamespace="http://schemas.microsoft.com/office/2006/metadata/properties" ma:root="true" ma:fieldsID="452515690196c05a9ccc85c20d106231" ns2:_="" ns3:_="">
    <xsd:import namespace="eabc42bd-08fe-4a27-9645-04f6ad96d74a"/>
    <xsd:import namespace="ea86e659-3cf4-4ff9-8d76-72c2490bfb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c42bd-08fe-4a27-9645-04f6ad96d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6e659-3cf4-4ff9-8d76-72c2490bf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7845-9EC0-4146-9549-159178297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c42bd-08fe-4a27-9645-04f6ad96d74a"/>
    <ds:schemaRef ds:uri="ea86e659-3cf4-4ff9-8d76-72c2490bf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7926D-EFC2-4F8B-B71C-495191F49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238702-393C-4E0B-95FC-6397490058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39EDB9-87E9-42DB-B7D8-24D146BE544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9259AD9-FDFE-43B9-AE50-62036677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5</TotalTime>
  <Pages>1</Pages>
  <Words>1587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Karolína Súkupová</dc:creator>
  <cp:keywords/>
  <dc:description/>
  <cp:lastModifiedBy>Zábojníková Karolína</cp:lastModifiedBy>
  <cp:revision>6</cp:revision>
  <cp:lastPrinted>2023-06-09T17:23:00Z</cp:lastPrinted>
  <dcterms:created xsi:type="dcterms:W3CDTF">2023-12-15T10:09:00Z</dcterms:created>
  <dcterms:modified xsi:type="dcterms:W3CDTF">2023-12-15T10:19:00Z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0x010100331BBA9E39CFCF469C5C18733081B222</vt:lpwstr>
  </property>
</Properties>
</file>