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B0" w:rsidRPr="00360DE3" w:rsidRDefault="00E212C9" w:rsidP="00141782">
      <w:pPr>
        <w:pStyle w:val="Nadpis1"/>
        <w:rPr>
          <w:lang w:eastAsia="en-US"/>
        </w:rPr>
      </w:pPr>
      <w:bookmarkStart w:id="0" w:name="_Toc527639488"/>
      <w:r w:rsidRPr="00360DE3">
        <w:rPr>
          <w:lang w:eastAsia="en-US"/>
        </w:rPr>
        <w:t>16</w:t>
      </w:r>
      <w:r w:rsidR="00141782" w:rsidRPr="00360DE3">
        <w:rPr>
          <w:lang w:eastAsia="en-US"/>
        </w:rPr>
        <w:t>. Pro</w:t>
      </w:r>
      <w:r w:rsidR="003B4331">
        <w:rPr>
          <w:lang w:eastAsia="en-US"/>
        </w:rPr>
        <w:t>fesní, vědecké, technické a administrativní</w:t>
      </w:r>
      <w:r w:rsidR="00141782" w:rsidRPr="00360DE3">
        <w:rPr>
          <w:lang w:eastAsia="en-US"/>
        </w:rPr>
        <w:t xml:space="preserve"> činnosti</w:t>
      </w:r>
      <w:bookmarkEnd w:id="0"/>
    </w:p>
    <w:tbl>
      <w:tblPr>
        <w:tblW w:w="9644" w:type="dxa"/>
        <w:tblInd w:w="-1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76"/>
        <w:gridCol w:w="277"/>
        <w:gridCol w:w="7391"/>
      </w:tblGrid>
      <w:tr w:rsidR="0063201A" w:rsidRPr="00360DE3" w:rsidTr="00DC37E3">
        <w:trPr>
          <w:trHeight w:val="145"/>
        </w:trPr>
        <w:tc>
          <w:tcPr>
            <w:tcW w:w="1976" w:type="dxa"/>
          </w:tcPr>
          <w:p w:rsidR="0063201A" w:rsidRPr="00360DE3" w:rsidRDefault="0063201A" w:rsidP="00DC37E3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Profesní, vědecké, technické a administrativní činnosti mají značně různorodý charakter.</w:t>
            </w:r>
          </w:p>
          <w:p w:rsidR="0063201A" w:rsidRPr="00360DE3" w:rsidRDefault="0063201A" w:rsidP="00DC37E3">
            <w:pPr>
              <w:pStyle w:val="Marginlie"/>
              <w:rPr>
                <w:spacing w:val="0"/>
              </w:rPr>
            </w:pPr>
          </w:p>
          <w:p w:rsidR="0063201A" w:rsidRPr="00360DE3" w:rsidRDefault="0063201A" w:rsidP="00DC37E3">
            <w:pPr>
              <w:pStyle w:val="Marginlie"/>
              <w:rPr>
                <w:spacing w:val="0"/>
              </w:rPr>
            </w:pPr>
          </w:p>
          <w:p w:rsidR="001D70E9" w:rsidRPr="00360DE3" w:rsidRDefault="001D70E9" w:rsidP="00DC37E3">
            <w:pPr>
              <w:pStyle w:val="Marginlie"/>
              <w:rPr>
                <w:spacing w:val="0"/>
              </w:rPr>
            </w:pPr>
          </w:p>
          <w:p w:rsidR="0063201A" w:rsidRPr="00360DE3" w:rsidRDefault="0063201A" w:rsidP="00DC37E3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</w:tcPr>
          <w:p w:rsidR="0063201A" w:rsidRPr="00360DE3" w:rsidRDefault="0063201A" w:rsidP="00DC37E3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63201A" w:rsidRPr="00360DE3" w:rsidRDefault="0063201A" w:rsidP="0043211B">
            <w:r w:rsidRPr="00360DE3">
              <w:t>Uskupení odvětví profesní, vědecké, technické a administrativní činnosti</w:t>
            </w:r>
            <w:r w:rsidRPr="00360DE3">
              <w:rPr>
                <w:rStyle w:val="Znakapoznpodarou"/>
              </w:rPr>
              <w:footnoteReference w:id="1"/>
            </w:r>
            <w:r w:rsidRPr="00360DE3">
              <w:t>, poskytující služby především podnikové sféře, představuje značně různorodý celek. Jeho dílčí odvětví se liší jak z pohledu sofistikovanosti produkovaných služeb, nároků na lidské zdroje či výši jejich odměňování, tak i strukturou ekonomických subjektů v nich působících (zastoupením nefinančních podniků, drobných podnikatelů, vládních institucí, rolí zahraničního kapitálu aj.)</w:t>
            </w:r>
            <w:r w:rsidRPr="00360DE3">
              <w:rPr>
                <w:rStyle w:val="Znakapoznpodarou"/>
              </w:rPr>
              <w:footnoteReference w:id="2"/>
            </w:r>
            <w:r w:rsidRPr="00360DE3">
              <w:t xml:space="preserve">. </w:t>
            </w:r>
          </w:p>
        </w:tc>
      </w:tr>
      <w:tr w:rsidR="0043211B" w:rsidRPr="00360DE3" w:rsidTr="00DC37E3">
        <w:trPr>
          <w:trHeight w:val="145"/>
        </w:trPr>
        <w:tc>
          <w:tcPr>
            <w:tcW w:w="1976" w:type="dxa"/>
          </w:tcPr>
          <w:p w:rsidR="0043211B" w:rsidRPr="00360DE3" w:rsidRDefault="0043211B" w:rsidP="00DC37E3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Hrubá přidaná hodnota (HPH) rostla v tomto uskupení již sedmým rokem v řadě.</w:t>
            </w:r>
          </w:p>
        </w:tc>
        <w:tc>
          <w:tcPr>
            <w:tcW w:w="277" w:type="dxa"/>
          </w:tcPr>
          <w:p w:rsidR="0043211B" w:rsidRPr="00360DE3" w:rsidRDefault="0043211B" w:rsidP="00DC37E3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43211B" w:rsidRPr="0043211B" w:rsidRDefault="0043211B" w:rsidP="0043211B">
            <w:pPr>
              <w:rPr>
                <w:spacing w:val="2"/>
              </w:rPr>
            </w:pPr>
            <w:r w:rsidRPr="0043211B">
              <w:rPr>
                <w:spacing w:val="2"/>
              </w:rPr>
              <w:t xml:space="preserve">Hrubá přidaná hodnota (HPH) se v tomto sledovaném uskupení odvětví loni zvýšila o 3,2 %. Výkon odvětví rostl již sedmým rokem v řadě, v posledních dvou letech bylo ale patrné oslabování jeho meziročních temp. Stály za tím rostoucí výrobní náklady, neboť loňské navýšení </w:t>
            </w:r>
            <w:proofErr w:type="spellStart"/>
            <w:r w:rsidRPr="0043211B">
              <w:rPr>
                <w:spacing w:val="2"/>
              </w:rPr>
              <w:t>mezispotřeby</w:t>
            </w:r>
            <w:proofErr w:type="spellEnd"/>
            <w:r w:rsidRPr="0043211B">
              <w:rPr>
                <w:spacing w:val="2"/>
              </w:rPr>
              <w:t xml:space="preserve"> dosáhlo téměř 9 %. Samotná produkce (mající silnou vazbu na celkové tržby) totiž loni vzrostla nejvíce za posledních deset let (o 6,5 %). Celkově dobrou ekonomickou situaci většiny podniků v tomto odvětví potvrzovaly i loňské výsledky konjunkturálních průzkumů</w:t>
            </w:r>
            <w:r w:rsidRPr="0043211B">
              <w:rPr>
                <w:rStyle w:val="Znakapoznpodarou"/>
                <w:spacing w:val="2"/>
              </w:rPr>
              <w:footnoteReference w:id="3"/>
            </w:r>
            <w:r w:rsidRPr="0043211B">
              <w:rPr>
                <w:spacing w:val="2"/>
              </w:rPr>
              <w:t xml:space="preserve">. </w:t>
            </w:r>
          </w:p>
        </w:tc>
      </w:tr>
      <w:tr w:rsidR="0043211B" w:rsidRPr="00360DE3" w:rsidTr="00DC37E3">
        <w:trPr>
          <w:trHeight w:val="145"/>
        </w:trPr>
        <w:tc>
          <w:tcPr>
            <w:tcW w:w="1976" w:type="dxa"/>
          </w:tcPr>
          <w:p w:rsidR="0043211B" w:rsidRPr="00360DE3" w:rsidRDefault="0043211B" w:rsidP="00DC37E3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Míra zisku se v posledních třech letech výrazněji neměnila.</w:t>
            </w:r>
          </w:p>
        </w:tc>
        <w:tc>
          <w:tcPr>
            <w:tcW w:w="277" w:type="dxa"/>
          </w:tcPr>
          <w:p w:rsidR="0043211B" w:rsidRPr="00360DE3" w:rsidRDefault="0043211B" w:rsidP="00DC37E3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43211B" w:rsidRPr="0043211B" w:rsidRDefault="0043211B" w:rsidP="0043211B">
            <w:pPr>
              <w:rPr>
                <w:spacing w:val="2"/>
              </w:rPr>
            </w:pPr>
            <w:r w:rsidRPr="0043211B">
              <w:rPr>
                <w:spacing w:val="2"/>
              </w:rPr>
              <w:t>Míra zisku nefinančních podniků</w:t>
            </w:r>
            <w:r w:rsidRPr="0043211B">
              <w:rPr>
                <w:rStyle w:val="Znakapoznpodarou"/>
                <w:spacing w:val="2"/>
              </w:rPr>
              <w:footnoteReference w:id="4"/>
            </w:r>
            <w:r w:rsidRPr="0043211B">
              <w:rPr>
                <w:spacing w:val="2"/>
              </w:rPr>
              <w:t xml:space="preserve"> ve sledovaném odvětvovém uskupení nedoznala v posledních třech letech výrazných změn a pohybovala se mezi 38 a 39 %. Blížila se tak úrovni z konjunktury minulé dekády. Pokles ziskovosti v obou následných fázích recese pak postihl odvětví s mnohem větší intenzitou než celou ekonomiku, což souviselo s redukcí podnikových výdajů na „zbytné“ aktivity (průzkum trhu, reklama, bezpečnost, poradenství, překladatelské činnosti), omezením náboru nových pracovníků či projektových prací (architektonické a inženýrské činnosti).</w:t>
            </w:r>
          </w:p>
        </w:tc>
      </w:tr>
      <w:tr w:rsidR="0043211B" w:rsidRPr="00360DE3" w:rsidTr="00DC37E3">
        <w:trPr>
          <w:trHeight w:val="145"/>
        </w:trPr>
        <w:tc>
          <w:tcPr>
            <w:tcW w:w="1976" w:type="dxa"/>
          </w:tcPr>
          <w:p w:rsidR="0043211B" w:rsidRPr="00360DE3" w:rsidRDefault="0043211B" w:rsidP="00467485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Tempo růstu zaměstnanosti v odvětví loni zvolnilo na šestileté minimum.</w:t>
            </w:r>
          </w:p>
          <w:p w:rsidR="0043211B" w:rsidRPr="00360DE3" w:rsidRDefault="0043211B" w:rsidP="00467485">
            <w:pPr>
              <w:pStyle w:val="Marginlie"/>
              <w:rPr>
                <w:spacing w:val="0"/>
              </w:rPr>
            </w:pPr>
          </w:p>
          <w:p w:rsidR="0043211B" w:rsidRPr="00360DE3" w:rsidRDefault="0043211B" w:rsidP="00467485">
            <w:pPr>
              <w:pStyle w:val="Marginlie"/>
              <w:rPr>
                <w:spacing w:val="0"/>
              </w:rPr>
            </w:pPr>
          </w:p>
          <w:p w:rsidR="0043211B" w:rsidRPr="00360DE3" w:rsidRDefault="0043211B" w:rsidP="00467485">
            <w:pPr>
              <w:pStyle w:val="Marginlie"/>
              <w:rPr>
                <w:spacing w:val="0"/>
              </w:rPr>
            </w:pPr>
          </w:p>
          <w:p w:rsidR="0043211B" w:rsidRPr="00360DE3" w:rsidRDefault="0043211B" w:rsidP="00467485">
            <w:pPr>
              <w:pStyle w:val="Marginlie"/>
              <w:rPr>
                <w:spacing w:val="0"/>
              </w:rPr>
            </w:pPr>
          </w:p>
          <w:p w:rsidR="0043211B" w:rsidRDefault="0043211B" w:rsidP="00467485">
            <w:pPr>
              <w:pStyle w:val="Marginlie"/>
              <w:rPr>
                <w:spacing w:val="0"/>
              </w:rPr>
            </w:pPr>
          </w:p>
          <w:p w:rsidR="0043211B" w:rsidRPr="00360DE3" w:rsidRDefault="0043211B" w:rsidP="00467485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</w:tcPr>
          <w:p w:rsidR="0043211B" w:rsidRPr="00360DE3" w:rsidRDefault="0043211B" w:rsidP="00467485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43211B" w:rsidRPr="00360DE3" w:rsidRDefault="0043211B" w:rsidP="0043211B">
            <w:r w:rsidRPr="00360DE3">
              <w:t xml:space="preserve">Podobně jako ve většině ostatních odvětví je další navyšování ziskovosti podniků limitováno sílícími mzdovými náklady. Ty loni vzrostly proti roku 2016 o 7,8 %. Většina z tohoto posílení se promítla přímo do výše průměrných výdělků, neboť stavy zaměstnanců se rozšířily jen o 1,9 %, nejméně za posledních šest let. K dynamizaci tempa průměrné mzdy přispěl jak nedostatek vhodných pracovníků na trhu (při velmi nízké úrovni nezaměstnanosti), tak navyšování hranice minimální mzdy, které však mělo podstatnější dopad jen v některých dílčích odvětvích. </w:t>
            </w:r>
          </w:p>
        </w:tc>
      </w:tr>
      <w:tr w:rsidR="0043211B" w:rsidRPr="00360DE3" w:rsidTr="00DC37E3">
        <w:trPr>
          <w:trHeight w:val="145"/>
        </w:trPr>
        <w:tc>
          <w:tcPr>
            <w:tcW w:w="1976" w:type="dxa"/>
          </w:tcPr>
          <w:p w:rsidR="0043211B" w:rsidRPr="00360DE3" w:rsidRDefault="0043211B" w:rsidP="00467485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Hodinová produktivita mírně rostla. Za úrovní národního hospodářství však nadále skoro o pětinu zaostávala.</w:t>
            </w:r>
          </w:p>
        </w:tc>
        <w:tc>
          <w:tcPr>
            <w:tcW w:w="277" w:type="dxa"/>
          </w:tcPr>
          <w:p w:rsidR="0043211B" w:rsidRPr="00360DE3" w:rsidRDefault="0043211B" w:rsidP="00467485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43211B" w:rsidRPr="00360DE3" w:rsidRDefault="0043211B" w:rsidP="0043211B">
            <w:r w:rsidRPr="00360DE3">
              <w:t>Loňské zpomalení růstu zaměstnanosti se odrazilo i v produktivitě práce. Ta vzrostla reálně o 2,4 %, mírně vyšším tempem nežli v celé ekonomice. I tak však loni produktivita ve sledovaném odvětvovém uskupení dosahovala jen 81 % úrovně národního hospodářství a za poslední dekádu svůj odstup nezmenšila. Míra investic ve sledovaném uskupení odvětví v posle</w:t>
            </w:r>
            <w:r>
              <w:t>dních třech letech stagnovala a</w:t>
            </w:r>
            <w:r w:rsidRPr="00360DE3">
              <w:t> držela se těsně nad 25 %. Ve srovnání s celým terciárním sektorem v ČR dlouhodobě mírně zaostává. Ve vztahu s celou EU je tomu naopak</w:t>
            </w:r>
            <w:r w:rsidRPr="00360DE3">
              <w:rPr>
                <w:rStyle w:val="Znakapoznpodarou"/>
              </w:rPr>
              <w:footnoteReference w:id="5"/>
            </w:r>
            <w:r w:rsidRPr="00360DE3">
              <w:t xml:space="preserve">. </w:t>
            </w:r>
          </w:p>
        </w:tc>
      </w:tr>
      <w:tr w:rsidR="0043211B" w:rsidRPr="00360DE3" w:rsidTr="00DC37E3">
        <w:tc>
          <w:tcPr>
            <w:tcW w:w="1976" w:type="dxa"/>
            <w:vMerge w:val="restart"/>
          </w:tcPr>
          <w:p w:rsidR="0043211B" w:rsidRPr="00360DE3" w:rsidRDefault="0043211B" w:rsidP="00DC37E3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 w:val="restart"/>
          </w:tcPr>
          <w:p w:rsidR="0043211B" w:rsidRPr="00360DE3" w:rsidRDefault="0043211B" w:rsidP="00DC37E3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43211B" w:rsidRPr="00360DE3" w:rsidRDefault="0043211B" w:rsidP="00DC37E3">
            <w:pPr>
              <w:spacing w:after="0"/>
              <w:jc w:val="left"/>
              <w:rPr>
                <w:b/>
              </w:rPr>
            </w:pPr>
            <w:r w:rsidRPr="00360DE3">
              <w:rPr>
                <w:b/>
              </w:rPr>
              <w:t xml:space="preserve">Graf 16.1  </w:t>
            </w:r>
            <w:r w:rsidRPr="00360DE3">
              <w:rPr>
                <w:b/>
                <w:bCs/>
              </w:rPr>
              <w:t xml:space="preserve">Zákl. </w:t>
            </w:r>
            <w:proofErr w:type="gramStart"/>
            <w:r w:rsidRPr="00360DE3">
              <w:rPr>
                <w:b/>
                <w:bCs/>
              </w:rPr>
              <w:t>ukazatele</w:t>
            </w:r>
            <w:proofErr w:type="gramEnd"/>
            <w:r w:rsidRPr="00360DE3">
              <w:rPr>
                <w:b/>
                <w:bCs/>
              </w:rPr>
              <w:t xml:space="preserve"> odvětví profesní, věd. </w:t>
            </w:r>
            <w:proofErr w:type="spellStart"/>
            <w:r w:rsidRPr="00360DE3">
              <w:rPr>
                <w:b/>
                <w:bCs/>
              </w:rPr>
              <w:t>technic</w:t>
            </w:r>
            <w:proofErr w:type="spellEnd"/>
            <w:r w:rsidRPr="00360DE3">
              <w:rPr>
                <w:b/>
                <w:bCs/>
              </w:rPr>
              <w:t>. a administrativní čin.</w:t>
            </w:r>
          </w:p>
          <w:p w:rsidR="0043211B" w:rsidRPr="00360DE3" w:rsidRDefault="0043211B" w:rsidP="00DC37E3">
            <w:pPr>
              <w:spacing w:after="0"/>
              <w:rPr>
                <w:b/>
              </w:rPr>
            </w:pPr>
            <w:r w:rsidRPr="00360DE3">
              <w:rPr>
                <w:b/>
                <w:noProof/>
              </w:rPr>
              <w:drawing>
                <wp:inline distT="0" distB="0" distL="0" distR="0">
                  <wp:extent cx="4653890" cy="3526971"/>
                  <wp:effectExtent l="19050" t="0" r="0" b="0"/>
                  <wp:docPr id="1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43211B" w:rsidRPr="00360DE3" w:rsidTr="00DC37E3">
        <w:trPr>
          <w:trHeight w:val="284"/>
        </w:trPr>
        <w:tc>
          <w:tcPr>
            <w:tcW w:w="1976" w:type="dxa"/>
            <w:vMerge/>
          </w:tcPr>
          <w:p w:rsidR="0043211B" w:rsidRPr="00360DE3" w:rsidRDefault="0043211B" w:rsidP="00DC37E3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/>
          </w:tcPr>
          <w:p w:rsidR="0043211B" w:rsidRPr="00360DE3" w:rsidRDefault="0043211B" w:rsidP="00DC37E3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43211B" w:rsidRPr="00360DE3" w:rsidRDefault="0043211B" w:rsidP="00A329DF">
            <w:pPr>
              <w:pStyle w:val="Zhlav"/>
              <w:spacing w:before="40" w:after="24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360DE3">
              <w:rPr>
                <w:rFonts w:cs="Arial"/>
                <w:sz w:val="14"/>
                <w:szCs w:val="14"/>
                <w:lang w:eastAsia="cs-CZ"/>
              </w:rPr>
              <w:t xml:space="preserve">*Do reálného vyjádření převedeno deflátorem výdajů na konečnou spotřebu domácností.      Zdroj: ČSÚ (národní účty) </w:t>
            </w:r>
          </w:p>
        </w:tc>
      </w:tr>
      <w:tr w:rsidR="0043211B" w:rsidRPr="00360DE3" w:rsidTr="00DC37E3">
        <w:tc>
          <w:tcPr>
            <w:tcW w:w="1976" w:type="dxa"/>
          </w:tcPr>
          <w:p w:rsidR="0043211B" w:rsidRPr="00360DE3" w:rsidRDefault="0043211B" w:rsidP="00DC37E3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</w:tcPr>
          <w:p w:rsidR="0043211B" w:rsidRPr="00360DE3" w:rsidRDefault="0043211B" w:rsidP="00DC37E3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43211B" w:rsidRPr="0043211B" w:rsidRDefault="0043211B" w:rsidP="00510EB8">
            <w:pPr>
              <w:spacing w:after="200"/>
              <w:rPr>
                <w:spacing w:val="-2"/>
              </w:rPr>
            </w:pPr>
            <w:r w:rsidRPr="0043211B">
              <w:rPr>
                <w:spacing w:val="-2"/>
              </w:rPr>
              <w:t>Ve skladbě investic se projevuje různorodost celého uskupení. Zatímco v profesních, vědeckých a technických činnostech proudila loni skoro polovina investic do produktů duševního vlastnictví (31 % do výzkumu a vývoje, 14 % do programového vybavení a databází), v administrativních a podpůrných činnostech cílilo 55 % investic na dopravní prostředky a 34 % na zbývající kategorie strojů a zařízení.</w:t>
            </w:r>
          </w:p>
        </w:tc>
      </w:tr>
      <w:tr w:rsidR="0043211B" w:rsidRPr="00360DE3" w:rsidTr="00DC37E3">
        <w:tc>
          <w:tcPr>
            <w:tcW w:w="1976" w:type="dxa"/>
            <w:vMerge w:val="restart"/>
          </w:tcPr>
          <w:p w:rsidR="0043211B" w:rsidRPr="00360DE3" w:rsidRDefault="0043211B" w:rsidP="00DC37E3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 w:val="restart"/>
          </w:tcPr>
          <w:p w:rsidR="0043211B" w:rsidRPr="00360DE3" w:rsidRDefault="0043211B" w:rsidP="00DC37E3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43211B" w:rsidRPr="00360DE3" w:rsidRDefault="0043211B" w:rsidP="00DC37E3">
            <w:pPr>
              <w:spacing w:after="0"/>
              <w:jc w:val="left"/>
            </w:pPr>
            <w:r w:rsidRPr="00360DE3">
              <w:rPr>
                <w:b/>
              </w:rPr>
              <w:t xml:space="preserve">Graf </w:t>
            </w:r>
            <w:proofErr w:type="gramStart"/>
            <w:r w:rsidRPr="00360DE3">
              <w:rPr>
                <w:b/>
              </w:rPr>
              <w:t>16.2  Příspěvky</w:t>
            </w:r>
            <w:proofErr w:type="gramEnd"/>
            <w:r w:rsidRPr="00360DE3">
              <w:rPr>
                <w:b/>
              </w:rPr>
              <w:t xml:space="preserve"> odvětvových oddílů k meziroční změně HPH v uskupení </w:t>
            </w:r>
            <w:r w:rsidRPr="00360DE3">
              <w:rPr>
                <w:b/>
                <w:bCs/>
              </w:rPr>
              <w:t xml:space="preserve">profesní, vědecké, technické a </w:t>
            </w:r>
            <w:proofErr w:type="spellStart"/>
            <w:r w:rsidRPr="00360DE3">
              <w:rPr>
                <w:b/>
                <w:bCs/>
              </w:rPr>
              <w:t>administr</w:t>
            </w:r>
            <w:proofErr w:type="spellEnd"/>
            <w:r w:rsidRPr="00360DE3">
              <w:rPr>
                <w:b/>
                <w:bCs/>
              </w:rPr>
              <w:t>. i podpůrné činnosti</w:t>
            </w:r>
            <w:r>
              <w:t xml:space="preserve"> (reálně, v p. </w:t>
            </w:r>
            <w:proofErr w:type="spellStart"/>
            <w:r w:rsidRPr="00360DE3">
              <w:t>b</w:t>
            </w:r>
            <w:proofErr w:type="spellEnd"/>
            <w:r w:rsidRPr="00360DE3">
              <w:t>.)</w:t>
            </w:r>
          </w:p>
          <w:p w:rsidR="0043211B" w:rsidRPr="00360DE3" w:rsidRDefault="0043211B" w:rsidP="00DC37E3">
            <w:pPr>
              <w:spacing w:after="0"/>
              <w:rPr>
                <w:b/>
              </w:rPr>
            </w:pPr>
            <w:r w:rsidRPr="00360DE3">
              <w:rPr>
                <w:b/>
                <w:noProof/>
              </w:rPr>
              <w:drawing>
                <wp:inline distT="0" distB="0" distL="0" distR="0">
                  <wp:extent cx="4674578" cy="3552826"/>
                  <wp:effectExtent l="19050" t="0" r="0" b="0"/>
                  <wp:docPr id="2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43211B" w:rsidRPr="00360DE3" w:rsidTr="00DC37E3">
        <w:trPr>
          <w:trHeight w:val="284"/>
        </w:trPr>
        <w:tc>
          <w:tcPr>
            <w:tcW w:w="1976" w:type="dxa"/>
            <w:vMerge/>
          </w:tcPr>
          <w:p w:rsidR="0043211B" w:rsidRPr="00360DE3" w:rsidRDefault="0043211B" w:rsidP="00DC37E3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/>
          </w:tcPr>
          <w:p w:rsidR="0043211B" w:rsidRPr="00360DE3" w:rsidRDefault="0043211B" w:rsidP="00DC37E3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43211B" w:rsidRPr="00360DE3" w:rsidRDefault="0043211B" w:rsidP="00510EB8">
            <w:pPr>
              <w:pStyle w:val="Zhlav"/>
              <w:spacing w:before="4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360DE3">
              <w:rPr>
                <w:rFonts w:cs="Arial"/>
                <w:sz w:val="14"/>
                <w:szCs w:val="14"/>
                <w:lang w:eastAsia="cs-CZ"/>
              </w:rPr>
              <w:t xml:space="preserve"> Zdroj: ČSÚ (národní účty) </w:t>
            </w:r>
          </w:p>
        </w:tc>
      </w:tr>
      <w:tr w:rsidR="0043211B" w:rsidRPr="00360DE3" w:rsidTr="00DC37E3">
        <w:trPr>
          <w:trHeight w:val="170"/>
        </w:trPr>
        <w:tc>
          <w:tcPr>
            <w:tcW w:w="1976" w:type="dxa"/>
          </w:tcPr>
          <w:p w:rsidR="0043211B" w:rsidRPr="00360DE3" w:rsidRDefault="0043211B" w:rsidP="00DC37E3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lastRenderedPageBreak/>
              <w:t>K meziročnímu růstu HPH vloni přispěla většina dílčích odvětví. Dříve silná role výzkumu a vývoje či právních a účetnických činností ustoupila do pozadí.</w:t>
            </w:r>
          </w:p>
        </w:tc>
        <w:tc>
          <w:tcPr>
            <w:tcW w:w="277" w:type="dxa"/>
          </w:tcPr>
          <w:p w:rsidR="0043211B" w:rsidRPr="00360DE3" w:rsidRDefault="0043211B" w:rsidP="00DC37E3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43211B" w:rsidRPr="00360DE3" w:rsidRDefault="0043211B" w:rsidP="00DC37E3">
            <w:pPr>
              <w:spacing w:after="200"/>
              <w:rPr>
                <w:color w:val="0D0D0D"/>
                <w:szCs w:val="20"/>
              </w:rPr>
            </w:pPr>
            <w:r w:rsidRPr="00360DE3">
              <w:rPr>
                <w:color w:val="0D0D0D"/>
                <w:szCs w:val="20"/>
              </w:rPr>
              <w:t>Tempo meziročního růstu hrubé přidané hodnoty ve sledovaném odvětví bylo loni nejslabší za poslední tři roky. K vyššímu HPH ale přispěla výrazná většina dílčích odvětví. Nejvýznamnější roli měly činnosti v oblasti pronájmu a operativního leasingu, které zajistily bezmála třetinu růstu HPH v celém sledovaném uskupení. Dařilo se i architektonickým a inženýrským činnostem, jež profitovaly z oživení ve stavebnictví. Pokračoval rozvoj ve váhově okrajovém,</w:t>
            </w:r>
            <w:r>
              <w:rPr>
                <w:color w:val="0D0D0D"/>
                <w:szCs w:val="20"/>
              </w:rPr>
              <w:t xml:space="preserve"> ale dynamickém odvětví činnosti</w:t>
            </w:r>
            <w:r w:rsidRPr="00360DE3">
              <w:rPr>
                <w:color w:val="0D0D0D"/>
                <w:szCs w:val="20"/>
              </w:rPr>
              <w:t xml:space="preserve"> související se zaměstnáním</w:t>
            </w:r>
            <w:r>
              <w:rPr>
                <w:color w:val="0D0D0D"/>
                <w:szCs w:val="20"/>
              </w:rPr>
              <w:t>, ve kterém se HPH za poslední</w:t>
            </w:r>
            <w:r w:rsidRPr="00360DE3">
              <w:rPr>
                <w:color w:val="0D0D0D"/>
                <w:szCs w:val="20"/>
              </w:rPr>
              <w:t xml:space="preserve"> tři roky téměř ztrojnásobila. Naopak </w:t>
            </w:r>
            <w:proofErr w:type="spellStart"/>
            <w:r w:rsidRPr="00360DE3">
              <w:rPr>
                <w:color w:val="0D0D0D"/>
                <w:szCs w:val="20"/>
              </w:rPr>
              <w:t>prorůstová</w:t>
            </w:r>
            <w:proofErr w:type="spellEnd"/>
            <w:r w:rsidRPr="00360DE3">
              <w:rPr>
                <w:color w:val="0D0D0D"/>
                <w:szCs w:val="20"/>
              </w:rPr>
              <w:t xml:space="preserve"> role výzkumu a vývoje</w:t>
            </w:r>
            <w:r w:rsidRPr="00360DE3">
              <w:rPr>
                <w:rStyle w:val="Znakapoznpodarou"/>
                <w:color w:val="0D0D0D"/>
                <w:szCs w:val="20"/>
              </w:rPr>
              <w:footnoteReference w:id="6"/>
            </w:r>
            <w:r w:rsidRPr="00360DE3">
              <w:rPr>
                <w:color w:val="0D0D0D"/>
                <w:szCs w:val="20"/>
              </w:rPr>
              <w:t xml:space="preserve"> či váhově významných právních a účetnických činností, jež stimulovaly celé odvětví v předchozích dvou až třech letech, se výrazně omezila. Podobně jako v roce 2016 táhly loni celé odvětví dolů bezpečnostní a pátrací činnosti, jejich příspěvek byl však vzhledem k malé váze tohoto dílčího odvětví nízký. </w:t>
            </w:r>
          </w:p>
        </w:tc>
      </w:tr>
      <w:tr w:rsidR="0043211B" w:rsidRPr="00360DE3" w:rsidTr="00DC37E3">
        <w:tc>
          <w:tcPr>
            <w:tcW w:w="1976" w:type="dxa"/>
            <w:vMerge w:val="restart"/>
          </w:tcPr>
          <w:p w:rsidR="0043211B" w:rsidRPr="00360DE3" w:rsidRDefault="0043211B" w:rsidP="00DC37E3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 w:val="restart"/>
          </w:tcPr>
          <w:p w:rsidR="0043211B" w:rsidRPr="00360DE3" w:rsidRDefault="0043211B" w:rsidP="00DC37E3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43211B" w:rsidRPr="00360DE3" w:rsidRDefault="0043211B" w:rsidP="00DC37E3">
            <w:pPr>
              <w:spacing w:after="0"/>
              <w:jc w:val="left"/>
            </w:pPr>
            <w:r w:rsidRPr="00360DE3">
              <w:rPr>
                <w:b/>
              </w:rPr>
              <w:t xml:space="preserve">Graf </w:t>
            </w:r>
            <w:proofErr w:type="gramStart"/>
            <w:r w:rsidRPr="00360DE3">
              <w:rPr>
                <w:b/>
              </w:rPr>
              <w:t xml:space="preserve">16.3  </w:t>
            </w:r>
            <w:r w:rsidRPr="00360DE3">
              <w:rPr>
                <w:b/>
                <w:bCs/>
              </w:rPr>
              <w:t>Základní</w:t>
            </w:r>
            <w:proofErr w:type="gramEnd"/>
            <w:r w:rsidRPr="00360DE3">
              <w:rPr>
                <w:b/>
                <w:bCs/>
              </w:rPr>
              <w:t xml:space="preserve"> ukazatele vybraných odvětvových oddílů služeb v roce 2017</w:t>
            </w:r>
            <w:r w:rsidRPr="00360DE3">
              <w:rPr>
                <w:bCs/>
              </w:rPr>
              <w:t xml:space="preserve"> (úroveň národního hospodářství = 100)</w:t>
            </w:r>
          </w:p>
          <w:p w:rsidR="0043211B" w:rsidRPr="00360DE3" w:rsidRDefault="0043211B" w:rsidP="00DC37E3">
            <w:pPr>
              <w:spacing w:after="0"/>
              <w:rPr>
                <w:b/>
              </w:rPr>
            </w:pPr>
            <w:r w:rsidRPr="00A329DF">
              <w:rPr>
                <w:b/>
                <w:noProof/>
              </w:rPr>
              <w:drawing>
                <wp:inline distT="0" distB="0" distL="0" distR="0">
                  <wp:extent cx="4721199" cy="3738068"/>
                  <wp:effectExtent l="19050" t="0" r="0" b="0"/>
                  <wp:docPr id="3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43211B" w:rsidRPr="00360DE3" w:rsidTr="00DC37E3">
        <w:trPr>
          <w:trHeight w:val="284"/>
        </w:trPr>
        <w:tc>
          <w:tcPr>
            <w:tcW w:w="1976" w:type="dxa"/>
            <w:vMerge/>
          </w:tcPr>
          <w:p w:rsidR="0043211B" w:rsidRPr="00360DE3" w:rsidRDefault="0043211B" w:rsidP="00DC37E3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/>
          </w:tcPr>
          <w:p w:rsidR="0043211B" w:rsidRPr="00360DE3" w:rsidRDefault="0043211B" w:rsidP="00DC37E3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43211B" w:rsidRPr="00360DE3" w:rsidRDefault="0043211B" w:rsidP="00DC37E3">
            <w:pPr>
              <w:pStyle w:val="Zhlav"/>
              <w:spacing w:before="4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360DE3">
              <w:rPr>
                <w:rFonts w:cs="Arial"/>
                <w:sz w:val="14"/>
                <w:szCs w:val="14"/>
                <w:lang w:eastAsia="cs-CZ"/>
              </w:rPr>
              <w:t>*Odvětví zahrnuje zejména specializované návrhářské činnosti, fotografické, překladatelské a tlumočnické činnosti.</w:t>
            </w:r>
          </w:p>
          <w:p w:rsidR="0043211B" w:rsidRPr="00360DE3" w:rsidRDefault="0043211B" w:rsidP="00DC37E3">
            <w:pPr>
              <w:pStyle w:val="Zhlav"/>
              <w:spacing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360DE3">
              <w:rPr>
                <w:rFonts w:cs="Arial"/>
                <w:sz w:val="14"/>
                <w:szCs w:val="14"/>
                <w:lang w:eastAsia="cs-CZ"/>
              </w:rPr>
              <w:t xml:space="preserve">**Míra zisku se vztahuje pouze k nefinančním podnikům působícím v příslušném odvětví. </w:t>
            </w:r>
          </w:p>
          <w:p w:rsidR="0043211B" w:rsidRPr="00360DE3" w:rsidRDefault="0043211B" w:rsidP="00DC37E3">
            <w:pPr>
              <w:pStyle w:val="Zhlav"/>
              <w:spacing w:after="20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360DE3">
              <w:rPr>
                <w:rFonts w:cs="Arial"/>
                <w:sz w:val="14"/>
                <w:szCs w:val="14"/>
                <w:lang w:eastAsia="cs-CZ"/>
              </w:rPr>
              <w:t xml:space="preserve">Zdroj: ČSÚ (národní účty) </w:t>
            </w:r>
          </w:p>
        </w:tc>
      </w:tr>
      <w:tr w:rsidR="00510EB8" w:rsidRPr="00360DE3" w:rsidTr="00DC37E3">
        <w:trPr>
          <w:trHeight w:val="170"/>
        </w:trPr>
        <w:tc>
          <w:tcPr>
            <w:tcW w:w="1976" w:type="dxa"/>
          </w:tcPr>
          <w:p w:rsidR="00510EB8" w:rsidRPr="00360DE3" w:rsidRDefault="00510EB8" w:rsidP="00467485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V důležitých ekonomických ukazatelích si stály nejlépe aktivity v oblasti pronájmu a operativního leasingu, nejhůře bezpečnostní a pátrací služby.</w:t>
            </w:r>
          </w:p>
        </w:tc>
        <w:tc>
          <w:tcPr>
            <w:tcW w:w="277" w:type="dxa"/>
          </w:tcPr>
          <w:p w:rsidR="00510EB8" w:rsidRPr="00360DE3" w:rsidRDefault="00510EB8" w:rsidP="00467485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510EB8" w:rsidRPr="00360DE3" w:rsidRDefault="00510EB8" w:rsidP="00467485">
            <w:pPr>
              <w:spacing w:after="220"/>
            </w:pPr>
            <w:r w:rsidRPr="00360DE3">
              <w:rPr>
                <w:szCs w:val="20"/>
              </w:rPr>
              <w:t xml:space="preserve">Mezi dílčími odvětvími v </w:t>
            </w:r>
            <w:r w:rsidRPr="00360DE3">
              <w:t xml:space="preserve">profesních, vědeckých, technických a administrativních činnostech vynikají činnosti v oblasti pronájmu a operativního leasingu. Dlouhodobě vykazují silnou investiční aktivitu a </w:t>
            </w:r>
            <w:r>
              <w:t>produktivitu práce, vyčnívají i</w:t>
            </w:r>
            <w:r w:rsidRPr="00360DE3">
              <w:t> v ziskovosti podniků. Jen u průměrného hrubého měsíčního výdělku dosahovaly lepšího postavení odvětví činnosti vedení podniků i p</w:t>
            </w:r>
            <w:r>
              <w:t>oradenství v oblasti řízení (47</w:t>
            </w:r>
            <w:r w:rsidRPr="00360DE3">
              <w:t xml:space="preserve"> tis.) a výzkum a vývoj (38 tis.). Naopak většina odvětví v rámci administrativních a podpůrných činností v důležitých ekonomických ukazatelích za celou ekonomikou zřetelně zaostávala. To </w:t>
            </w:r>
            <w:r>
              <w:t>se týkalo hlavně bezpečnostních a</w:t>
            </w:r>
            <w:r w:rsidRPr="00360DE3">
              <w:t xml:space="preserve"> pátracích činností, jež dosahovaly nejhorších výsledků ve všech sledovaných </w:t>
            </w:r>
            <w:r w:rsidRPr="00360DE3">
              <w:lastRenderedPageBreak/>
              <w:t>ukazatelích</w:t>
            </w:r>
            <w:r w:rsidRPr="00360DE3">
              <w:rPr>
                <w:rStyle w:val="Znakapoznpodarou"/>
              </w:rPr>
              <w:footnoteReference w:id="7"/>
            </w:r>
            <w:r w:rsidRPr="00360DE3">
              <w:t>. V odvětví činnosti související se zaměstnáním kontrastovala přetrvávající podprůměrná výše mezd se silným růstem ziskovosti podniků</w:t>
            </w:r>
            <w:r w:rsidRPr="00360DE3">
              <w:rPr>
                <w:rStyle w:val="Znakapoznpodarou"/>
              </w:rPr>
              <w:footnoteReference w:id="8"/>
            </w:r>
            <w:r w:rsidRPr="00360DE3">
              <w:t xml:space="preserve">. </w:t>
            </w:r>
          </w:p>
        </w:tc>
      </w:tr>
      <w:tr w:rsidR="00510EB8" w:rsidRPr="00360DE3" w:rsidTr="00DC37E3">
        <w:trPr>
          <w:trHeight w:val="170"/>
        </w:trPr>
        <w:tc>
          <w:tcPr>
            <w:tcW w:w="1976" w:type="dxa"/>
          </w:tcPr>
          <w:p w:rsidR="00510EB8" w:rsidRPr="00360DE3" w:rsidRDefault="00510EB8" w:rsidP="00DC37E3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lastRenderedPageBreak/>
              <w:t xml:space="preserve">Význam odvětví služeb pro podniky byl v tuzemské ekonomice podobně jako ve většině zemí střední </w:t>
            </w:r>
            <w:r>
              <w:rPr>
                <w:spacing w:val="0"/>
              </w:rPr>
              <w:t>a</w:t>
            </w:r>
            <w:r w:rsidRPr="00360DE3">
              <w:rPr>
                <w:spacing w:val="0"/>
              </w:rPr>
              <w:t> východní Evropy ve srovnání s EU podprůměrný.</w:t>
            </w:r>
          </w:p>
        </w:tc>
        <w:tc>
          <w:tcPr>
            <w:tcW w:w="277" w:type="dxa"/>
          </w:tcPr>
          <w:p w:rsidR="00510EB8" w:rsidRPr="00360DE3" w:rsidRDefault="00510EB8" w:rsidP="00DC37E3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510EB8" w:rsidRPr="00360DE3" w:rsidRDefault="00510EB8" w:rsidP="00DC37E3">
            <w:r w:rsidRPr="00360DE3">
              <w:t>Odvětví profesní, vědecké, technické a administrativní činnosti loni vytvořilo 6,8 % HPH celé ekonomiky ČR, podíl u zaměstnanosti pak činil 8,6 %. V obou parametrech patřilo Česko v rámci EU k výrazně podprůměrným (v HPH čtvrtý, v zaměstnanosti osmý nejnižší podíl). Silné postavení měly (vyjma Řecka) starší členské státy (hlavně země Beneluxu, Francie či Velká Británie), kde se tyto služby podílely na HPH až kolem 15 % a na celkové zaměstnanosti šestinou až pětinou.</w:t>
            </w:r>
          </w:p>
        </w:tc>
      </w:tr>
    </w:tbl>
    <w:p w:rsidR="0063201A" w:rsidRPr="00360DE3" w:rsidRDefault="0063201A" w:rsidP="0063201A">
      <w:pPr>
        <w:spacing w:after="0"/>
        <w:rPr>
          <w:sz w:val="2"/>
          <w:szCs w:val="2"/>
        </w:rPr>
      </w:pPr>
    </w:p>
    <w:sectPr w:rsidR="0063201A" w:rsidRPr="00360DE3" w:rsidSect="00787293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680" w:footer="680" w:gutter="0"/>
      <w:pgNumType w:start="7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BE2" w:rsidRDefault="005A6BE2" w:rsidP="00E71A58">
      <w:r>
        <w:separator/>
      </w:r>
    </w:p>
  </w:endnote>
  <w:endnote w:type="continuationSeparator" w:id="0">
    <w:p w:rsidR="005A6BE2" w:rsidRDefault="005A6BE2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Times New Roman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DC" w:rsidRPr="00932443" w:rsidRDefault="00C805DC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5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10790"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="00210790" w:rsidRPr="00932443">
      <w:rPr>
        <w:szCs w:val="16"/>
      </w:rPr>
      <w:fldChar w:fldCharType="separate"/>
    </w:r>
    <w:r w:rsidR="00510EB8">
      <w:rPr>
        <w:szCs w:val="16"/>
      </w:rPr>
      <w:t>78</w:t>
    </w:r>
    <w:r w:rsidR="00210790"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DC" w:rsidRPr="00932443" w:rsidRDefault="00C805DC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6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2017</w:t>
    </w:r>
    <w:r w:rsidRPr="00932443">
      <w:rPr>
        <w:szCs w:val="16"/>
      </w:rPr>
      <w:tab/>
    </w:r>
    <w:r w:rsidR="00210790"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="00210790" w:rsidRPr="00932443">
      <w:rPr>
        <w:rStyle w:val="ZpatChar"/>
        <w:szCs w:val="16"/>
      </w:rPr>
      <w:fldChar w:fldCharType="separate"/>
    </w:r>
    <w:r w:rsidR="00510EB8">
      <w:rPr>
        <w:rStyle w:val="ZpatChar"/>
        <w:szCs w:val="16"/>
      </w:rPr>
      <w:t>77</w:t>
    </w:r>
    <w:r w:rsidR="00210790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BE2" w:rsidRDefault="005A6BE2" w:rsidP="00E71A58">
      <w:r>
        <w:separator/>
      </w:r>
    </w:p>
  </w:footnote>
  <w:footnote w:type="continuationSeparator" w:id="0">
    <w:p w:rsidR="005A6BE2" w:rsidRDefault="005A6BE2" w:rsidP="00E71A58">
      <w:r>
        <w:continuationSeparator/>
      </w:r>
    </w:p>
  </w:footnote>
  <w:footnote w:id="1">
    <w:p w:rsidR="00C805DC" w:rsidRPr="001D70E9" w:rsidRDefault="00C805DC" w:rsidP="0063201A">
      <w:pPr>
        <w:pStyle w:val="Textpoznpodarou"/>
        <w:rPr>
          <w:spacing w:val="-3"/>
        </w:rPr>
      </w:pPr>
      <w:r w:rsidRPr="001D70E9">
        <w:rPr>
          <w:rStyle w:val="Znakapoznpodarou"/>
          <w:spacing w:val="-3"/>
          <w:sz w:val="16"/>
          <w:szCs w:val="16"/>
        </w:rPr>
        <w:footnoteRef/>
      </w:r>
      <w:r w:rsidRPr="001D70E9">
        <w:rPr>
          <w:spacing w:val="-3"/>
          <w:sz w:val="16"/>
          <w:szCs w:val="16"/>
        </w:rPr>
        <w:t xml:space="preserve"> Pokud není uvedeno jinak, vychází všechny údaje v této kapitole z dat národních účtů, a kde je to relevantní, jsou očištěny o cenové vlivy.</w:t>
      </w:r>
    </w:p>
  </w:footnote>
  <w:footnote w:id="2">
    <w:p w:rsidR="00C805DC" w:rsidRPr="00A918BF" w:rsidRDefault="00C805DC" w:rsidP="0063201A">
      <w:pPr>
        <w:pStyle w:val="Textpoznpodarou"/>
        <w:jc w:val="both"/>
        <w:rPr>
          <w:spacing w:val="-4"/>
          <w:sz w:val="16"/>
          <w:szCs w:val="16"/>
        </w:rPr>
      </w:pPr>
      <w:r w:rsidRPr="00A918BF">
        <w:rPr>
          <w:rStyle w:val="Znakapoznpodarou"/>
          <w:spacing w:val="-4"/>
          <w:sz w:val="16"/>
          <w:szCs w:val="16"/>
        </w:rPr>
        <w:footnoteRef/>
      </w:r>
      <w:r w:rsidRPr="00A918BF">
        <w:rPr>
          <w:spacing w:val="-4"/>
          <w:sz w:val="16"/>
          <w:szCs w:val="16"/>
        </w:rPr>
        <w:t xml:space="preserve"> Hlavní dělicí čára probíhá na úrovni odvětvových sekcí. Je to patrné i z kvalifikační struktury zaměstnanců. Zatímco v profesních, vědeckých a</w:t>
      </w:r>
      <w:r w:rsidRPr="00A918BF">
        <w:rPr>
          <w:spacing w:val="-2"/>
          <w:sz w:val="16"/>
          <w:szCs w:val="16"/>
        </w:rPr>
        <w:t> </w:t>
      </w:r>
      <w:r w:rsidRPr="00A918BF">
        <w:rPr>
          <w:spacing w:val="-4"/>
          <w:sz w:val="16"/>
          <w:szCs w:val="16"/>
        </w:rPr>
        <w:t>technických činnostech tvořili v roce 2017 lidé s vysokoškolským vzděláním nadpoloviční část všech zaměstnanců (51 %), v administrativních a podpůrných činnostech byl jejich podíl (dle údajů MPSV) výrazně nižší (a to i ve srovnání s celou ekonomikou, kde dosahoval 23 %).</w:t>
      </w:r>
    </w:p>
  </w:footnote>
  <w:footnote w:id="3">
    <w:p w:rsidR="0043211B" w:rsidRPr="00A918BF" w:rsidRDefault="0043211B" w:rsidP="0043211B">
      <w:pPr>
        <w:pStyle w:val="Textpoznpodarou"/>
        <w:jc w:val="both"/>
        <w:rPr>
          <w:spacing w:val="-2"/>
          <w:sz w:val="16"/>
          <w:szCs w:val="16"/>
        </w:rPr>
      </w:pPr>
      <w:r w:rsidRPr="00A918BF">
        <w:rPr>
          <w:rStyle w:val="Znakapoznpodarou"/>
          <w:spacing w:val="-2"/>
          <w:sz w:val="16"/>
          <w:szCs w:val="16"/>
        </w:rPr>
        <w:footnoteRef/>
      </w:r>
      <w:r w:rsidRPr="00A918BF">
        <w:rPr>
          <w:spacing w:val="-2"/>
          <w:sz w:val="16"/>
          <w:szCs w:val="16"/>
        </w:rPr>
        <w:t xml:space="preserve"> Ve váhově významných dílčích odvětvích – </w:t>
      </w:r>
      <w:r>
        <w:rPr>
          <w:spacing w:val="-2"/>
          <w:sz w:val="16"/>
          <w:szCs w:val="16"/>
        </w:rPr>
        <w:t>č</w:t>
      </w:r>
      <w:r w:rsidRPr="00A918BF">
        <w:rPr>
          <w:spacing w:val="-2"/>
          <w:sz w:val="16"/>
          <w:szCs w:val="16"/>
        </w:rPr>
        <w:t>innosti v obla</w:t>
      </w:r>
      <w:r>
        <w:rPr>
          <w:spacing w:val="-2"/>
          <w:sz w:val="16"/>
          <w:szCs w:val="16"/>
        </w:rPr>
        <w:t>sti pronájmu a leasingu, resp. a</w:t>
      </w:r>
      <w:r w:rsidRPr="00A918BF">
        <w:rPr>
          <w:spacing w:val="-2"/>
          <w:sz w:val="16"/>
          <w:szCs w:val="16"/>
        </w:rPr>
        <w:t>rchitektonické a inženýrské činnosti – hodnotilo v prosinci 2017 celkovou ekonomickou situaci podniku jako dobrou 80 %, resp. 50 % respondentů. Špatné hodnocení pak signalizovala maximálně desetina z nich.</w:t>
      </w:r>
    </w:p>
  </w:footnote>
  <w:footnote w:id="4">
    <w:p w:rsidR="0043211B" w:rsidRPr="00495A9F" w:rsidRDefault="0043211B" w:rsidP="0043211B">
      <w:pPr>
        <w:pStyle w:val="Textpoznpodarou"/>
        <w:jc w:val="both"/>
        <w:rPr>
          <w:spacing w:val="-2"/>
          <w:sz w:val="16"/>
          <w:szCs w:val="16"/>
        </w:rPr>
      </w:pPr>
      <w:r w:rsidRPr="00495A9F">
        <w:rPr>
          <w:rStyle w:val="Znakapoznpodarou"/>
          <w:spacing w:val="-2"/>
          <w:sz w:val="16"/>
          <w:szCs w:val="16"/>
        </w:rPr>
        <w:footnoteRef/>
      </w:r>
      <w:r w:rsidRPr="00495A9F">
        <w:rPr>
          <w:spacing w:val="-2"/>
          <w:sz w:val="16"/>
          <w:szCs w:val="16"/>
        </w:rPr>
        <w:t xml:space="preserve"> Nefinanční podniky vytvářely loni 69 % HPH tohoto odvětvového uskupení. Měly více než 80% podíl ve všech odvětvových oddílech v administrativních a podpůrných činnostech a dále také v oddíle činnosti vedení podniků a poradenství v oblasti řízení. Téměř čtvrtinu HPH pak generovali drobní podnikatelé, jejichž role byla zásadní v rámci veterinárních činností (75 %) a právních a účetnických činností (48 %). Vládní sektor přispěl 7,5 %, téměř výhradně díky </w:t>
      </w:r>
      <w:r>
        <w:rPr>
          <w:spacing w:val="-2"/>
          <w:sz w:val="16"/>
          <w:szCs w:val="16"/>
        </w:rPr>
        <w:t>pevn</w:t>
      </w:r>
      <w:r w:rsidRPr="00495A9F">
        <w:rPr>
          <w:spacing w:val="-2"/>
          <w:sz w:val="16"/>
          <w:szCs w:val="16"/>
        </w:rPr>
        <w:t>ému ukotvení ve vědě a výzkumu, kde měl silnější pozici (52 %) než podniky (47 %).</w:t>
      </w:r>
    </w:p>
  </w:footnote>
  <w:footnote w:id="5">
    <w:p w:rsidR="0043211B" w:rsidRPr="00F24806" w:rsidRDefault="0043211B" w:rsidP="0043211B">
      <w:pPr>
        <w:pStyle w:val="Textpoznpodarou"/>
        <w:rPr>
          <w:sz w:val="16"/>
          <w:szCs w:val="16"/>
        </w:rPr>
      </w:pPr>
      <w:r w:rsidRPr="00F24806">
        <w:rPr>
          <w:rStyle w:val="Znakapoznpodarou"/>
          <w:sz w:val="16"/>
          <w:szCs w:val="16"/>
        </w:rPr>
        <w:footnoteRef/>
      </w:r>
      <w:r w:rsidRPr="00F24806">
        <w:rPr>
          <w:sz w:val="16"/>
          <w:szCs w:val="16"/>
        </w:rPr>
        <w:t xml:space="preserve"> V roce 2016 činil v celé EU podíl tvorby fixního kapitálu na přidané hodnotě v odvětví </w:t>
      </w:r>
      <w:r w:rsidRPr="00F24806">
        <w:rPr>
          <w:spacing w:val="-2"/>
          <w:sz w:val="16"/>
          <w:szCs w:val="16"/>
        </w:rPr>
        <w:t xml:space="preserve">profesní, vědecké, technické a administrativní činnosti 18 %. Vyšších hodnot nežli ČR dosáhly jen čtyři </w:t>
      </w:r>
      <w:r>
        <w:rPr>
          <w:spacing w:val="-2"/>
          <w:sz w:val="16"/>
          <w:szCs w:val="16"/>
        </w:rPr>
        <w:t xml:space="preserve">unijní </w:t>
      </w:r>
      <w:r w:rsidRPr="00F24806">
        <w:rPr>
          <w:spacing w:val="-2"/>
          <w:sz w:val="16"/>
          <w:szCs w:val="16"/>
        </w:rPr>
        <w:t>státy (mj. Německo a Rakousko).</w:t>
      </w:r>
    </w:p>
  </w:footnote>
  <w:footnote w:id="6">
    <w:p w:rsidR="0043211B" w:rsidRPr="00396AA7" w:rsidRDefault="0043211B" w:rsidP="0063201A">
      <w:pPr>
        <w:pStyle w:val="Textpoznpodarou"/>
        <w:jc w:val="both"/>
        <w:rPr>
          <w:spacing w:val="-2"/>
          <w:sz w:val="16"/>
          <w:szCs w:val="16"/>
        </w:rPr>
      </w:pPr>
      <w:r w:rsidRPr="00396AA7">
        <w:rPr>
          <w:rStyle w:val="Znakapoznpodarou"/>
          <w:spacing w:val="-2"/>
          <w:sz w:val="16"/>
          <w:szCs w:val="16"/>
        </w:rPr>
        <w:footnoteRef/>
      </w:r>
      <w:r w:rsidRPr="00396AA7">
        <w:rPr>
          <w:spacing w:val="-2"/>
          <w:sz w:val="16"/>
          <w:szCs w:val="16"/>
        </w:rPr>
        <w:t xml:space="preserve"> Výrazné zpomalení růstových temp ve vědě a výzkumu po roce 2015 souviselo s vyprcháním mimořádného růstového impulsu po dočerpání financí na konci minulého programového období</w:t>
      </w:r>
      <w:r>
        <w:rPr>
          <w:spacing w:val="-2"/>
          <w:sz w:val="16"/>
          <w:szCs w:val="16"/>
        </w:rPr>
        <w:t>. Oproti roku 2016</w:t>
      </w:r>
      <w:r w:rsidRPr="00396AA7">
        <w:rPr>
          <w:spacing w:val="-2"/>
          <w:sz w:val="16"/>
          <w:szCs w:val="16"/>
        </w:rPr>
        <w:t xml:space="preserve"> zde </w:t>
      </w:r>
      <w:r>
        <w:rPr>
          <w:spacing w:val="-2"/>
          <w:sz w:val="16"/>
          <w:szCs w:val="16"/>
        </w:rPr>
        <w:t>vloni vzrostla</w:t>
      </w:r>
      <w:r w:rsidRPr="00396AA7">
        <w:rPr>
          <w:spacing w:val="-2"/>
          <w:sz w:val="16"/>
          <w:szCs w:val="16"/>
        </w:rPr>
        <w:t xml:space="preserve"> HPH jen o 0,4 %.</w:t>
      </w:r>
    </w:p>
  </w:footnote>
  <w:footnote w:id="7">
    <w:p w:rsidR="00510EB8" w:rsidRPr="00396AA7" w:rsidRDefault="00510EB8" w:rsidP="0063201A">
      <w:pPr>
        <w:pStyle w:val="Textpoznpodarou"/>
        <w:jc w:val="both"/>
        <w:rPr>
          <w:spacing w:val="-2"/>
          <w:sz w:val="16"/>
          <w:szCs w:val="16"/>
        </w:rPr>
      </w:pPr>
      <w:r w:rsidRPr="00396AA7">
        <w:rPr>
          <w:rStyle w:val="Znakapoznpodarou"/>
          <w:spacing w:val="-2"/>
          <w:sz w:val="16"/>
          <w:szCs w:val="16"/>
        </w:rPr>
        <w:footnoteRef/>
      </w:r>
      <w:r w:rsidRPr="00396AA7">
        <w:rPr>
          <w:spacing w:val="-2"/>
          <w:sz w:val="16"/>
          <w:szCs w:val="16"/>
        </w:rPr>
        <w:t xml:space="preserve"> Nepříznivou pozici tohoto odvětví např. v produktivitě práce dokresluje i fakt, že se na celkové zaměstnanosti v uskupení profesní, vědecké, technic</w:t>
      </w:r>
      <w:r>
        <w:rPr>
          <w:spacing w:val="-2"/>
          <w:sz w:val="16"/>
          <w:szCs w:val="16"/>
        </w:rPr>
        <w:t>ké a administrativní činnosti</w:t>
      </w:r>
      <w:r w:rsidRPr="00396AA7">
        <w:rPr>
          <w:spacing w:val="-2"/>
          <w:sz w:val="16"/>
          <w:szCs w:val="16"/>
        </w:rPr>
        <w:t xml:space="preserve"> v roce 2017 podílelo 10,2 %, ale na vytvořené hrubé přidané hodnotě jen 3,8 %.</w:t>
      </w:r>
    </w:p>
  </w:footnote>
  <w:footnote w:id="8">
    <w:p w:rsidR="00510EB8" w:rsidRPr="0022569B" w:rsidRDefault="00510EB8" w:rsidP="0063201A">
      <w:pPr>
        <w:pStyle w:val="Textpoznpodarou"/>
        <w:jc w:val="both"/>
        <w:rPr>
          <w:sz w:val="16"/>
          <w:szCs w:val="16"/>
        </w:rPr>
      </w:pPr>
      <w:r w:rsidRPr="00396AA7">
        <w:rPr>
          <w:rStyle w:val="Znakapoznpodarou"/>
          <w:spacing w:val="-2"/>
          <w:sz w:val="16"/>
          <w:szCs w:val="16"/>
        </w:rPr>
        <w:footnoteRef/>
      </w:r>
      <w:r w:rsidRPr="00396AA7">
        <w:rPr>
          <w:spacing w:val="-2"/>
          <w:sz w:val="16"/>
          <w:szCs w:val="16"/>
        </w:rPr>
        <w:t xml:space="preserve"> Zatímco v letech 2014 i 2015 nedosahovala míra zisku podniků v tomto odvětví úrovně celé ekonomiky, loni ji již o 45 % převyšovala. V minulosti zde ale ziskovost značně kolísala, což souvisí s tím, že se jedná o velmi malé</w:t>
      </w:r>
      <w:r>
        <w:rPr>
          <w:spacing w:val="-2"/>
          <w:sz w:val="16"/>
          <w:szCs w:val="16"/>
        </w:rPr>
        <w:t xml:space="preserve"> odvětví. Výši</w:t>
      </w:r>
      <w:r w:rsidRPr="00396AA7">
        <w:rPr>
          <w:spacing w:val="-2"/>
          <w:sz w:val="16"/>
          <w:szCs w:val="16"/>
        </w:rPr>
        <w:t xml:space="preserve"> průměrných mezd (loni zde za celou ekonomikou zaostávala o 15 %) výz</w:t>
      </w:r>
      <w:r>
        <w:rPr>
          <w:spacing w:val="-2"/>
          <w:sz w:val="16"/>
          <w:szCs w:val="16"/>
        </w:rPr>
        <w:t>namně ovlivňuje skutečnost, že d</w:t>
      </w:r>
      <w:r w:rsidRPr="00396AA7">
        <w:rPr>
          <w:spacing w:val="-2"/>
          <w:sz w:val="16"/>
          <w:szCs w:val="16"/>
        </w:rPr>
        <w:t xml:space="preserve">o tohoto odvětví nejsou (dle metodiky národních účtů) zařazeni agenturní pracovníci. V případě jejich započítání, jak je tomu v podnikových statistikách, by se výše průměrné mzdy </w:t>
      </w:r>
      <w:r>
        <w:rPr>
          <w:spacing w:val="-2"/>
          <w:sz w:val="16"/>
          <w:szCs w:val="16"/>
        </w:rPr>
        <w:t xml:space="preserve">dále </w:t>
      </w:r>
      <w:r w:rsidRPr="00396AA7">
        <w:rPr>
          <w:spacing w:val="-2"/>
          <w:sz w:val="16"/>
          <w:szCs w:val="16"/>
        </w:rPr>
        <w:t>výrazněji snížila.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DC" w:rsidRPr="00601A2E" w:rsidRDefault="00C805DC" w:rsidP="00601A2E">
    <w:pPr>
      <w:pStyle w:val="Zhlav"/>
    </w:pPr>
    <w:r>
      <w:t>Analýza ekonomického vývoje v roce 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DC" w:rsidRDefault="00C805DC" w:rsidP="00937AE2">
    <w:pPr>
      <w:pStyle w:val="Zhlav"/>
    </w:pPr>
    <w:r>
      <w:t>Analýza ekonomického vývoje v roce 2017</w:t>
    </w:r>
  </w:p>
  <w:p w:rsidR="00C805DC" w:rsidRPr="006F5416" w:rsidRDefault="00C805DC" w:rsidP="00937AE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1.5pt;height:11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20"/>
  </w:num>
  <w:num w:numId="14">
    <w:abstractNumId w:val="10"/>
  </w:num>
  <w:num w:numId="15">
    <w:abstractNumId w:val="16"/>
  </w:num>
  <w:num w:numId="16">
    <w:abstractNumId w:val="12"/>
  </w:num>
  <w:num w:numId="17">
    <w:abstractNumId w:val="21"/>
  </w:num>
  <w:num w:numId="18">
    <w:abstractNumId w:val="17"/>
  </w:num>
  <w:num w:numId="19">
    <w:abstractNumId w:val="22"/>
  </w:num>
  <w:num w:numId="20">
    <w:abstractNumId w:val="23"/>
  </w:num>
  <w:num w:numId="21">
    <w:abstractNumId w:val="19"/>
  </w:num>
  <w:num w:numId="22">
    <w:abstractNumId w:val="15"/>
  </w:num>
  <w:num w:numId="23">
    <w:abstractNumId w:val="13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9218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F46502"/>
    <w:rsid w:val="0000209D"/>
    <w:rsid w:val="0000437D"/>
    <w:rsid w:val="00004D5A"/>
    <w:rsid w:val="000056D5"/>
    <w:rsid w:val="00006ABD"/>
    <w:rsid w:val="0000767A"/>
    <w:rsid w:val="00007BEF"/>
    <w:rsid w:val="00010256"/>
    <w:rsid w:val="00010702"/>
    <w:rsid w:val="00011912"/>
    <w:rsid w:val="0002195D"/>
    <w:rsid w:val="000234D6"/>
    <w:rsid w:val="00023D29"/>
    <w:rsid w:val="00026389"/>
    <w:rsid w:val="00031AE0"/>
    <w:rsid w:val="000322EF"/>
    <w:rsid w:val="00033FCD"/>
    <w:rsid w:val="00041CEC"/>
    <w:rsid w:val="0004694F"/>
    <w:rsid w:val="000522E4"/>
    <w:rsid w:val="000610E1"/>
    <w:rsid w:val="00062EC5"/>
    <w:rsid w:val="00062F22"/>
    <w:rsid w:val="00067A82"/>
    <w:rsid w:val="000712B3"/>
    <w:rsid w:val="0008263E"/>
    <w:rsid w:val="00082A55"/>
    <w:rsid w:val="00082C19"/>
    <w:rsid w:val="00085395"/>
    <w:rsid w:val="00087634"/>
    <w:rsid w:val="00087F2B"/>
    <w:rsid w:val="00093E3F"/>
    <w:rsid w:val="00093E53"/>
    <w:rsid w:val="00095135"/>
    <w:rsid w:val="00096085"/>
    <w:rsid w:val="000974D1"/>
    <w:rsid w:val="0009799E"/>
    <w:rsid w:val="000A1183"/>
    <w:rsid w:val="000A256D"/>
    <w:rsid w:val="000A3A2C"/>
    <w:rsid w:val="000B525B"/>
    <w:rsid w:val="000C1D78"/>
    <w:rsid w:val="000C3408"/>
    <w:rsid w:val="000C6AFD"/>
    <w:rsid w:val="000D514E"/>
    <w:rsid w:val="000D5637"/>
    <w:rsid w:val="000E6FBD"/>
    <w:rsid w:val="000F030B"/>
    <w:rsid w:val="00100F5C"/>
    <w:rsid w:val="0010106F"/>
    <w:rsid w:val="00101CDA"/>
    <w:rsid w:val="00104C4C"/>
    <w:rsid w:val="00117623"/>
    <w:rsid w:val="0012192F"/>
    <w:rsid w:val="00125D69"/>
    <w:rsid w:val="001405FA"/>
    <w:rsid w:val="00141782"/>
    <w:rsid w:val="001425C3"/>
    <w:rsid w:val="001528B9"/>
    <w:rsid w:val="001612F4"/>
    <w:rsid w:val="00162312"/>
    <w:rsid w:val="0016256B"/>
    <w:rsid w:val="00162A7A"/>
    <w:rsid w:val="00163793"/>
    <w:rsid w:val="001706D6"/>
    <w:rsid w:val="001714F2"/>
    <w:rsid w:val="001730A6"/>
    <w:rsid w:val="00175B9F"/>
    <w:rsid w:val="00181BBC"/>
    <w:rsid w:val="00182799"/>
    <w:rsid w:val="00184B08"/>
    <w:rsid w:val="00185010"/>
    <w:rsid w:val="00186919"/>
    <w:rsid w:val="001916DB"/>
    <w:rsid w:val="00193818"/>
    <w:rsid w:val="001A0487"/>
    <w:rsid w:val="001A0D6B"/>
    <w:rsid w:val="001A552F"/>
    <w:rsid w:val="001B2CA9"/>
    <w:rsid w:val="001B3110"/>
    <w:rsid w:val="001B4729"/>
    <w:rsid w:val="001B6310"/>
    <w:rsid w:val="001B6C09"/>
    <w:rsid w:val="001C05CD"/>
    <w:rsid w:val="001C1B66"/>
    <w:rsid w:val="001D198A"/>
    <w:rsid w:val="001D463E"/>
    <w:rsid w:val="001D68B2"/>
    <w:rsid w:val="001D70E9"/>
    <w:rsid w:val="001E504C"/>
    <w:rsid w:val="001F4597"/>
    <w:rsid w:val="00203DA4"/>
    <w:rsid w:val="002052C6"/>
    <w:rsid w:val="00210790"/>
    <w:rsid w:val="002118B9"/>
    <w:rsid w:val="00217C5B"/>
    <w:rsid w:val="0022139E"/>
    <w:rsid w:val="00222729"/>
    <w:rsid w:val="00222FFB"/>
    <w:rsid w:val="002252E0"/>
    <w:rsid w:val="002255F6"/>
    <w:rsid w:val="00227850"/>
    <w:rsid w:val="00227A53"/>
    <w:rsid w:val="00230C6E"/>
    <w:rsid w:val="00236443"/>
    <w:rsid w:val="00241B06"/>
    <w:rsid w:val="002436BA"/>
    <w:rsid w:val="00244A15"/>
    <w:rsid w:val="00247319"/>
    <w:rsid w:val="0024799E"/>
    <w:rsid w:val="00253C0F"/>
    <w:rsid w:val="002558C1"/>
    <w:rsid w:val="0026207F"/>
    <w:rsid w:val="0026743D"/>
    <w:rsid w:val="00271465"/>
    <w:rsid w:val="00274037"/>
    <w:rsid w:val="00285412"/>
    <w:rsid w:val="00291640"/>
    <w:rsid w:val="002A16D4"/>
    <w:rsid w:val="002A230C"/>
    <w:rsid w:val="002A5D97"/>
    <w:rsid w:val="002A645E"/>
    <w:rsid w:val="002B2127"/>
    <w:rsid w:val="002B213A"/>
    <w:rsid w:val="002B38B8"/>
    <w:rsid w:val="002B4845"/>
    <w:rsid w:val="002B6B06"/>
    <w:rsid w:val="002C43BD"/>
    <w:rsid w:val="002D0E59"/>
    <w:rsid w:val="002E02A1"/>
    <w:rsid w:val="002E4E4C"/>
    <w:rsid w:val="00303533"/>
    <w:rsid w:val="00304771"/>
    <w:rsid w:val="003052D4"/>
    <w:rsid w:val="00306C5B"/>
    <w:rsid w:val="003209D6"/>
    <w:rsid w:val="00321924"/>
    <w:rsid w:val="0032656E"/>
    <w:rsid w:val="00330060"/>
    <w:rsid w:val="00332190"/>
    <w:rsid w:val="00336E03"/>
    <w:rsid w:val="0034335E"/>
    <w:rsid w:val="00344668"/>
    <w:rsid w:val="003462D9"/>
    <w:rsid w:val="00347378"/>
    <w:rsid w:val="00360C86"/>
    <w:rsid w:val="00360DE3"/>
    <w:rsid w:val="00360FBC"/>
    <w:rsid w:val="00362E90"/>
    <w:rsid w:val="00363FF4"/>
    <w:rsid w:val="00364FA0"/>
    <w:rsid w:val="003657F3"/>
    <w:rsid w:val="003818DC"/>
    <w:rsid w:val="00384327"/>
    <w:rsid w:val="00385D3E"/>
    <w:rsid w:val="00385D98"/>
    <w:rsid w:val="003870EE"/>
    <w:rsid w:val="00392244"/>
    <w:rsid w:val="003A2B4D"/>
    <w:rsid w:val="003A2D12"/>
    <w:rsid w:val="003A478C"/>
    <w:rsid w:val="003A5525"/>
    <w:rsid w:val="003A6B38"/>
    <w:rsid w:val="003B4331"/>
    <w:rsid w:val="003B461F"/>
    <w:rsid w:val="003B5A32"/>
    <w:rsid w:val="003C3490"/>
    <w:rsid w:val="003C4BE8"/>
    <w:rsid w:val="003C7E62"/>
    <w:rsid w:val="003D6920"/>
    <w:rsid w:val="003E38BA"/>
    <w:rsid w:val="003E4C91"/>
    <w:rsid w:val="003F313C"/>
    <w:rsid w:val="003F37FC"/>
    <w:rsid w:val="003F3890"/>
    <w:rsid w:val="003F4B2C"/>
    <w:rsid w:val="003F551C"/>
    <w:rsid w:val="003F72ED"/>
    <w:rsid w:val="003F7D23"/>
    <w:rsid w:val="00407C13"/>
    <w:rsid w:val="00410638"/>
    <w:rsid w:val="0041501E"/>
    <w:rsid w:val="004159C3"/>
    <w:rsid w:val="004225C6"/>
    <w:rsid w:val="00427E07"/>
    <w:rsid w:val="0043211B"/>
    <w:rsid w:val="00432A58"/>
    <w:rsid w:val="00433C0C"/>
    <w:rsid w:val="00434617"/>
    <w:rsid w:val="00436778"/>
    <w:rsid w:val="00440900"/>
    <w:rsid w:val="00441BF6"/>
    <w:rsid w:val="004441A0"/>
    <w:rsid w:val="0045078A"/>
    <w:rsid w:val="0045086D"/>
    <w:rsid w:val="00460FB3"/>
    <w:rsid w:val="00461976"/>
    <w:rsid w:val="00476240"/>
    <w:rsid w:val="00476439"/>
    <w:rsid w:val="0047735C"/>
    <w:rsid w:val="004776BC"/>
    <w:rsid w:val="004800A7"/>
    <w:rsid w:val="0048139F"/>
    <w:rsid w:val="00481E40"/>
    <w:rsid w:val="00484ECE"/>
    <w:rsid w:val="004915CB"/>
    <w:rsid w:val="004924DC"/>
    <w:rsid w:val="00493F18"/>
    <w:rsid w:val="004A14E4"/>
    <w:rsid w:val="004A3212"/>
    <w:rsid w:val="004A5494"/>
    <w:rsid w:val="004A61C5"/>
    <w:rsid w:val="004A77DF"/>
    <w:rsid w:val="004B1417"/>
    <w:rsid w:val="004B48DF"/>
    <w:rsid w:val="004B55B7"/>
    <w:rsid w:val="004B6468"/>
    <w:rsid w:val="004B7125"/>
    <w:rsid w:val="004C26B0"/>
    <w:rsid w:val="004C384C"/>
    <w:rsid w:val="004C3867"/>
    <w:rsid w:val="004C4CD0"/>
    <w:rsid w:val="004C5FBF"/>
    <w:rsid w:val="004C70DC"/>
    <w:rsid w:val="004D0211"/>
    <w:rsid w:val="004D0794"/>
    <w:rsid w:val="004E02EB"/>
    <w:rsid w:val="004E326C"/>
    <w:rsid w:val="004F06F5"/>
    <w:rsid w:val="004F16F7"/>
    <w:rsid w:val="004F33A0"/>
    <w:rsid w:val="0050689D"/>
    <w:rsid w:val="005108C0"/>
    <w:rsid w:val="00510EB8"/>
    <w:rsid w:val="00511873"/>
    <w:rsid w:val="00512A2F"/>
    <w:rsid w:val="00513B7E"/>
    <w:rsid w:val="00515C74"/>
    <w:rsid w:val="00515FFA"/>
    <w:rsid w:val="005173AF"/>
    <w:rsid w:val="0052007E"/>
    <w:rsid w:val="0052337A"/>
    <w:rsid w:val="00525137"/>
    <w:rsid w:val="005251DD"/>
    <w:rsid w:val="00532CE7"/>
    <w:rsid w:val="0053324C"/>
    <w:rsid w:val="00534A28"/>
    <w:rsid w:val="00541508"/>
    <w:rsid w:val="00543498"/>
    <w:rsid w:val="00551238"/>
    <w:rsid w:val="0055599F"/>
    <w:rsid w:val="00556D68"/>
    <w:rsid w:val="00563EB8"/>
    <w:rsid w:val="005647BF"/>
    <w:rsid w:val="00564AF1"/>
    <w:rsid w:val="0057364B"/>
    <w:rsid w:val="00574773"/>
    <w:rsid w:val="00583FFD"/>
    <w:rsid w:val="005911BE"/>
    <w:rsid w:val="00593152"/>
    <w:rsid w:val="005A10F2"/>
    <w:rsid w:val="005A21E0"/>
    <w:rsid w:val="005A28FF"/>
    <w:rsid w:val="005A2C7B"/>
    <w:rsid w:val="005A3DF8"/>
    <w:rsid w:val="005A5549"/>
    <w:rsid w:val="005A6BE2"/>
    <w:rsid w:val="005A7666"/>
    <w:rsid w:val="005B08EB"/>
    <w:rsid w:val="005B121D"/>
    <w:rsid w:val="005C06ED"/>
    <w:rsid w:val="005C2609"/>
    <w:rsid w:val="005D3386"/>
    <w:rsid w:val="005D5802"/>
    <w:rsid w:val="005D7119"/>
    <w:rsid w:val="005D7890"/>
    <w:rsid w:val="005E2A7C"/>
    <w:rsid w:val="005E7C78"/>
    <w:rsid w:val="005F18C5"/>
    <w:rsid w:val="005F3EB1"/>
    <w:rsid w:val="005F46D8"/>
    <w:rsid w:val="005F5469"/>
    <w:rsid w:val="00600079"/>
    <w:rsid w:val="006003D1"/>
    <w:rsid w:val="00601A2E"/>
    <w:rsid w:val="0060404F"/>
    <w:rsid w:val="00604307"/>
    <w:rsid w:val="0060487F"/>
    <w:rsid w:val="00604EAD"/>
    <w:rsid w:val="006075F4"/>
    <w:rsid w:val="00607FF4"/>
    <w:rsid w:val="006104FB"/>
    <w:rsid w:val="0061249B"/>
    <w:rsid w:val="00612A2F"/>
    <w:rsid w:val="00616E05"/>
    <w:rsid w:val="00624093"/>
    <w:rsid w:val="0063201A"/>
    <w:rsid w:val="006350D5"/>
    <w:rsid w:val="006404A7"/>
    <w:rsid w:val="006451E4"/>
    <w:rsid w:val="00645B33"/>
    <w:rsid w:val="00650330"/>
    <w:rsid w:val="006516CB"/>
    <w:rsid w:val="006558BD"/>
    <w:rsid w:val="00657E87"/>
    <w:rsid w:val="00664803"/>
    <w:rsid w:val="00665BA4"/>
    <w:rsid w:val="00666D91"/>
    <w:rsid w:val="00667AF2"/>
    <w:rsid w:val="006710C9"/>
    <w:rsid w:val="00674D89"/>
    <w:rsid w:val="00675E37"/>
    <w:rsid w:val="00680001"/>
    <w:rsid w:val="0068174E"/>
    <w:rsid w:val="00681DCE"/>
    <w:rsid w:val="0068260E"/>
    <w:rsid w:val="006836CB"/>
    <w:rsid w:val="00695BEF"/>
    <w:rsid w:val="006977F6"/>
    <w:rsid w:val="00697A13"/>
    <w:rsid w:val="006A109C"/>
    <w:rsid w:val="006A3E08"/>
    <w:rsid w:val="006A73A6"/>
    <w:rsid w:val="006B0F92"/>
    <w:rsid w:val="006B344A"/>
    <w:rsid w:val="006B4B7B"/>
    <w:rsid w:val="006B78D8"/>
    <w:rsid w:val="006C113F"/>
    <w:rsid w:val="006C123E"/>
    <w:rsid w:val="006C1752"/>
    <w:rsid w:val="006C33B2"/>
    <w:rsid w:val="006C56D4"/>
    <w:rsid w:val="006C6924"/>
    <w:rsid w:val="006C7CA6"/>
    <w:rsid w:val="006D3E8A"/>
    <w:rsid w:val="006D61F6"/>
    <w:rsid w:val="006D64C2"/>
    <w:rsid w:val="006E279A"/>
    <w:rsid w:val="006E313B"/>
    <w:rsid w:val="006E7227"/>
    <w:rsid w:val="006F2595"/>
    <w:rsid w:val="006F438E"/>
    <w:rsid w:val="006F5416"/>
    <w:rsid w:val="00705242"/>
    <w:rsid w:val="00706AD4"/>
    <w:rsid w:val="00707150"/>
    <w:rsid w:val="007140BE"/>
    <w:rsid w:val="00716E3F"/>
    <w:rsid w:val="007211F5"/>
    <w:rsid w:val="007240E2"/>
    <w:rsid w:val="00725BB5"/>
    <w:rsid w:val="00730AE8"/>
    <w:rsid w:val="00730F1B"/>
    <w:rsid w:val="00741493"/>
    <w:rsid w:val="0074369B"/>
    <w:rsid w:val="00750EF8"/>
    <w:rsid w:val="00752180"/>
    <w:rsid w:val="00753CAB"/>
    <w:rsid w:val="00755202"/>
    <w:rsid w:val="00755D3A"/>
    <w:rsid w:val="007578D3"/>
    <w:rsid w:val="007609C6"/>
    <w:rsid w:val="0076175D"/>
    <w:rsid w:val="00763B85"/>
    <w:rsid w:val="0076521E"/>
    <w:rsid w:val="007661E9"/>
    <w:rsid w:val="00775F45"/>
    <w:rsid w:val="00776169"/>
    <w:rsid w:val="00776527"/>
    <w:rsid w:val="00780EF1"/>
    <w:rsid w:val="00783C17"/>
    <w:rsid w:val="00785232"/>
    <w:rsid w:val="00787293"/>
    <w:rsid w:val="00790764"/>
    <w:rsid w:val="0079453C"/>
    <w:rsid w:val="00794677"/>
    <w:rsid w:val="007A516D"/>
    <w:rsid w:val="007B6689"/>
    <w:rsid w:val="007C13A4"/>
    <w:rsid w:val="007C6BBD"/>
    <w:rsid w:val="007C7BAE"/>
    <w:rsid w:val="007D0C24"/>
    <w:rsid w:val="007D40DF"/>
    <w:rsid w:val="007E29B4"/>
    <w:rsid w:val="007E435A"/>
    <w:rsid w:val="007E7E61"/>
    <w:rsid w:val="007F0845"/>
    <w:rsid w:val="007F708D"/>
    <w:rsid w:val="00801E13"/>
    <w:rsid w:val="00807C82"/>
    <w:rsid w:val="00816905"/>
    <w:rsid w:val="00821FF6"/>
    <w:rsid w:val="00822574"/>
    <w:rsid w:val="00825C4D"/>
    <w:rsid w:val="0083143E"/>
    <w:rsid w:val="00831CDE"/>
    <w:rsid w:val="00833BF2"/>
    <w:rsid w:val="00834304"/>
    <w:rsid w:val="00834FAA"/>
    <w:rsid w:val="00836086"/>
    <w:rsid w:val="00846121"/>
    <w:rsid w:val="0084708F"/>
    <w:rsid w:val="008477C8"/>
    <w:rsid w:val="00847931"/>
    <w:rsid w:val="0085114D"/>
    <w:rsid w:val="00852217"/>
    <w:rsid w:val="00855408"/>
    <w:rsid w:val="00856D65"/>
    <w:rsid w:val="00861B41"/>
    <w:rsid w:val="00861BE3"/>
    <w:rsid w:val="00863434"/>
    <w:rsid w:val="00865E4C"/>
    <w:rsid w:val="008701E4"/>
    <w:rsid w:val="00875A32"/>
    <w:rsid w:val="00876086"/>
    <w:rsid w:val="008873D4"/>
    <w:rsid w:val="0089296D"/>
    <w:rsid w:val="00893E85"/>
    <w:rsid w:val="00894031"/>
    <w:rsid w:val="00895508"/>
    <w:rsid w:val="008B7C02"/>
    <w:rsid w:val="008B7D2B"/>
    <w:rsid w:val="008C0049"/>
    <w:rsid w:val="008C0E88"/>
    <w:rsid w:val="008D0A60"/>
    <w:rsid w:val="008D0DBD"/>
    <w:rsid w:val="008D1E6A"/>
    <w:rsid w:val="008D2A16"/>
    <w:rsid w:val="008E0DC9"/>
    <w:rsid w:val="008E2C57"/>
    <w:rsid w:val="008E31FF"/>
    <w:rsid w:val="008E6F06"/>
    <w:rsid w:val="008E7FC9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0FB1"/>
    <w:rsid w:val="0093139F"/>
    <w:rsid w:val="00932443"/>
    <w:rsid w:val="00937AE2"/>
    <w:rsid w:val="00942C19"/>
    <w:rsid w:val="0094427A"/>
    <w:rsid w:val="00945245"/>
    <w:rsid w:val="009540B7"/>
    <w:rsid w:val="0095759C"/>
    <w:rsid w:val="00974923"/>
    <w:rsid w:val="00980D3D"/>
    <w:rsid w:val="00987A30"/>
    <w:rsid w:val="00992CF3"/>
    <w:rsid w:val="009942B6"/>
    <w:rsid w:val="00994868"/>
    <w:rsid w:val="009968D6"/>
    <w:rsid w:val="009A1CAB"/>
    <w:rsid w:val="009A60D1"/>
    <w:rsid w:val="009A7B2E"/>
    <w:rsid w:val="009B6FD3"/>
    <w:rsid w:val="009C03C8"/>
    <w:rsid w:val="009C1750"/>
    <w:rsid w:val="009C2E29"/>
    <w:rsid w:val="009C3ED8"/>
    <w:rsid w:val="009C554B"/>
    <w:rsid w:val="009C719E"/>
    <w:rsid w:val="009D3ACD"/>
    <w:rsid w:val="009E5273"/>
    <w:rsid w:val="009E5DDB"/>
    <w:rsid w:val="009F46EA"/>
    <w:rsid w:val="009F4CA7"/>
    <w:rsid w:val="00A10D66"/>
    <w:rsid w:val="00A14114"/>
    <w:rsid w:val="00A16413"/>
    <w:rsid w:val="00A16E1D"/>
    <w:rsid w:val="00A17D5B"/>
    <w:rsid w:val="00A230A8"/>
    <w:rsid w:val="00A23E43"/>
    <w:rsid w:val="00A25216"/>
    <w:rsid w:val="00A27420"/>
    <w:rsid w:val="00A30F65"/>
    <w:rsid w:val="00A329DF"/>
    <w:rsid w:val="00A35142"/>
    <w:rsid w:val="00A35EA6"/>
    <w:rsid w:val="00A40EAC"/>
    <w:rsid w:val="00A418BC"/>
    <w:rsid w:val="00A46DE0"/>
    <w:rsid w:val="00A4750C"/>
    <w:rsid w:val="00A50D73"/>
    <w:rsid w:val="00A51F19"/>
    <w:rsid w:val="00A52CAD"/>
    <w:rsid w:val="00A537F0"/>
    <w:rsid w:val="00A53FC7"/>
    <w:rsid w:val="00A55161"/>
    <w:rsid w:val="00A62CE1"/>
    <w:rsid w:val="00A6741E"/>
    <w:rsid w:val="00A75E40"/>
    <w:rsid w:val="00A77D1D"/>
    <w:rsid w:val="00A84923"/>
    <w:rsid w:val="00A857C0"/>
    <w:rsid w:val="00A90FED"/>
    <w:rsid w:val="00AA2996"/>
    <w:rsid w:val="00AA52BF"/>
    <w:rsid w:val="00AA559A"/>
    <w:rsid w:val="00AB2AF1"/>
    <w:rsid w:val="00AB5421"/>
    <w:rsid w:val="00AC45BD"/>
    <w:rsid w:val="00AD168E"/>
    <w:rsid w:val="00AD306C"/>
    <w:rsid w:val="00AD68C4"/>
    <w:rsid w:val="00AE09B3"/>
    <w:rsid w:val="00AE1A83"/>
    <w:rsid w:val="00AE7FB2"/>
    <w:rsid w:val="00B00913"/>
    <w:rsid w:val="00B01593"/>
    <w:rsid w:val="00B023F2"/>
    <w:rsid w:val="00B10A4D"/>
    <w:rsid w:val="00B120A1"/>
    <w:rsid w:val="00B121D2"/>
    <w:rsid w:val="00B14BC1"/>
    <w:rsid w:val="00B17E71"/>
    <w:rsid w:val="00B17FDE"/>
    <w:rsid w:val="00B20632"/>
    <w:rsid w:val="00B2379C"/>
    <w:rsid w:val="00B2687D"/>
    <w:rsid w:val="00B30358"/>
    <w:rsid w:val="00B32DDB"/>
    <w:rsid w:val="00B34528"/>
    <w:rsid w:val="00B34CC9"/>
    <w:rsid w:val="00B402FC"/>
    <w:rsid w:val="00B40FF9"/>
    <w:rsid w:val="00B42470"/>
    <w:rsid w:val="00B439DA"/>
    <w:rsid w:val="00B46604"/>
    <w:rsid w:val="00B530CD"/>
    <w:rsid w:val="00B55F5E"/>
    <w:rsid w:val="00B57338"/>
    <w:rsid w:val="00B5752E"/>
    <w:rsid w:val="00B63A11"/>
    <w:rsid w:val="00B64C24"/>
    <w:rsid w:val="00B6608F"/>
    <w:rsid w:val="00B679FB"/>
    <w:rsid w:val="00B76D1E"/>
    <w:rsid w:val="00B80EC6"/>
    <w:rsid w:val="00B84CF6"/>
    <w:rsid w:val="00B86F03"/>
    <w:rsid w:val="00B92D1D"/>
    <w:rsid w:val="00B938C5"/>
    <w:rsid w:val="00B95940"/>
    <w:rsid w:val="00BA0DD3"/>
    <w:rsid w:val="00BA6C2B"/>
    <w:rsid w:val="00BB2F03"/>
    <w:rsid w:val="00BB46F3"/>
    <w:rsid w:val="00BB4CB1"/>
    <w:rsid w:val="00BB4F98"/>
    <w:rsid w:val="00BC0E31"/>
    <w:rsid w:val="00BC5C12"/>
    <w:rsid w:val="00BC7154"/>
    <w:rsid w:val="00BC731E"/>
    <w:rsid w:val="00BD163C"/>
    <w:rsid w:val="00BD2211"/>
    <w:rsid w:val="00BD366B"/>
    <w:rsid w:val="00BD6D50"/>
    <w:rsid w:val="00BE18B9"/>
    <w:rsid w:val="00BE2495"/>
    <w:rsid w:val="00BE468E"/>
    <w:rsid w:val="00BE6186"/>
    <w:rsid w:val="00BF1578"/>
    <w:rsid w:val="00C21405"/>
    <w:rsid w:val="00C21F94"/>
    <w:rsid w:val="00C27913"/>
    <w:rsid w:val="00C33B68"/>
    <w:rsid w:val="00C36A79"/>
    <w:rsid w:val="00C401D2"/>
    <w:rsid w:val="00C405D4"/>
    <w:rsid w:val="00C4513B"/>
    <w:rsid w:val="00C466D2"/>
    <w:rsid w:val="00C517C6"/>
    <w:rsid w:val="00C5390B"/>
    <w:rsid w:val="00C54697"/>
    <w:rsid w:val="00C60191"/>
    <w:rsid w:val="00C6152B"/>
    <w:rsid w:val="00C73885"/>
    <w:rsid w:val="00C747B1"/>
    <w:rsid w:val="00C805DC"/>
    <w:rsid w:val="00C82191"/>
    <w:rsid w:val="00C83134"/>
    <w:rsid w:val="00C85545"/>
    <w:rsid w:val="00C90CF4"/>
    <w:rsid w:val="00C92EB6"/>
    <w:rsid w:val="00C93389"/>
    <w:rsid w:val="00C96D08"/>
    <w:rsid w:val="00CA6AB4"/>
    <w:rsid w:val="00CB259D"/>
    <w:rsid w:val="00CB4930"/>
    <w:rsid w:val="00CC2E7D"/>
    <w:rsid w:val="00CC71EC"/>
    <w:rsid w:val="00CD10A5"/>
    <w:rsid w:val="00CD2076"/>
    <w:rsid w:val="00CD29B5"/>
    <w:rsid w:val="00CD6331"/>
    <w:rsid w:val="00CE153B"/>
    <w:rsid w:val="00CE670B"/>
    <w:rsid w:val="00CF1C4C"/>
    <w:rsid w:val="00CF4908"/>
    <w:rsid w:val="00CF51EC"/>
    <w:rsid w:val="00CF73AE"/>
    <w:rsid w:val="00D040DD"/>
    <w:rsid w:val="00D050F8"/>
    <w:rsid w:val="00D075BE"/>
    <w:rsid w:val="00D1005A"/>
    <w:rsid w:val="00D11854"/>
    <w:rsid w:val="00D13986"/>
    <w:rsid w:val="00D21D83"/>
    <w:rsid w:val="00D235B7"/>
    <w:rsid w:val="00D25F28"/>
    <w:rsid w:val="00D26071"/>
    <w:rsid w:val="00D27973"/>
    <w:rsid w:val="00D279B8"/>
    <w:rsid w:val="00D32F90"/>
    <w:rsid w:val="00D35E1A"/>
    <w:rsid w:val="00D50F46"/>
    <w:rsid w:val="00D52BE2"/>
    <w:rsid w:val="00D57677"/>
    <w:rsid w:val="00D66223"/>
    <w:rsid w:val="00D8084C"/>
    <w:rsid w:val="00D915EA"/>
    <w:rsid w:val="00D93CE2"/>
    <w:rsid w:val="00D943C6"/>
    <w:rsid w:val="00D965EC"/>
    <w:rsid w:val="00DA7C0C"/>
    <w:rsid w:val="00DB08A9"/>
    <w:rsid w:val="00DB2EC8"/>
    <w:rsid w:val="00DC37E3"/>
    <w:rsid w:val="00DC5B3B"/>
    <w:rsid w:val="00DD129F"/>
    <w:rsid w:val="00DE4C19"/>
    <w:rsid w:val="00DF42FF"/>
    <w:rsid w:val="00DF7AD4"/>
    <w:rsid w:val="00E01C0E"/>
    <w:rsid w:val="00E03F9A"/>
    <w:rsid w:val="00E04694"/>
    <w:rsid w:val="00E04F27"/>
    <w:rsid w:val="00E102BD"/>
    <w:rsid w:val="00E11DE1"/>
    <w:rsid w:val="00E12B1E"/>
    <w:rsid w:val="00E17262"/>
    <w:rsid w:val="00E212C9"/>
    <w:rsid w:val="00E253A2"/>
    <w:rsid w:val="00E3309D"/>
    <w:rsid w:val="00E453F9"/>
    <w:rsid w:val="00E47EBA"/>
    <w:rsid w:val="00E50156"/>
    <w:rsid w:val="00E53470"/>
    <w:rsid w:val="00E539F6"/>
    <w:rsid w:val="00E6519D"/>
    <w:rsid w:val="00E67696"/>
    <w:rsid w:val="00E711D1"/>
    <w:rsid w:val="00E71A58"/>
    <w:rsid w:val="00E72A7A"/>
    <w:rsid w:val="00E733C7"/>
    <w:rsid w:val="00E75C94"/>
    <w:rsid w:val="00E76E61"/>
    <w:rsid w:val="00E924B2"/>
    <w:rsid w:val="00E93820"/>
    <w:rsid w:val="00E94A86"/>
    <w:rsid w:val="00E96143"/>
    <w:rsid w:val="00E972A9"/>
    <w:rsid w:val="00EA0840"/>
    <w:rsid w:val="00EA0C68"/>
    <w:rsid w:val="00EA17B0"/>
    <w:rsid w:val="00EA32BC"/>
    <w:rsid w:val="00EA405F"/>
    <w:rsid w:val="00EB4511"/>
    <w:rsid w:val="00EC03D7"/>
    <w:rsid w:val="00EC25F0"/>
    <w:rsid w:val="00ED62C6"/>
    <w:rsid w:val="00ED64C1"/>
    <w:rsid w:val="00EE3446"/>
    <w:rsid w:val="00EE3E78"/>
    <w:rsid w:val="00EE4B1B"/>
    <w:rsid w:val="00EF150D"/>
    <w:rsid w:val="00EF1F5A"/>
    <w:rsid w:val="00EF47BF"/>
    <w:rsid w:val="00F04811"/>
    <w:rsid w:val="00F0488C"/>
    <w:rsid w:val="00F10F11"/>
    <w:rsid w:val="00F15AAA"/>
    <w:rsid w:val="00F15BEF"/>
    <w:rsid w:val="00F160CE"/>
    <w:rsid w:val="00F162B3"/>
    <w:rsid w:val="00F24407"/>
    <w:rsid w:val="00F24FAA"/>
    <w:rsid w:val="00F3364D"/>
    <w:rsid w:val="00F33E56"/>
    <w:rsid w:val="00F433FE"/>
    <w:rsid w:val="00F437CC"/>
    <w:rsid w:val="00F44537"/>
    <w:rsid w:val="00F46502"/>
    <w:rsid w:val="00F47067"/>
    <w:rsid w:val="00F525EB"/>
    <w:rsid w:val="00F55E08"/>
    <w:rsid w:val="00F63DDE"/>
    <w:rsid w:val="00F63FB7"/>
    <w:rsid w:val="00F6421B"/>
    <w:rsid w:val="00F649D2"/>
    <w:rsid w:val="00F6602B"/>
    <w:rsid w:val="00F73A0C"/>
    <w:rsid w:val="00F756DB"/>
    <w:rsid w:val="00F84E7D"/>
    <w:rsid w:val="00F85066"/>
    <w:rsid w:val="00F859D0"/>
    <w:rsid w:val="00F87A4D"/>
    <w:rsid w:val="00FA5D4D"/>
    <w:rsid w:val="00FB0EE2"/>
    <w:rsid w:val="00FB542E"/>
    <w:rsid w:val="00FC0359"/>
    <w:rsid w:val="00FC0E5F"/>
    <w:rsid w:val="00FC1A95"/>
    <w:rsid w:val="00FC56DE"/>
    <w:rsid w:val="00FC684B"/>
    <w:rsid w:val="00FD3265"/>
    <w:rsid w:val="00FD4916"/>
    <w:rsid w:val="00FE2F78"/>
    <w:rsid w:val="00FE6609"/>
    <w:rsid w:val="00FF0A77"/>
    <w:rsid w:val="00FF3EEC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Lis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qFormat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EA0840"/>
    <w:rPr>
      <w:noProof/>
      <w:lang w:eastAsia="en-US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F46502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Nadpis21">
    <w:name w:val="Nadpis 21"/>
    <w:basedOn w:val="Normln"/>
    <w:uiPriority w:val="9"/>
    <w:qFormat/>
    <w:rsid w:val="00F46502"/>
    <w:pPr>
      <w:keepNext/>
      <w:keepLines/>
      <w:spacing w:after="0"/>
      <w:jc w:val="left"/>
      <w:outlineLvl w:val="1"/>
    </w:pPr>
    <w:rPr>
      <w:rFonts w:eastAsia="MS Gothic"/>
      <w:b/>
      <w:bCs/>
      <w:color w:val="71818C"/>
      <w:sz w:val="28"/>
      <w:szCs w:val="26"/>
    </w:rPr>
  </w:style>
  <w:style w:type="paragraph" w:customStyle="1" w:styleId="Textpoznpodarou1">
    <w:name w:val="Text pozn. pod čarou1"/>
    <w:basedOn w:val="Normln"/>
    <w:rsid w:val="00F46502"/>
    <w:pPr>
      <w:spacing w:after="0" w:line="240" w:lineRule="auto"/>
      <w:jc w:val="left"/>
    </w:pPr>
    <w:rPr>
      <w:rFonts w:eastAsia="Calibri"/>
      <w:color w:val="00000A"/>
      <w:szCs w:val="20"/>
    </w:rPr>
  </w:style>
  <w:style w:type="character" w:customStyle="1" w:styleId="TextpoznpodarouChar1">
    <w:name w:val="Text pozn. pod čarou Char1"/>
    <w:aliases w:val="Text pozn. pod čarou_martin_ang Char1"/>
    <w:basedOn w:val="Standardnpsmoodstavce"/>
    <w:semiHidden/>
    <w:rsid w:val="00F46502"/>
    <w:rPr>
      <w:rFonts w:ascii="Arial" w:eastAsia="Times New Roman" w:hAnsi="Arial" w:cs="Times New Roman"/>
      <w:color w:val="00000A"/>
      <w:szCs w:val="20"/>
      <w:lang w:eastAsia="cs-CZ"/>
    </w:rPr>
  </w:style>
  <w:style w:type="character" w:styleId="Znakapoznpodarou">
    <w:name w:val="footnote reference"/>
    <w:basedOn w:val="Standardnpsmoodstavce"/>
    <w:rsid w:val="00F46502"/>
    <w:rPr>
      <w:rFonts w:cs="Times New Roman"/>
      <w:vertAlign w:val="superscript"/>
    </w:rPr>
  </w:style>
  <w:style w:type="character" w:customStyle="1" w:styleId="odkaz-style-wrapper">
    <w:name w:val="odkaz-style-wrapper"/>
    <w:basedOn w:val="Standardnpsmoodstavce"/>
    <w:rsid w:val="00BE6186"/>
  </w:style>
  <w:style w:type="paragraph" w:customStyle="1" w:styleId="Nadpis110">
    <w:name w:val="Nadpis 11"/>
    <w:basedOn w:val="Normln"/>
    <w:uiPriority w:val="9"/>
    <w:qFormat/>
    <w:rsid w:val="00BE6186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Nadpis210">
    <w:name w:val="Nadpis 21"/>
    <w:basedOn w:val="Normln"/>
    <w:uiPriority w:val="9"/>
    <w:qFormat/>
    <w:rsid w:val="00BE6186"/>
    <w:pPr>
      <w:keepNext/>
      <w:keepLines/>
      <w:spacing w:after="0"/>
      <w:jc w:val="left"/>
      <w:outlineLvl w:val="1"/>
    </w:pPr>
    <w:rPr>
      <w:rFonts w:eastAsia="MS Gothic"/>
      <w:b/>
      <w:bCs/>
      <w:color w:val="71818C"/>
      <w:sz w:val="28"/>
      <w:szCs w:val="26"/>
    </w:rPr>
  </w:style>
  <w:style w:type="paragraph" w:customStyle="1" w:styleId="Textpoznpodarou10">
    <w:name w:val="Text pozn. pod čarou1"/>
    <w:basedOn w:val="Normln"/>
    <w:rsid w:val="00BE6186"/>
    <w:pPr>
      <w:spacing w:after="0" w:line="240" w:lineRule="auto"/>
      <w:jc w:val="left"/>
    </w:pPr>
    <w:rPr>
      <w:rFonts w:eastAsia="Calibri"/>
      <w:color w:val="00000A"/>
      <w:szCs w:val="20"/>
    </w:rPr>
  </w:style>
  <w:style w:type="paragraph" w:styleId="Normlnweb">
    <w:name w:val="Normal (Web)"/>
    <w:basedOn w:val="Normln"/>
    <w:uiPriority w:val="99"/>
    <w:unhideWhenUsed/>
    <w:rsid w:val="00C96D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4C5FBF"/>
    <w:pPr>
      <w:widowControl w:val="0"/>
      <w:suppressAutoHyphens/>
      <w:autoSpaceDE w:val="0"/>
      <w:autoSpaceDN w:val="0"/>
      <w:adjustRightInd w:val="0"/>
      <w:spacing w:before="120" w:after="0" w:line="215" w:lineRule="exact"/>
    </w:pPr>
    <w:rPr>
      <w:rFonts w:ascii="Times New Roman CE obyèejné" w:hAnsi="Times New Roman CE obyèejné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C5FBF"/>
    <w:rPr>
      <w:rFonts w:ascii="Times New Roman CE obyèejné" w:eastAsia="Times New Roman" w:hAnsi="Times New Roman CE obyèejné"/>
      <w:lang w:eastAsia="cs-CZ"/>
    </w:rPr>
  </w:style>
  <w:style w:type="character" w:customStyle="1" w:styleId="content">
    <w:name w:val="content"/>
    <w:basedOn w:val="Standardnpsmoodstavce"/>
    <w:rsid w:val="003C4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7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82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Ro&#269;n&#237;%20anal&#253;za%202018\Ana&#253;za%20ekonomick&#233;ho%20v&#253;voje%20v%20roce%202017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KAM%20CSU\PUBLIKACE\PUBLIKACE\2018\Velk&#225;%20makro\6-Informa&#269;n&#237;%20akomunika&#269;n&#237;%20&#269;in\Grafy-infor.%20a%20komunika&#269;n&#237;%20&#269;i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KAM%20CSU\PUBLIKACE\PUBLIKACE\2018\Velk&#225;%20makro\7-Profes.v&#283;d,%20techn,%20admin%20&#269;in\Grafy-Profes%20v&#283;d%20a%20tech%20&#269;in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JKAM%20CSU\PUBLIKACE\PUBLIKACE\2018\Velk&#225;%20makro\7-Profes.v&#283;d,%20techn,%20admin%20&#269;in\Grafy-Profes%20v&#283;d%20a%20tech%20&#269;i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6.2040029038385534E-2"/>
          <c:y val="1.9513175616352976E-2"/>
          <c:w val="0.92433548575002356"/>
          <c:h val="0.76155690645052365"/>
        </c:manualLayout>
      </c:layout>
      <c:barChart>
        <c:barDir val="col"/>
        <c:grouping val="clustered"/>
        <c:ser>
          <c:idx val="0"/>
          <c:order val="0"/>
          <c:tx>
            <c:strRef>
              <c:f>'Graf-Národní účty-souhrnné'!$A$39</c:f>
              <c:strCache>
                <c:ptCount val="1"/>
                <c:pt idx="0">
                  <c:v>Hrubá přidaná hodnota (2010=100)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2700">
              <a:noFill/>
              <a:prstDash val="solid"/>
            </a:ln>
          </c:spPr>
          <c:cat>
            <c:strRef>
              <c:f>'Graf-Národní účty-souhrnné'!$G$38:$S$38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'Graf-Národní účty-souhrnné'!$G$39:$S$39</c:f>
              <c:numCache>
                <c:formatCode>0.0</c:formatCode>
                <c:ptCount val="13"/>
                <c:pt idx="0">
                  <c:v>95.9</c:v>
                </c:pt>
                <c:pt idx="1">
                  <c:v>94.6</c:v>
                </c:pt>
                <c:pt idx="2">
                  <c:v>105.1</c:v>
                </c:pt>
                <c:pt idx="3">
                  <c:v>108.5</c:v>
                </c:pt>
                <c:pt idx="4">
                  <c:v>100.7</c:v>
                </c:pt>
                <c:pt idx="5">
                  <c:v>100</c:v>
                </c:pt>
                <c:pt idx="6">
                  <c:v>101.9</c:v>
                </c:pt>
                <c:pt idx="7">
                  <c:v>103</c:v>
                </c:pt>
                <c:pt idx="8">
                  <c:v>106.1</c:v>
                </c:pt>
                <c:pt idx="9">
                  <c:v>107.4</c:v>
                </c:pt>
                <c:pt idx="10">
                  <c:v>115.3</c:v>
                </c:pt>
                <c:pt idx="11">
                  <c:v>121.6</c:v>
                </c:pt>
                <c:pt idx="12">
                  <c:v>125.6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4F-4998-8E74-FA74952B57FB}"/>
            </c:ext>
          </c:extLst>
        </c:ser>
        <c:gapWidth val="30"/>
        <c:axId val="89794432"/>
        <c:axId val="89821952"/>
      </c:barChart>
      <c:lineChart>
        <c:grouping val="standard"/>
        <c:ser>
          <c:idx val="3"/>
          <c:order val="1"/>
          <c:tx>
            <c:strRef>
              <c:f>'Graf-Národní účty-souhrnné'!$A$40</c:f>
              <c:strCache>
                <c:ptCount val="1"/>
                <c:pt idx="0">
                  <c:v>Objem reálných vyplacených mezd a platů (2010=100)*</c:v>
                </c:pt>
              </c:strCache>
            </c:strRef>
          </c:tx>
          <c:spPr>
            <a:ln w="19050">
              <a:solidFill>
                <a:srgbClr val="F8A124"/>
              </a:solidFill>
              <a:prstDash val="solid"/>
            </a:ln>
          </c:spPr>
          <c:marker>
            <c:symbol val="none"/>
          </c:marker>
          <c:cat>
            <c:strRef>
              <c:f>'Graf-Národní účty-souhrnné'!$G$38:$S$38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'Graf-Národní účty-souhrnné'!$G$40:$S$40</c:f>
              <c:numCache>
                <c:formatCode>0.0</c:formatCode>
                <c:ptCount val="13"/>
                <c:pt idx="0">
                  <c:v>79.984339791534651</c:v>
                </c:pt>
                <c:pt idx="1">
                  <c:v>83.080404195087283</c:v>
                </c:pt>
                <c:pt idx="2">
                  <c:v>88.864730425622128</c:v>
                </c:pt>
                <c:pt idx="3">
                  <c:v>94.943835629099937</c:v>
                </c:pt>
                <c:pt idx="4">
                  <c:v>96.607579093525459</c:v>
                </c:pt>
                <c:pt idx="5">
                  <c:v>100</c:v>
                </c:pt>
                <c:pt idx="6">
                  <c:v>96.600620809361374</c:v>
                </c:pt>
                <c:pt idx="7">
                  <c:v>98.350599523630279</c:v>
                </c:pt>
                <c:pt idx="8">
                  <c:v>98.358049562797078</c:v>
                </c:pt>
                <c:pt idx="9">
                  <c:v>100.60903167662507</c:v>
                </c:pt>
                <c:pt idx="10">
                  <c:v>106.68129570046581</c:v>
                </c:pt>
                <c:pt idx="11">
                  <c:v>113.91471921893309</c:v>
                </c:pt>
                <c:pt idx="12">
                  <c:v>119.95277563565602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4F-4998-8E74-FA74952B57FB}"/>
            </c:ext>
          </c:extLst>
        </c:ser>
        <c:ser>
          <c:idx val="1"/>
          <c:order val="2"/>
          <c:tx>
            <c:strRef>
              <c:f>'Graf-Národní účty-souhrnné'!$A$41</c:f>
              <c:strCache>
                <c:ptCount val="1"/>
                <c:pt idx="0">
                  <c:v>Reálná hodinová produktivita práce (2010=100)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strRef>
              <c:f>'Graf-Národní účty-souhrnné'!$G$38:$S$38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'Graf-Národní účty-souhrnné'!$G$41:$S$41</c:f>
              <c:numCache>
                <c:formatCode>0.0</c:formatCode>
                <c:ptCount val="13"/>
                <c:pt idx="0">
                  <c:v>102.864887589408</c:v>
                </c:pt>
                <c:pt idx="1">
                  <c:v>100.12233310037224</c:v>
                </c:pt>
                <c:pt idx="2">
                  <c:v>106.00192072190671</c:v>
                </c:pt>
                <c:pt idx="3">
                  <c:v>106.83093636825731</c:v>
                </c:pt>
                <c:pt idx="4">
                  <c:v>99.670583231097638</c:v>
                </c:pt>
                <c:pt idx="5">
                  <c:v>100</c:v>
                </c:pt>
                <c:pt idx="6">
                  <c:v>105.93554071728605</c:v>
                </c:pt>
                <c:pt idx="7">
                  <c:v>106.17450590947055</c:v>
                </c:pt>
                <c:pt idx="8">
                  <c:v>107.98031642789296</c:v>
                </c:pt>
                <c:pt idx="9">
                  <c:v>106.62979583870707</c:v>
                </c:pt>
                <c:pt idx="10">
                  <c:v>114.73707204493773</c:v>
                </c:pt>
                <c:pt idx="11">
                  <c:v>113.15519971999065</c:v>
                </c:pt>
                <c:pt idx="12">
                  <c:v>115.85520920332678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54F-4998-8E74-FA74952B57FB}"/>
            </c:ext>
          </c:extLst>
        </c:ser>
        <c:ser>
          <c:idx val="7"/>
          <c:order val="3"/>
          <c:tx>
            <c:strRef>
              <c:f>'Graf-Národní účty-souhrnné'!$A$42</c:f>
              <c:strCache>
                <c:ptCount val="1"/>
                <c:pt idx="0">
                  <c:v>Zaměstnanost (úvazky na plnou pracovní dobu, 2010=100)</c:v>
                </c:pt>
              </c:strCache>
            </c:strRef>
          </c:tx>
          <c:spPr>
            <a:ln w="19050">
              <a:noFill/>
            </a:ln>
          </c:spPr>
          <c:marker>
            <c:symbol val="circle"/>
            <c:size val="5"/>
            <c:spPr>
              <a:solidFill>
                <a:srgbClr val="FFFF00"/>
              </a:solidFill>
              <a:ln w="6350">
                <a:solidFill>
                  <a:sysClr val="windowText" lastClr="000000">
                    <a:lumMod val="65000"/>
                    <a:lumOff val="35000"/>
                  </a:sysClr>
                </a:solidFill>
              </a:ln>
            </c:spPr>
          </c:marker>
          <c:cat>
            <c:strRef>
              <c:f>'Graf-Národní účty-souhrnné'!$G$38:$S$38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'Graf-Národní účty-souhrnné'!$G$42:$S$42</c:f>
              <c:numCache>
                <c:formatCode>0.0</c:formatCode>
                <c:ptCount val="13"/>
                <c:pt idx="0">
                  <c:v>91.640034544505312</c:v>
                </c:pt>
                <c:pt idx="1">
                  <c:v>93.049869970188297</c:v>
                </c:pt>
                <c:pt idx="2">
                  <c:v>98.508926436792819</c:v>
                </c:pt>
                <c:pt idx="3">
                  <c:v>101.14294496787069</c:v>
                </c:pt>
                <c:pt idx="4">
                  <c:v>100.72040906939642</c:v>
                </c:pt>
                <c:pt idx="5">
                  <c:v>100</c:v>
                </c:pt>
                <c:pt idx="6">
                  <c:v>96.817075134298989</c:v>
                </c:pt>
                <c:pt idx="7">
                  <c:v>98.579186447623684</c:v>
                </c:pt>
                <c:pt idx="8">
                  <c:v>100.1444233555986</c:v>
                </c:pt>
                <c:pt idx="9">
                  <c:v>102.68134645504091</c:v>
                </c:pt>
                <c:pt idx="10">
                  <c:v>105.00017077085906</c:v>
                </c:pt>
                <c:pt idx="11">
                  <c:v>107.90205559323358</c:v>
                </c:pt>
                <c:pt idx="12">
                  <c:v>108.97815596746571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54F-4998-8E74-FA74952B57FB}"/>
            </c:ext>
          </c:extLst>
        </c:ser>
        <c:marker val="1"/>
        <c:axId val="89794432"/>
        <c:axId val="89821952"/>
      </c:lineChart>
      <c:lineChart>
        <c:grouping val="standard"/>
        <c:ser>
          <c:idx val="2"/>
          <c:order val="4"/>
          <c:tx>
            <c:strRef>
              <c:f>'Graf-Národní účty-souhrnné'!$A$43</c:f>
              <c:strCache>
                <c:ptCount val="1"/>
                <c:pt idx="0">
                  <c:v>Míra investic (v %, pravá osa)</c:v>
                </c:pt>
              </c:strCache>
            </c:strRef>
          </c:tx>
          <c:spPr>
            <a:ln w="19050">
              <a:solidFill>
                <a:srgbClr val="BD1B21"/>
              </a:solidFill>
              <a:prstDash val="sysDash"/>
            </a:ln>
          </c:spPr>
          <c:marker>
            <c:symbol val="none"/>
          </c:marker>
          <c:cat>
            <c:strRef>
              <c:f>'Graf-Národní účty-souhrnné'!$G$38:$S$38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'Graf-Národní účty-souhrnné'!$G$43:$S$43</c:f>
              <c:numCache>
                <c:formatCode>0.0</c:formatCode>
                <c:ptCount val="13"/>
                <c:pt idx="0">
                  <c:v>24.149354029624735</c:v>
                </c:pt>
                <c:pt idx="1">
                  <c:v>24.850780872327405</c:v>
                </c:pt>
                <c:pt idx="2">
                  <c:v>23.963135633535718</c:v>
                </c:pt>
                <c:pt idx="3">
                  <c:v>27.087343409800887</c:v>
                </c:pt>
                <c:pt idx="4">
                  <c:v>23.362101498022874</c:v>
                </c:pt>
                <c:pt idx="5">
                  <c:v>25.090889153191455</c:v>
                </c:pt>
                <c:pt idx="6">
                  <c:v>25.741884880438565</c:v>
                </c:pt>
                <c:pt idx="7">
                  <c:v>27.650696952310227</c:v>
                </c:pt>
                <c:pt idx="8">
                  <c:v>23.941685190894194</c:v>
                </c:pt>
                <c:pt idx="9">
                  <c:v>22.649716020097646</c:v>
                </c:pt>
                <c:pt idx="10">
                  <c:v>26.551750792301153</c:v>
                </c:pt>
                <c:pt idx="11">
                  <c:v>25.033848931194353</c:v>
                </c:pt>
                <c:pt idx="12">
                  <c:v>25.468685402146562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54F-4998-8E74-FA74952B57FB}"/>
            </c:ext>
          </c:extLst>
        </c:ser>
        <c:ser>
          <c:idx val="5"/>
          <c:order val="5"/>
          <c:tx>
            <c:strRef>
              <c:f>'Graf-Národní účty-souhrnné'!$A$44</c:f>
              <c:strCache>
                <c:ptCount val="1"/>
                <c:pt idx="0">
                  <c:v>Míra zisku nefinančních podniků (v %, pravá osa)</c:v>
                </c:pt>
              </c:strCache>
            </c:strRef>
          </c:tx>
          <c:spPr>
            <a:ln w="19050">
              <a:solidFill>
                <a:srgbClr val="0071BC"/>
              </a:solidFill>
              <a:prstDash val="sysDash"/>
            </a:ln>
          </c:spPr>
          <c:marker>
            <c:symbol val="none"/>
          </c:marker>
          <c:cat>
            <c:strRef>
              <c:f>'Graf-Národní účty-souhrnné'!$G$38:$S$38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'Graf-Národní účty-souhrnné'!$G$44:$S$44</c:f>
              <c:numCache>
                <c:formatCode>0.0</c:formatCode>
                <c:ptCount val="13"/>
                <c:pt idx="0">
                  <c:v>40.847552972060761</c:v>
                </c:pt>
                <c:pt idx="1">
                  <c:v>40.922024193970763</c:v>
                </c:pt>
                <c:pt idx="2">
                  <c:v>39.845199400388857</c:v>
                </c:pt>
                <c:pt idx="3">
                  <c:v>40.454847382571494</c:v>
                </c:pt>
                <c:pt idx="4">
                  <c:v>35.693275043178389</c:v>
                </c:pt>
                <c:pt idx="5">
                  <c:v>30.664077453662138</c:v>
                </c:pt>
                <c:pt idx="6">
                  <c:v>35.523111117026232</c:v>
                </c:pt>
                <c:pt idx="7">
                  <c:v>33.767521433987206</c:v>
                </c:pt>
                <c:pt idx="8">
                  <c:v>36.942047610305345</c:v>
                </c:pt>
                <c:pt idx="9">
                  <c:v>37.476246119707746</c:v>
                </c:pt>
                <c:pt idx="10">
                  <c:v>38.808608133540595</c:v>
                </c:pt>
                <c:pt idx="11">
                  <c:v>38.420232289205089</c:v>
                </c:pt>
                <c:pt idx="12">
                  <c:v>37.899160057965851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54F-4998-8E74-FA74952B57FB}"/>
            </c:ext>
          </c:extLst>
        </c:ser>
        <c:marker val="1"/>
        <c:axId val="89832064"/>
        <c:axId val="89830144"/>
      </c:lineChart>
      <c:catAx>
        <c:axId val="89794432"/>
        <c:scaling>
          <c:orientation val="minMax"/>
        </c:scaling>
        <c:axPos val="b"/>
        <c:numFmt formatCode="General" sourceLinked="1"/>
        <c:tickLblPos val="low"/>
        <c:spPr>
          <a:ln w="952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89821952"/>
        <c:crossesAt val="100"/>
        <c:lblAlgn val="ctr"/>
        <c:lblOffset val="0"/>
        <c:tickLblSkip val="1"/>
        <c:tickMarkSkip val="4"/>
      </c:catAx>
      <c:valAx>
        <c:axId val="89821952"/>
        <c:scaling>
          <c:orientation val="minMax"/>
          <c:max val="130"/>
          <c:min val="80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 w="952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89794432"/>
        <c:crosses val="autoZero"/>
        <c:crossBetween val="between"/>
        <c:majorUnit val="5"/>
      </c:valAx>
      <c:valAx>
        <c:axId val="89830144"/>
        <c:scaling>
          <c:orientation val="minMax"/>
          <c:max val="50"/>
          <c:min val="0"/>
        </c:scaling>
        <c:axPos val="r"/>
        <c:numFmt formatCode="0" sourceLinked="0"/>
        <c:tickLblPos val="nextTo"/>
        <c:crossAx val="89832064"/>
        <c:crosses val="max"/>
        <c:crossBetween val="between"/>
      </c:valAx>
      <c:catAx>
        <c:axId val="89832064"/>
        <c:scaling>
          <c:orientation val="minMax"/>
        </c:scaling>
        <c:delete val="1"/>
        <c:axPos val="b"/>
        <c:numFmt formatCode="General" sourceLinked="1"/>
        <c:tickLblPos val="none"/>
        <c:crossAx val="89830144"/>
        <c:crosses val="autoZero"/>
        <c:auto val="1"/>
        <c:lblAlgn val="ctr"/>
        <c:lblOffset val="100"/>
      </c:catAx>
      <c:spPr>
        <a:noFill/>
        <a:ln w="9525"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6.0825149028219005E-2"/>
          <c:y val="0.82202069383885779"/>
          <c:w val="0.88531755998340667"/>
          <c:h val="0.17440494685409852"/>
        </c:manualLayout>
      </c:layout>
      <c:spPr>
        <a:noFill/>
        <a:ln w="6350">
          <a:solidFill>
            <a:schemeClr val="tx1"/>
          </a:solidFill>
        </a:ln>
      </c:spPr>
    </c:legend>
    <c:plotVisOnly val="1"/>
    <c:dispBlanksAs val="gap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5.3402259241214903E-2"/>
          <c:y val="1.6434241361665363E-2"/>
          <c:w val="0.93179896008611662"/>
          <c:h val="0.74114409205518106"/>
        </c:manualLayout>
      </c:layout>
      <c:barChart>
        <c:barDir val="col"/>
        <c:grouping val="stacked"/>
        <c:ser>
          <c:idx val="0"/>
          <c:order val="0"/>
          <c:tx>
            <c:strRef>
              <c:f>'GRAF-příspěvky'!$A$36</c:f>
              <c:strCache>
                <c:ptCount val="1"/>
                <c:pt idx="0">
                  <c:v>Právní a účetnické čin. (NACE 69)</c:v>
                </c:pt>
              </c:strCache>
            </c:strRef>
          </c:tx>
          <c:spPr>
            <a:solidFill>
              <a:srgbClr val="A6CDE8"/>
            </a:solidFill>
            <a:ln>
              <a:noFill/>
            </a:ln>
          </c:spPr>
          <c:cat>
            <c:numRef>
              <c:f>'GRAF-příspěvky'!$B$35:$N$35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'GRAF-příspěvky'!$B$36:$N$36</c:f>
              <c:numCache>
                <c:formatCode>0.0</c:formatCode>
                <c:ptCount val="13"/>
                <c:pt idx="0">
                  <c:v>1.2008930681354797</c:v>
                </c:pt>
                <c:pt idx="1">
                  <c:v>-0.23942738296540902</c:v>
                </c:pt>
                <c:pt idx="2">
                  <c:v>1.70857607095022</c:v>
                </c:pt>
                <c:pt idx="3">
                  <c:v>-0.30059258217322032</c:v>
                </c:pt>
                <c:pt idx="4">
                  <c:v>-1.3499904037509138</c:v>
                </c:pt>
                <c:pt idx="5">
                  <c:v>-0.97692394973245256</c:v>
                </c:pt>
                <c:pt idx="6">
                  <c:v>5.1032888798912213E-2</c:v>
                </c:pt>
                <c:pt idx="7">
                  <c:v>0.68272883921551031</c:v>
                </c:pt>
                <c:pt idx="8">
                  <c:v>2.601872836721774E-2</c:v>
                </c:pt>
                <c:pt idx="9">
                  <c:v>6.7582153388131394E-2</c:v>
                </c:pt>
                <c:pt idx="10">
                  <c:v>0.94725508422449578</c:v>
                </c:pt>
                <c:pt idx="11">
                  <c:v>1.1613801655028277</c:v>
                </c:pt>
                <c:pt idx="12">
                  <c:v>0.38133238825532151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BB5-4047-A2B8-9E8C70C9A1E7}"/>
            </c:ext>
          </c:extLst>
        </c:ser>
        <c:ser>
          <c:idx val="1"/>
          <c:order val="1"/>
          <c:tx>
            <c:strRef>
              <c:f>'GRAF-příspěvky'!$A$37</c:f>
              <c:strCache>
                <c:ptCount val="1"/>
                <c:pt idx="0">
                  <c:v>Poradenství v oblasti řízení (70)</c:v>
                </c:pt>
              </c:strCache>
            </c:strRef>
          </c:tx>
          <c:spPr>
            <a:solidFill>
              <a:srgbClr val="0085BC"/>
            </a:solidFill>
            <a:ln>
              <a:noFill/>
            </a:ln>
          </c:spPr>
          <c:cat>
            <c:numRef>
              <c:f>'GRAF-příspěvky'!$B$35:$N$35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'GRAF-příspěvky'!$B$37:$N$37</c:f>
              <c:numCache>
                <c:formatCode>0.0</c:formatCode>
                <c:ptCount val="13"/>
                <c:pt idx="0">
                  <c:v>0.98564240139338533</c:v>
                </c:pt>
                <c:pt idx="1">
                  <c:v>-5.2836230550903973E-2</c:v>
                </c:pt>
                <c:pt idx="2">
                  <c:v>1.5621529708537873</c:v>
                </c:pt>
                <c:pt idx="3">
                  <c:v>0.80334273059208361</c:v>
                </c:pt>
                <c:pt idx="4">
                  <c:v>1.4180766686993878</c:v>
                </c:pt>
                <c:pt idx="5">
                  <c:v>0.52658832026808278</c:v>
                </c:pt>
                <c:pt idx="6">
                  <c:v>0.47068350330237896</c:v>
                </c:pt>
                <c:pt idx="7">
                  <c:v>-0.67783291522875344</c:v>
                </c:pt>
                <c:pt idx="8">
                  <c:v>0.9659797309053676</c:v>
                </c:pt>
                <c:pt idx="9">
                  <c:v>-0.31725774799127138</c:v>
                </c:pt>
                <c:pt idx="10">
                  <c:v>1.046487718064256</c:v>
                </c:pt>
                <c:pt idx="11">
                  <c:v>-0.36700307242163899</c:v>
                </c:pt>
                <c:pt idx="12">
                  <c:v>0.28675256077754796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BB5-4047-A2B8-9E8C70C9A1E7}"/>
            </c:ext>
          </c:extLst>
        </c:ser>
        <c:ser>
          <c:idx val="2"/>
          <c:order val="2"/>
          <c:tx>
            <c:strRef>
              <c:f>'GRAF-příspěvky'!$A$38</c:f>
              <c:strCache>
                <c:ptCount val="1"/>
                <c:pt idx="0">
                  <c:v>Architektonické a inženýrské čin. (71)</c:v>
                </c:pt>
              </c:strCache>
            </c:strRef>
          </c:tx>
          <c:spPr>
            <a:solidFill>
              <a:srgbClr val="48AEE7"/>
            </a:solidFill>
            <a:ln>
              <a:noFill/>
            </a:ln>
          </c:spPr>
          <c:cat>
            <c:numRef>
              <c:f>'GRAF-příspěvky'!$B$35:$N$35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'GRAF-příspěvky'!$B$38:$N$38</c:f>
              <c:numCache>
                <c:formatCode>0.0</c:formatCode>
                <c:ptCount val="13"/>
                <c:pt idx="0">
                  <c:v>2.4109266570658243</c:v>
                </c:pt>
                <c:pt idx="1">
                  <c:v>-1.8196852738246376</c:v>
                </c:pt>
                <c:pt idx="2">
                  <c:v>3.7127655381712978</c:v>
                </c:pt>
                <c:pt idx="3">
                  <c:v>0.38237265390044062</c:v>
                </c:pt>
                <c:pt idx="4">
                  <c:v>-0.87976038388889799</c:v>
                </c:pt>
                <c:pt idx="5">
                  <c:v>0.24508686554183648</c:v>
                </c:pt>
                <c:pt idx="6">
                  <c:v>-1.406145878145272</c:v>
                </c:pt>
                <c:pt idx="7">
                  <c:v>0.26325675398283538</c:v>
                </c:pt>
                <c:pt idx="8">
                  <c:v>-0.73570766712172164</c:v>
                </c:pt>
                <c:pt idx="9">
                  <c:v>-0.34636100597760994</c:v>
                </c:pt>
                <c:pt idx="10">
                  <c:v>0.81028130606193727</c:v>
                </c:pt>
                <c:pt idx="11">
                  <c:v>1.1238323252586477</c:v>
                </c:pt>
                <c:pt idx="12">
                  <c:v>0.7582478817228977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BB5-4047-A2B8-9E8C70C9A1E7}"/>
            </c:ext>
          </c:extLst>
        </c:ser>
        <c:ser>
          <c:idx val="3"/>
          <c:order val="3"/>
          <c:tx>
            <c:strRef>
              <c:f>'GRAF-příspěvky'!$A$39</c:f>
              <c:strCache>
                <c:ptCount val="1"/>
                <c:pt idx="0">
                  <c:v>Výzkum a vývoj (72)</c:v>
                </c:pt>
              </c:strCache>
            </c:strRef>
          </c:tx>
          <c:spPr>
            <a:solidFill>
              <a:srgbClr val="7DBB2D"/>
            </a:solidFill>
            <a:ln>
              <a:noFill/>
            </a:ln>
          </c:spPr>
          <c:cat>
            <c:numRef>
              <c:f>'GRAF-příspěvky'!$B$35:$N$35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'GRAF-příspěvky'!$B$39:$N$39</c:f>
              <c:numCache>
                <c:formatCode>0.0</c:formatCode>
                <c:ptCount val="13"/>
                <c:pt idx="0">
                  <c:v>-0.45705420320730838</c:v>
                </c:pt>
                <c:pt idx="1">
                  <c:v>-0.550835889867898</c:v>
                </c:pt>
                <c:pt idx="2">
                  <c:v>0.74674855594720424</c:v>
                </c:pt>
                <c:pt idx="3">
                  <c:v>0.11864788362850805</c:v>
                </c:pt>
                <c:pt idx="4">
                  <c:v>0.1748598507901537</c:v>
                </c:pt>
                <c:pt idx="5">
                  <c:v>-0.27854283390559681</c:v>
                </c:pt>
                <c:pt idx="6">
                  <c:v>1.0506026941991218</c:v>
                </c:pt>
                <c:pt idx="7">
                  <c:v>0.60027308807229907</c:v>
                </c:pt>
                <c:pt idx="8">
                  <c:v>0.24955830740587845</c:v>
                </c:pt>
                <c:pt idx="9">
                  <c:v>1.4887504645007703</c:v>
                </c:pt>
                <c:pt idx="10">
                  <c:v>1.5842582647007999</c:v>
                </c:pt>
                <c:pt idx="11">
                  <c:v>0.85695912633353843</c:v>
                </c:pt>
                <c:pt idx="12">
                  <c:v>4.2811808035925714E-2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BB5-4047-A2B8-9E8C70C9A1E7}"/>
            </c:ext>
          </c:extLst>
        </c:ser>
        <c:ser>
          <c:idx val="4"/>
          <c:order val="4"/>
          <c:tx>
            <c:strRef>
              <c:f>'GRAF-příspěvky'!$A$40</c:f>
              <c:strCache>
                <c:ptCount val="1"/>
                <c:pt idx="0">
                  <c:v>Reklama a průzkum trhu (73)</c:v>
                </c:pt>
              </c:strCache>
            </c:strRef>
          </c:tx>
          <c:spPr>
            <a:solidFill>
              <a:srgbClr val="D2E7B6"/>
            </a:solidFill>
            <a:ln>
              <a:noFill/>
            </a:ln>
          </c:spPr>
          <c:cat>
            <c:numRef>
              <c:f>'GRAF-příspěvky'!$B$35:$N$35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'GRAF-příspěvky'!$B$40:$N$40</c:f>
              <c:numCache>
                <c:formatCode>0.0</c:formatCode>
                <c:ptCount val="13"/>
                <c:pt idx="0">
                  <c:v>-1.1229392296885703</c:v>
                </c:pt>
                <c:pt idx="1">
                  <c:v>-0.47405060572234875</c:v>
                </c:pt>
                <c:pt idx="2">
                  <c:v>-1.4199997200948149</c:v>
                </c:pt>
                <c:pt idx="3">
                  <c:v>0.90648032566752856</c:v>
                </c:pt>
                <c:pt idx="4">
                  <c:v>-1.6703376280358786</c:v>
                </c:pt>
                <c:pt idx="5">
                  <c:v>0.50810554629124216</c:v>
                </c:pt>
                <c:pt idx="6">
                  <c:v>-0.59763308618231759</c:v>
                </c:pt>
                <c:pt idx="7">
                  <c:v>0.912843731969461</c:v>
                </c:pt>
                <c:pt idx="8">
                  <c:v>-1.3655765336971979</c:v>
                </c:pt>
                <c:pt idx="9">
                  <c:v>0.2411284266308274</c:v>
                </c:pt>
                <c:pt idx="10">
                  <c:v>0.64806917228632765</c:v>
                </c:pt>
                <c:pt idx="11">
                  <c:v>-2.5989755619744651E-2</c:v>
                </c:pt>
                <c:pt idx="12">
                  <c:v>3.7017287181031054E-2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BB5-4047-A2B8-9E8C70C9A1E7}"/>
            </c:ext>
          </c:extLst>
        </c:ser>
        <c:ser>
          <c:idx val="5"/>
          <c:order val="5"/>
          <c:tx>
            <c:strRef>
              <c:f>'GRAF-příspěvky'!$A$41</c:f>
              <c:strCache>
                <c:ptCount val="1"/>
                <c:pt idx="0">
                  <c:v>Ost. profesní, věd., technic. čin. (74+75)</c:v>
                </c:pt>
              </c:strCache>
            </c:strRef>
          </c:tx>
          <c:spPr>
            <a:solidFill>
              <a:srgbClr val="808080"/>
            </a:solidFill>
            <a:ln>
              <a:noFill/>
            </a:ln>
          </c:spPr>
          <c:cat>
            <c:numRef>
              <c:f>'GRAF-příspěvky'!$B$35:$N$35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'GRAF-příspěvky'!$B$41:$N$41</c:f>
              <c:numCache>
                <c:formatCode>0.0</c:formatCode>
                <c:ptCount val="13"/>
                <c:pt idx="0">
                  <c:v>0.19748406504091151</c:v>
                </c:pt>
                <c:pt idx="1">
                  <c:v>0.42628222668476023</c:v>
                </c:pt>
                <c:pt idx="2">
                  <c:v>6.9552582353425117E-3</c:v>
                </c:pt>
                <c:pt idx="3">
                  <c:v>-0.52396500967678661</c:v>
                </c:pt>
                <c:pt idx="4">
                  <c:v>-1.3885130170822013</c:v>
                </c:pt>
                <c:pt idx="5">
                  <c:v>0.53526453781920136</c:v>
                </c:pt>
                <c:pt idx="6">
                  <c:v>0.1467722752233227</c:v>
                </c:pt>
                <c:pt idx="7">
                  <c:v>-0.56720137840763252</c:v>
                </c:pt>
                <c:pt idx="8">
                  <c:v>1.8258252557537598</c:v>
                </c:pt>
                <c:pt idx="9">
                  <c:v>0.16877163992873515</c:v>
                </c:pt>
                <c:pt idx="10">
                  <c:v>0.55966474483473549</c:v>
                </c:pt>
                <c:pt idx="11">
                  <c:v>1.0782977526125239</c:v>
                </c:pt>
                <c:pt idx="12">
                  <c:v>0.49511499833377948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BB5-4047-A2B8-9E8C70C9A1E7}"/>
            </c:ext>
          </c:extLst>
        </c:ser>
        <c:ser>
          <c:idx val="6"/>
          <c:order val="6"/>
          <c:tx>
            <c:strRef>
              <c:f>'GRAF-příspěvky'!$A$42</c:f>
              <c:strCache>
                <c:ptCount val="1"/>
                <c:pt idx="0">
                  <c:v>Pronájem, operativní leasing (77)</c:v>
                </c:pt>
              </c:strCache>
            </c:strRef>
          </c:tx>
          <c:spPr>
            <a:solidFill>
              <a:srgbClr val="FDDEB3"/>
            </a:solidFill>
            <a:ln>
              <a:noFill/>
            </a:ln>
          </c:spPr>
          <c:cat>
            <c:numRef>
              <c:f>'GRAF-příspěvky'!$B$35:$N$35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'GRAF-příspěvky'!$B$42:$N$42</c:f>
              <c:numCache>
                <c:formatCode>0.0</c:formatCode>
                <c:ptCount val="13"/>
                <c:pt idx="0">
                  <c:v>0.55880944206565364</c:v>
                </c:pt>
                <c:pt idx="1">
                  <c:v>1.0820268908243198</c:v>
                </c:pt>
                <c:pt idx="2">
                  <c:v>0.97262667030881134</c:v>
                </c:pt>
                <c:pt idx="3">
                  <c:v>1.2840901216756333</c:v>
                </c:pt>
                <c:pt idx="4">
                  <c:v>-0.36263262774805038</c:v>
                </c:pt>
                <c:pt idx="5">
                  <c:v>8.5793180757170864E-2</c:v>
                </c:pt>
                <c:pt idx="6">
                  <c:v>0.47996221035672482</c:v>
                </c:pt>
                <c:pt idx="7">
                  <c:v>0.25585408243731234</c:v>
                </c:pt>
                <c:pt idx="8">
                  <c:v>1.6718876168025005</c:v>
                </c:pt>
                <c:pt idx="9">
                  <c:v>-6.4557879548727631E-2</c:v>
                </c:pt>
                <c:pt idx="10">
                  <c:v>0.49298426828612402</c:v>
                </c:pt>
                <c:pt idx="11">
                  <c:v>1.0926568052578123</c:v>
                </c:pt>
                <c:pt idx="12">
                  <c:v>0.97136865413598994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BB5-4047-A2B8-9E8C70C9A1E7}"/>
            </c:ext>
          </c:extLst>
        </c:ser>
        <c:ser>
          <c:idx val="7"/>
          <c:order val="7"/>
          <c:tx>
            <c:strRef>
              <c:f>'GRAF-příspěvky'!$A$43</c:f>
              <c:strCache>
                <c:ptCount val="1"/>
                <c:pt idx="0">
                  <c:v>Pracovní agentury (78)</c:v>
                </c:pt>
              </c:strCache>
            </c:strRef>
          </c:tx>
          <c:spPr>
            <a:solidFill>
              <a:srgbClr val="F8A124"/>
            </a:solidFill>
            <a:ln w="28575">
              <a:noFill/>
            </a:ln>
          </c:spPr>
          <c:cat>
            <c:numRef>
              <c:f>'GRAF-příspěvky'!$B$35:$N$35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'GRAF-příspěvky'!$B$43:$N$43</c:f>
              <c:numCache>
                <c:formatCode>0.0</c:formatCode>
                <c:ptCount val="13"/>
                <c:pt idx="0">
                  <c:v>0.18170894228249504</c:v>
                </c:pt>
                <c:pt idx="1">
                  <c:v>3.4077713362822212E-2</c:v>
                </c:pt>
                <c:pt idx="2">
                  <c:v>0.51251749862182316</c:v>
                </c:pt>
                <c:pt idx="3">
                  <c:v>0.75835177826689215</c:v>
                </c:pt>
                <c:pt idx="4">
                  <c:v>-0.32859718002976557</c:v>
                </c:pt>
                <c:pt idx="5">
                  <c:v>-1.1415760773649832</c:v>
                </c:pt>
                <c:pt idx="6">
                  <c:v>0.96372025541750495</c:v>
                </c:pt>
                <c:pt idx="7">
                  <c:v>-0.65140997445908977</c:v>
                </c:pt>
                <c:pt idx="8">
                  <c:v>0.27583319257543476</c:v>
                </c:pt>
                <c:pt idx="9">
                  <c:v>-0.31989800941553898</c:v>
                </c:pt>
                <c:pt idx="10">
                  <c:v>0.5749965079221766</c:v>
                </c:pt>
                <c:pt idx="11">
                  <c:v>0.13532824653503447</c:v>
                </c:pt>
                <c:pt idx="12">
                  <c:v>0.46019478637269023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4BB5-4047-A2B8-9E8C70C9A1E7}"/>
            </c:ext>
          </c:extLst>
        </c:ser>
        <c:ser>
          <c:idx val="8"/>
          <c:order val="8"/>
          <c:tx>
            <c:strRef>
              <c:f>'GRAF-příspěvky'!$A$44</c:f>
              <c:strCache>
                <c:ptCount val="1"/>
                <c:pt idx="0">
                  <c:v>Cestovní agentury, kanceláře (79)</c:v>
                </c:pt>
              </c:strCache>
            </c:strRef>
          </c:tx>
          <c:spPr>
            <a:solidFill>
              <a:srgbClr val="E8AFB2"/>
            </a:solidFill>
            <a:ln w="28575">
              <a:noFill/>
            </a:ln>
          </c:spPr>
          <c:cat>
            <c:numRef>
              <c:f>'GRAF-příspěvky'!$B$35:$N$35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'GRAF-příspěvky'!$B$44:$N$44</c:f>
              <c:numCache>
                <c:formatCode>0.0</c:formatCode>
                <c:ptCount val="13"/>
                <c:pt idx="0">
                  <c:v>-0.84498905606620334</c:v>
                </c:pt>
                <c:pt idx="1">
                  <c:v>0.15206701559911381</c:v>
                </c:pt>
                <c:pt idx="2">
                  <c:v>-0.22242793655133553</c:v>
                </c:pt>
                <c:pt idx="3">
                  <c:v>0.14391904212810541</c:v>
                </c:pt>
                <c:pt idx="4">
                  <c:v>-0.31064052365861355</c:v>
                </c:pt>
                <c:pt idx="5">
                  <c:v>0.38559901258336926</c:v>
                </c:pt>
                <c:pt idx="6">
                  <c:v>0.38759689922481183</c:v>
                </c:pt>
                <c:pt idx="7">
                  <c:v>1.2277314181592298E-2</c:v>
                </c:pt>
                <c:pt idx="8">
                  <c:v>-0.25947965087043218</c:v>
                </c:pt>
                <c:pt idx="9">
                  <c:v>-0.19723943782348538</c:v>
                </c:pt>
                <c:pt idx="10">
                  <c:v>-0.39171042704799242</c:v>
                </c:pt>
                <c:pt idx="11">
                  <c:v>-0.17522231359719712</c:v>
                </c:pt>
                <c:pt idx="12">
                  <c:v>3.3861289329143642E-3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BB5-4047-A2B8-9E8C70C9A1E7}"/>
            </c:ext>
          </c:extLst>
        </c:ser>
        <c:ser>
          <c:idx val="9"/>
          <c:order val="9"/>
          <c:tx>
            <c:strRef>
              <c:f>'GRAF-příspěvky'!$A$45</c:f>
              <c:strCache>
                <c:ptCount val="1"/>
                <c:pt idx="0">
                  <c:v>Bezpečnostní a pátrací čin. (80)</c:v>
                </c:pt>
              </c:strCache>
            </c:strRef>
          </c:tx>
          <c:spPr>
            <a:solidFill>
              <a:srgbClr val="BD1B21"/>
            </a:solidFill>
            <a:ln w="28575">
              <a:noFill/>
            </a:ln>
          </c:spPr>
          <c:cat>
            <c:numRef>
              <c:f>'GRAF-příspěvky'!$B$35:$N$35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'GRAF-příspěvky'!$B$45:$N$45</c:f>
              <c:numCache>
                <c:formatCode>0.0</c:formatCode>
                <c:ptCount val="13"/>
                <c:pt idx="0">
                  <c:v>-0.77708494605809608</c:v>
                </c:pt>
                <c:pt idx="1">
                  <c:v>-0.38854212710914426</c:v>
                </c:pt>
                <c:pt idx="2">
                  <c:v>1.7419008119295298</c:v>
                </c:pt>
                <c:pt idx="3">
                  <c:v>-0.20545666702683701</c:v>
                </c:pt>
                <c:pt idx="4">
                  <c:v>-0.48853058676929106</c:v>
                </c:pt>
                <c:pt idx="5">
                  <c:v>-0.61004938597624259</c:v>
                </c:pt>
                <c:pt idx="6">
                  <c:v>-5.1876407622035894E-2</c:v>
                </c:pt>
                <c:pt idx="7">
                  <c:v>-0.23987049974013774</c:v>
                </c:pt>
                <c:pt idx="8">
                  <c:v>-0.11092566896929566</c:v>
                </c:pt>
                <c:pt idx="9">
                  <c:v>6.4519196538268334E-2</c:v>
                </c:pt>
                <c:pt idx="10">
                  <c:v>3.8266444974988725E-2</c:v>
                </c:pt>
                <c:pt idx="11">
                  <c:v>-5.2209376445428474E-2</c:v>
                </c:pt>
                <c:pt idx="12">
                  <c:v>-0.11184046823409775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4BB5-4047-A2B8-9E8C70C9A1E7}"/>
            </c:ext>
          </c:extLst>
        </c:ser>
        <c:ser>
          <c:idx val="10"/>
          <c:order val="10"/>
          <c:tx>
            <c:strRef>
              <c:f>'GRAF-příspěvky'!$A$46</c:f>
              <c:strCache>
                <c:ptCount val="1"/>
                <c:pt idx="0">
                  <c:v>Ost. administr. a  podpůrné čin. (81+82)</c:v>
                </c:pt>
              </c:strCache>
            </c:strRef>
          </c:tx>
          <c:spPr>
            <a:solidFill>
              <a:srgbClr val="A6A6A6"/>
            </a:solidFill>
            <a:ln w="28575">
              <a:noFill/>
            </a:ln>
          </c:spPr>
          <c:cat>
            <c:numRef>
              <c:f>'GRAF-příspěvky'!$B$35:$N$35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'GRAF-příspěvky'!$B$46:$N$46</c:f>
              <c:numCache>
                <c:formatCode>0.0</c:formatCode>
                <c:ptCount val="13"/>
                <c:pt idx="0">
                  <c:v>1.1149879687013668E-2</c:v>
                </c:pt>
                <c:pt idx="1">
                  <c:v>0.50031356854213516</c:v>
                </c:pt>
                <c:pt idx="2">
                  <c:v>1.7076159829888835</c:v>
                </c:pt>
                <c:pt idx="3">
                  <c:v>-7.5249411343452227E-2</c:v>
                </c:pt>
                <c:pt idx="4">
                  <c:v>-2.0319212760271612</c:v>
                </c:pt>
                <c:pt idx="5">
                  <c:v>4.0345740562930686E-2</c:v>
                </c:pt>
                <c:pt idx="6">
                  <c:v>0.4420038633162125</c:v>
                </c:pt>
                <c:pt idx="7">
                  <c:v>0.49694489143326637</c:v>
                </c:pt>
                <c:pt idx="8">
                  <c:v>0.44003448716134441</c:v>
                </c:pt>
                <c:pt idx="9">
                  <c:v>0.46103501616149073</c:v>
                </c:pt>
                <c:pt idx="10">
                  <c:v>0.97056635653731849</c:v>
                </c:pt>
                <c:pt idx="11">
                  <c:v>0.70167543033531565</c:v>
                </c:pt>
                <c:pt idx="12">
                  <c:v>-8.4351977960553506E-2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4BB5-4047-A2B8-9E8C70C9A1E7}"/>
            </c:ext>
          </c:extLst>
        </c:ser>
        <c:gapWidth val="43"/>
        <c:overlap val="100"/>
        <c:axId val="90147072"/>
        <c:axId val="90169344"/>
      </c:barChart>
      <c:lineChart>
        <c:grouping val="standard"/>
        <c:ser>
          <c:idx val="11"/>
          <c:order val="11"/>
          <c:tx>
            <c:strRef>
              <c:f>'GRAF-příspěvky'!$A$47</c:f>
              <c:strCache>
                <c:ptCount val="1"/>
                <c:pt idx="0">
                  <c:v>Všechna zahrnutá odvětvíi (sekce M+N)</c:v>
                </c:pt>
              </c:strCache>
            </c:strRef>
          </c:tx>
          <c:spPr>
            <a:ln>
              <a:noFill/>
            </a:ln>
          </c:spPr>
          <c:marker>
            <c:symbol val="diamond"/>
            <c:size val="7"/>
            <c:spPr>
              <a:solidFill>
                <a:schemeClr val="bg1"/>
              </a:solidFill>
              <a:ln w="9525">
                <a:solidFill>
                  <a:sysClr val="windowText" lastClr="000000"/>
                </a:solidFill>
              </a:ln>
            </c:spPr>
          </c:marker>
          <c:cat>
            <c:numRef>
              <c:f>'GRAF-příspěvky'!$B$35:$N$35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'GRAF-příspěvky'!$B$47:$N$47</c:f>
              <c:numCache>
                <c:formatCode>0.0</c:formatCode>
                <c:ptCount val="13"/>
                <c:pt idx="0">
                  <c:v>2.3450721976162177</c:v>
                </c:pt>
                <c:pt idx="1">
                  <c:v>-1.3290643773803812</c:v>
                </c:pt>
                <c:pt idx="2">
                  <c:v>11.027563336839677</c:v>
                </c:pt>
                <c:pt idx="3">
                  <c:v>3.2918903077917352</c:v>
                </c:pt>
                <c:pt idx="4">
                  <c:v>-7.2177289280481318</c:v>
                </c:pt>
                <c:pt idx="5">
                  <c:v>-0.68027780803096449</c:v>
                </c:pt>
                <c:pt idx="6">
                  <c:v>1.9367192178893318</c:v>
                </c:pt>
                <c:pt idx="7">
                  <c:v>1.0881527882363786</c:v>
                </c:pt>
                <c:pt idx="8">
                  <c:v>2.9833336061950626</c:v>
                </c:pt>
                <c:pt idx="9">
                  <c:v>1.2467559307348921</c:v>
                </c:pt>
                <c:pt idx="10">
                  <c:v>7.2812561334642325</c:v>
                </c:pt>
                <c:pt idx="11">
                  <c:v>5.5291091441973794</c:v>
                </c:pt>
                <c:pt idx="12">
                  <c:v>3.2401789119656002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4BB5-4047-A2B8-9E8C70C9A1E7}"/>
            </c:ext>
          </c:extLst>
        </c:ser>
        <c:marker val="1"/>
        <c:axId val="90147072"/>
        <c:axId val="90169344"/>
      </c:lineChart>
      <c:catAx>
        <c:axId val="90147072"/>
        <c:scaling>
          <c:orientation val="minMax"/>
        </c:scaling>
        <c:axPos val="b"/>
        <c:numFmt formatCode="General" sourceLinked="1"/>
        <c:tickLblPos val="low"/>
        <c:spPr>
          <a:noFill/>
        </c:spPr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90169344"/>
        <c:crosses val="autoZero"/>
        <c:auto val="1"/>
        <c:lblAlgn val="ctr"/>
        <c:lblOffset val="0"/>
      </c:catAx>
      <c:valAx>
        <c:axId val="90169344"/>
        <c:scaling>
          <c:orientation val="minMax"/>
          <c:max val="14"/>
          <c:min val="-10"/>
        </c:scaling>
        <c:axPos val="l"/>
        <c:majorGridlines>
          <c:spPr>
            <a:ln w="6350">
              <a:solidFill>
                <a:srgbClr val="BFBFBF"/>
              </a:solidFill>
            </a:ln>
          </c:spPr>
        </c:majorGridlines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90147072"/>
        <c:crosses val="autoZero"/>
        <c:crossBetween val="between"/>
        <c:majorUnit val="2"/>
      </c:valAx>
      <c:spPr>
        <a:ln w="6350">
          <a:solidFill>
            <a:sysClr val="windowText" lastClr="000000">
              <a:lumMod val="95000"/>
              <a:lumOff val="5000"/>
            </a:sysClr>
          </a:solidFill>
        </a:ln>
      </c:spPr>
    </c:plotArea>
    <c:legend>
      <c:legendPos val="r"/>
      <c:layout>
        <c:manualLayout>
          <c:xMode val="edge"/>
          <c:yMode val="edge"/>
          <c:x val="5.2491709953499124E-2"/>
          <c:y val="0.80845923780111961"/>
          <c:w val="0.9312430427112155"/>
          <c:h val="0.18092780226220062"/>
        </c:manualLayout>
      </c:layout>
      <c:spPr>
        <a:ln w="6350">
          <a:solidFill>
            <a:sysClr val="windowText" lastClr="000000"/>
          </a:solidFill>
        </a:ln>
      </c:spPr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cs-CZ"/>
        </a:p>
      </c:txPr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6.2040029038385493E-2"/>
          <c:y val="1.643251153889452E-2"/>
          <c:w val="0.92638384981032185"/>
          <c:h val="0.59446977372509258"/>
        </c:manualLayout>
      </c:layout>
      <c:barChart>
        <c:barDir val="col"/>
        <c:grouping val="clustered"/>
        <c:ser>
          <c:idx val="0"/>
          <c:order val="0"/>
          <c:tx>
            <c:strRef>
              <c:f>'Graf-porovnání oddílů M+N'!$B$63</c:f>
              <c:strCache>
                <c:ptCount val="1"/>
                <c:pt idx="0">
                  <c:v>Průměrná mzda zaměstnance</c:v>
                </c:pt>
              </c:strCache>
            </c:strRef>
          </c:tx>
          <c:spPr>
            <a:solidFill>
              <a:srgbClr val="0085BC"/>
            </a:solidFill>
            <a:ln w="12700">
              <a:noFill/>
              <a:prstDash val="solid"/>
            </a:ln>
          </c:spPr>
          <c:cat>
            <c:strRef>
              <c:f>'Graf-porovnání oddílů M+N'!$A$64:$A$75</c:f>
              <c:strCache>
                <c:ptCount val="12"/>
                <c:pt idx="0">
                  <c:v>Právní a účetnické
činnosti (NACE 69)</c:v>
                </c:pt>
                <c:pt idx="1">
                  <c:v>Poradenství 
v oblasti řízení (70)</c:v>
                </c:pt>
                <c:pt idx="2">
                  <c:v>Architektonic. 
a inženýrské čin. (71)</c:v>
                </c:pt>
                <c:pt idx="3">
                  <c:v>Výzkum a vývoj (72)</c:v>
                </c:pt>
                <c:pt idx="4">
                  <c:v>Reklama 
a průzkum trhu (73)</c:v>
                </c:pt>
                <c:pt idx="5">
                  <c:v>74 Ostatní profesní, 
vědec. a techn. čin. (74)*</c:v>
                </c:pt>
                <c:pt idx="6">
                  <c:v>Pronájem, 
operativ. leasing (77)</c:v>
                </c:pt>
                <c:pt idx="7">
                  <c:v>Činnosti související 
se zaměstnáním(78)</c:v>
                </c:pt>
                <c:pt idx="8">
                  <c:v>Cestovní agentury 
a kanceláře (79)</c:v>
                </c:pt>
                <c:pt idx="9">
                  <c:v>Bezpečnostní 
a pátrací čin. (80)</c:v>
                </c:pt>
                <c:pt idx="10">
                  <c:v>Čin. souvis. se stavbami 
a úpravou krajiny (81)</c:v>
                </c:pt>
                <c:pt idx="11">
                  <c:v>Admin.,kancel.a jiné 
podp.čin.pro podnik. (82)</c:v>
                </c:pt>
              </c:strCache>
            </c:strRef>
          </c:cat>
          <c:val>
            <c:numRef>
              <c:f>'Graf-porovnání oddílů M+N'!$B$64:$B$75</c:f>
              <c:numCache>
                <c:formatCode>0</c:formatCode>
                <c:ptCount val="12"/>
                <c:pt idx="0">
                  <c:v>100.28175940114818</c:v>
                </c:pt>
                <c:pt idx="1">
                  <c:v>160.751035042821</c:v>
                </c:pt>
                <c:pt idx="2">
                  <c:v>114.49925173083545</c:v>
                </c:pt>
                <c:pt idx="3">
                  <c:v>128.38928303435691</c:v>
                </c:pt>
                <c:pt idx="4">
                  <c:v>112.14562641189727</c:v>
                </c:pt>
                <c:pt idx="5">
                  <c:v>67.484633121034747</c:v>
                </c:pt>
                <c:pt idx="6">
                  <c:v>110.84727096491784</c:v>
                </c:pt>
                <c:pt idx="7">
                  <c:v>85.358649065298891</c:v>
                </c:pt>
                <c:pt idx="8">
                  <c:v>80.392050449241296</c:v>
                </c:pt>
                <c:pt idx="9">
                  <c:v>53.988079571146969</c:v>
                </c:pt>
                <c:pt idx="10">
                  <c:v>68.980326078065104</c:v>
                </c:pt>
                <c:pt idx="11">
                  <c:v>93.804116227122904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FA-479C-8EBE-2B78388BACFB}"/>
            </c:ext>
          </c:extLst>
        </c:ser>
        <c:ser>
          <c:idx val="3"/>
          <c:order val="1"/>
          <c:tx>
            <c:strRef>
              <c:f>'Graf-porovnání oddílů M+N'!$C$63</c:f>
              <c:strCache>
                <c:ptCount val="1"/>
                <c:pt idx="0">
                  <c:v>Hodinová produktivita práce</c:v>
                </c:pt>
              </c:strCache>
            </c:strRef>
          </c:tx>
          <c:spPr>
            <a:solidFill>
              <a:srgbClr val="48AEE7"/>
            </a:solidFill>
            <a:ln w="19050">
              <a:noFill/>
              <a:prstDash val="solid"/>
            </a:ln>
          </c:spPr>
          <c:cat>
            <c:strRef>
              <c:f>'Graf-porovnání oddílů M+N'!$A$64:$A$75</c:f>
              <c:strCache>
                <c:ptCount val="12"/>
                <c:pt idx="0">
                  <c:v>Právní a účetnické
činnosti (NACE 69)</c:v>
                </c:pt>
                <c:pt idx="1">
                  <c:v>Poradenství 
v oblasti řízení (70)</c:v>
                </c:pt>
                <c:pt idx="2">
                  <c:v>Architektonic. 
a inženýrské čin. (71)</c:v>
                </c:pt>
                <c:pt idx="3">
                  <c:v>Výzkum a vývoj (72)</c:v>
                </c:pt>
                <c:pt idx="4">
                  <c:v>Reklama 
a průzkum trhu (73)</c:v>
                </c:pt>
                <c:pt idx="5">
                  <c:v>74 Ostatní profesní, 
vědec. a techn. čin. (74)*</c:v>
                </c:pt>
                <c:pt idx="6">
                  <c:v>Pronájem, 
operativ. leasing (77)</c:v>
                </c:pt>
                <c:pt idx="7">
                  <c:v>Činnosti související 
se zaměstnáním(78)</c:v>
                </c:pt>
                <c:pt idx="8">
                  <c:v>Cestovní agentury 
a kanceláře (79)</c:v>
                </c:pt>
                <c:pt idx="9">
                  <c:v>Bezpečnostní 
a pátrací čin. (80)</c:v>
                </c:pt>
                <c:pt idx="10">
                  <c:v>Čin. souvis. se stavbami 
a úpravou krajiny (81)</c:v>
                </c:pt>
                <c:pt idx="11">
                  <c:v>Admin.,kancel.a jiné 
podp.čin.pro podnik. (82)</c:v>
                </c:pt>
              </c:strCache>
            </c:strRef>
          </c:cat>
          <c:val>
            <c:numRef>
              <c:f>'Graf-porovnání oddílů M+N'!$C$64:$C$75</c:f>
              <c:numCache>
                <c:formatCode>0</c:formatCode>
                <c:ptCount val="12"/>
                <c:pt idx="0">
                  <c:v>74.360044245249597</c:v>
                </c:pt>
                <c:pt idx="1">
                  <c:v>118.14244335375361</c:v>
                </c:pt>
                <c:pt idx="2">
                  <c:v>90.598045284510093</c:v>
                </c:pt>
                <c:pt idx="3">
                  <c:v>153.71281832823854</c:v>
                </c:pt>
                <c:pt idx="4">
                  <c:v>89.898551984679514</c:v>
                </c:pt>
                <c:pt idx="5">
                  <c:v>61.648267438640005</c:v>
                </c:pt>
                <c:pt idx="6">
                  <c:v>254.48652442357158</c:v>
                </c:pt>
                <c:pt idx="7">
                  <c:v>114.60167231043717</c:v>
                </c:pt>
                <c:pt idx="8">
                  <c:v>64.705418342207778</c:v>
                </c:pt>
                <c:pt idx="9">
                  <c:v>31.199858731642959</c:v>
                </c:pt>
                <c:pt idx="10">
                  <c:v>47.382994733777394</c:v>
                </c:pt>
                <c:pt idx="11">
                  <c:v>64.045266372508848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AFA-479C-8EBE-2B78388BACFB}"/>
            </c:ext>
          </c:extLst>
        </c:ser>
        <c:ser>
          <c:idx val="1"/>
          <c:order val="2"/>
          <c:tx>
            <c:strRef>
              <c:f>'Graf-porovnání oddílů M+N'!$D$63</c:f>
              <c:strCache>
                <c:ptCount val="1"/>
                <c:pt idx="0">
                  <c:v>Mira zisku**</c:v>
                </c:pt>
              </c:strCache>
            </c:strRef>
          </c:tx>
          <c:spPr>
            <a:solidFill>
              <a:srgbClr val="7DBB2D"/>
            </a:solidFill>
            <a:ln w="19050">
              <a:noFill/>
            </a:ln>
          </c:spPr>
          <c:cat>
            <c:strRef>
              <c:f>'Graf-porovnání oddílů M+N'!$A$64:$A$75</c:f>
              <c:strCache>
                <c:ptCount val="12"/>
                <c:pt idx="0">
                  <c:v>Právní a účetnické
činnosti (NACE 69)</c:v>
                </c:pt>
                <c:pt idx="1">
                  <c:v>Poradenství 
v oblasti řízení (70)</c:v>
                </c:pt>
                <c:pt idx="2">
                  <c:v>Architektonic. 
a inženýrské čin. (71)</c:v>
                </c:pt>
                <c:pt idx="3">
                  <c:v>Výzkum a vývoj (72)</c:v>
                </c:pt>
                <c:pt idx="4">
                  <c:v>Reklama 
a průzkum trhu (73)</c:v>
                </c:pt>
                <c:pt idx="5">
                  <c:v>74 Ostatní profesní, 
vědec. a techn. čin. (74)*</c:v>
                </c:pt>
                <c:pt idx="6">
                  <c:v>Pronájem, 
operativ. leasing (77)</c:v>
                </c:pt>
                <c:pt idx="7">
                  <c:v>Činnosti související 
se zaměstnáním(78)</c:v>
                </c:pt>
                <c:pt idx="8">
                  <c:v>Cestovní agentury 
a kanceláře (79)</c:v>
                </c:pt>
                <c:pt idx="9">
                  <c:v>Bezpečnostní 
a pátrací čin. (80)</c:v>
                </c:pt>
                <c:pt idx="10">
                  <c:v>Čin. souvis. se stavbami 
a úpravou krajiny (81)</c:v>
                </c:pt>
                <c:pt idx="11">
                  <c:v>Admin.,kancel.a jiné 
podp.čin.pro podnik. (82)</c:v>
                </c:pt>
              </c:strCache>
            </c:strRef>
          </c:cat>
          <c:val>
            <c:numRef>
              <c:f>'Graf-porovnání oddílů M+N'!$D$64:$D$75</c:f>
              <c:numCache>
                <c:formatCode>0</c:formatCode>
                <c:ptCount val="12"/>
                <c:pt idx="0">
                  <c:v>68.350533751354988</c:v>
                </c:pt>
                <c:pt idx="1">
                  <c:v>56.555429435726438</c:v>
                </c:pt>
                <c:pt idx="2">
                  <c:v>68.712117306885048</c:v>
                </c:pt>
                <c:pt idx="3">
                  <c:v>117.95905793454567</c:v>
                </c:pt>
                <c:pt idx="4">
                  <c:v>77.748203818603074</c:v>
                </c:pt>
                <c:pt idx="5">
                  <c:v>86.245121811566918</c:v>
                </c:pt>
                <c:pt idx="6">
                  <c:v>153.40820503107929</c:v>
                </c:pt>
                <c:pt idx="7">
                  <c:v>144.64659112213914</c:v>
                </c:pt>
                <c:pt idx="8">
                  <c:v>71.766649971639126</c:v>
                </c:pt>
                <c:pt idx="9">
                  <c:v>34.387189562993129</c:v>
                </c:pt>
                <c:pt idx="10">
                  <c:v>51.618262863584732</c:v>
                </c:pt>
                <c:pt idx="11">
                  <c:v>36.608430203098678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AFA-479C-8EBE-2B78388BACFB}"/>
            </c:ext>
          </c:extLst>
        </c:ser>
        <c:ser>
          <c:idx val="7"/>
          <c:order val="3"/>
          <c:tx>
            <c:strRef>
              <c:f>'Graf-porovnání oddílů M+N'!$E$63</c:f>
              <c:strCache>
                <c:ptCount val="1"/>
                <c:pt idx="0">
                  <c:v>Míra investic</c:v>
                </c:pt>
              </c:strCache>
            </c:strRef>
          </c:tx>
          <c:spPr>
            <a:solidFill>
              <a:srgbClr val="D2E7B6"/>
            </a:solidFill>
            <a:ln w="19050">
              <a:noFill/>
            </a:ln>
          </c:spPr>
          <c:cat>
            <c:strRef>
              <c:f>'Graf-porovnání oddílů M+N'!$A$64:$A$75</c:f>
              <c:strCache>
                <c:ptCount val="12"/>
                <c:pt idx="0">
                  <c:v>Právní a účetnické
činnosti (NACE 69)</c:v>
                </c:pt>
                <c:pt idx="1">
                  <c:v>Poradenství 
v oblasti řízení (70)</c:v>
                </c:pt>
                <c:pt idx="2">
                  <c:v>Architektonic. 
a inženýrské čin. (71)</c:v>
                </c:pt>
                <c:pt idx="3">
                  <c:v>Výzkum a vývoj (72)</c:v>
                </c:pt>
                <c:pt idx="4">
                  <c:v>Reklama 
a průzkum trhu (73)</c:v>
                </c:pt>
                <c:pt idx="5">
                  <c:v>74 Ostatní profesní, 
vědec. a techn. čin. (74)*</c:v>
                </c:pt>
                <c:pt idx="6">
                  <c:v>Pronájem, 
operativ. leasing (77)</c:v>
                </c:pt>
                <c:pt idx="7">
                  <c:v>Činnosti související 
se zaměstnáním(78)</c:v>
                </c:pt>
                <c:pt idx="8">
                  <c:v>Cestovní agentury 
a kanceláře (79)</c:v>
                </c:pt>
                <c:pt idx="9">
                  <c:v>Bezpečnostní 
a pátrací čin. (80)</c:v>
                </c:pt>
                <c:pt idx="10">
                  <c:v>Čin. souvis. se stavbami 
a úpravou krajiny (81)</c:v>
                </c:pt>
                <c:pt idx="11">
                  <c:v>Admin.,kancel.a jiné 
podp.čin.pro podnik. (82)</c:v>
                </c:pt>
              </c:strCache>
            </c:strRef>
          </c:cat>
          <c:val>
            <c:numRef>
              <c:f>'Graf-porovnání oddílů M+N'!$E$64:$E$75</c:f>
              <c:numCache>
                <c:formatCode>0</c:formatCode>
                <c:ptCount val="12"/>
                <c:pt idx="0">
                  <c:v>41.414743712330413</c:v>
                </c:pt>
                <c:pt idx="1">
                  <c:v>76.22196855502861</c:v>
                </c:pt>
                <c:pt idx="2">
                  <c:v>70.243428753629658</c:v>
                </c:pt>
                <c:pt idx="3">
                  <c:v>198.73556751990043</c:v>
                </c:pt>
                <c:pt idx="4">
                  <c:v>53.431057594808394</c:v>
                </c:pt>
                <c:pt idx="5">
                  <c:v>90.235676379911439</c:v>
                </c:pt>
                <c:pt idx="6">
                  <c:v>281.77801448576844</c:v>
                </c:pt>
                <c:pt idx="7">
                  <c:v>96.452864974285347</c:v>
                </c:pt>
                <c:pt idx="8">
                  <c:v>39.10235023467547</c:v>
                </c:pt>
                <c:pt idx="9">
                  <c:v>22.605822892657592</c:v>
                </c:pt>
                <c:pt idx="10">
                  <c:v>43.581531549003145</c:v>
                </c:pt>
                <c:pt idx="11">
                  <c:v>57.500991399227544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AFA-479C-8EBE-2B78388BACFB}"/>
            </c:ext>
          </c:extLst>
        </c:ser>
        <c:gapWidth val="153"/>
        <c:axId val="94831360"/>
        <c:axId val="94832896"/>
      </c:barChart>
      <c:catAx>
        <c:axId val="94831360"/>
        <c:scaling>
          <c:orientation val="minMax"/>
        </c:scaling>
        <c:axPos val="b"/>
        <c:numFmt formatCode="General" sourceLinked="1"/>
        <c:majorTickMark val="cross"/>
        <c:tickLblPos val="low"/>
        <c:spPr>
          <a:ln w="9525">
            <a:solidFill>
              <a:schemeClr val="tx1"/>
            </a:solidFill>
            <a:prstDash val="solid"/>
          </a:ln>
        </c:spPr>
        <c:txPr>
          <a:bodyPr rot="-5400000" vert="horz"/>
          <a:lstStyle/>
          <a:p>
            <a:pPr>
              <a:defRPr/>
            </a:pPr>
            <a:endParaRPr lang="cs-CZ"/>
          </a:p>
        </c:txPr>
        <c:crossAx val="94832896"/>
        <c:crossesAt val="100"/>
        <c:lblAlgn val="ctr"/>
        <c:lblOffset val="0"/>
        <c:tickLblSkip val="1"/>
        <c:tickMarkSkip val="1"/>
      </c:catAx>
      <c:valAx>
        <c:axId val="94832896"/>
        <c:scaling>
          <c:orientation val="minMax"/>
          <c:max val="200"/>
          <c:min val="0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 w="952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94831360"/>
        <c:crossesAt val="1"/>
        <c:crossBetween val="between"/>
        <c:majorUnit val="20"/>
      </c:valAx>
      <c:spPr>
        <a:noFill/>
        <a:ln w="9525"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8134314301508304E-2"/>
          <c:y val="0.93290104694360065"/>
          <c:w val="0.89999983040147524"/>
          <c:h val="5.3061747157491922E-2"/>
        </c:manualLayout>
      </c:layout>
      <c:spPr>
        <a:noFill/>
        <a:ln w="6350">
          <a:solidFill>
            <a:schemeClr val="tx1"/>
          </a:solidFill>
        </a:ln>
      </c:spPr>
    </c:legend>
    <c:plotVisOnly val="1"/>
    <c:dispBlanksAs val="gap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0.49336</cdr:x>
      <cdr:y>0.09507</cdr:y>
    </cdr:from>
    <cdr:to>
      <cdr:x>0.53498</cdr:x>
      <cdr:y>0.11183</cdr:y>
    </cdr:to>
    <cdr:sp macro="" textlink="">
      <cdr:nvSpPr>
        <cdr:cNvPr id="3" name="Kosoúhelník 2"/>
        <cdr:cNvSpPr/>
      </cdr:nvSpPr>
      <cdr:spPr>
        <a:xfrm xmlns:a="http://schemas.openxmlformats.org/drawingml/2006/main" rot="19295192">
          <a:off x="2324685" y="337813"/>
          <a:ext cx="196131" cy="59532"/>
        </a:xfrm>
        <a:prstGeom xmlns:a="http://schemas.openxmlformats.org/drawingml/2006/main" prst="parallelogram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0.56507</cdr:x>
      <cdr:y>0.08548</cdr:y>
    </cdr:from>
    <cdr:to>
      <cdr:x>0.60259</cdr:x>
      <cdr:y>0.10092</cdr:y>
    </cdr:to>
    <cdr:sp macro="" textlink="">
      <cdr:nvSpPr>
        <cdr:cNvPr id="4" name="Kosoúhelník 3"/>
        <cdr:cNvSpPr/>
      </cdr:nvSpPr>
      <cdr:spPr>
        <a:xfrm xmlns:a="http://schemas.openxmlformats.org/drawingml/2006/main" rot="19295192">
          <a:off x="2667907" y="303711"/>
          <a:ext cx="177117" cy="54889"/>
        </a:xfrm>
        <a:prstGeom xmlns:a="http://schemas.openxmlformats.org/drawingml/2006/main" prst="parallelogram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0.53431</cdr:x>
      <cdr:y>0.0909</cdr:y>
    </cdr:from>
    <cdr:to>
      <cdr:x>0.57217</cdr:x>
      <cdr:y>0.10596</cdr:y>
    </cdr:to>
    <cdr:sp macro="" textlink="">
      <cdr:nvSpPr>
        <cdr:cNvPr id="5" name="Kosoúhelník 4"/>
        <cdr:cNvSpPr/>
      </cdr:nvSpPr>
      <cdr:spPr>
        <a:xfrm xmlns:a="http://schemas.openxmlformats.org/drawingml/2006/main" rot="19295192">
          <a:off x="2522683" y="322994"/>
          <a:ext cx="178747" cy="53512"/>
        </a:xfrm>
        <a:prstGeom xmlns:a="http://schemas.openxmlformats.org/drawingml/2006/main" prst="parallelogram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0.51126</cdr:x>
      <cdr:y>0.01988</cdr:y>
    </cdr:from>
    <cdr:to>
      <cdr:x>0.55041</cdr:x>
      <cdr:y>0.0538</cdr:y>
    </cdr:to>
    <cdr:sp macro="" textlink="">
      <cdr:nvSpPr>
        <cdr:cNvPr id="7" name="TextovéPole 6"/>
        <cdr:cNvSpPr txBox="1"/>
      </cdr:nvSpPr>
      <cdr:spPr>
        <a:xfrm xmlns:a="http://schemas.openxmlformats.org/drawingml/2006/main">
          <a:off x="2413828" y="70654"/>
          <a:ext cx="184841" cy="120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>
              <a:solidFill>
                <a:srgbClr val="48AEE7"/>
              </a:solidFill>
              <a:latin typeface="Arial" pitchFamily="34" charset="0"/>
              <a:cs typeface="Arial" pitchFamily="34" charset="0"/>
            </a:rPr>
            <a:t>254</a:t>
          </a:r>
        </a:p>
      </cdr:txBody>
    </cdr:sp>
  </cdr:relSizeAnchor>
  <cdr:relSizeAnchor xmlns:cdr="http://schemas.openxmlformats.org/drawingml/2006/chartDrawing">
    <cdr:from>
      <cdr:x>0.59373</cdr:x>
      <cdr:y>0.02164</cdr:y>
    </cdr:from>
    <cdr:to>
      <cdr:x>0.63289</cdr:x>
      <cdr:y>0.05555</cdr:y>
    </cdr:to>
    <cdr:sp macro="" textlink="">
      <cdr:nvSpPr>
        <cdr:cNvPr id="9" name="TextovéPole 1"/>
        <cdr:cNvSpPr txBox="1"/>
      </cdr:nvSpPr>
      <cdr:spPr>
        <a:xfrm xmlns:a="http://schemas.openxmlformats.org/drawingml/2006/main">
          <a:off x="2803220" y="76883"/>
          <a:ext cx="184889" cy="1204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>
              <a:solidFill>
                <a:srgbClr val="7DBB2D"/>
              </a:solidFill>
              <a:latin typeface="Arial" pitchFamily="34" charset="0"/>
              <a:cs typeface="Arial" pitchFamily="34" charset="0"/>
            </a:rPr>
            <a:t>282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6DE05-C0FE-4C58-8373-A97F39D3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Anaýza ekonomického vývoje v roce 2017.dotx</Template>
  <TotalTime>14</TotalTime>
  <Pages>4</Pages>
  <Words>1007</Words>
  <Characters>5944</Characters>
  <Application>Microsoft Office Word</Application>
  <DocSecurity>0</DocSecurity>
  <Lines>49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6938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Súkupová</dc:creator>
  <cp:lastModifiedBy>kamenicky3604</cp:lastModifiedBy>
  <cp:revision>3</cp:revision>
  <cp:lastPrinted>2014-07-17T14:07:00Z</cp:lastPrinted>
  <dcterms:created xsi:type="dcterms:W3CDTF">2018-10-29T16:36:00Z</dcterms:created>
  <dcterms:modified xsi:type="dcterms:W3CDTF">2018-10-29T16:49:00Z</dcterms:modified>
</cp:coreProperties>
</file>