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5C" w:rsidRPr="00E745EA" w:rsidRDefault="004D0967" w:rsidP="004D0967">
      <w:pPr>
        <w:pStyle w:val="Nadpis2"/>
      </w:pPr>
      <w:bookmarkStart w:id="0" w:name="_Toc198986206"/>
      <w:bookmarkStart w:id="1" w:name="_GoBack"/>
      <w:bookmarkEnd w:id="1"/>
      <w:r>
        <w:t>2. Legislativní úprava nemocenského pojištění</w:t>
      </w:r>
      <w:bookmarkEnd w:id="0"/>
    </w:p>
    <w:p w:rsidR="00645D18" w:rsidRPr="00645D18" w:rsidRDefault="00645D18" w:rsidP="00645D18">
      <w:r w:rsidRPr="00645D18">
        <w:t>Systém nemocenského pojištění je určen pro výdělečně činné o</w:t>
      </w:r>
      <w:r>
        <w:t>soby, které při ztrátě příjmu v </w:t>
      </w:r>
      <w:r w:rsidRPr="00645D18">
        <w:t>případech tzv. krátkodobých sociálních událostí (dočasné pracovní neschopnosti z důvodu nemoci nebo úrazu či karantény, ošetřování člena rodiny, těhotenství a mateřství, péče o dítě) zabezpečuje peněžitými dávkami nemocenského pojištění.</w:t>
      </w:r>
    </w:p>
    <w:p w:rsidR="00645D18" w:rsidRPr="00645D18" w:rsidRDefault="00645D18" w:rsidP="00645D18">
      <w:r w:rsidRPr="00645D18">
        <w:t xml:space="preserve">Od 1. ledna 2009 je nemocenské pojištění upraveno </w:t>
      </w:r>
      <w:r w:rsidRPr="00645D18">
        <w:rPr>
          <w:b/>
          <w:bCs/>
        </w:rPr>
        <w:t>zákonem č. 187/2006 Sb., o nemocenském pojištění</w:t>
      </w:r>
      <w:r w:rsidRPr="00645D18">
        <w:t>, ve znění pozdějších předpisů (dále též „zákon o</w:t>
      </w:r>
      <w:r>
        <w:t xml:space="preserve"> nemocenském pojištění“). Jde o </w:t>
      </w:r>
      <w:r w:rsidRPr="00645D18">
        <w:t>komplexní úpravu nemocenského pojištění, která zahrnuje jak okruh osob účastných nemocens</w:t>
      </w:r>
      <w:r>
        <w:t>kého pojištění, jejich nároky z </w:t>
      </w:r>
      <w:r w:rsidRPr="00645D18">
        <w:t>tohoto pojištění a stanovení výše poskytovaných dávek, posuzování zdravotního stavu pro účely nemocenského pojištění, tak organizační uspořádání nemocenského pojištění, jakož i řízení v tomto pojištění.</w:t>
      </w:r>
    </w:p>
    <w:p w:rsidR="00E745EA" w:rsidRDefault="00645D18" w:rsidP="00645D18">
      <w:r w:rsidRPr="00645D18">
        <w:t>K oblasti nemocenského pojištění se kromě zákona o nemocenském pojištění dále vztahují následující právní předpisy:</w:t>
      </w:r>
    </w:p>
    <w:p w:rsidR="000D7DC4" w:rsidRPr="000D7DC4" w:rsidRDefault="000D7DC4" w:rsidP="000D7DC4">
      <w:pPr>
        <w:numPr>
          <w:ilvl w:val="0"/>
          <w:numId w:val="19"/>
        </w:numPr>
        <w:spacing w:after="240"/>
        <w:ind w:left="714" w:hanging="357"/>
        <w:contextualSpacing/>
      </w:pPr>
      <w:r w:rsidRPr="000D7DC4">
        <w:t>zákon č. 589/1992 Sb., o pojistném na sociální zabezpečení a příspěvku na státní politiku zaměstnanosti, ve znění pozdějších předpisů (upravuje pojistné na nemocenské pojištění),</w:t>
      </w:r>
    </w:p>
    <w:p w:rsidR="000D7DC4" w:rsidRPr="000D7DC4" w:rsidRDefault="000D7DC4" w:rsidP="000D7DC4">
      <w:pPr>
        <w:numPr>
          <w:ilvl w:val="0"/>
          <w:numId w:val="19"/>
        </w:numPr>
        <w:spacing w:after="240"/>
        <w:contextualSpacing/>
      </w:pPr>
      <w:r w:rsidRPr="000D7DC4">
        <w:t>zákon č. 262/2006 Sb., zákoník práce, ve znění pozdějších předpisů (upravuje náhradu mzdy nebo platu při pracovní neschopnosti),</w:t>
      </w:r>
    </w:p>
    <w:p w:rsidR="000D7DC4" w:rsidRPr="000D7DC4" w:rsidRDefault="000D7DC4" w:rsidP="000D7DC4">
      <w:pPr>
        <w:numPr>
          <w:ilvl w:val="0"/>
          <w:numId w:val="19"/>
        </w:numPr>
        <w:spacing w:after="240"/>
        <w:contextualSpacing/>
      </w:pPr>
      <w:r w:rsidRPr="000D7DC4">
        <w:t>zákon č. 234/2014 Sb., o státní službě, ve znění pozdějších předpisů (upravuje náhradu platu při dočasné neschopnosti k výkonu služby),</w:t>
      </w:r>
    </w:p>
    <w:p w:rsidR="000D7DC4" w:rsidRPr="000D7DC4" w:rsidRDefault="000D7DC4" w:rsidP="000D7DC4">
      <w:pPr>
        <w:numPr>
          <w:ilvl w:val="0"/>
          <w:numId w:val="19"/>
        </w:numPr>
        <w:spacing w:after="240"/>
        <w:contextualSpacing/>
      </w:pPr>
      <w:r w:rsidRPr="000D7DC4">
        <w:rPr>
          <w:bCs/>
        </w:rPr>
        <w:t>nařízení vlády č. 286/2023 Sb., o výši všeobecného vyměřovacího základu za rok 2022, přepočítacího koeficientu pro úpravu všeobecného vyměřovacího základu za rok 2022, redukčních hranic pro stanovení výpočtového základu pro rok 2024 a základní výměry důchodu stanovené pro rok 2024 a o zvýšení důchodů v roce 2024,</w:t>
      </w:r>
    </w:p>
    <w:p w:rsidR="000D7DC4" w:rsidRPr="000D7DC4" w:rsidRDefault="000D7DC4" w:rsidP="000D7DC4">
      <w:pPr>
        <w:numPr>
          <w:ilvl w:val="0"/>
          <w:numId w:val="19"/>
        </w:numPr>
        <w:spacing w:after="240"/>
        <w:contextualSpacing/>
        <w:rPr>
          <w:i/>
        </w:rPr>
      </w:pPr>
      <w:r w:rsidRPr="000D7DC4">
        <w:rPr>
          <w:bCs/>
        </w:rPr>
        <w:t>sdělení Ministerstva práce a sociálních věcí č. 313/2023 Sb., kterým se vyhlašuje pro účely nemocenského pojištění výše redukčních hranic pro úpravu denního vyměřovacího základu platných v roce 2024,</w:t>
      </w:r>
    </w:p>
    <w:p w:rsidR="000D7DC4" w:rsidRDefault="000D7DC4" w:rsidP="000D7DC4">
      <w:pPr>
        <w:numPr>
          <w:ilvl w:val="0"/>
          <w:numId w:val="19"/>
        </w:numPr>
        <w:ind w:left="714" w:hanging="357"/>
        <w:contextualSpacing/>
      </w:pPr>
      <w:r w:rsidRPr="000D7DC4">
        <w:t>sdělení Ministerstva práce a sociálních věcí č. 320/2022 Sb., kterým se vyhlašuje zvýšení částky rozhodné pro účast zaměstnanců na nemocenském pojištění.</w:t>
      </w:r>
    </w:p>
    <w:p w:rsidR="000D7DC4" w:rsidRDefault="000D7DC4" w:rsidP="000D7DC4">
      <w:pPr>
        <w:pStyle w:val="Nadpis3"/>
      </w:pPr>
      <w:bookmarkStart w:id="2" w:name="_Toc198986207"/>
      <w:r>
        <w:t>2.1 Účast na nemocenském pojištění</w:t>
      </w:r>
      <w:bookmarkEnd w:id="2"/>
    </w:p>
    <w:p w:rsidR="000D7DC4" w:rsidRPr="000D7DC4" w:rsidRDefault="000D7DC4" w:rsidP="000D7DC4">
      <w:r w:rsidRPr="000D7DC4">
        <w:t xml:space="preserve">Nemocenského pojištění jsou účastni </w:t>
      </w:r>
      <w:r w:rsidRPr="000D7DC4">
        <w:rPr>
          <w:b/>
        </w:rPr>
        <w:t xml:space="preserve">zaměstnanci </w:t>
      </w:r>
      <w:r w:rsidRPr="000D7DC4">
        <w:t xml:space="preserve">(bližší určení viz § 5 zákona o nemocenském pojištění) </w:t>
      </w:r>
      <w:r w:rsidRPr="000D7DC4">
        <w:rPr>
          <w:spacing w:val="-2"/>
        </w:rPr>
        <w:t>a </w:t>
      </w:r>
      <w:r w:rsidRPr="000D7DC4">
        <w:rPr>
          <w:b/>
          <w:spacing w:val="-2"/>
        </w:rPr>
        <w:t>osoby samostatně výdělečně činné</w:t>
      </w:r>
      <w:r w:rsidRPr="000D7DC4">
        <w:rPr>
          <w:spacing w:val="-2"/>
        </w:rPr>
        <w:t xml:space="preserve"> (dále též „OSVČ“). </w:t>
      </w:r>
      <w:r w:rsidRPr="000D7DC4">
        <w:rPr>
          <w:b/>
          <w:spacing w:val="-2"/>
        </w:rPr>
        <w:t>Zaměstnanci</w:t>
      </w:r>
      <w:r w:rsidRPr="000D7DC4">
        <w:rPr>
          <w:spacing w:val="-2"/>
        </w:rPr>
        <w:t xml:space="preserve"> jsou </w:t>
      </w:r>
      <w:r w:rsidRPr="000D7DC4">
        <w:rPr>
          <w:b/>
          <w:spacing w:val="-2"/>
        </w:rPr>
        <w:t>povinně</w:t>
      </w:r>
      <w:r w:rsidRPr="000D7DC4">
        <w:rPr>
          <w:spacing w:val="-2"/>
        </w:rPr>
        <w:t xml:space="preserve"> účastni</w:t>
      </w:r>
      <w:r w:rsidRPr="000D7DC4">
        <w:t xml:space="preserve"> nemocenského pojištění, na rozdíl od </w:t>
      </w:r>
      <w:r w:rsidRPr="000D7DC4">
        <w:rPr>
          <w:b/>
        </w:rPr>
        <w:t>OSVČ</w:t>
      </w:r>
      <w:r w:rsidRPr="000D7DC4">
        <w:t xml:space="preserve">, jejichž nemocenské pojištění je </w:t>
      </w:r>
      <w:r w:rsidRPr="000D7DC4">
        <w:rPr>
          <w:b/>
        </w:rPr>
        <w:t>dobrovolné</w:t>
      </w:r>
      <w:r w:rsidRPr="000D7DC4">
        <w:t>.</w:t>
      </w:r>
    </w:p>
    <w:p w:rsidR="000D7DC4" w:rsidRPr="000D7DC4" w:rsidRDefault="000D7DC4" w:rsidP="000D7DC4">
      <w:r w:rsidRPr="000D7DC4">
        <w:t xml:space="preserve">Za </w:t>
      </w:r>
      <w:r w:rsidRPr="000D7DC4">
        <w:rPr>
          <w:b/>
          <w:bCs/>
        </w:rPr>
        <w:t>zaměstnání</w:t>
      </w:r>
      <w:r w:rsidRPr="000D7DC4">
        <w:t xml:space="preserve"> se pro účely nemocenského pojištění považuje činnost zaměstnance pro zaměstnavatele, z níž mu plynou nebo by mohly plynout od zaměstnavatele příjmy ze závislé činnosti bez ohledu na druh pracovního vztahu.</w:t>
      </w:r>
    </w:p>
    <w:p w:rsidR="000D7DC4" w:rsidRPr="000D7DC4" w:rsidRDefault="000D7DC4" w:rsidP="000D7DC4">
      <w:r w:rsidRPr="000D7DC4">
        <w:rPr>
          <w:b/>
        </w:rPr>
        <w:t>Povinná účast na nemocenském pojištění</w:t>
      </w:r>
      <w:r w:rsidRPr="000D7DC4">
        <w:t xml:space="preserve"> vzniká u zaměstnance (s výjimkou zaměstnance činného na základě dohody o provedení práce), pokud splňuje podmínky stanovené zákonem o nemocenském pojištění.</w:t>
      </w:r>
    </w:p>
    <w:p w:rsidR="008A2D53" w:rsidRPr="008A2D53" w:rsidRDefault="008A2D53" w:rsidP="008A2D53">
      <w:r w:rsidRPr="008A2D53">
        <w:t>Jedná se o dvě základní podmínky, a to o:</w:t>
      </w:r>
    </w:p>
    <w:p w:rsidR="008A2D53" w:rsidRDefault="008A2D53" w:rsidP="00775F0A">
      <w:pPr>
        <w:numPr>
          <w:ilvl w:val="0"/>
          <w:numId w:val="20"/>
        </w:numPr>
        <w:spacing w:after="240"/>
        <w:contextualSpacing/>
      </w:pPr>
      <w:r w:rsidRPr="008A2D53">
        <w:rPr>
          <w:b/>
        </w:rPr>
        <w:t>výkon práce</w:t>
      </w:r>
      <w:r w:rsidRPr="008A2D53">
        <w:t xml:space="preserve"> na území Česk</w:t>
      </w:r>
      <w:r w:rsidR="00775F0A">
        <w:t>a</w:t>
      </w:r>
      <w:r w:rsidRPr="008A2D53">
        <w:t xml:space="preserve"> v zaměstnání vykonávaném v </w:t>
      </w:r>
      <w:r w:rsidRPr="008A2D53">
        <w:rPr>
          <w:b/>
          <w:bCs/>
        </w:rPr>
        <w:t>pracovním vztahu</w:t>
      </w:r>
      <w:r w:rsidRPr="008A2D53">
        <w:t>, který může účast na nemocenském pojištění založit,</w:t>
      </w:r>
    </w:p>
    <w:p w:rsidR="000D7DC4" w:rsidRDefault="008A2D53" w:rsidP="00775F0A">
      <w:pPr>
        <w:numPr>
          <w:ilvl w:val="0"/>
          <w:numId w:val="20"/>
        </w:numPr>
        <w:ind w:left="714" w:hanging="357"/>
      </w:pPr>
      <w:r w:rsidRPr="008A2D53">
        <w:rPr>
          <w:b/>
        </w:rPr>
        <w:t>minimální výši sjednaného příjmu</w:t>
      </w:r>
      <w:r w:rsidRPr="008A2D53">
        <w:t xml:space="preserve"> (jedná se o tzv. rozhodný příjem, jehož hranice byla stanovena na</w:t>
      </w:r>
      <w:r w:rsidRPr="008A2D53">
        <w:rPr>
          <w:b/>
        </w:rPr>
        <w:t xml:space="preserve"> 4 000 Kč</w:t>
      </w:r>
      <w:r w:rsidRPr="008A2D53">
        <w:t>/kalendářní měsíc).</w:t>
      </w:r>
    </w:p>
    <w:p w:rsidR="008A2D53" w:rsidRDefault="008A2D53" w:rsidP="008A2D53">
      <w:r w:rsidRPr="00567CA2">
        <w:t xml:space="preserve">Zvláštní podmínky účasti zaměstnanců na nemocenském pojištění jsou stanoveny při výkonu </w:t>
      </w:r>
      <w:r w:rsidRPr="00567CA2">
        <w:rPr>
          <w:b/>
          <w:bCs/>
        </w:rPr>
        <w:t>zaměstnání malého rozsahu</w:t>
      </w:r>
      <w:r w:rsidRPr="00567CA2">
        <w:t>. Zaměstnáním malého rozsahu se rozumí zaměstnání, v němž jsou splněny podmínky výkonu zaměstnání na území ČR, avšak není splněna podmínka sjednání příjmu ze zaměstnání ve stanovené výši. Jde o situace, kdy je sjednaná měsíční částka započitatelného příjmu nižší než rozhodný příjem, anebo měsíční příjem nebyl sjednán vůbec. Při výkonu zaměstnání malého rozsahu je zaměstnanec pojištěn jen v těch kalendářních měsících, v nichž dosáhl aspoň příjmu v příslušné rozhodné výši.</w:t>
      </w:r>
    </w:p>
    <w:p w:rsidR="008A2D53" w:rsidRPr="008A2D53" w:rsidRDefault="008A2D53" w:rsidP="008A2D53">
      <w:r w:rsidRPr="008A2D53">
        <w:lastRenderedPageBreak/>
        <w:t xml:space="preserve">U zaměstnance činného na základě </w:t>
      </w:r>
      <w:r w:rsidRPr="008A2D53">
        <w:rPr>
          <w:b/>
          <w:bCs/>
        </w:rPr>
        <w:t>dohody o provedení práce</w:t>
      </w:r>
      <w:r w:rsidRPr="008A2D53">
        <w:t xml:space="preserve"> vzniká povinná účast na nemocenském pojištění, pokud splňuje dvě podmínky, a to:</w:t>
      </w:r>
    </w:p>
    <w:p w:rsidR="008A2D53" w:rsidRPr="008A2D53" w:rsidRDefault="008A2D53" w:rsidP="008A2D53">
      <w:pPr>
        <w:numPr>
          <w:ilvl w:val="0"/>
          <w:numId w:val="21"/>
        </w:numPr>
        <w:ind w:left="714" w:hanging="357"/>
        <w:contextualSpacing/>
      </w:pPr>
      <w:r w:rsidRPr="008A2D53">
        <w:t>výkon práce na území ČR a</w:t>
      </w:r>
    </w:p>
    <w:p w:rsidR="008A2D53" w:rsidRPr="008A2D53" w:rsidRDefault="008A2D53" w:rsidP="008A2D53">
      <w:pPr>
        <w:numPr>
          <w:ilvl w:val="0"/>
          <w:numId w:val="21"/>
        </w:numPr>
        <w:ind w:left="714" w:hanging="357"/>
      </w:pPr>
      <w:r w:rsidRPr="008A2D53">
        <w:t>v kalendářním měsíci, v němž dohoda o provedení práce trvá, dosáhl započitatelného příjmu v částce vyšší než 10 000 Kč.</w:t>
      </w:r>
    </w:p>
    <w:p w:rsidR="008A2D53" w:rsidRPr="008A2D53" w:rsidRDefault="008A2D53" w:rsidP="008A2D53">
      <w:r w:rsidRPr="008A2D53">
        <w:t xml:space="preserve">Účast </w:t>
      </w:r>
      <w:r w:rsidRPr="008A2D53">
        <w:rPr>
          <w:b/>
        </w:rPr>
        <w:t>OSVČ</w:t>
      </w:r>
      <w:r w:rsidRPr="008A2D53">
        <w:t xml:space="preserve"> na nemocenském pojištění vzniká na základě přihlášky k nemocenskému pojištění a zaplacením pojistného na nemocenské pojištění.</w:t>
      </w:r>
    </w:p>
    <w:p w:rsidR="008A2D53" w:rsidRPr="008A2D53" w:rsidRDefault="008A2D53" w:rsidP="00B722AD">
      <w:r w:rsidRPr="008A2D53">
        <w:rPr>
          <w:rFonts w:cs="Arial"/>
          <w:szCs w:val="20"/>
        </w:rPr>
        <w:t xml:space="preserve">Minimální měsíční základ, který si může OSVČ určit pro placení pojistného na nemocenské pojištění od 1. 1. 2024 </w:t>
      </w:r>
      <w:r w:rsidR="00775F0A">
        <w:rPr>
          <w:rFonts w:cs="Arial"/>
          <w:szCs w:val="20"/>
        </w:rPr>
        <w:t>bylo</w:t>
      </w:r>
      <w:r w:rsidRPr="008A2D53">
        <w:rPr>
          <w:rFonts w:cs="Arial"/>
          <w:szCs w:val="20"/>
        </w:rPr>
        <w:t xml:space="preserve"> 8 000 Kč. </w:t>
      </w:r>
      <w:r w:rsidRPr="008A2D53">
        <w:t xml:space="preserve">Sazba </w:t>
      </w:r>
      <w:r w:rsidRPr="00775F0A">
        <w:t xml:space="preserve">pojistného </w:t>
      </w:r>
      <w:r w:rsidR="00775F0A" w:rsidRPr="00775F0A">
        <w:t>činila</w:t>
      </w:r>
      <w:r w:rsidRPr="008A2D53">
        <w:t xml:space="preserve"> 2,7 % a minimální pojistné na nemocenské pojištění </w:t>
      </w:r>
      <w:r w:rsidR="00B722AD">
        <w:t>bylo</w:t>
      </w:r>
      <w:r w:rsidRPr="008A2D53">
        <w:t xml:space="preserve"> v</w:t>
      </w:r>
      <w:r w:rsidR="00B722AD">
        <w:t> </w:t>
      </w:r>
      <w:r w:rsidRPr="008A2D53">
        <w:t>roce 2024 stanoveno na </w:t>
      </w:r>
      <w:r w:rsidRPr="008A2D53">
        <w:rPr>
          <w:b/>
        </w:rPr>
        <w:t>2</w:t>
      </w:r>
      <w:r w:rsidRPr="008A2D53">
        <w:rPr>
          <w:b/>
          <w:bCs/>
        </w:rPr>
        <w:t>16 Kč</w:t>
      </w:r>
      <w:r w:rsidRPr="008A2D53">
        <w:t>.</w:t>
      </w:r>
    </w:p>
    <w:p w:rsidR="008A2D53" w:rsidRDefault="008A2D53" w:rsidP="00B722AD">
      <w:r w:rsidRPr="008A2D53">
        <w:t xml:space="preserve">Další informace k účasti na nemocenském pojištění lze najít na adrese: </w:t>
      </w:r>
      <w:hyperlink r:id="rId11" w:anchor="_blank" w:history="1">
        <w:r w:rsidRPr="008A2D53">
          <w:rPr>
            <w:rFonts w:eastAsia="MS Gothic" w:cs="Arial"/>
            <w:color w:val="0000FF"/>
            <w:szCs w:val="20"/>
            <w:u w:val="single"/>
          </w:rPr>
          <w:t>http://www.cssz.cz/cz/nemocenske-pojisteni/ucast-na-pojisteni/</w:t>
        </w:r>
      </w:hyperlink>
      <w:r w:rsidRPr="008A2D53">
        <w:t xml:space="preserve"> nebo </w:t>
      </w:r>
      <w:hyperlink r:id="rId12" w:history="1">
        <w:r w:rsidRPr="008A2D53">
          <w:rPr>
            <w:color w:val="0000FF"/>
            <w:u w:val="single"/>
          </w:rPr>
          <w:t>https://www.cssz.cz/web/cz/osvc-nemocenske-pojisteni-ucast-na-pojisteni</w:t>
        </w:r>
      </w:hyperlink>
      <w:r w:rsidRPr="008A2D53">
        <w:t>.</w:t>
      </w:r>
    </w:p>
    <w:p w:rsidR="00B722AD" w:rsidRDefault="00B722AD" w:rsidP="00B722AD">
      <w:pPr>
        <w:pStyle w:val="Nadpis3"/>
      </w:pPr>
      <w:bookmarkStart w:id="3" w:name="_Toc198986208"/>
      <w:r>
        <w:t>2.2 Nemocenské</w:t>
      </w:r>
      <w:bookmarkEnd w:id="3"/>
    </w:p>
    <w:p w:rsidR="006547DF" w:rsidRPr="006547DF" w:rsidRDefault="006547DF" w:rsidP="006547DF">
      <w:r w:rsidRPr="006547DF">
        <w:rPr>
          <w:b/>
        </w:rPr>
        <w:t>Dočasná pracovní neschopnost</w:t>
      </w:r>
      <w:r w:rsidRPr="006547DF">
        <w:t xml:space="preserve"> je stav člověka, který je </w:t>
      </w:r>
      <w:r w:rsidRPr="006547DF">
        <w:rPr>
          <w:b/>
        </w:rPr>
        <w:t>lékařem ze zdravotních důvodů dočasně uznán neschopným k výkonu</w:t>
      </w:r>
      <w:r w:rsidRPr="006547DF">
        <w:t xml:space="preserve"> svého dosavadního </w:t>
      </w:r>
      <w:r w:rsidRPr="006547DF">
        <w:rPr>
          <w:b/>
        </w:rPr>
        <w:t>zaměstnání</w:t>
      </w:r>
      <w:r w:rsidRPr="006547DF">
        <w:t xml:space="preserve">. O vzniku dočasné pracovní neschopnosti rozhoduje ošetřující lékař, a to vystavením </w:t>
      </w:r>
      <w:r w:rsidRPr="006547DF">
        <w:rPr>
          <w:i/>
          <w:iCs/>
        </w:rPr>
        <w:t>Rozhodnutí o dočasné pracovní neschopnosti</w:t>
      </w:r>
      <w:r w:rsidRPr="006547DF">
        <w:t xml:space="preserve"> (tzv. e-neschopenky). Kategorie jsou následující:</w:t>
      </w:r>
    </w:p>
    <w:p w:rsidR="006547DF" w:rsidRPr="006547DF" w:rsidRDefault="006547DF" w:rsidP="006547DF">
      <w:pPr>
        <w:numPr>
          <w:ilvl w:val="0"/>
          <w:numId w:val="22"/>
        </w:numPr>
        <w:ind w:left="714" w:hanging="357"/>
        <w:contextualSpacing/>
      </w:pPr>
      <w:r w:rsidRPr="006547DF">
        <w:rPr>
          <w:b/>
          <w:bCs/>
        </w:rPr>
        <w:t xml:space="preserve">nemoc </w:t>
      </w:r>
      <w:r w:rsidRPr="006547DF">
        <w:rPr>
          <w:bCs/>
        </w:rPr>
        <w:t xml:space="preserve">– </w:t>
      </w:r>
      <w:r w:rsidRPr="006547DF">
        <w:t xml:space="preserve">za případy dočasné pracovní neschopnosti pro nemoc jsou považovány všechny případy nemocí podle </w:t>
      </w:r>
      <w:r w:rsidRPr="006547DF">
        <w:rPr>
          <w:b/>
        </w:rPr>
        <w:t>Mezinárodní statistické klasifikace nemocí a přidružených zdravotních problémů</w:t>
      </w:r>
      <w:r w:rsidRPr="006547DF">
        <w:t xml:space="preserve"> (MKN-10),</w:t>
      </w:r>
    </w:p>
    <w:p w:rsidR="006547DF" w:rsidRDefault="006547DF" w:rsidP="006547DF">
      <w:pPr>
        <w:numPr>
          <w:ilvl w:val="0"/>
          <w:numId w:val="22"/>
        </w:numPr>
        <w:spacing w:after="240"/>
        <w:contextualSpacing/>
        <w:rPr>
          <w:b/>
          <w:bCs/>
        </w:rPr>
      </w:pPr>
      <w:r w:rsidRPr="006547DF">
        <w:rPr>
          <w:b/>
          <w:bCs/>
        </w:rPr>
        <w:t xml:space="preserve">pracovní úraz </w:t>
      </w:r>
      <w:r w:rsidRPr="006547DF">
        <w:rPr>
          <w:bCs/>
        </w:rPr>
        <w:t>–</w:t>
      </w:r>
      <w:r w:rsidRPr="006547DF">
        <w:rPr>
          <w:b/>
          <w:bCs/>
        </w:rPr>
        <w:t xml:space="preserve"> </w:t>
      </w:r>
      <w:r w:rsidRPr="006547DF">
        <w:t xml:space="preserve">pracovním úrazem se rozumí </w:t>
      </w:r>
      <w:r w:rsidRPr="006547DF">
        <w:rPr>
          <w:b/>
        </w:rPr>
        <w:t>poškození zdraví nebo smrt zaměstnance</w:t>
      </w:r>
      <w:r w:rsidRPr="006547DF">
        <w:t xml:space="preserve">, došlo-li k nim nezávisle na jeho vůli krátkodobým, náhlým a násilným </w:t>
      </w:r>
      <w:r w:rsidRPr="006547DF">
        <w:rPr>
          <w:b/>
        </w:rPr>
        <w:t>působením zevních vlivů</w:t>
      </w:r>
      <w:r w:rsidRPr="006547DF">
        <w:t xml:space="preserve"> při plnění pracovních úkolů nebo v přímé </w:t>
      </w:r>
      <w:r w:rsidRPr="00775F0A">
        <w:t>souvislosti s ním</w:t>
      </w:r>
      <w:r w:rsidRPr="006547DF">
        <w:t xml:space="preserve"> (viz § 271k odst. 1 až 3 zákona č. 262/2006 Sb., zákoník práce, ve znění pozdějších předpisů),</w:t>
      </w:r>
    </w:p>
    <w:p w:rsidR="00B722AD" w:rsidRPr="006547DF" w:rsidRDefault="006547DF" w:rsidP="006547DF">
      <w:pPr>
        <w:numPr>
          <w:ilvl w:val="0"/>
          <w:numId w:val="22"/>
        </w:numPr>
        <w:ind w:left="714" w:hanging="357"/>
        <w:rPr>
          <w:b/>
          <w:bCs/>
        </w:rPr>
      </w:pPr>
      <w:r w:rsidRPr="006547DF">
        <w:rPr>
          <w:b/>
          <w:bCs/>
          <w:spacing w:val="-2"/>
        </w:rPr>
        <w:t xml:space="preserve">ostatní úrazy </w:t>
      </w:r>
      <w:r w:rsidRPr="006547DF">
        <w:rPr>
          <w:bCs/>
          <w:spacing w:val="-2"/>
        </w:rPr>
        <w:t>–</w:t>
      </w:r>
      <w:r w:rsidRPr="006547DF">
        <w:rPr>
          <w:b/>
          <w:bCs/>
          <w:spacing w:val="-2"/>
        </w:rPr>
        <w:t xml:space="preserve"> </w:t>
      </w:r>
      <w:r w:rsidRPr="006547DF">
        <w:rPr>
          <w:bCs/>
          <w:spacing w:val="-2"/>
        </w:rPr>
        <w:t xml:space="preserve">za ostatní úrazy jsou považovány případy </w:t>
      </w:r>
      <w:r w:rsidRPr="006547DF">
        <w:rPr>
          <w:b/>
          <w:spacing w:val="-2"/>
        </w:rPr>
        <w:t xml:space="preserve">poškození </w:t>
      </w:r>
      <w:r w:rsidRPr="00775F0A">
        <w:rPr>
          <w:b/>
          <w:spacing w:val="-2"/>
        </w:rPr>
        <w:t>zdraví</w:t>
      </w:r>
      <w:r w:rsidRPr="00775F0A">
        <w:rPr>
          <w:spacing w:val="-2"/>
        </w:rPr>
        <w:t xml:space="preserve">, </w:t>
      </w:r>
      <w:r w:rsidR="00775F0A" w:rsidRPr="00775F0A">
        <w:rPr>
          <w:spacing w:val="-2"/>
        </w:rPr>
        <w:t>jejichž</w:t>
      </w:r>
      <w:r w:rsidRPr="00775F0A">
        <w:rPr>
          <w:spacing w:val="-2"/>
        </w:rPr>
        <w:t xml:space="preserve"> následkem</w:t>
      </w:r>
      <w:r w:rsidRPr="006547DF">
        <w:rPr>
          <w:spacing w:val="-2"/>
        </w:rPr>
        <w:t xml:space="preserve"> je postižený v dočasné pracovní neschopnosti, které lékařem </w:t>
      </w:r>
      <w:r w:rsidRPr="006547DF">
        <w:rPr>
          <w:b/>
          <w:spacing w:val="-2"/>
        </w:rPr>
        <w:t>nebyly vyhodnoceny jako pracovní úraz</w:t>
      </w:r>
      <w:r w:rsidRPr="006547DF">
        <w:rPr>
          <w:spacing w:val="-2"/>
        </w:rPr>
        <w:t>.</w:t>
      </w:r>
    </w:p>
    <w:p w:rsidR="006547DF" w:rsidRDefault="006547DF" w:rsidP="006547DF">
      <w:r w:rsidRPr="00173108">
        <w:t xml:space="preserve">Zaměstnanec nebo OSVČ, který je uznán ošetřujícím lékařem dočasně práce neschopným (nebo mu byla nařízena karanténa), má nárok na </w:t>
      </w:r>
      <w:r w:rsidRPr="00173108">
        <w:rPr>
          <w:b/>
        </w:rPr>
        <w:t>nemocenské od 15. kalendářního dne</w:t>
      </w:r>
      <w:r w:rsidRPr="00173108">
        <w:t xml:space="preserve"> trvání dočasné pracovní neschopnosti do konce dočasné pracovní neschopnosti, </w:t>
      </w:r>
      <w:r w:rsidRPr="00173108">
        <w:rPr>
          <w:b/>
        </w:rPr>
        <w:t>maximálně však 380 kalendářních dnů</w:t>
      </w:r>
      <w:r w:rsidRPr="00173108">
        <w:t xml:space="preserve"> počítaných od vzniku dočasné pracovní neschopnosti (včetně zápočtů předchozí doby trvání dočasné pracovní neschopnosti). OSVČ však pro získání nároku na nemocenské musí být účastna dobrovolného nemocenského pojištění OSVČ alespoň po dobu 3 měsíců bezprostředně předcházejících dni vzniku dočasné pracovní neschopnosti.</w:t>
      </w:r>
    </w:p>
    <w:p w:rsidR="006547DF" w:rsidRDefault="006547DF" w:rsidP="006547DF">
      <w:r w:rsidRPr="00173108">
        <w:t xml:space="preserve">Po dobu </w:t>
      </w:r>
      <w:r w:rsidRPr="00173108">
        <w:rPr>
          <w:b/>
        </w:rPr>
        <w:t xml:space="preserve">prvních 14 kalendářních dnů </w:t>
      </w:r>
      <w:r w:rsidRPr="00173108">
        <w:t xml:space="preserve">je zaměstnanec (nikoli OSVČ), kterému trvá pracovní vztah zakládající účast na nemocenském pojištění, zabezpečen </w:t>
      </w:r>
      <w:r w:rsidRPr="00173108">
        <w:rPr>
          <w:b/>
        </w:rPr>
        <w:t>náhradou mzdy nebo platu</w:t>
      </w:r>
      <w:r w:rsidRPr="00173108">
        <w:t>, kterou poskytuje zaměstnavatel podle zákoníku práce. Náhrada mzdy náleží za pracovní dny, a to při dočasné pracovní neschopnosti od</w:t>
      </w:r>
      <w:r>
        <w:t> </w:t>
      </w:r>
      <w:r w:rsidRPr="00173108">
        <w:t>1. pracovního dne.</w:t>
      </w:r>
    </w:p>
    <w:p w:rsidR="00420109" w:rsidRDefault="00420109" w:rsidP="00420109">
      <w:r w:rsidRPr="00BC41BB">
        <w:rPr>
          <w:b/>
          <w:bCs/>
        </w:rPr>
        <w:t xml:space="preserve">Zaměstnanci, který je zároveň příjemcem starobního důchodu </w:t>
      </w:r>
      <w:r w:rsidRPr="00173108">
        <w:rPr>
          <w:b/>
          <w:bCs/>
        </w:rPr>
        <w:t>nebo invalidního důchodu pro invaliditu 3. stupně</w:t>
      </w:r>
      <w:r w:rsidRPr="00173108">
        <w:t xml:space="preserve"> se nemocenské vyplácí od 15. kalendářního dne trvání dočasné pracovní neschopnosti (karantény) po dobu nejvýše 70 kalendářních dnů, nejdéle však do dne, jímž končí pojištěná činnost.</w:t>
      </w:r>
    </w:p>
    <w:p w:rsidR="00420109" w:rsidRDefault="00420109" w:rsidP="00420109">
      <w:r w:rsidRPr="00173108">
        <w:rPr>
          <w:b/>
        </w:rPr>
        <w:t>Nemocenské</w:t>
      </w:r>
      <w:r w:rsidRPr="00173108">
        <w:t xml:space="preserve"> náleží rovněž ve stanovených případech, jestliže ke vzniku dočasné pracovní neschopnosti (karantény) došlo po skončení pojištěného zaměstnání v tzv. </w:t>
      </w:r>
      <w:r w:rsidRPr="00173108">
        <w:rPr>
          <w:b/>
        </w:rPr>
        <w:t>ochranné lhůtě</w:t>
      </w:r>
      <w:r w:rsidRPr="00173108">
        <w:t>. Účelem ochranné lhůty je zajistit bývalého zaměstnance po stanovenou dobu po skončení pojištění pro případ vzniku sociální události (dočasné pracovní neschopnosti) dříve, než opět nastoupí do dalšího zaměstnání. Ochranná lhůta v případě uplatňování nároku na nemocenské činí 7 kalendářních dnů ode dne skončení zaměstnání, které zakládalo účast na nemocenském pojištění. U </w:t>
      </w:r>
      <w:r w:rsidRPr="00173108">
        <w:rPr>
          <w:b/>
        </w:rPr>
        <w:t>zaměstnání kratších</w:t>
      </w:r>
      <w:r w:rsidRPr="00173108">
        <w:t xml:space="preserve"> </w:t>
      </w:r>
      <w:r w:rsidRPr="00173108">
        <w:rPr>
          <w:b/>
        </w:rPr>
        <w:t>než 7 kalendářních dnů</w:t>
      </w:r>
      <w:r w:rsidRPr="00173108">
        <w:t xml:space="preserve"> činí</w:t>
      </w:r>
      <w:r w:rsidRPr="00173108">
        <w:rPr>
          <w:b/>
        </w:rPr>
        <w:t xml:space="preserve"> ochranná lhůta</w:t>
      </w:r>
      <w:r w:rsidRPr="00173108">
        <w:t xml:space="preserve"> pouze tolik dnů, kolik činilo toto poslední zaměstnání.</w:t>
      </w:r>
    </w:p>
    <w:p w:rsidR="00D460DD" w:rsidRPr="00D460DD" w:rsidRDefault="00D460DD" w:rsidP="00D460DD">
      <w:pPr>
        <w:rPr>
          <w:rFonts w:cs="Arial"/>
          <w:szCs w:val="20"/>
        </w:rPr>
      </w:pPr>
      <w:r w:rsidRPr="00D460DD">
        <w:rPr>
          <w:rFonts w:cs="Arial"/>
          <w:b/>
          <w:bCs/>
          <w:szCs w:val="20"/>
        </w:rPr>
        <w:lastRenderedPageBreak/>
        <w:t>Ochranná lhůta neplyne</w:t>
      </w:r>
      <w:r w:rsidR="003A2FAF" w:rsidRPr="003A2FAF">
        <w:rPr>
          <w:rFonts w:cs="Arial"/>
          <w:bCs/>
          <w:szCs w:val="20"/>
        </w:rPr>
        <w:t>:</w:t>
      </w:r>
    </w:p>
    <w:p w:rsidR="00D460DD" w:rsidRPr="00D460DD" w:rsidRDefault="00D460DD" w:rsidP="00D460DD">
      <w:pPr>
        <w:numPr>
          <w:ilvl w:val="0"/>
          <w:numId w:val="23"/>
        </w:numPr>
        <w:spacing w:after="0"/>
        <w:ind w:left="714" w:hanging="357"/>
      </w:pPr>
      <w:r w:rsidRPr="00D460DD">
        <w:t>z pojištěné činnosti poživatele starobního důchodu nebo invalidního důchodu pro invaliditu 3. stupně,</w:t>
      </w:r>
    </w:p>
    <w:p w:rsidR="00D460DD" w:rsidRPr="00D460DD" w:rsidRDefault="00D460DD" w:rsidP="00D460DD">
      <w:pPr>
        <w:numPr>
          <w:ilvl w:val="0"/>
          <w:numId w:val="23"/>
        </w:numPr>
        <w:spacing w:before="100" w:beforeAutospacing="1" w:after="100" w:afterAutospacing="1"/>
      </w:pPr>
      <w:r w:rsidRPr="00D460DD">
        <w:t>z dalšího zaměstnání sjednaného jen na dobu dovolené v jiném zaměstnání,</w:t>
      </w:r>
    </w:p>
    <w:p w:rsidR="00D460DD" w:rsidRPr="00D460DD" w:rsidRDefault="00D460DD" w:rsidP="00D460DD">
      <w:pPr>
        <w:numPr>
          <w:ilvl w:val="0"/>
          <w:numId w:val="23"/>
        </w:numPr>
        <w:spacing w:before="100" w:beforeAutospacing="1" w:after="100" w:afterAutospacing="1"/>
      </w:pPr>
      <w:r w:rsidRPr="00D460DD">
        <w:t>ze zaměstnání zaměstnance činného na základě dohody o provedení práce,</w:t>
      </w:r>
    </w:p>
    <w:p w:rsidR="00D460DD" w:rsidRPr="00D460DD" w:rsidRDefault="00D460DD" w:rsidP="00D460DD">
      <w:pPr>
        <w:numPr>
          <w:ilvl w:val="0"/>
          <w:numId w:val="23"/>
        </w:numPr>
        <w:spacing w:before="100" w:beforeAutospacing="1" w:after="100" w:afterAutospacing="1"/>
      </w:pPr>
      <w:r w:rsidRPr="00D460DD">
        <w:t>ze zaměstnání malého rozsahu,</w:t>
      </w:r>
    </w:p>
    <w:p w:rsidR="00D460DD" w:rsidRPr="00D460DD" w:rsidRDefault="00D460DD" w:rsidP="00D460DD">
      <w:pPr>
        <w:numPr>
          <w:ilvl w:val="0"/>
          <w:numId w:val="23"/>
        </w:numPr>
        <w:spacing w:before="100" w:beforeAutospacing="1" w:after="100" w:afterAutospacing="1"/>
      </w:pPr>
      <w:r w:rsidRPr="00D460DD">
        <w:t>ze zaměstnání, kt</w:t>
      </w:r>
      <w:r>
        <w:t xml:space="preserve">eré si žák nebo </w:t>
      </w:r>
      <w:r w:rsidRPr="00904E35">
        <w:t>student sjednal</w:t>
      </w:r>
      <w:r w:rsidRPr="00D460DD">
        <w:t xml:space="preserve"> výlučně na dobu školních prázdnin nebo jejich část,</w:t>
      </w:r>
    </w:p>
    <w:p w:rsidR="00D460DD" w:rsidRPr="00D460DD" w:rsidRDefault="00D460DD" w:rsidP="00D460DD">
      <w:pPr>
        <w:numPr>
          <w:ilvl w:val="0"/>
          <w:numId w:val="23"/>
        </w:numPr>
        <w:spacing w:before="100" w:beforeAutospacing="1"/>
        <w:ind w:left="714" w:hanging="357"/>
      </w:pPr>
      <w:r w:rsidRPr="00D460DD">
        <w:t>v případě, že pojištění odsouzeného skončí v době jeho útěku z místa výkonu trestu odnětí svobody.</w:t>
      </w:r>
    </w:p>
    <w:p w:rsidR="00420109" w:rsidRDefault="00D460DD" w:rsidP="00D460DD">
      <w:r w:rsidRPr="00D460DD">
        <w:rPr>
          <w:b/>
        </w:rPr>
        <w:t>Jestliže si pojištěnec přivodil dočasnou pracovní neschopnost</w:t>
      </w:r>
      <w:r w:rsidRPr="00D460DD">
        <w:t xml:space="preserve"> zaviněnou účastí ve rvačce nebo jako bezprostřední následek své opilosti, zneužití omamných prostředků nebo psychotropních látek, při spáchání úmyslného trestného činu nebo úmyslně zaviněného přestupku, </w:t>
      </w:r>
      <w:r w:rsidRPr="00D460DD">
        <w:rPr>
          <w:b/>
        </w:rPr>
        <w:t>náleží mu nemocenské za kalendářní den v poloviční výši</w:t>
      </w:r>
      <w:r w:rsidRPr="00D460DD">
        <w:t>.</w:t>
      </w:r>
    </w:p>
    <w:p w:rsidR="00D460DD" w:rsidRDefault="00D460DD" w:rsidP="00D460DD">
      <w:pPr>
        <w:rPr>
          <w:rFonts w:cs="Arial"/>
          <w:szCs w:val="20"/>
        </w:rPr>
      </w:pPr>
      <w:r w:rsidRPr="00173108">
        <w:rPr>
          <w:rFonts w:cs="Arial"/>
          <w:b/>
          <w:szCs w:val="20"/>
        </w:rPr>
        <w:t>Nárok na nemocenské nemá pojištěnec</w:t>
      </w:r>
      <w:r w:rsidRPr="00173108">
        <w:rPr>
          <w:rFonts w:cs="Arial"/>
          <w:szCs w:val="20"/>
        </w:rPr>
        <w:t xml:space="preserve">, který si dočasnou pracovní neschopnost </w:t>
      </w:r>
      <w:r w:rsidRPr="00173108">
        <w:rPr>
          <w:rFonts w:cs="Arial"/>
          <w:b/>
          <w:szCs w:val="20"/>
        </w:rPr>
        <w:t>přivodil úmyslně</w:t>
      </w:r>
      <w:r w:rsidRPr="00173108">
        <w:rPr>
          <w:rFonts w:cs="Arial"/>
          <w:szCs w:val="20"/>
        </w:rPr>
        <w:t xml:space="preserve">. Dále jestliže </w:t>
      </w:r>
      <w:r w:rsidRPr="00173108">
        <w:t xml:space="preserve">občanovi vznikl v době dočasné pracovní neschopnosti nebo nařízené karantény nárok na výplatu starobního důchodu, pokud pojištěná činnost skončila přede dnem, od něhož vznikl nárok na výplatu důchodu. </w:t>
      </w:r>
      <w:r w:rsidRPr="00173108">
        <w:rPr>
          <w:rFonts w:cs="Arial"/>
          <w:szCs w:val="20"/>
        </w:rPr>
        <w:t>Pojištěnec nemá nárok na nemocenské ani v případě, kdy vznikla dočasná pracovní neschopnost nebo mu byla nařízena karanténa v době útěku z místa vazby nebo z místa výkonu trestu odnětí svobody.</w:t>
      </w:r>
    </w:p>
    <w:p w:rsidR="00D460DD" w:rsidRDefault="00D460DD" w:rsidP="00D460DD">
      <w:pPr>
        <w:pStyle w:val="Nadpis3"/>
      </w:pPr>
      <w:bookmarkStart w:id="4" w:name="_Toc198986209"/>
      <w:r>
        <w:t>2.3 Uplatnění nároku na dávku nemocenského</w:t>
      </w:r>
      <w:bookmarkEnd w:id="4"/>
    </w:p>
    <w:p w:rsidR="00D460DD" w:rsidRPr="00D460DD" w:rsidRDefault="00D460DD" w:rsidP="00D460DD">
      <w:r w:rsidRPr="004422A6">
        <w:rPr>
          <w:spacing w:val="-2"/>
        </w:rPr>
        <w:t>Hlášení o dočasné pracovní neschopnosti probíhá od 1. 1. 2020 elektronicky</w:t>
      </w:r>
      <w:r w:rsidRPr="004422A6">
        <w:rPr>
          <w:rStyle w:val="Znakapoznpodarou"/>
          <w:spacing w:val="-2"/>
        </w:rPr>
        <w:footnoteReference w:id="1"/>
      </w:r>
      <w:r w:rsidRPr="004422A6">
        <w:rPr>
          <w:spacing w:val="-2"/>
        </w:rPr>
        <w:t>. Bylo tak upuštěno od</w:t>
      </w:r>
      <w:r w:rsidRPr="00D460DD">
        <w:t xml:space="preserve"> zdlouhavého oběhu listinných dokumentů, který byl nahrazen elektronickým zpracováním.</w:t>
      </w:r>
    </w:p>
    <w:p w:rsidR="00D460DD" w:rsidRPr="00D460DD" w:rsidRDefault="00D460DD" w:rsidP="00D460DD">
      <w:r w:rsidRPr="00D460DD">
        <w:t xml:space="preserve">Ošetřující lékař od 1. 1. 2020 hlásí vznik, trvání a ukončení dočasné pracovní neschopnosti přímo správě sociálního zabezpečení pouze elektronicky. Ošetřující lékař již nevydává zaměstnanci žádné papírové díly neschopenky určené pro zaměstnavatele. Zachován zůstal pouze „Průkaz dočasně práce neschopného pojištěnce“, který má u sebe zaměstnanec pro své potřeby a k informaci. </w:t>
      </w:r>
      <w:r w:rsidRPr="00D460DD">
        <w:rPr>
          <w:b/>
          <w:bCs/>
        </w:rPr>
        <w:t xml:space="preserve">Hlášení </w:t>
      </w:r>
      <w:r w:rsidRPr="00D460DD">
        <w:rPr>
          <w:bCs/>
        </w:rPr>
        <w:t>správě sociálního zabezpečení</w:t>
      </w:r>
      <w:r w:rsidRPr="00D460DD">
        <w:rPr>
          <w:b/>
          <w:bCs/>
        </w:rPr>
        <w:t xml:space="preserve"> o vzniku dočasné pracovní neschopnosti je při </w:t>
      </w:r>
      <w:r w:rsidRPr="00D460DD">
        <w:rPr>
          <w:bCs/>
        </w:rPr>
        <w:t>dočasné pracovní</w:t>
      </w:r>
      <w:r w:rsidRPr="00D460DD">
        <w:rPr>
          <w:b/>
          <w:bCs/>
        </w:rPr>
        <w:t xml:space="preserve"> neschopnosti přesahující 14 kalendářních dnů </w:t>
      </w:r>
      <w:r w:rsidRPr="00D460DD">
        <w:rPr>
          <w:bCs/>
        </w:rPr>
        <w:t xml:space="preserve">automaticky </w:t>
      </w:r>
      <w:r w:rsidRPr="00D460DD">
        <w:rPr>
          <w:b/>
          <w:bCs/>
        </w:rPr>
        <w:t>považováno za žádost o nemocenské.</w:t>
      </w:r>
      <w:r w:rsidRPr="00D460DD">
        <w:t xml:space="preserve"> Ošetřující lékař hlásí trvání dočasné pracovní neschopnosti přímo správě sociálního zabezpečení. Hlášení o ukončení dočasné pracovní neschopnosti, které ošetřující lékař rovněž zasílá přímo správě sociálního zabezpečení, je automaticky i dokladem pro ukončení výplaty nemocenského. </w:t>
      </w:r>
    </w:p>
    <w:p w:rsidR="00D460DD" w:rsidRDefault="00D460DD" w:rsidP="00D460DD">
      <w:r w:rsidRPr="00D460DD">
        <w:t>Pro zaměstnavatele se tedy již nevystavuje žádný listinný díl rozhodnutí o dočasné pracovní neschopnosti. I nadále však</w:t>
      </w:r>
      <w:r w:rsidRPr="00D460DD">
        <w:rPr>
          <w:b/>
        </w:rPr>
        <w:t xml:space="preserve"> zůstává </w:t>
      </w:r>
      <w:r w:rsidRPr="00D460DD">
        <w:t>zachována</w:t>
      </w:r>
      <w:r w:rsidRPr="00D460DD">
        <w:rPr>
          <w:b/>
        </w:rPr>
        <w:t xml:space="preserve"> povinnost zaměstnance</w:t>
      </w:r>
      <w:r w:rsidRPr="004422A6">
        <w:t>, aby o</w:t>
      </w:r>
      <w:r w:rsidRPr="00D460DD">
        <w:rPr>
          <w:b/>
        </w:rPr>
        <w:t xml:space="preserve"> </w:t>
      </w:r>
      <w:r w:rsidRPr="00D460DD">
        <w:t>své dočasné</w:t>
      </w:r>
      <w:r w:rsidRPr="00D460DD">
        <w:rPr>
          <w:b/>
        </w:rPr>
        <w:t xml:space="preserve"> pracovní neschopnosti </w:t>
      </w:r>
      <w:r w:rsidRPr="00D460DD">
        <w:t>neprodleně</w:t>
      </w:r>
      <w:r w:rsidRPr="00D460DD">
        <w:rPr>
          <w:b/>
        </w:rPr>
        <w:t xml:space="preserve"> informoval </w:t>
      </w:r>
      <w:r w:rsidRPr="00D460DD">
        <w:t>svého</w:t>
      </w:r>
      <w:r w:rsidRPr="00D460DD">
        <w:rPr>
          <w:b/>
        </w:rPr>
        <w:t xml:space="preserve"> zaměstnavatele</w:t>
      </w:r>
      <w:r w:rsidRPr="00D460DD">
        <w:t xml:space="preserve"> (např. telefonicky, e-mailem)</w:t>
      </w:r>
      <w:r w:rsidR="004422A6">
        <w:t>.</w:t>
      </w:r>
    </w:p>
    <w:p w:rsidR="004422A6" w:rsidRDefault="005F7B39" w:rsidP="005F7B39">
      <w:r w:rsidRPr="00855DAE">
        <w:t xml:space="preserve">Zaměstnavatel je povinen po 14 dnech trvání neschopnosti zaslat ČSSZ </w:t>
      </w:r>
      <w:r w:rsidRPr="00855DAE">
        <w:rPr>
          <w:b/>
          <w:bCs/>
        </w:rPr>
        <w:t>Přílohu k žádosti o dávku</w:t>
      </w:r>
      <w:r w:rsidRPr="00855DAE">
        <w:t xml:space="preserve">, která obsahuje údaje potřebné pro posouzení nároku, výpočet a výplatu nemocenského, </w:t>
      </w:r>
      <w:r w:rsidRPr="00855DAE">
        <w:rPr>
          <w:b/>
          <w:bCs/>
        </w:rPr>
        <w:t>a to v elektronické formě</w:t>
      </w:r>
      <w:r w:rsidRPr="00855DAE">
        <w:t xml:space="preserve"> (papírový tiskopis je možno použít pouze v případě technického výpadku). Do Přílohy k žádosti o dávku zaměstnavatel nově uvede informaci o tom, kam je zaměstnanci vyplácena mzda nebo plat (stejným způsobem se zpravidla bude za</w:t>
      </w:r>
      <w:r>
        <w:t xml:space="preserve">městnanci vyplácet nemocenské). </w:t>
      </w:r>
      <w:r w:rsidRPr="00855DAE">
        <w:t>Při skončení dočasné pracovní neschopnosti zaměstnavatel zašle hlášení s údaji potřebnými pro výplatu poslední dávky nemocenského.</w:t>
      </w:r>
    </w:p>
    <w:p w:rsidR="005F7B39" w:rsidRDefault="005F7B39" w:rsidP="00E830B6">
      <w:pPr>
        <w:pStyle w:val="Box1"/>
        <w:spacing w:before="120" w:after="120"/>
        <w:ind w:left="0"/>
        <w:contextualSpacing w:val="0"/>
        <w:jc w:val="both"/>
      </w:pPr>
      <w:r w:rsidRPr="00855DAE">
        <w:t xml:space="preserve">Služební útvary provádějí nemocenské pojištění příslušníků Policie České republiky, Hasičského záchranného sboru České republiky, Celní správy České republiky, Vězeňské služby České republiky, Bezpečnostní informační služby a Úřadu pro zahraniční styky a informace, vojáků z povolání, odsouzených ve výkonu trestu, </w:t>
      </w:r>
      <w:r>
        <w:t>k</w:t>
      </w:r>
      <w:r w:rsidRPr="00855DAE">
        <w:t>teří vykonávají práci ve výkonu trestu, a osob obviněných vykonávajících práci ve vazbě.</w:t>
      </w:r>
      <w:r>
        <w:t xml:space="preserve"> ČSSZ u nich nemocenské pojištění neprovádí a </w:t>
      </w:r>
      <w:r w:rsidRPr="00FD4886">
        <w:rPr>
          <w:b/>
        </w:rPr>
        <w:t>nejsou tedy zahrnuti v těchto statistikách</w:t>
      </w:r>
      <w:r>
        <w:t>.</w:t>
      </w:r>
    </w:p>
    <w:p w:rsidR="005F7B39" w:rsidRDefault="005F7B39">
      <w:pPr>
        <w:spacing w:after="0" w:line="240" w:lineRule="auto"/>
        <w:jc w:val="left"/>
      </w:pPr>
      <w:r>
        <w:br w:type="page"/>
      </w:r>
    </w:p>
    <w:p w:rsidR="005F7B39" w:rsidRDefault="005F7B39" w:rsidP="005F7B39">
      <w:pPr>
        <w:pStyle w:val="Nadpis3"/>
      </w:pPr>
      <w:bookmarkStart w:id="5" w:name="_Toc198986210"/>
      <w:r>
        <w:lastRenderedPageBreak/>
        <w:t>2.4. Výpočet dávky nemocenského</w:t>
      </w:r>
      <w:bookmarkEnd w:id="5"/>
    </w:p>
    <w:p w:rsidR="005F7B39" w:rsidRDefault="000700C6" w:rsidP="000700C6">
      <w:r w:rsidRPr="00700407">
        <w:t>Výše dávky nemocenského se počítá z denního vyměřovacího základu. Započitatelný příjem zúčtovaný zaměstnanci v rozhodném období (zpravidla období 12 kalendářních měsíců před kalendářním měsícem, ve kterém vznikla sociální událost – v případě výplaty nemocenského dočasná pracovní neschopnost) se dělí počtem započitatelných kalendářních dnů připadajících na toto rozhodné období. Takto stanovený průměrný denní příjem se upravuje (redukuje) pomocí tří redukčních hranic na denní vyměřovací základ.</w:t>
      </w:r>
    </w:p>
    <w:p w:rsidR="003A2FAF" w:rsidRPr="003A2FAF" w:rsidRDefault="003A2FAF" w:rsidP="003A2FAF">
      <w:pPr>
        <w:rPr>
          <w:lang w:eastAsia="ar-SA"/>
        </w:rPr>
      </w:pPr>
      <w:r w:rsidRPr="003A2FAF">
        <w:rPr>
          <w:lang w:eastAsia="ar-SA"/>
        </w:rPr>
        <w:t xml:space="preserve">Výši tří </w:t>
      </w:r>
      <w:r w:rsidRPr="003A2FAF">
        <w:rPr>
          <w:b/>
          <w:lang w:eastAsia="ar-SA"/>
        </w:rPr>
        <w:t>redukčních hranic</w:t>
      </w:r>
      <w:r w:rsidRPr="003A2FAF">
        <w:rPr>
          <w:lang w:eastAsia="ar-SA"/>
        </w:rPr>
        <w:t xml:space="preserve"> platných od 1. ledna kalendářního roku vyhlašuje Ministerstvo práce a sociálních věcí formou Sdělení ve Sbírce zákonů. </w:t>
      </w:r>
    </w:p>
    <w:p w:rsidR="003A2FAF" w:rsidRPr="003A2FAF" w:rsidRDefault="003A2FAF" w:rsidP="003A2FAF">
      <w:pPr>
        <w:rPr>
          <w:lang w:eastAsia="ar-SA"/>
        </w:rPr>
      </w:pPr>
      <w:r w:rsidRPr="003A2FAF">
        <w:rPr>
          <w:lang w:eastAsia="ar-SA"/>
        </w:rPr>
        <w:t xml:space="preserve">V roce </w:t>
      </w:r>
      <w:r w:rsidRPr="003A2FAF">
        <w:rPr>
          <w:b/>
          <w:lang w:eastAsia="ar-SA"/>
        </w:rPr>
        <w:t>2024</w:t>
      </w:r>
      <w:r>
        <w:rPr>
          <w:lang w:eastAsia="ar-SA"/>
        </w:rPr>
        <w:t xml:space="preserve"> </w:t>
      </w:r>
      <w:r w:rsidRPr="00904E35">
        <w:rPr>
          <w:lang w:eastAsia="ar-SA"/>
        </w:rPr>
        <w:t>činila</w:t>
      </w:r>
      <w:r w:rsidRPr="003A2FAF">
        <w:rPr>
          <w:lang w:eastAsia="ar-SA"/>
        </w:rPr>
        <w:t xml:space="preserve"> 1. redukční hranice </w:t>
      </w:r>
      <w:r w:rsidRPr="003A2FAF">
        <w:rPr>
          <w:b/>
        </w:rPr>
        <w:t>1 466</w:t>
      </w:r>
      <w:r w:rsidRPr="003A2FAF">
        <w:t xml:space="preserve"> </w:t>
      </w:r>
      <w:r w:rsidRPr="003A2FAF">
        <w:rPr>
          <w:b/>
          <w:lang w:eastAsia="ar-SA"/>
        </w:rPr>
        <w:t>Kč</w:t>
      </w:r>
      <w:r w:rsidRPr="003A2FAF">
        <w:rPr>
          <w:lang w:eastAsia="ar-SA"/>
        </w:rPr>
        <w:t xml:space="preserve">, 2. redukční hranice </w:t>
      </w:r>
      <w:r w:rsidRPr="003A2FAF">
        <w:rPr>
          <w:b/>
        </w:rPr>
        <w:t>2 199</w:t>
      </w:r>
      <w:r w:rsidRPr="003A2FAF">
        <w:rPr>
          <w:b/>
          <w:lang w:eastAsia="ar-SA"/>
        </w:rPr>
        <w:t xml:space="preserve"> Kč</w:t>
      </w:r>
      <w:r w:rsidRPr="003A2FAF">
        <w:rPr>
          <w:lang w:eastAsia="ar-SA"/>
        </w:rPr>
        <w:t xml:space="preserve">, 3. redukční hranice </w:t>
      </w:r>
      <w:r w:rsidRPr="003A2FAF">
        <w:rPr>
          <w:b/>
        </w:rPr>
        <w:t>4 397</w:t>
      </w:r>
      <w:r w:rsidRPr="003A2FAF">
        <w:t xml:space="preserve"> </w:t>
      </w:r>
      <w:r w:rsidRPr="003A2FAF">
        <w:rPr>
          <w:b/>
          <w:lang w:eastAsia="ar-SA"/>
        </w:rPr>
        <w:t>Kč</w:t>
      </w:r>
      <w:r w:rsidRPr="003A2FAF">
        <w:rPr>
          <w:lang w:eastAsia="ar-SA"/>
        </w:rPr>
        <w:t>.</w:t>
      </w:r>
    </w:p>
    <w:p w:rsidR="003A2FAF" w:rsidRPr="003A2FAF" w:rsidRDefault="003A2FAF" w:rsidP="003A2FAF">
      <w:r w:rsidRPr="003A2FAF">
        <w:rPr>
          <w:b/>
        </w:rPr>
        <w:t>Redukce u nemocenského</w:t>
      </w:r>
      <w:r w:rsidRPr="003A2FAF">
        <w:t xml:space="preserve"> se provede následujícím způsobem</w:t>
      </w:r>
      <w:r>
        <w:t>:</w:t>
      </w:r>
    </w:p>
    <w:p w:rsidR="003A2FAF" w:rsidRPr="003A2FAF" w:rsidRDefault="003A2FAF" w:rsidP="00FA3921">
      <w:pPr>
        <w:numPr>
          <w:ilvl w:val="0"/>
          <w:numId w:val="24"/>
        </w:numPr>
        <w:ind w:left="714" w:hanging="357"/>
        <w:contextualSpacing/>
        <w:jc w:val="left"/>
      </w:pPr>
      <w:r w:rsidRPr="003A2FAF">
        <w:rPr>
          <w:b/>
        </w:rPr>
        <w:t>do</w:t>
      </w:r>
      <w:r w:rsidRPr="003A2FAF">
        <w:t xml:space="preserve"> </w:t>
      </w:r>
      <w:r w:rsidRPr="003A2FAF">
        <w:rPr>
          <w:b/>
        </w:rPr>
        <w:t>první redukční hranice</w:t>
      </w:r>
      <w:r w:rsidRPr="003A2FAF">
        <w:t xml:space="preserve"> se započte </w:t>
      </w:r>
      <w:r w:rsidRPr="003A2FAF">
        <w:rPr>
          <w:b/>
        </w:rPr>
        <w:t>90 %</w:t>
      </w:r>
      <w:r w:rsidRPr="003A2FAF">
        <w:t xml:space="preserve"> denního vyměřovacího základu,</w:t>
      </w:r>
    </w:p>
    <w:p w:rsidR="003A2FAF" w:rsidRPr="003A2FAF" w:rsidRDefault="003A2FAF" w:rsidP="003A2FAF">
      <w:pPr>
        <w:numPr>
          <w:ilvl w:val="0"/>
          <w:numId w:val="24"/>
        </w:numPr>
        <w:spacing w:after="240"/>
        <w:contextualSpacing/>
        <w:jc w:val="left"/>
      </w:pPr>
      <w:r w:rsidRPr="003A2FAF">
        <w:t xml:space="preserve">z části denního vyměřovacího základu </w:t>
      </w:r>
      <w:r w:rsidRPr="003A2FAF">
        <w:rPr>
          <w:b/>
        </w:rPr>
        <w:t>mezi první a druhou redukční hranicí</w:t>
      </w:r>
      <w:r w:rsidRPr="003A2FAF">
        <w:t xml:space="preserve"> se započte </w:t>
      </w:r>
      <w:r w:rsidRPr="003A2FAF">
        <w:rPr>
          <w:b/>
        </w:rPr>
        <w:t>60 %</w:t>
      </w:r>
      <w:r w:rsidRPr="003A2FAF">
        <w:t>,</w:t>
      </w:r>
    </w:p>
    <w:p w:rsidR="003A2FAF" w:rsidRDefault="003A2FAF" w:rsidP="003A2FAF">
      <w:pPr>
        <w:numPr>
          <w:ilvl w:val="0"/>
          <w:numId w:val="24"/>
        </w:numPr>
        <w:spacing w:after="240"/>
        <w:contextualSpacing/>
        <w:jc w:val="left"/>
      </w:pPr>
      <w:r w:rsidRPr="003A2FAF">
        <w:t xml:space="preserve">z části </w:t>
      </w:r>
      <w:r w:rsidRPr="003A2FAF">
        <w:rPr>
          <w:b/>
        </w:rPr>
        <w:t>mezi druhou a třetí</w:t>
      </w:r>
      <w:r w:rsidRPr="003A2FAF">
        <w:t xml:space="preserve"> redukční hranicí se započte </w:t>
      </w:r>
      <w:r w:rsidRPr="003A2FAF">
        <w:rPr>
          <w:b/>
        </w:rPr>
        <w:t>30 %</w:t>
      </w:r>
      <w:r w:rsidRPr="003A2FAF">
        <w:t>,</w:t>
      </w:r>
    </w:p>
    <w:p w:rsidR="003A2FAF" w:rsidRPr="003A2FAF" w:rsidRDefault="003A2FAF" w:rsidP="003A2FAF">
      <w:pPr>
        <w:numPr>
          <w:ilvl w:val="0"/>
          <w:numId w:val="24"/>
        </w:numPr>
        <w:ind w:left="714" w:hanging="357"/>
        <w:jc w:val="left"/>
      </w:pPr>
      <w:r w:rsidRPr="003A2FAF">
        <w:t xml:space="preserve">k části </w:t>
      </w:r>
      <w:r w:rsidRPr="003A2FAF">
        <w:rPr>
          <w:b/>
        </w:rPr>
        <w:t>nad třetí</w:t>
      </w:r>
      <w:r w:rsidRPr="003A2FAF">
        <w:t xml:space="preserve"> redukční hranici </w:t>
      </w:r>
      <w:r w:rsidRPr="003A2FAF">
        <w:rPr>
          <w:b/>
        </w:rPr>
        <w:t>se nepřihlédne</w:t>
      </w:r>
      <w:r w:rsidRPr="003A2FAF">
        <w:t>.</w:t>
      </w:r>
    </w:p>
    <w:p w:rsidR="00C355AC" w:rsidRPr="00C355AC" w:rsidRDefault="00C355AC" w:rsidP="00C355AC">
      <w:r w:rsidRPr="00C355AC">
        <w:t xml:space="preserve">Výše </w:t>
      </w:r>
      <w:r w:rsidRPr="00C355AC">
        <w:rPr>
          <w:b/>
          <w:bCs/>
        </w:rPr>
        <w:t>nemocenského</w:t>
      </w:r>
      <w:r w:rsidRPr="00C355AC">
        <w:t xml:space="preserve"> činí </w:t>
      </w:r>
      <w:r w:rsidRPr="00C355AC">
        <w:rPr>
          <w:b/>
          <w:bCs/>
        </w:rPr>
        <w:t>60 %</w:t>
      </w:r>
      <w:r w:rsidRPr="00C355AC">
        <w:t xml:space="preserve"> denního vyměřovacího základu </w:t>
      </w:r>
      <w:r w:rsidRPr="00C355AC">
        <w:rPr>
          <w:b/>
        </w:rPr>
        <w:t>od 15. kalendářního dne</w:t>
      </w:r>
      <w:r w:rsidRPr="00C355AC">
        <w:t xml:space="preserve"> trvání dočasné pracovní neschopnosti nebo karantény, </w:t>
      </w:r>
      <w:r w:rsidRPr="00C355AC">
        <w:rPr>
          <w:b/>
        </w:rPr>
        <w:t>od 31. kalendářního dne</w:t>
      </w:r>
      <w:r w:rsidRPr="00C355AC">
        <w:t xml:space="preserve"> sazba činí </w:t>
      </w:r>
      <w:r w:rsidRPr="00C355AC">
        <w:rPr>
          <w:b/>
          <w:bCs/>
        </w:rPr>
        <w:t>66 %</w:t>
      </w:r>
      <w:r w:rsidRPr="00C355AC">
        <w:t xml:space="preserve"> denního vyměřovacího základu a dále </w:t>
      </w:r>
      <w:r w:rsidRPr="00C355AC">
        <w:rPr>
          <w:b/>
        </w:rPr>
        <w:t>od 61. kalendářního dne</w:t>
      </w:r>
      <w:r w:rsidRPr="00C355AC">
        <w:t xml:space="preserve"> sazba činí </w:t>
      </w:r>
      <w:r w:rsidRPr="00C355AC">
        <w:rPr>
          <w:b/>
          <w:bCs/>
        </w:rPr>
        <w:t>72 %</w:t>
      </w:r>
      <w:r w:rsidRPr="00C355AC">
        <w:t xml:space="preserve"> denního vyměřovacího základu.</w:t>
      </w:r>
    </w:p>
    <w:p w:rsidR="00C355AC" w:rsidRPr="00C355AC" w:rsidRDefault="00C355AC" w:rsidP="00C355AC">
      <w:r w:rsidRPr="00C355AC">
        <w:t>Výše nemocenského u </w:t>
      </w:r>
      <w:r w:rsidRPr="00C355AC">
        <w:rPr>
          <w:b/>
          <w:bCs/>
        </w:rPr>
        <w:t>dobrovolných členů integrovaného záchranného systému</w:t>
      </w:r>
      <w:r w:rsidRPr="00C355AC">
        <w:t xml:space="preserve"> (např. u dobrovolných hasičů) činí </w:t>
      </w:r>
      <w:r w:rsidRPr="00C355AC">
        <w:rPr>
          <w:b/>
          <w:bCs/>
        </w:rPr>
        <w:t>100 %</w:t>
      </w:r>
      <w:r w:rsidRPr="00C355AC">
        <w:t xml:space="preserve"> denního vyměřovacího základu, pokud tato dočasná pracovní neschopnost nebo karanténa vznikla v důsledku zásahu (tj. v důsledku provádění záchranných a likvidačních prací), k němuž byla jednotka nebo složka integrovaného záchranného systému povolána. Tuto skutečnost pojištěnci potvrdí operační středisko integrovaného záchranného systému.</w:t>
      </w:r>
    </w:p>
    <w:p w:rsidR="003A2FAF" w:rsidRDefault="00C355AC" w:rsidP="00C355AC">
      <w:pPr>
        <w:rPr>
          <w:color w:val="000000" w:themeColor="text1"/>
          <w:u w:val="single"/>
        </w:rPr>
      </w:pPr>
      <w:r w:rsidRPr="00C355AC">
        <w:t xml:space="preserve">Orientační výši dávky spočítá příslušná </w:t>
      </w:r>
      <w:hyperlink r:id="rId13" w:history="1">
        <w:r w:rsidRPr="00C355AC">
          <w:rPr>
            <w:color w:val="0000FF"/>
            <w:u w:val="single"/>
          </w:rPr>
          <w:t>kalkulačka MPSV</w:t>
        </w:r>
      </w:hyperlink>
      <w:r w:rsidRPr="00C355AC">
        <w:t>. Další informace k nemocenskému pojištění na </w:t>
      </w:r>
      <w:hyperlink r:id="rId14" w:history="1">
        <w:r w:rsidRPr="00C355AC">
          <w:rPr>
            <w:color w:val="0000FF"/>
            <w:u w:val="single"/>
          </w:rPr>
          <w:t>https://www.mpsv.cz/web/cz/nemocenske-pojisteni</w:t>
        </w:r>
      </w:hyperlink>
      <w:r w:rsidRPr="00C355AC">
        <w:t xml:space="preserve"> a </w:t>
      </w:r>
      <w:hyperlink r:id="rId15" w:history="1">
        <w:r w:rsidRPr="00C355AC">
          <w:rPr>
            <w:color w:val="0000FF"/>
            <w:u w:val="single"/>
          </w:rPr>
          <w:t>https://www.cssz.cz/web/cz/nemocenske</w:t>
        </w:r>
      </w:hyperlink>
      <w:r w:rsidRPr="00C355AC">
        <w:rPr>
          <w:color w:val="000000" w:themeColor="text1"/>
          <w:u w:val="single"/>
        </w:rPr>
        <w:t>.</w:t>
      </w:r>
    </w:p>
    <w:p w:rsidR="00C355AC" w:rsidRDefault="00C355AC" w:rsidP="00C355AC">
      <w:pPr>
        <w:pStyle w:val="Nadpis3"/>
      </w:pPr>
      <w:bookmarkStart w:id="6" w:name="_Toc198986211"/>
      <w:r>
        <w:t>2.5 Nejvýznamnější legislativní změny v oblasti nemocenského pojištění</w:t>
      </w:r>
      <w:bookmarkEnd w:id="6"/>
    </w:p>
    <w:p w:rsidR="00C355AC" w:rsidRDefault="00314096" w:rsidP="00314096">
      <w:pPr>
        <w:rPr>
          <w:bCs/>
          <w:color w:val="000000" w:themeColor="text1"/>
          <w:szCs w:val="20"/>
        </w:rPr>
      </w:pPr>
      <w:r w:rsidRPr="00700407">
        <w:t>Dlouhodobý vývoj dočasné pracovní neschopnosti je významně ovlivňován legislativními změnami týkajícími se výše dávek nemocenského pojištění a počátku jejich poskytování</w:t>
      </w:r>
      <w:r w:rsidRPr="00700407">
        <w:rPr>
          <w:bCs/>
          <w:szCs w:val="20"/>
        </w:rPr>
        <w:t>. Nejdůležitější legislativní změny, které byly přijaty v systému nemocenského pojištění přibližně v posledním desetiletí a které významným způsobem ovlivňují i srovnatelnost dat zdravotnic</w:t>
      </w:r>
      <w:r>
        <w:rPr>
          <w:bCs/>
          <w:szCs w:val="20"/>
        </w:rPr>
        <w:t xml:space="preserve">ké statistiky, jsou </w:t>
      </w:r>
      <w:r w:rsidRPr="00904E35">
        <w:rPr>
          <w:bCs/>
          <w:szCs w:val="20"/>
        </w:rPr>
        <w:t>následující</w:t>
      </w:r>
      <w:r w:rsidRPr="00904E35">
        <w:rPr>
          <w:bCs/>
          <w:color w:val="000000" w:themeColor="text1"/>
          <w:szCs w:val="20"/>
        </w:rPr>
        <w:t>:</w:t>
      </w:r>
    </w:p>
    <w:p w:rsidR="00FA3921" w:rsidRPr="00FA3921" w:rsidRDefault="00FA3921" w:rsidP="007634A2">
      <w:pPr>
        <w:numPr>
          <w:ilvl w:val="0"/>
          <w:numId w:val="25"/>
        </w:numPr>
        <w:ind w:left="714" w:hanging="357"/>
        <w:rPr>
          <w:bCs/>
          <w:szCs w:val="20"/>
        </w:rPr>
      </w:pPr>
      <w:r w:rsidRPr="00FA3921">
        <w:rPr>
          <w:bCs/>
          <w:szCs w:val="20"/>
        </w:rPr>
        <w:t xml:space="preserve">V období let </w:t>
      </w:r>
      <w:r w:rsidRPr="00FA3921">
        <w:rPr>
          <w:b/>
          <w:bCs/>
          <w:szCs w:val="20"/>
        </w:rPr>
        <w:t>2010–2017</w:t>
      </w:r>
      <w:r w:rsidRPr="00FA3921">
        <w:rPr>
          <w:bCs/>
          <w:szCs w:val="20"/>
        </w:rPr>
        <w:t xml:space="preserve"> činila výše dávky za kalendářní den </w:t>
      </w:r>
      <w:r w:rsidRPr="00FA3921">
        <w:rPr>
          <w:b/>
          <w:bCs/>
          <w:szCs w:val="20"/>
        </w:rPr>
        <w:t>jednotně 60 %</w:t>
      </w:r>
      <w:r w:rsidRPr="00FA3921">
        <w:rPr>
          <w:bCs/>
          <w:szCs w:val="20"/>
        </w:rPr>
        <w:t xml:space="preserve"> redukovaného denního vyměřovacího základu bez ohledu na délku trvání dočasné pracovní neschopnosti.</w:t>
      </w:r>
    </w:p>
    <w:p w:rsidR="00FA3921" w:rsidRPr="00FA3921" w:rsidRDefault="00FA3921" w:rsidP="00FA3921">
      <w:pPr>
        <w:numPr>
          <w:ilvl w:val="0"/>
          <w:numId w:val="25"/>
        </w:numPr>
        <w:ind w:left="714" w:hanging="357"/>
        <w:rPr>
          <w:bCs/>
          <w:szCs w:val="20"/>
        </w:rPr>
      </w:pPr>
      <w:r w:rsidRPr="00FA3921">
        <w:rPr>
          <w:b/>
          <w:bCs/>
          <w:szCs w:val="20"/>
        </w:rPr>
        <w:t>Od 1. 1. 2011 do 31. 12. 2013</w:t>
      </w:r>
      <w:r w:rsidRPr="00FA3921">
        <w:rPr>
          <w:bCs/>
          <w:szCs w:val="20"/>
        </w:rPr>
        <w:t xml:space="preserve"> začínala </w:t>
      </w:r>
      <w:r w:rsidRPr="00FA3921">
        <w:rPr>
          <w:b/>
          <w:bCs/>
          <w:szCs w:val="20"/>
        </w:rPr>
        <w:t>podpůrčí doba u nemocenského</w:t>
      </w:r>
      <w:r w:rsidRPr="00FA3921">
        <w:rPr>
          <w:bCs/>
          <w:szCs w:val="20"/>
        </w:rPr>
        <w:t xml:space="preserve"> až </w:t>
      </w:r>
      <w:r w:rsidRPr="00FA3921">
        <w:rPr>
          <w:b/>
          <w:bCs/>
          <w:szCs w:val="20"/>
        </w:rPr>
        <w:t>22. kalendářním dnem</w:t>
      </w:r>
      <w:r w:rsidRPr="00FA3921">
        <w:rPr>
          <w:bCs/>
          <w:szCs w:val="20"/>
        </w:rPr>
        <w:t xml:space="preserve"> trvání dočasné pracovní neschopnosti, v období 4. až 21. kalendářního dne poskytoval náhradu mzdy nebo platu podle zákoníku práce zaměstnanci zaměstnavatel.</w:t>
      </w:r>
    </w:p>
    <w:p w:rsidR="00FA3921" w:rsidRPr="00FA3921" w:rsidRDefault="00FA3921" w:rsidP="00FA3921">
      <w:pPr>
        <w:numPr>
          <w:ilvl w:val="0"/>
          <w:numId w:val="25"/>
        </w:numPr>
        <w:ind w:left="714" w:hanging="357"/>
        <w:rPr>
          <w:bCs/>
          <w:szCs w:val="20"/>
        </w:rPr>
      </w:pPr>
      <w:r w:rsidRPr="00FA3921">
        <w:rPr>
          <w:b/>
          <w:bCs/>
          <w:szCs w:val="20"/>
        </w:rPr>
        <w:t>Od 1. 1. 2012</w:t>
      </w:r>
      <w:r w:rsidRPr="00FA3921">
        <w:rPr>
          <w:bCs/>
          <w:szCs w:val="20"/>
        </w:rPr>
        <w:t xml:space="preserve"> byl novelou zákoníku práce a zákona o nemocenském pojištění </w:t>
      </w:r>
      <w:r w:rsidRPr="00FA3921">
        <w:rPr>
          <w:b/>
          <w:bCs/>
          <w:szCs w:val="20"/>
        </w:rPr>
        <w:t>rozšířen okruh nemocensky pojištěných osob</w:t>
      </w:r>
      <w:r w:rsidRPr="00FA3921">
        <w:rPr>
          <w:bCs/>
          <w:szCs w:val="20"/>
        </w:rPr>
        <w:t xml:space="preserve"> o zaměstnance činné na základě </w:t>
      </w:r>
      <w:r w:rsidRPr="00FA3921">
        <w:rPr>
          <w:b/>
          <w:bCs/>
          <w:szCs w:val="20"/>
        </w:rPr>
        <w:t>dohody o provedení práce</w:t>
      </w:r>
      <w:r w:rsidRPr="00FA3921">
        <w:rPr>
          <w:bCs/>
          <w:szCs w:val="20"/>
        </w:rPr>
        <w:t xml:space="preserve"> při výkonu práce na území ČR a při započitatelném </w:t>
      </w:r>
      <w:r w:rsidRPr="00FA3921">
        <w:rPr>
          <w:b/>
          <w:bCs/>
          <w:szCs w:val="20"/>
        </w:rPr>
        <w:t>příjmu vyšším než 10 tis</w:t>
      </w:r>
      <w:r w:rsidR="00AE49D8">
        <w:rPr>
          <w:b/>
          <w:bCs/>
          <w:szCs w:val="20"/>
        </w:rPr>
        <w:t>íc</w:t>
      </w:r>
      <w:r w:rsidRPr="00FA3921">
        <w:rPr>
          <w:b/>
          <w:bCs/>
          <w:szCs w:val="20"/>
        </w:rPr>
        <w:t xml:space="preserve"> Kč</w:t>
      </w:r>
      <w:r w:rsidRPr="00FA3921">
        <w:rPr>
          <w:bCs/>
          <w:szCs w:val="20"/>
        </w:rPr>
        <w:t xml:space="preserve"> v kalendářním měsíci.</w:t>
      </w:r>
    </w:p>
    <w:p w:rsidR="00FA3921" w:rsidRPr="00FA3921" w:rsidRDefault="00FA3921" w:rsidP="00FA3921">
      <w:pPr>
        <w:numPr>
          <w:ilvl w:val="0"/>
          <w:numId w:val="25"/>
        </w:numPr>
        <w:ind w:left="714" w:hanging="357"/>
        <w:rPr>
          <w:rFonts w:cs="Arial"/>
          <w:szCs w:val="20"/>
        </w:rPr>
      </w:pPr>
      <w:r w:rsidRPr="00FA3921">
        <w:rPr>
          <w:b/>
          <w:bCs/>
          <w:szCs w:val="20"/>
        </w:rPr>
        <w:t>Od 1. 1. 2014</w:t>
      </w:r>
      <w:r w:rsidRPr="00FA3921">
        <w:rPr>
          <w:bCs/>
          <w:szCs w:val="20"/>
        </w:rPr>
        <w:t xml:space="preserve"> byla ukončena platnost přechodného ustanovení o délce poskytování náhrady mzdy nebo platu; </w:t>
      </w:r>
      <w:r w:rsidRPr="00FA3921">
        <w:rPr>
          <w:b/>
          <w:bCs/>
          <w:szCs w:val="20"/>
        </w:rPr>
        <w:t>nárok na nemocenské</w:t>
      </w:r>
      <w:r w:rsidRPr="00FA3921">
        <w:rPr>
          <w:bCs/>
          <w:szCs w:val="20"/>
        </w:rPr>
        <w:t xml:space="preserve"> tedy vznikl </w:t>
      </w:r>
      <w:r w:rsidRPr="00FA3921">
        <w:rPr>
          <w:b/>
          <w:bCs/>
          <w:szCs w:val="20"/>
        </w:rPr>
        <w:t>od 15. kalendářního dne</w:t>
      </w:r>
      <w:r w:rsidRPr="00FA3921">
        <w:rPr>
          <w:bCs/>
          <w:szCs w:val="20"/>
        </w:rPr>
        <w:t xml:space="preserve"> trvání dočasné pracovní neschopnosti.</w:t>
      </w:r>
    </w:p>
    <w:p w:rsidR="00FA3921" w:rsidRPr="007634A2" w:rsidRDefault="00FA3921" w:rsidP="00FA3921">
      <w:pPr>
        <w:numPr>
          <w:ilvl w:val="0"/>
          <w:numId w:val="25"/>
        </w:numPr>
        <w:ind w:left="714" w:hanging="357"/>
        <w:rPr>
          <w:rFonts w:cs="Arial"/>
          <w:spacing w:val="-2"/>
          <w:szCs w:val="20"/>
        </w:rPr>
      </w:pPr>
      <w:r w:rsidRPr="007634A2">
        <w:rPr>
          <w:bCs/>
          <w:spacing w:val="-2"/>
          <w:szCs w:val="20"/>
        </w:rPr>
        <w:t xml:space="preserve">Zvýšení nemocenského s účinností </w:t>
      </w:r>
      <w:r w:rsidRPr="007634A2">
        <w:rPr>
          <w:b/>
          <w:bCs/>
          <w:spacing w:val="-2"/>
          <w:szCs w:val="20"/>
        </w:rPr>
        <w:t>od 1. ledna 2018</w:t>
      </w:r>
      <w:r w:rsidRPr="007634A2">
        <w:rPr>
          <w:bCs/>
          <w:spacing w:val="-2"/>
          <w:szCs w:val="20"/>
        </w:rPr>
        <w:t xml:space="preserve">. </w:t>
      </w:r>
      <w:r w:rsidRPr="007634A2">
        <w:rPr>
          <w:b/>
          <w:bCs/>
          <w:spacing w:val="-2"/>
          <w:szCs w:val="20"/>
        </w:rPr>
        <w:t>Od 31. kalendářního dne</w:t>
      </w:r>
      <w:r w:rsidRPr="007634A2">
        <w:rPr>
          <w:bCs/>
          <w:spacing w:val="-2"/>
          <w:szCs w:val="20"/>
        </w:rPr>
        <w:t xml:space="preserve"> dočasné pracovní neschopnosti nebo karantény (dále jen „dočasná pracovní neschopnost“) </w:t>
      </w:r>
      <w:r w:rsidRPr="007634A2">
        <w:rPr>
          <w:b/>
          <w:bCs/>
          <w:spacing w:val="-2"/>
          <w:szCs w:val="20"/>
        </w:rPr>
        <w:t>se zvýšila sazba</w:t>
      </w:r>
      <w:r w:rsidRPr="007634A2">
        <w:rPr>
          <w:bCs/>
          <w:spacing w:val="-2"/>
          <w:szCs w:val="20"/>
        </w:rPr>
        <w:t xml:space="preserve"> z 60 % na </w:t>
      </w:r>
      <w:r w:rsidRPr="007634A2">
        <w:rPr>
          <w:b/>
          <w:bCs/>
          <w:spacing w:val="-2"/>
          <w:szCs w:val="20"/>
        </w:rPr>
        <w:t xml:space="preserve">66 % redukovaného denního vyměřovacího základu </w:t>
      </w:r>
      <w:r w:rsidRPr="007634A2">
        <w:rPr>
          <w:bCs/>
          <w:spacing w:val="-2"/>
          <w:szCs w:val="20"/>
        </w:rPr>
        <w:t xml:space="preserve">a dále </w:t>
      </w:r>
      <w:r w:rsidRPr="007634A2">
        <w:rPr>
          <w:b/>
          <w:bCs/>
          <w:spacing w:val="-2"/>
          <w:szCs w:val="20"/>
        </w:rPr>
        <w:t>od 61. kalendářního dne</w:t>
      </w:r>
      <w:r w:rsidRPr="007634A2">
        <w:rPr>
          <w:bCs/>
          <w:spacing w:val="-2"/>
          <w:szCs w:val="20"/>
        </w:rPr>
        <w:t xml:space="preserve"> dočasné pracovní neschopnosti </w:t>
      </w:r>
      <w:r w:rsidRPr="007634A2">
        <w:rPr>
          <w:b/>
          <w:bCs/>
          <w:spacing w:val="-2"/>
          <w:szCs w:val="20"/>
        </w:rPr>
        <w:t>se zvýšila sazba</w:t>
      </w:r>
      <w:r w:rsidRPr="007634A2">
        <w:rPr>
          <w:bCs/>
          <w:spacing w:val="-2"/>
          <w:szCs w:val="20"/>
        </w:rPr>
        <w:t xml:space="preserve"> z 60 % </w:t>
      </w:r>
      <w:r w:rsidRPr="007634A2">
        <w:rPr>
          <w:b/>
          <w:bCs/>
          <w:spacing w:val="-2"/>
          <w:szCs w:val="20"/>
        </w:rPr>
        <w:t>na 72 %</w:t>
      </w:r>
      <w:r w:rsidRPr="007634A2">
        <w:rPr>
          <w:bCs/>
          <w:spacing w:val="-2"/>
          <w:szCs w:val="20"/>
        </w:rPr>
        <w:t xml:space="preserve"> redukovaného denního vyměřovacího základu.</w:t>
      </w:r>
    </w:p>
    <w:p w:rsidR="00822421" w:rsidRPr="00822421" w:rsidRDefault="00822421" w:rsidP="00822421">
      <w:pPr>
        <w:pStyle w:val="Seznam"/>
        <w:numPr>
          <w:ilvl w:val="0"/>
          <w:numId w:val="25"/>
        </w:numPr>
        <w:ind w:left="714" w:hanging="357"/>
        <w:contextualSpacing w:val="0"/>
        <w:rPr>
          <w:bCs/>
          <w:szCs w:val="20"/>
        </w:rPr>
      </w:pPr>
      <w:r w:rsidRPr="00822421">
        <w:rPr>
          <w:rFonts w:cs="Arial"/>
          <w:spacing w:val="2"/>
          <w:szCs w:val="20"/>
        </w:rPr>
        <w:lastRenderedPageBreak/>
        <w:t xml:space="preserve">S účinností </w:t>
      </w:r>
      <w:r w:rsidRPr="00822421">
        <w:rPr>
          <w:rFonts w:cs="Arial"/>
          <w:b/>
          <w:spacing w:val="2"/>
          <w:szCs w:val="20"/>
        </w:rPr>
        <w:t>od 1. července 2019</w:t>
      </w:r>
      <w:r w:rsidRPr="00822421">
        <w:rPr>
          <w:rFonts w:cs="Arial"/>
          <w:spacing w:val="2"/>
          <w:szCs w:val="20"/>
        </w:rPr>
        <w:t xml:space="preserve"> byla </w:t>
      </w:r>
      <w:r w:rsidRPr="00822421">
        <w:rPr>
          <w:rFonts w:cs="Arial"/>
          <w:b/>
          <w:spacing w:val="2"/>
          <w:szCs w:val="20"/>
        </w:rPr>
        <w:t>snížena sazba pojistného na nemocenské pojištění</w:t>
      </w:r>
      <w:r w:rsidRPr="00822421">
        <w:rPr>
          <w:rFonts w:cs="Arial"/>
          <w:spacing w:val="2"/>
          <w:szCs w:val="20"/>
        </w:rPr>
        <w:t xml:space="preserve"> pro</w:t>
      </w:r>
      <w:r w:rsidRPr="00822421">
        <w:rPr>
          <w:rFonts w:cs="Arial"/>
          <w:szCs w:val="20"/>
        </w:rPr>
        <w:t xml:space="preserve"> zaměstnavatele a OSVČ </w:t>
      </w:r>
      <w:r w:rsidRPr="00822421">
        <w:t>z 2,3 %</w:t>
      </w:r>
      <w:r w:rsidRPr="00822421">
        <w:rPr>
          <w:b/>
        </w:rPr>
        <w:t xml:space="preserve"> na 2,1 % z vyměřovacího základu</w:t>
      </w:r>
      <w:r w:rsidRPr="00822421">
        <w:t xml:space="preserve"> (</w:t>
      </w:r>
      <w:r w:rsidRPr="00822421">
        <w:rPr>
          <w:rFonts w:cs="Arial"/>
          <w:szCs w:val="20"/>
        </w:rPr>
        <w:t xml:space="preserve">zákon č. 32/2019 </w:t>
      </w:r>
      <w:r w:rsidRPr="00822421">
        <w:rPr>
          <w:bCs/>
          <w:szCs w:val="20"/>
        </w:rPr>
        <w:t>Sb.).</w:t>
      </w:r>
    </w:p>
    <w:p w:rsidR="00822421" w:rsidRPr="00822421" w:rsidRDefault="00822421" w:rsidP="00822421">
      <w:pPr>
        <w:numPr>
          <w:ilvl w:val="0"/>
          <w:numId w:val="25"/>
        </w:numPr>
        <w:ind w:left="714" w:hanging="357"/>
      </w:pPr>
      <w:r w:rsidRPr="00822421">
        <w:rPr>
          <w:bCs/>
          <w:spacing w:val="2"/>
          <w:szCs w:val="20"/>
        </w:rPr>
        <w:t xml:space="preserve">S účinností </w:t>
      </w:r>
      <w:r w:rsidRPr="00822421">
        <w:rPr>
          <w:b/>
          <w:bCs/>
          <w:spacing w:val="2"/>
          <w:szCs w:val="20"/>
        </w:rPr>
        <w:t>od 1. července</w:t>
      </w:r>
      <w:r w:rsidRPr="00822421">
        <w:rPr>
          <w:bCs/>
          <w:spacing w:val="2"/>
          <w:szCs w:val="20"/>
        </w:rPr>
        <w:t xml:space="preserve"> </w:t>
      </w:r>
      <w:r w:rsidRPr="00822421">
        <w:rPr>
          <w:b/>
          <w:bCs/>
          <w:spacing w:val="2"/>
          <w:szCs w:val="20"/>
        </w:rPr>
        <w:t>2019</w:t>
      </w:r>
      <w:r w:rsidRPr="00822421">
        <w:rPr>
          <w:bCs/>
          <w:spacing w:val="2"/>
          <w:szCs w:val="20"/>
        </w:rPr>
        <w:t xml:space="preserve"> náleží náhrada mzdy, platu nebo odměny z dohody ve</w:t>
      </w:r>
      <w:r w:rsidRPr="00822421">
        <w:rPr>
          <w:rFonts w:cs="Arial"/>
          <w:spacing w:val="2"/>
          <w:szCs w:val="20"/>
        </w:rPr>
        <w:t xml:space="preserve"> výši 60 %</w:t>
      </w:r>
      <w:r w:rsidRPr="00822421">
        <w:rPr>
          <w:rFonts w:cs="Arial"/>
          <w:szCs w:val="20"/>
        </w:rPr>
        <w:t xml:space="preserve"> redukovaného průměrného výdělku </w:t>
      </w:r>
      <w:r w:rsidRPr="00822421">
        <w:rPr>
          <w:rFonts w:cs="Arial"/>
          <w:b/>
          <w:szCs w:val="20"/>
        </w:rPr>
        <w:t>i za první tři dny</w:t>
      </w:r>
      <w:r w:rsidRPr="00822421">
        <w:rPr>
          <w:rFonts w:cs="Arial"/>
          <w:szCs w:val="20"/>
        </w:rPr>
        <w:t xml:space="preserve"> dočasné pracovní neschopnosti (</w:t>
      </w:r>
      <w:r w:rsidRPr="00822421">
        <w:rPr>
          <w:rFonts w:cs="Arial"/>
          <w:b/>
          <w:szCs w:val="20"/>
        </w:rPr>
        <w:t>zrušení karenční doby</w:t>
      </w:r>
      <w:r w:rsidRPr="00822421">
        <w:rPr>
          <w:rFonts w:cs="Arial"/>
          <w:szCs w:val="20"/>
        </w:rPr>
        <w:t>).</w:t>
      </w:r>
    </w:p>
    <w:p w:rsidR="00822421" w:rsidRPr="00822421" w:rsidRDefault="00822421" w:rsidP="0079232B">
      <w:pPr>
        <w:ind w:left="357"/>
        <w:rPr>
          <w:b/>
        </w:rPr>
      </w:pPr>
      <w:r w:rsidRPr="00822421">
        <w:rPr>
          <w:b/>
        </w:rPr>
        <w:t xml:space="preserve">Změny v nemocenském pojištění s účinností od </w:t>
      </w:r>
      <w:r w:rsidRPr="00904E35">
        <w:rPr>
          <w:b/>
        </w:rPr>
        <w:t>roku 2020:</w:t>
      </w:r>
    </w:p>
    <w:p w:rsidR="00822421" w:rsidRPr="00822421" w:rsidRDefault="00822421" w:rsidP="00822421">
      <w:pPr>
        <w:numPr>
          <w:ilvl w:val="0"/>
          <w:numId w:val="25"/>
        </w:numPr>
        <w:ind w:left="714" w:hanging="357"/>
      </w:pPr>
      <w:r w:rsidRPr="00822421">
        <w:rPr>
          <w:spacing w:val="-2"/>
        </w:rPr>
        <w:t xml:space="preserve">Od </w:t>
      </w:r>
      <w:r w:rsidRPr="00822421">
        <w:rPr>
          <w:b/>
          <w:spacing w:val="-2"/>
        </w:rPr>
        <w:t>1. ledna 2020</w:t>
      </w:r>
      <w:r w:rsidRPr="00822421">
        <w:rPr>
          <w:spacing w:val="-2"/>
        </w:rPr>
        <w:t xml:space="preserve"> byl zahájen provoz povinného elektronického systému vykazování dočasné</w:t>
      </w:r>
      <w:r w:rsidRPr="00822421">
        <w:t xml:space="preserve"> pracovní neschopnosti – tzv. </w:t>
      </w:r>
      <w:proofErr w:type="spellStart"/>
      <w:r w:rsidRPr="00822421">
        <w:rPr>
          <w:b/>
        </w:rPr>
        <w:t>eNeschopenky</w:t>
      </w:r>
      <w:proofErr w:type="spellEnd"/>
      <w:r w:rsidRPr="00822421">
        <w:t xml:space="preserve"> (zákon č. 187/2006 Sb., o nemocenském pojištění, ve znění zákona č. 259/2017 Sb. a zákona č. 164/2019 Sb.). </w:t>
      </w:r>
    </w:p>
    <w:p w:rsidR="00822421" w:rsidRPr="00822421" w:rsidRDefault="00822421" w:rsidP="00822421">
      <w:pPr>
        <w:numPr>
          <w:ilvl w:val="0"/>
          <w:numId w:val="25"/>
        </w:numPr>
        <w:spacing w:after="0"/>
        <w:ind w:left="714" w:hanging="357"/>
      </w:pPr>
      <w:r w:rsidRPr="00822421">
        <w:t xml:space="preserve">V reakci na epidemii onemocnění </w:t>
      </w:r>
      <w:r w:rsidR="00CD67F3">
        <w:t>COVID</w:t>
      </w:r>
      <w:r w:rsidRPr="00822421">
        <w:t xml:space="preserve">-19 a přijatá související opatření byly opakovaně upraveny podmínky pro poskytování ošetřovného, a to nejprve v období uzavření škol a dalších zařízení </w:t>
      </w:r>
      <w:r w:rsidRPr="00822421">
        <w:rPr>
          <w:b/>
        </w:rPr>
        <w:t>od 11. března do 30. června 2020</w:t>
      </w:r>
      <w:r w:rsidRPr="00822421">
        <w:t xml:space="preserve"> – tzv. </w:t>
      </w:r>
      <w:r w:rsidRPr="00822421">
        <w:rPr>
          <w:b/>
        </w:rPr>
        <w:t>krizové ošetřovné.</w:t>
      </w:r>
      <w:r w:rsidRPr="00822421">
        <w:t xml:space="preserve"> </w:t>
      </w:r>
    </w:p>
    <w:p w:rsidR="00822421" w:rsidRPr="00822421" w:rsidRDefault="00822421" w:rsidP="00822421">
      <w:pPr>
        <w:numPr>
          <w:ilvl w:val="1"/>
          <w:numId w:val="25"/>
        </w:numPr>
        <w:ind w:left="1491" w:hanging="357"/>
        <w:contextualSpacing/>
      </w:pPr>
      <w:r>
        <w:t>P</w:t>
      </w:r>
      <w:r w:rsidRPr="00822421">
        <w:t>odpůrčí doba u ošetřovného trvala po celou dobu, po kterou trvalo uzavření zařízení nebo školy z důvodu mimořádného opatření při epidemii (platí i pro další níže zmíněné krizové ošetřovné)</w:t>
      </w:r>
      <w:r>
        <w:t>.</w:t>
      </w:r>
    </w:p>
    <w:p w:rsidR="00822421" w:rsidRPr="00822421" w:rsidRDefault="00822421" w:rsidP="00822421">
      <w:pPr>
        <w:numPr>
          <w:ilvl w:val="1"/>
          <w:numId w:val="25"/>
        </w:numPr>
        <w:ind w:left="1491" w:hanging="357"/>
      </w:pPr>
      <w:r>
        <w:t>O</w:t>
      </w:r>
      <w:r w:rsidRPr="00822421">
        <w:t>šetřovné bylo vypláceno v období od 11. března do 31. března 2020 ve výši 60 % a v období od 1. dubna do 30. června 2020 ve výši 80 % denního vyměřovacího základu.</w:t>
      </w:r>
    </w:p>
    <w:p w:rsidR="00822421" w:rsidRPr="00E830B6" w:rsidRDefault="00822421" w:rsidP="0079232B">
      <w:pPr>
        <w:numPr>
          <w:ilvl w:val="0"/>
          <w:numId w:val="25"/>
        </w:numPr>
        <w:ind w:left="714" w:hanging="357"/>
        <w:contextualSpacing/>
        <w:rPr>
          <w:spacing w:val="-6"/>
        </w:rPr>
      </w:pPr>
      <w:r w:rsidRPr="00E830B6">
        <w:rPr>
          <w:spacing w:val="-6"/>
        </w:rPr>
        <w:t>Při tzv. druh</w:t>
      </w:r>
      <w:r w:rsidR="00CD67F3" w:rsidRPr="00E830B6">
        <w:rPr>
          <w:spacing w:val="-6"/>
        </w:rPr>
        <w:t>é vlně epidemie onemocnění COVID</w:t>
      </w:r>
      <w:r w:rsidRPr="00E830B6">
        <w:rPr>
          <w:spacing w:val="-6"/>
        </w:rPr>
        <w:t xml:space="preserve">-19 bylo pro období </w:t>
      </w:r>
      <w:r w:rsidRPr="00E830B6">
        <w:rPr>
          <w:b/>
          <w:spacing w:val="-6"/>
        </w:rPr>
        <w:t>od</w:t>
      </w:r>
      <w:r w:rsidRPr="00E830B6">
        <w:rPr>
          <w:spacing w:val="-6"/>
        </w:rPr>
        <w:t xml:space="preserve"> </w:t>
      </w:r>
      <w:r w:rsidRPr="00E830B6">
        <w:rPr>
          <w:b/>
          <w:spacing w:val="-6"/>
        </w:rPr>
        <w:t>5. října 2020 do 31. prosince</w:t>
      </w:r>
      <w:r w:rsidR="00E830B6" w:rsidRPr="00E830B6">
        <w:rPr>
          <w:b/>
          <w:spacing w:val="-6"/>
        </w:rPr>
        <w:t> </w:t>
      </w:r>
      <w:r w:rsidRPr="00E830B6">
        <w:rPr>
          <w:b/>
          <w:spacing w:val="-6"/>
        </w:rPr>
        <w:t>2020</w:t>
      </w:r>
      <w:r w:rsidRPr="00E830B6">
        <w:rPr>
          <w:spacing w:val="-6"/>
        </w:rPr>
        <w:t xml:space="preserve"> znovu zavedeno </w:t>
      </w:r>
      <w:r w:rsidRPr="00E830B6">
        <w:rPr>
          <w:b/>
          <w:spacing w:val="-6"/>
        </w:rPr>
        <w:t>krizové ošetřovné.</w:t>
      </w:r>
      <w:r w:rsidRPr="00E830B6">
        <w:rPr>
          <w:spacing w:val="-6"/>
        </w:rPr>
        <w:t xml:space="preserve"> </w:t>
      </w:r>
    </w:p>
    <w:p w:rsidR="00822421" w:rsidRPr="00822421" w:rsidRDefault="00822421" w:rsidP="0079232B">
      <w:pPr>
        <w:numPr>
          <w:ilvl w:val="1"/>
          <w:numId w:val="25"/>
        </w:numPr>
        <w:ind w:left="1491" w:hanging="357"/>
      </w:pPr>
      <w:r>
        <w:t>O</w:t>
      </w:r>
      <w:r w:rsidRPr="00822421">
        <w:t>šetřovné bylo vypláceno v období od 5. října ve výši 70 % denního vyměřovacího základu.</w:t>
      </w:r>
    </w:p>
    <w:p w:rsidR="00822421" w:rsidRDefault="00822421" w:rsidP="0079232B">
      <w:pPr>
        <w:ind w:left="357"/>
        <w:rPr>
          <w:b/>
        </w:rPr>
      </w:pPr>
      <w:r w:rsidRPr="00822421">
        <w:rPr>
          <w:b/>
        </w:rPr>
        <w:t>Změny v nemocenském pojištění s účinností od roku 2021</w:t>
      </w:r>
      <w:r>
        <w:rPr>
          <w:b/>
        </w:rPr>
        <w:t>:</w:t>
      </w:r>
    </w:p>
    <w:p w:rsidR="00704746" w:rsidRPr="00704746" w:rsidRDefault="00704746" w:rsidP="0079232B">
      <w:pPr>
        <w:numPr>
          <w:ilvl w:val="0"/>
          <w:numId w:val="25"/>
        </w:numPr>
        <w:ind w:left="714" w:hanging="357"/>
      </w:pPr>
      <w:r w:rsidRPr="00704746">
        <w:rPr>
          <w:spacing w:val="2"/>
        </w:rPr>
        <w:t xml:space="preserve">V roce </w:t>
      </w:r>
      <w:r w:rsidRPr="00704746">
        <w:rPr>
          <w:b/>
          <w:spacing w:val="2"/>
        </w:rPr>
        <w:t>2021</w:t>
      </w:r>
      <w:r w:rsidRPr="00704746">
        <w:rPr>
          <w:spacing w:val="2"/>
        </w:rPr>
        <w:t xml:space="preserve"> došlo </w:t>
      </w:r>
      <w:r w:rsidRPr="00704746">
        <w:t xml:space="preserve">ke </w:t>
      </w:r>
      <w:r w:rsidRPr="00704746">
        <w:rPr>
          <w:b/>
        </w:rPr>
        <w:t>zvýšení minimální výše sjednaného příjmu</w:t>
      </w:r>
      <w:r w:rsidRPr="00704746">
        <w:t xml:space="preserve"> na částku 3 500 Kč (jedná se</w:t>
      </w:r>
      <w:r w:rsidR="0079232B">
        <w:t xml:space="preserve"> o </w:t>
      </w:r>
      <w:r w:rsidRPr="00704746">
        <w:t xml:space="preserve">tzv. rozhodný </w:t>
      </w:r>
      <w:r w:rsidRPr="00704746">
        <w:rPr>
          <w:spacing w:val="-2"/>
        </w:rPr>
        <w:t>příjem). Další zvýšení minimální výše sjednaného příjmu na 4 000 bylo od 1.</w:t>
      </w:r>
      <w:r w:rsidRPr="00704746">
        <w:t xml:space="preserve"> 1. 2023.</w:t>
      </w:r>
    </w:p>
    <w:p w:rsidR="00704746" w:rsidRPr="00704746" w:rsidRDefault="00704746" w:rsidP="0079232B">
      <w:pPr>
        <w:numPr>
          <w:ilvl w:val="0"/>
          <w:numId w:val="25"/>
        </w:numPr>
        <w:spacing w:after="0"/>
        <w:ind w:left="714" w:hanging="357"/>
      </w:pPr>
      <w:r w:rsidRPr="00704746">
        <w:t xml:space="preserve">V dubnu 2021 byl </w:t>
      </w:r>
      <w:r w:rsidRPr="00704746">
        <w:rPr>
          <w:b/>
        </w:rPr>
        <w:t>dvakrát novelizován zákon</w:t>
      </w:r>
      <w:r w:rsidRPr="00704746">
        <w:t xml:space="preserve"> </w:t>
      </w:r>
      <w:r w:rsidRPr="00704746">
        <w:rPr>
          <w:b/>
        </w:rPr>
        <w:t>o úpravách poskytování ošetřovného v souvislosti s mimořádnými opatřeními při epidemii</w:t>
      </w:r>
      <w:r w:rsidRPr="00704746">
        <w:t xml:space="preserve"> </w:t>
      </w:r>
      <w:r w:rsidRPr="00704746">
        <w:rPr>
          <w:b/>
        </w:rPr>
        <w:t>a o změně zákona</w:t>
      </w:r>
      <w:r w:rsidRPr="00704746">
        <w:t xml:space="preserve"> </w:t>
      </w:r>
      <w:r w:rsidRPr="00704746">
        <w:rPr>
          <w:b/>
        </w:rPr>
        <w:t>o nemocenském pojištění</w:t>
      </w:r>
      <w:r w:rsidRPr="00704746">
        <w:t>. Důvodem byla dalš</w:t>
      </w:r>
      <w:r w:rsidR="00CD67F3">
        <w:t>í vlna epidemie onemocnění COVID</w:t>
      </w:r>
      <w:r w:rsidRPr="00704746">
        <w:t>-19, která v březnu 2021 znamenala další plošné uzavření škol.</w:t>
      </w:r>
    </w:p>
    <w:p w:rsidR="00704746" w:rsidRPr="00704746" w:rsidRDefault="0079232B" w:rsidP="0079232B">
      <w:pPr>
        <w:numPr>
          <w:ilvl w:val="1"/>
          <w:numId w:val="26"/>
        </w:numPr>
        <w:ind w:left="1491" w:hanging="357"/>
      </w:pPr>
      <w:r>
        <w:t>O</w:t>
      </w:r>
      <w:r w:rsidR="00704746" w:rsidRPr="00704746">
        <w:t>šetřovné bylo vypláceno v období od 1. led</w:t>
      </w:r>
      <w:r w:rsidR="00D22D27">
        <w:t>na do 28. února 2021 ve výši 70 </w:t>
      </w:r>
      <w:r w:rsidR="00704746" w:rsidRPr="00704746">
        <w:t>% a v období od 1. března do 30. června 2021 ve výši 80 % denního vyměřovacího základu.</w:t>
      </w:r>
    </w:p>
    <w:p w:rsidR="00704746" w:rsidRPr="00704746" w:rsidRDefault="00704746" w:rsidP="0079232B">
      <w:pPr>
        <w:numPr>
          <w:ilvl w:val="0"/>
          <w:numId w:val="25"/>
        </w:numPr>
        <w:ind w:left="714" w:hanging="357"/>
        <w:contextualSpacing/>
      </w:pPr>
      <w:r w:rsidRPr="00704746">
        <w:t xml:space="preserve">Od 1. listopadu 2021, bylo zákonem </w:t>
      </w:r>
      <w:r w:rsidRPr="00704746">
        <w:rPr>
          <w:b/>
        </w:rPr>
        <w:t>znovu zavedeno</w:t>
      </w:r>
      <w:r w:rsidRPr="00704746">
        <w:t xml:space="preserve"> tzv. </w:t>
      </w:r>
      <w:r w:rsidRPr="00704746">
        <w:rPr>
          <w:b/>
        </w:rPr>
        <w:t>krizové ošetřovné</w:t>
      </w:r>
      <w:r w:rsidRPr="00704746">
        <w:t>.</w:t>
      </w:r>
    </w:p>
    <w:p w:rsidR="00704746" w:rsidRPr="00704746" w:rsidRDefault="0079232B" w:rsidP="00704746">
      <w:pPr>
        <w:numPr>
          <w:ilvl w:val="1"/>
          <w:numId w:val="25"/>
        </w:numPr>
        <w:ind w:left="1491" w:hanging="357"/>
      </w:pPr>
      <w:r>
        <w:t>O</w:t>
      </w:r>
      <w:r w:rsidR="00704746" w:rsidRPr="00704746">
        <w:t>šetřovné bylo vypláceno v období od 1. listopadu (nejdél</w:t>
      </w:r>
      <w:r w:rsidR="00D22D27">
        <w:t>e do 28. února 2022) ve výši 80 </w:t>
      </w:r>
      <w:r w:rsidR="00704746" w:rsidRPr="00704746">
        <w:t>% denního vyměřovacího základu.</w:t>
      </w:r>
    </w:p>
    <w:p w:rsidR="00947FF1" w:rsidRPr="00947FF1" w:rsidRDefault="00937D29" w:rsidP="00685E31">
      <w:r w:rsidRPr="00937D29">
        <w:rPr>
          <w:spacing w:val="-2"/>
        </w:rPr>
        <w:t>Podrobnější</w:t>
      </w:r>
      <w:r w:rsidR="00704746" w:rsidRPr="00937D29">
        <w:rPr>
          <w:spacing w:val="-2"/>
        </w:rPr>
        <w:t xml:space="preserve"> informace ohledně legislativních změn v oblasti nemocenského pojištění jsou </w:t>
      </w:r>
      <w:r w:rsidRPr="00937D29">
        <w:rPr>
          <w:spacing w:val="-2"/>
        </w:rPr>
        <w:t>v elektronické</w:t>
      </w:r>
      <w:r>
        <w:t xml:space="preserve"> podobě dostupné</w:t>
      </w:r>
      <w:r w:rsidR="00704746">
        <w:t xml:space="preserve"> </w:t>
      </w:r>
      <w:r>
        <w:t>v</w:t>
      </w:r>
      <w:r w:rsidR="00A33106">
        <w:t xml:space="preserve"> nejnovějším vydání </w:t>
      </w:r>
      <w:r>
        <w:t>publikac</w:t>
      </w:r>
      <w:r w:rsidR="00A33106">
        <w:t>e</w:t>
      </w:r>
      <w:r>
        <w:t xml:space="preserve"> MPSV</w:t>
      </w:r>
      <w:r w:rsidR="00704746">
        <w:t xml:space="preserve"> </w:t>
      </w:r>
      <w:hyperlink r:id="rId16" w:history="1">
        <w:r w:rsidR="00A33106" w:rsidRPr="005776CD">
          <w:rPr>
            <w:rStyle w:val="Hypertextovodkaz"/>
          </w:rPr>
          <w:t>Analýza vývoje nemocenského pojištění</w:t>
        </w:r>
      </w:hyperlink>
      <w:r w:rsidRPr="005776CD">
        <w:rPr>
          <w:color w:val="000000" w:themeColor="text1"/>
        </w:rPr>
        <w:t>.</w:t>
      </w:r>
    </w:p>
    <w:sectPr w:rsidR="00947FF1" w:rsidRPr="00947FF1" w:rsidSect="00685E31">
      <w:headerReference w:type="even" r:id="rId17"/>
      <w:headerReference w:type="default" r:id="rId18"/>
      <w:footerReference w:type="even" r:id="rId19"/>
      <w:footerReference w:type="default" r:id="rId20"/>
      <w:pgSz w:w="11906" w:h="16838" w:code="9"/>
      <w:pgMar w:top="1134" w:right="1134" w:bottom="1418" w:left="1134" w:header="680" w:footer="68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11E" w:rsidRDefault="00E4611E" w:rsidP="00E71A58">
      <w:r>
        <w:separator/>
      </w:r>
    </w:p>
  </w:endnote>
  <w:endnote w:type="continuationSeparator" w:id="0">
    <w:p w:rsidR="00E4611E" w:rsidRDefault="00E4611E"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932443" w:rsidRDefault="00E830B6"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9567C5">
      <w:rPr>
        <w:szCs w:val="16"/>
      </w:rPr>
      <w:t>10</w:t>
    </w:r>
    <w:r w:rsidRPr="00932443">
      <w:rPr>
        <w:szCs w:val="16"/>
      </w:rPr>
      <w:fldChar w:fldCharType="end"/>
    </w:r>
    <w:r w:rsidRPr="00932443">
      <w:rPr>
        <w:szCs w:val="16"/>
      </w:rPr>
      <w:tab/>
    </w:r>
    <w:r>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932443" w:rsidRDefault="00E830B6"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9567C5">
      <w:rPr>
        <w:rStyle w:val="ZpatChar"/>
        <w:szCs w:val="16"/>
      </w:rPr>
      <w:t>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11E" w:rsidRDefault="00E4611E" w:rsidP="00E71A58">
      <w:r>
        <w:separator/>
      </w:r>
    </w:p>
  </w:footnote>
  <w:footnote w:type="continuationSeparator" w:id="0">
    <w:p w:rsidR="00E4611E" w:rsidRDefault="00E4611E" w:rsidP="00E71A58">
      <w:r>
        <w:continuationSeparator/>
      </w:r>
    </w:p>
  </w:footnote>
  <w:footnote w:id="1">
    <w:p w:rsidR="00E830B6" w:rsidRDefault="00E830B6">
      <w:pPr>
        <w:pStyle w:val="Textpoznpodarou"/>
      </w:pPr>
      <w:r>
        <w:rPr>
          <w:rStyle w:val="Znakapoznpodarou"/>
        </w:rPr>
        <w:footnoteRef/>
      </w:r>
      <w:r>
        <w:t xml:space="preserve"> </w:t>
      </w:r>
      <w:proofErr w:type="spellStart"/>
      <w:r w:rsidRPr="004422A6">
        <w:rPr>
          <w:spacing w:val="4"/>
          <w:sz w:val="16"/>
        </w:rPr>
        <w:t>eNeschopenka</w:t>
      </w:r>
      <w:proofErr w:type="spellEnd"/>
      <w:r w:rsidRPr="004422A6">
        <w:rPr>
          <w:spacing w:val="4"/>
          <w:sz w:val="16"/>
        </w:rPr>
        <w:t xml:space="preserve"> byla přijata zákony č. 259/2017 Sb. a č. 164/2019 Sb. Více o vystavování elektronických neschopenek na</w:t>
      </w:r>
      <w:r w:rsidRPr="0002739E">
        <w:rPr>
          <w:sz w:val="16"/>
        </w:rPr>
        <w:t xml:space="preserve"> </w:t>
      </w:r>
      <w:hyperlink r:id="rId1" w:history="1">
        <w:r w:rsidRPr="0002739E">
          <w:rPr>
            <w:rStyle w:val="Hypertextovodkaz"/>
            <w:sz w:val="16"/>
          </w:rPr>
          <w:t>https://www.cssz.cz/web/eneschopenka/</w:t>
        </w:r>
      </w:hyperlink>
      <w:r w:rsidRPr="0002739E">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6F5416" w:rsidRDefault="00E830B6" w:rsidP="00937AE2">
    <w:pPr>
      <w:pStyle w:val="Zhlav"/>
    </w:pPr>
    <w:r>
      <w:t>Pracovní neschopnost pro nemoc a úraz v České republice za rok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6F5416" w:rsidRDefault="00E830B6" w:rsidP="00937AE2">
    <w:pPr>
      <w:pStyle w:val="Zhlav"/>
    </w:pPr>
    <w:r>
      <w:t>Pracovní neschopnost pro nemoc a úraz v České republice za rok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1470"/>
    <w:multiLevelType w:val="hybridMultilevel"/>
    <w:tmpl w:val="5C965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EB30C9"/>
    <w:multiLevelType w:val="multilevel"/>
    <w:tmpl w:val="8AE26AFA"/>
    <w:lvl w:ilvl="0">
      <w:start w:val="1"/>
      <w:numFmt w:val="bullet"/>
      <w:lvlText w:val=""/>
      <w:lvlJc w:val="left"/>
      <w:pPr>
        <w:ind w:left="720" w:hanging="360"/>
      </w:pPr>
      <w:rPr>
        <w:rFonts w:ascii="Symbol" w:hAnsi="Symbol" w:hint="default"/>
      </w:rPr>
    </w:lvl>
    <w:lvl w:ilvl="1">
      <w:start w:val="7"/>
      <w:numFmt w:val="decimal"/>
      <w:isLgl/>
      <w:suff w:val="space"/>
      <w:lvlText w:val="4.%2"/>
      <w:lvlJc w:val="left"/>
      <w:pPr>
        <w:ind w:left="720" w:hanging="360"/>
      </w:pPr>
      <w:rPr>
        <w:rFonts w:hint="default"/>
      </w:rPr>
    </w:lvl>
    <w:lvl w:ilvl="2">
      <w:start w:val="1"/>
      <w:numFmt w:val="decimal"/>
      <w:isLgl/>
      <w:suff w:val="space"/>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394626"/>
    <w:multiLevelType w:val="hybridMultilevel"/>
    <w:tmpl w:val="C29C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2556A7"/>
    <w:multiLevelType w:val="hybridMultilevel"/>
    <w:tmpl w:val="F064C8E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C9092A"/>
    <w:multiLevelType w:val="hybridMultilevel"/>
    <w:tmpl w:val="6106A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AA48F6"/>
    <w:multiLevelType w:val="hybridMultilevel"/>
    <w:tmpl w:val="89FE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8016D3"/>
    <w:multiLevelType w:val="hybridMultilevel"/>
    <w:tmpl w:val="353CA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CC156E"/>
    <w:multiLevelType w:val="hybridMultilevel"/>
    <w:tmpl w:val="7EECA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55DB5"/>
    <w:multiLevelType w:val="hybridMultilevel"/>
    <w:tmpl w:val="E42050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0017F3"/>
    <w:multiLevelType w:val="hybridMultilevel"/>
    <w:tmpl w:val="D4C40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D50F1A"/>
    <w:multiLevelType w:val="hybridMultilevel"/>
    <w:tmpl w:val="1410E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C4312"/>
    <w:multiLevelType w:val="multilevel"/>
    <w:tmpl w:val="A54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B04D0"/>
    <w:multiLevelType w:val="hybridMultilevel"/>
    <w:tmpl w:val="A5FC21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25555E"/>
    <w:multiLevelType w:val="hybridMultilevel"/>
    <w:tmpl w:val="50D6B4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EF4B85"/>
    <w:multiLevelType w:val="hybridMultilevel"/>
    <w:tmpl w:val="E4FC5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1"/>
  </w:num>
  <w:num w:numId="14">
    <w:abstractNumId w:val="19"/>
  </w:num>
  <w:num w:numId="15">
    <w:abstractNumId w:val="24"/>
  </w:num>
  <w:num w:numId="16">
    <w:abstractNumId w:val="28"/>
  </w:num>
  <w:num w:numId="17">
    <w:abstractNumId w:val="14"/>
  </w:num>
  <w:num w:numId="18">
    <w:abstractNumId w:val="16"/>
  </w:num>
  <w:num w:numId="19">
    <w:abstractNumId w:val="26"/>
  </w:num>
  <w:num w:numId="20">
    <w:abstractNumId w:val="17"/>
  </w:num>
  <w:num w:numId="21">
    <w:abstractNumId w:val="23"/>
  </w:num>
  <w:num w:numId="22">
    <w:abstractNumId w:val="12"/>
  </w:num>
  <w:num w:numId="23">
    <w:abstractNumId w:val="25"/>
  </w:num>
  <w:num w:numId="24">
    <w:abstractNumId w:val="18"/>
  </w:num>
  <w:num w:numId="25">
    <w:abstractNumId w:val="13"/>
  </w:num>
  <w:num w:numId="26">
    <w:abstractNumId w:val="27"/>
  </w:num>
  <w:num w:numId="27">
    <w:abstractNumId w:val="22"/>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8C"/>
    <w:rsid w:val="0000209D"/>
    <w:rsid w:val="00004D5A"/>
    <w:rsid w:val="000056D5"/>
    <w:rsid w:val="000072CF"/>
    <w:rsid w:val="0000767A"/>
    <w:rsid w:val="00010702"/>
    <w:rsid w:val="00014389"/>
    <w:rsid w:val="000145C8"/>
    <w:rsid w:val="00014D11"/>
    <w:rsid w:val="00015E70"/>
    <w:rsid w:val="00017A85"/>
    <w:rsid w:val="00020337"/>
    <w:rsid w:val="00021C3F"/>
    <w:rsid w:val="000234D6"/>
    <w:rsid w:val="00023D29"/>
    <w:rsid w:val="00024BB1"/>
    <w:rsid w:val="000256F4"/>
    <w:rsid w:val="00026389"/>
    <w:rsid w:val="00026A24"/>
    <w:rsid w:val="00030311"/>
    <w:rsid w:val="000311B1"/>
    <w:rsid w:val="00031AE0"/>
    <w:rsid w:val="000322EF"/>
    <w:rsid w:val="00033FCD"/>
    <w:rsid w:val="00037372"/>
    <w:rsid w:val="00041CEC"/>
    <w:rsid w:val="0004694F"/>
    <w:rsid w:val="00046B98"/>
    <w:rsid w:val="000511A2"/>
    <w:rsid w:val="000522E4"/>
    <w:rsid w:val="00056FF3"/>
    <w:rsid w:val="000610E1"/>
    <w:rsid w:val="00062EC5"/>
    <w:rsid w:val="00062F22"/>
    <w:rsid w:val="000700C6"/>
    <w:rsid w:val="000712B3"/>
    <w:rsid w:val="0008044B"/>
    <w:rsid w:val="0008263E"/>
    <w:rsid w:val="00082C19"/>
    <w:rsid w:val="00085395"/>
    <w:rsid w:val="00086EF9"/>
    <w:rsid w:val="00087634"/>
    <w:rsid w:val="00087F2B"/>
    <w:rsid w:val="000974D1"/>
    <w:rsid w:val="0009799E"/>
    <w:rsid w:val="000A1183"/>
    <w:rsid w:val="000A256D"/>
    <w:rsid w:val="000A3A2C"/>
    <w:rsid w:val="000B352B"/>
    <w:rsid w:val="000B368D"/>
    <w:rsid w:val="000B71E9"/>
    <w:rsid w:val="000C2D37"/>
    <w:rsid w:val="000C3408"/>
    <w:rsid w:val="000C4B06"/>
    <w:rsid w:val="000C5250"/>
    <w:rsid w:val="000C6AFD"/>
    <w:rsid w:val="000D35AA"/>
    <w:rsid w:val="000D5637"/>
    <w:rsid w:val="000D7DC4"/>
    <w:rsid w:val="000E0CC3"/>
    <w:rsid w:val="000E0DDF"/>
    <w:rsid w:val="000E32AF"/>
    <w:rsid w:val="000E6FBD"/>
    <w:rsid w:val="000F3730"/>
    <w:rsid w:val="00100F5C"/>
    <w:rsid w:val="00104C4C"/>
    <w:rsid w:val="00106FAD"/>
    <w:rsid w:val="001116FC"/>
    <w:rsid w:val="001204BD"/>
    <w:rsid w:val="0012192F"/>
    <w:rsid w:val="00125D69"/>
    <w:rsid w:val="00126F27"/>
    <w:rsid w:val="0013117F"/>
    <w:rsid w:val="00137CD8"/>
    <w:rsid w:val="001405FA"/>
    <w:rsid w:val="001425C3"/>
    <w:rsid w:val="0016256B"/>
    <w:rsid w:val="00163793"/>
    <w:rsid w:val="001706D6"/>
    <w:rsid w:val="001714F2"/>
    <w:rsid w:val="001716C8"/>
    <w:rsid w:val="00173371"/>
    <w:rsid w:val="00176121"/>
    <w:rsid w:val="00184B08"/>
    <w:rsid w:val="00185010"/>
    <w:rsid w:val="001A07AD"/>
    <w:rsid w:val="001A1051"/>
    <w:rsid w:val="001A42B2"/>
    <w:rsid w:val="001A42B3"/>
    <w:rsid w:val="001A552F"/>
    <w:rsid w:val="001A562A"/>
    <w:rsid w:val="001B2CA9"/>
    <w:rsid w:val="001B3110"/>
    <w:rsid w:val="001B4729"/>
    <w:rsid w:val="001B6A4D"/>
    <w:rsid w:val="001B6C09"/>
    <w:rsid w:val="001C05CD"/>
    <w:rsid w:val="001C1A52"/>
    <w:rsid w:val="001D1F5B"/>
    <w:rsid w:val="001D5794"/>
    <w:rsid w:val="001D68B2"/>
    <w:rsid w:val="001E4771"/>
    <w:rsid w:val="001E527C"/>
    <w:rsid w:val="001F4597"/>
    <w:rsid w:val="00203EDD"/>
    <w:rsid w:val="00207A84"/>
    <w:rsid w:val="002118B9"/>
    <w:rsid w:val="002139C5"/>
    <w:rsid w:val="00217C5B"/>
    <w:rsid w:val="0022139E"/>
    <w:rsid w:val="00222398"/>
    <w:rsid w:val="00223A67"/>
    <w:rsid w:val="00224942"/>
    <w:rsid w:val="002252E0"/>
    <w:rsid w:val="002255F6"/>
    <w:rsid w:val="00227850"/>
    <w:rsid w:val="00227A53"/>
    <w:rsid w:val="0023074C"/>
    <w:rsid w:val="00230C6E"/>
    <w:rsid w:val="00236443"/>
    <w:rsid w:val="0023741F"/>
    <w:rsid w:val="0024172A"/>
    <w:rsid w:val="002436BA"/>
    <w:rsid w:val="00244A15"/>
    <w:rsid w:val="00247319"/>
    <w:rsid w:val="0024799E"/>
    <w:rsid w:val="00253C0F"/>
    <w:rsid w:val="002644A9"/>
    <w:rsid w:val="002666BC"/>
    <w:rsid w:val="00266AF5"/>
    <w:rsid w:val="00266D94"/>
    <w:rsid w:val="00271465"/>
    <w:rsid w:val="00274659"/>
    <w:rsid w:val="00274DFD"/>
    <w:rsid w:val="00276BBF"/>
    <w:rsid w:val="002822B0"/>
    <w:rsid w:val="00283C05"/>
    <w:rsid w:val="00285412"/>
    <w:rsid w:val="00294A6A"/>
    <w:rsid w:val="00296DD1"/>
    <w:rsid w:val="00297266"/>
    <w:rsid w:val="002A052F"/>
    <w:rsid w:val="002A088C"/>
    <w:rsid w:val="002A16D4"/>
    <w:rsid w:val="002A230C"/>
    <w:rsid w:val="002A7D9D"/>
    <w:rsid w:val="002B2BD0"/>
    <w:rsid w:val="002C00B5"/>
    <w:rsid w:val="002C41B4"/>
    <w:rsid w:val="002C43BD"/>
    <w:rsid w:val="002C5530"/>
    <w:rsid w:val="002C6409"/>
    <w:rsid w:val="002D0E59"/>
    <w:rsid w:val="002D26B7"/>
    <w:rsid w:val="002D2703"/>
    <w:rsid w:val="002D29F0"/>
    <w:rsid w:val="002D438D"/>
    <w:rsid w:val="002D559D"/>
    <w:rsid w:val="002D7E78"/>
    <w:rsid w:val="002E02A1"/>
    <w:rsid w:val="002E1BC1"/>
    <w:rsid w:val="002E4E31"/>
    <w:rsid w:val="002E4E4C"/>
    <w:rsid w:val="002F2CC5"/>
    <w:rsid w:val="002F31D7"/>
    <w:rsid w:val="002F6673"/>
    <w:rsid w:val="0030154F"/>
    <w:rsid w:val="00304771"/>
    <w:rsid w:val="003052D4"/>
    <w:rsid w:val="00306114"/>
    <w:rsid w:val="00306C5B"/>
    <w:rsid w:val="0031293E"/>
    <w:rsid w:val="00314096"/>
    <w:rsid w:val="0031497C"/>
    <w:rsid w:val="00314D9F"/>
    <w:rsid w:val="003209D6"/>
    <w:rsid w:val="00320F95"/>
    <w:rsid w:val="00321924"/>
    <w:rsid w:val="003222C5"/>
    <w:rsid w:val="00322CC6"/>
    <w:rsid w:val="0032656E"/>
    <w:rsid w:val="00332190"/>
    <w:rsid w:val="003322E6"/>
    <w:rsid w:val="00332671"/>
    <w:rsid w:val="00332D44"/>
    <w:rsid w:val="00344668"/>
    <w:rsid w:val="003462D9"/>
    <w:rsid w:val="00354F17"/>
    <w:rsid w:val="003564CA"/>
    <w:rsid w:val="00360C86"/>
    <w:rsid w:val="003611B4"/>
    <w:rsid w:val="003636A3"/>
    <w:rsid w:val="00364E38"/>
    <w:rsid w:val="003657F3"/>
    <w:rsid w:val="003704C9"/>
    <w:rsid w:val="0038069B"/>
    <w:rsid w:val="003818DC"/>
    <w:rsid w:val="003822A5"/>
    <w:rsid w:val="00384327"/>
    <w:rsid w:val="00385D98"/>
    <w:rsid w:val="0039112B"/>
    <w:rsid w:val="003A1421"/>
    <w:rsid w:val="003A2B4D"/>
    <w:rsid w:val="003A2FAF"/>
    <w:rsid w:val="003A3175"/>
    <w:rsid w:val="003A478C"/>
    <w:rsid w:val="003A5525"/>
    <w:rsid w:val="003A6B38"/>
    <w:rsid w:val="003B5A32"/>
    <w:rsid w:val="003C3490"/>
    <w:rsid w:val="003C734A"/>
    <w:rsid w:val="003D0027"/>
    <w:rsid w:val="003D05A0"/>
    <w:rsid w:val="003D6920"/>
    <w:rsid w:val="003E4C91"/>
    <w:rsid w:val="003F313C"/>
    <w:rsid w:val="003F44B9"/>
    <w:rsid w:val="003F4B2C"/>
    <w:rsid w:val="003F551C"/>
    <w:rsid w:val="003F66F2"/>
    <w:rsid w:val="003F7111"/>
    <w:rsid w:val="003F7D23"/>
    <w:rsid w:val="00401841"/>
    <w:rsid w:val="00403D84"/>
    <w:rsid w:val="0040587D"/>
    <w:rsid w:val="00407C13"/>
    <w:rsid w:val="00410638"/>
    <w:rsid w:val="00411854"/>
    <w:rsid w:val="0041327A"/>
    <w:rsid w:val="004159E0"/>
    <w:rsid w:val="00420109"/>
    <w:rsid w:val="00424812"/>
    <w:rsid w:val="00430091"/>
    <w:rsid w:val="00431235"/>
    <w:rsid w:val="00432645"/>
    <w:rsid w:val="00432A58"/>
    <w:rsid w:val="00434617"/>
    <w:rsid w:val="00440900"/>
    <w:rsid w:val="004422A6"/>
    <w:rsid w:val="00442CFE"/>
    <w:rsid w:val="00443707"/>
    <w:rsid w:val="004441A0"/>
    <w:rsid w:val="0044480C"/>
    <w:rsid w:val="00451CBD"/>
    <w:rsid w:val="00456EBD"/>
    <w:rsid w:val="00460FB3"/>
    <w:rsid w:val="004620B9"/>
    <w:rsid w:val="00462543"/>
    <w:rsid w:val="00464C4F"/>
    <w:rsid w:val="00476240"/>
    <w:rsid w:val="00476439"/>
    <w:rsid w:val="0047735C"/>
    <w:rsid w:val="004776BC"/>
    <w:rsid w:val="0048060F"/>
    <w:rsid w:val="0048139F"/>
    <w:rsid w:val="00481E40"/>
    <w:rsid w:val="00484AE8"/>
    <w:rsid w:val="00484ECE"/>
    <w:rsid w:val="00486F05"/>
    <w:rsid w:val="004915CB"/>
    <w:rsid w:val="004924DC"/>
    <w:rsid w:val="00496EEF"/>
    <w:rsid w:val="004A12B2"/>
    <w:rsid w:val="004A14E4"/>
    <w:rsid w:val="004A3212"/>
    <w:rsid w:val="004A61C5"/>
    <w:rsid w:val="004A6623"/>
    <w:rsid w:val="004A77DF"/>
    <w:rsid w:val="004B1417"/>
    <w:rsid w:val="004B28EE"/>
    <w:rsid w:val="004B47B4"/>
    <w:rsid w:val="004B4ADA"/>
    <w:rsid w:val="004B55B7"/>
    <w:rsid w:val="004B5617"/>
    <w:rsid w:val="004B6468"/>
    <w:rsid w:val="004B6FEF"/>
    <w:rsid w:val="004C0C9D"/>
    <w:rsid w:val="004C384C"/>
    <w:rsid w:val="004C3867"/>
    <w:rsid w:val="004C4CD0"/>
    <w:rsid w:val="004C70DC"/>
    <w:rsid w:val="004D0211"/>
    <w:rsid w:val="004D0794"/>
    <w:rsid w:val="004D0967"/>
    <w:rsid w:val="004D3ECF"/>
    <w:rsid w:val="004D40BB"/>
    <w:rsid w:val="004D5900"/>
    <w:rsid w:val="004F06F5"/>
    <w:rsid w:val="004F33A0"/>
    <w:rsid w:val="005108C0"/>
    <w:rsid w:val="00511873"/>
    <w:rsid w:val="00512A2F"/>
    <w:rsid w:val="00513B7E"/>
    <w:rsid w:val="00515C74"/>
    <w:rsid w:val="0052007E"/>
    <w:rsid w:val="00521D08"/>
    <w:rsid w:val="0052337A"/>
    <w:rsid w:val="00523F15"/>
    <w:rsid w:val="00525137"/>
    <w:rsid w:val="005251DD"/>
    <w:rsid w:val="0053114F"/>
    <w:rsid w:val="00531CF3"/>
    <w:rsid w:val="00532CE7"/>
    <w:rsid w:val="00532D91"/>
    <w:rsid w:val="0053324C"/>
    <w:rsid w:val="0053336E"/>
    <w:rsid w:val="0053385B"/>
    <w:rsid w:val="005347EB"/>
    <w:rsid w:val="00534A28"/>
    <w:rsid w:val="00541508"/>
    <w:rsid w:val="005415F5"/>
    <w:rsid w:val="00542B79"/>
    <w:rsid w:val="0055307B"/>
    <w:rsid w:val="0055599F"/>
    <w:rsid w:val="00556D68"/>
    <w:rsid w:val="005647BF"/>
    <w:rsid w:val="00564BA4"/>
    <w:rsid w:val="00567115"/>
    <w:rsid w:val="0057364B"/>
    <w:rsid w:val="00574773"/>
    <w:rsid w:val="00576790"/>
    <w:rsid w:val="005776CD"/>
    <w:rsid w:val="00583FFD"/>
    <w:rsid w:val="00590D4E"/>
    <w:rsid w:val="005911BE"/>
    <w:rsid w:val="00593152"/>
    <w:rsid w:val="005A10F2"/>
    <w:rsid w:val="005A21E0"/>
    <w:rsid w:val="005A28FE"/>
    <w:rsid w:val="005A28FF"/>
    <w:rsid w:val="005A3DF8"/>
    <w:rsid w:val="005A5549"/>
    <w:rsid w:val="005A74F0"/>
    <w:rsid w:val="005B121D"/>
    <w:rsid w:val="005B1750"/>
    <w:rsid w:val="005C06ED"/>
    <w:rsid w:val="005C1412"/>
    <w:rsid w:val="005D5802"/>
    <w:rsid w:val="005D7890"/>
    <w:rsid w:val="005E326B"/>
    <w:rsid w:val="005E7C78"/>
    <w:rsid w:val="005F25A8"/>
    <w:rsid w:val="005F3EB1"/>
    <w:rsid w:val="005F505E"/>
    <w:rsid w:val="005F5347"/>
    <w:rsid w:val="005F5469"/>
    <w:rsid w:val="005F7B39"/>
    <w:rsid w:val="00600D3B"/>
    <w:rsid w:val="00601DFE"/>
    <w:rsid w:val="00604307"/>
    <w:rsid w:val="0060487F"/>
    <w:rsid w:val="00604EAD"/>
    <w:rsid w:val="00605275"/>
    <w:rsid w:val="006104FB"/>
    <w:rsid w:val="0061064A"/>
    <w:rsid w:val="00612A2F"/>
    <w:rsid w:val="00616E05"/>
    <w:rsid w:val="006172DA"/>
    <w:rsid w:val="00621BC8"/>
    <w:rsid w:val="00624093"/>
    <w:rsid w:val="006260C7"/>
    <w:rsid w:val="006334F3"/>
    <w:rsid w:val="006404A7"/>
    <w:rsid w:val="006451E4"/>
    <w:rsid w:val="00645B33"/>
    <w:rsid w:val="00645D18"/>
    <w:rsid w:val="00647EA1"/>
    <w:rsid w:val="00650A57"/>
    <w:rsid w:val="006516CB"/>
    <w:rsid w:val="006547DF"/>
    <w:rsid w:val="0065670C"/>
    <w:rsid w:val="00657E87"/>
    <w:rsid w:val="006634CE"/>
    <w:rsid w:val="00664803"/>
    <w:rsid w:val="00665BA4"/>
    <w:rsid w:val="00667AF2"/>
    <w:rsid w:val="006710C9"/>
    <w:rsid w:val="0067138C"/>
    <w:rsid w:val="00671CFD"/>
    <w:rsid w:val="00674D89"/>
    <w:rsid w:val="00675E37"/>
    <w:rsid w:val="006801D6"/>
    <w:rsid w:val="0068174E"/>
    <w:rsid w:val="00681DCE"/>
    <w:rsid w:val="0068260E"/>
    <w:rsid w:val="006828CD"/>
    <w:rsid w:val="00683A67"/>
    <w:rsid w:val="00685E31"/>
    <w:rsid w:val="00687F03"/>
    <w:rsid w:val="00695BEF"/>
    <w:rsid w:val="006977F6"/>
    <w:rsid w:val="00697A13"/>
    <w:rsid w:val="006A109C"/>
    <w:rsid w:val="006A3BB8"/>
    <w:rsid w:val="006A5E60"/>
    <w:rsid w:val="006B0089"/>
    <w:rsid w:val="006B344A"/>
    <w:rsid w:val="006B5EFB"/>
    <w:rsid w:val="006B6A5B"/>
    <w:rsid w:val="006B78D8"/>
    <w:rsid w:val="006C113F"/>
    <w:rsid w:val="006C123E"/>
    <w:rsid w:val="006C2942"/>
    <w:rsid w:val="006C37C4"/>
    <w:rsid w:val="006C56D4"/>
    <w:rsid w:val="006C6924"/>
    <w:rsid w:val="006C7CA6"/>
    <w:rsid w:val="006D2101"/>
    <w:rsid w:val="006D2A4D"/>
    <w:rsid w:val="006D3E8A"/>
    <w:rsid w:val="006D5702"/>
    <w:rsid w:val="006D61F6"/>
    <w:rsid w:val="006E235F"/>
    <w:rsid w:val="006E279A"/>
    <w:rsid w:val="006E313B"/>
    <w:rsid w:val="006E4016"/>
    <w:rsid w:val="006E6A50"/>
    <w:rsid w:val="006F11AE"/>
    <w:rsid w:val="006F43ED"/>
    <w:rsid w:val="006F5416"/>
    <w:rsid w:val="006F5781"/>
    <w:rsid w:val="006F5FF5"/>
    <w:rsid w:val="0070059D"/>
    <w:rsid w:val="00702F18"/>
    <w:rsid w:val="00704746"/>
    <w:rsid w:val="00705E11"/>
    <w:rsid w:val="00706AD4"/>
    <w:rsid w:val="00707508"/>
    <w:rsid w:val="00713204"/>
    <w:rsid w:val="007140BE"/>
    <w:rsid w:val="007211F5"/>
    <w:rsid w:val="007233BC"/>
    <w:rsid w:val="007233C8"/>
    <w:rsid w:val="00723524"/>
    <w:rsid w:val="00724361"/>
    <w:rsid w:val="00725BB5"/>
    <w:rsid w:val="00730AE8"/>
    <w:rsid w:val="007361A5"/>
    <w:rsid w:val="007411D8"/>
    <w:rsid w:val="00741493"/>
    <w:rsid w:val="007430BE"/>
    <w:rsid w:val="00743DDA"/>
    <w:rsid w:val="00747E59"/>
    <w:rsid w:val="0075176D"/>
    <w:rsid w:val="007520FC"/>
    <w:rsid w:val="00752180"/>
    <w:rsid w:val="007551ED"/>
    <w:rsid w:val="00755202"/>
    <w:rsid w:val="00755D3A"/>
    <w:rsid w:val="00756C90"/>
    <w:rsid w:val="007576F6"/>
    <w:rsid w:val="007578D3"/>
    <w:rsid w:val="00760027"/>
    <w:rsid w:val="007602F1"/>
    <w:rsid w:val="007609C6"/>
    <w:rsid w:val="0076175D"/>
    <w:rsid w:val="007634A2"/>
    <w:rsid w:val="0076521E"/>
    <w:rsid w:val="007661E9"/>
    <w:rsid w:val="00775F0A"/>
    <w:rsid w:val="00776169"/>
    <w:rsid w:val="00776527"/>
    <w:rsid w:val="00780EF1"/>
    <w:rsid w:val="00783528"/>
    <w:rsid w:val="0078576F"/>
    <w:rsid w:val="00787ADD"/>
    <w:rsid w:val="00790764"/>
    <w:rsid w:val="00791C1F"/>
    <w:rsid w:val="0079232B"/>
    <w:rsid w:val="0079390F"/>
    <w:rsid w:val="0079453C"/>
    <w:rsid w:val="00794677"/>
    <w:rsid w:val="0079585A"/>
    <w:rsid w:val="007A32BD"/>
    <w:rsid w:val="007A790B"/>
    <w:rsid w:val="007B30D0"/>
    <w:rsid w:val="007B6689"/>
    <w:rsid w:val="007C4330"/>
    <w:rsid w:val="007C6D7B"/>
    <w:rsid w:val="007D40DF"/>
    <w:rsid w:val="007E019D"/>
    <w:rsid w:val="007E7806"/>
    <w:rsid w:val="007E7E61"/>
    <w:rsid w:val="007F0845"/>
    <w:rsid w:val="007F7AC3"/>
    <w:rsid w:val="00804F15"/>
    <w:rsid w:val="00807C82"/>
    <w:rsid w:val="00816905"/>
    <w:rsid w:val="00821FF6"/>
    <w:rsid w:val="00822421"/>
    <w:rsid w:val="008242E4"/>
    <w:rsid w:val="00825C4D"/>
    <w:rsid w:val="0083143E"/>
    <w:rsid w:val="00831CDE"/>
    <w:rsid w:val="00834304"/>
    <w:rsid w:val="00834FAA"/>
    <w:rsid w:val="00836086"/>
    <w:rsid w:val="00841674"/>
    <w:rsid w:val="0084708F"/>
    <w:rsid w:val="008477C8"/>
    <w:rsid w:val="0085114D"/>
    <w:rsid w:val="00852217"/>
    <w:rsid w:val="00854434"/>
    <w:rsid w:val="00855408"/>
    <w:rsid w:val="00856D65"/>
    <w:rsid w:val="00861B41"/>
    <w:rsid w:val="00863434"/>
    <w:rsid w:val="00864C88"/>
    <w:rsid w:val="00865E4C"/>
    <w:rsid w:val="00866A41"/>
    <w:rsid w:val="008701E4"/>
    <w:rsid w:val="008719AC"/>
    <w:rsid w:val="00875A32"/>
    <w:rsid w:val="00876086"/>
    <w:rsid w:val="00876FBE"/>
    <w:rsid w:val="0088076C"/>
    <w:rsid w:val="00880CF5"/>
    <w:rsid w:val="00880DBD"/>
    <w:rsid w:val="008818FD"/>
    <w:rsid w:val="008840A3"/>
    <w:rsid w:val="008873D4"/>
    <w:rsid w:val="00893E85"/>
    <w:rsid w:val="00894031"/>
    <w:rsid w:val="008A2D53"/>
    <w:rsid w:val="008A3EFE"/>
    <w:rsid w:val="008B5721"/>
    <w:rsid w:val="008B5CEA"/>
    <w:rsid w:val="008B7C02"/>
    <w:rsid w:val="008B7D2B"/>
    <w:rsid w:val="008C0049"/>
    <w:rsid w:val="008C0E88"/>
    <w:rsid w:val="008C37C3"/>
    <w:rsid w:val="008D02E1"/>
    <w:rsid w:val="008D1E6A"/>
    <w:rsid w:val="008D2A16"/>
    <w:rsid w:val="008D33C8"/>
    <w:rsid w:val="008D434D"/>
    <w:rsid w:val="008D7614"/>
    <w:rsid w:val="008E2C57"/>
    <w:rsid w:val="008E31FF"/>
    <w:rsid w:val="008E5ABF"/>
    <w:rsid w:val="008E6F06"/>
    <w:rsid w:val="008F029B"/>
    <w:rsid w:val="008F0A41"/>
    <w:rsid w:val="008F3FC9"/>
    <w:rsid w:val="008F46F2"/>
    <w:rsid w:val="008F585B"/>
    <w:rsid w:val="008F6C93"/>
    <w:rsid w:val="008F70A5"/>
    <w:rsid w:val="009003A8"/>
    <w:rsid w:val="00902500"/>
    <w:rsid w:val="00902EFF"/>
    <w:rsid w:val="00904E35"/>
    <w:rsid w:val="00906401"/>
    <w:rsid w:val="00907113"/>
    <w:rsid w:val="00911311"/>
    <w:rsid w:val="0091155E"/>
    <w:rsid w:val="0091209B"/>
    <w:rsid w:val="00912A92"/>
    <w:rsid w:val="0091427E"/>
    <w:rsid w:val="0091728D"/>
    <w:rsid w:val="0092180B"/>
    <w:rsid w:val="00921F14"/>
    <w:rsid w:val="00922C12"/>
    <w:rsid w:val="00924AC8"/>
    <w:rsid w:val="0092597A"/>
    <w:rsid w:val="0093032B"/>
    <w:rsid w:val="00932443"/>
    <w:rsid w:val="00935AEF"/>
    <w:rsid w:val="009363CC"/>
    <w:rsid w:val="00937AE2"/>
    <w:rsid w:val="00937D29"/>
    <w:rsid w:val="0094427A"/>
    <w:rsid w:val="009468EC"/>
    <w:rsid w:val="00947FF1"/>
    <w:rsid w:val="009530E7"/>
    <w:rsid w:val="009567C5"/>
    <w:rsid w:val="009628B8"/>
    <w:rsid w:val="00974923"/>
    <w:rsid w:val="0097555E"/>
    <w:rsid w:val="00977F44"/>
    <w:rsid w:val="00980D3D"/>
    <w:rsid w:val="00982734"/>
    <w:rsid w:val="00987A30"/>
    <w:rsid w:val="00992CF3"/>
    <w:rsid w:val="00995A66"/>
    <w:rsid w:val="00996699"/>
    <w:rsid w:val="009968D6"/>
    <w:rsid w:val="009A0953"/>
    <w:rsid w:val="009A1CAB"/>
    <w:rsid w:val="009A60D1"/>
    <w:rsid w:val="009B10A8"/>
    <w:rsid w:val="009B2406"/>
    <w:rsid w:val="009B309E"/>
    <w:rsid w:val="009B6FD3"/>
    <w:rsid w:val="009C1750"/>
    <w:rsid w:val="009C19B2"/>
    <w:rsid w:val="009C2E29"/>
    <w:rsid w:val="009C3F72"/>
    <w:rsid w:val="009C548B"/>
    <w:rsid w:val="009C554B"/>
    <w:rsid w:val="009C719E"/>
    <w:rsid w:val="009D3ACD"/>
    <w:rsid w:val="009E1B03"/>
    <w:rsid w:val="009E5273"/>
    <w:rsid w:val="009E5DDB"/>
    <w:rsid w:val="009E6676"/>
    <w:rsid w:val="009E73C9"/>
    <w:rsid w:val="009F4CA7"/>
    <w:rsid w:val="009F6005"/>
    <w:rsid w:val="00A00CC7"/>
    <w:rsid w:val="00A02D2D"/>
    <w:rsid w:val="00A10B06"/>
    <w:rsid w:val="00A10D66"/>
    <w:rsid w:val="00A1138C"/>
    <w:rsid w:val="00A11B19"/>
    <w:rsid w:val="00A14114"/>
    <w:rsid w:val="00A16413"/>
    <w:rsid w:val="00A16823"/>
    <w:rsid w:val="00A210AE"/>
    <w:rsid w:val="00A210B9"/>
    <w:rsid w:val="00A226F0"/>
    <w:rsid w:val="00A23437"/>
    <w:rsid w:val="00A23E43"/>
    <w:rsid w:val="00A24BBA"/>
    <w:rsid w:val="00A272E6"/>
    <w:rsid w:val="00A30F65"/>
    <w:rsid w:val="00A33106"/>
    <w:rsid w:val="00A35B38"/>
    <w:rsid w:val="00A373E1"/>
    <w:rsid w:val="00A418BC"/>
    <w:rsid w:val="00A46DE0"/>
    <w:rsid w:val="00A50D73"/>
    <w:rsid w:val="00A52A85"/>
    <w:rsid w:val="00A52CAD"/>
    <w:rsid w:val="00A53FC7"/>
    <w:rsid w:val="00A54770"/>
    <w:rsid w:val="00A60649"/>
    <w:rsid w:val="00A60A85"/>
    <w:rsid w:val="00A62CE1"/>
    <w:rsid w:val="00A6314D"/>
    <w:rsid w:val="00A65FFE"/>
    <w:rsid w:val="00A6741E"/>
    <w:rsid w:val="00A679EC"/>
    <w:rsid w:val="00A710F7"/>
    <w:rsid w:val="00A75E40"/>
    <w:rsid w:val="00A77D1D"/>
    <w:rsid w:val="00A84058"/>
    <w:rsid w:val="00A842D8"/>
    <w:rsid w:val="00A857C0"/>
    <w:rsid w:val="00A85DFF"/>
    <w:rsid w:val="00A90AD5"/>
    <w:rsid w:val="00A927E4"/>
    <w:rsid w:val="00AA2996"/>
    <w:rsid w:val="00AA52BF"/>
    <w:rsid w:val="00AA559A"/>
    <w:rsid w:val="00AB2AF1"/>
    <w:rsid w:val="00AB4884"/>
    <w:rsid w:val="00AB4D30"/>
    <w:rsid w:val="00AB7304"/>
    <w:rsid w:val="00AC59D4"/>
    <w:rsid w:val="00AC6CB7"/>
    <w:rsid w:val="00AD06D9"/>
    <w:rsid w:val="00AD25A6"/>
    <w:rsid w:val="00AD306C"/>
    <w:rsid w:val="00AD4162"/>
    <w:rsid w:val="00AD7C22"/>
    <w:rsid w:val="00AE09B3"/>
    <w:rsid w:val="00AE1A83"/>
    <w:rsid w:val="00AE2B4E"/>
    <w:rsid w:val="00AE49D8"/>
    <w:rsid w:val="00AE6EAD"/>
    <w:rsid w:val="00AF3892"/>
    <w:rsid w:val="00AF46DC"/>
    <w:rsid w:val="00B00913"/>
    <w:rsid w:val="00B00C45"/>
    <w:rsid w:val="00B01268"/>
    <w:rsid w:val="00B01593"/>
    <w:rsid w:val="00B07F1B"/>
    <w:rsid w:val="00B10A4D"/>
    <w:rsid w:val="00B17E71"/>
    <w:rsid w:val="00B17FDE"/>
    <w:rsid w:val="00B20FC5"/>
    <w:rsid w:val="00B2379C"/>
    <w:rsid w:val="00B2687D"/>
    <w:rsid w:val="00B323BE"/>
    <w:rsid w:val="00B32DDB"/>
    <w:rsid w:val="00B34528"/>
    <w:rsid w:val="00B3495F"/>
    <w:rsid w:val="00B361FA"/>
    <w:rsid w:val="00B402FC"/>
    <w:rsid w:val="00B457EA"/>
    <w:rsid w:val="00B46604"/>
    <w:rsid w:val="00B530CD"/>
    <w:rsid w:val="00B55F5E"/>
    <w:rsid w:val="00B5752E"/>
    <w:rsid w:val="00B63A11"/>
    <w:rsid w:val="00B64C24"/>
    <w:rsid w:val="00B6608F"/>
    <w:rsid w:val="00B679FB"/>
    <w:rsid w:val="00B722AD"/>
    <w:rsid w:val="00B73043"/>
    <w:rsid w:val="00B76D1E"/>
    <w:rsid w:val="00B80620"/>
    <w:rsid w:val="00B80EC6"/>
    <w:rsid w:val="00B86A6C"/>
    <w:rsid w:val="00B901A8"/>
    <w:rsid w:val="00B92D1D"/>
    <w:rsid w:val="00B938C5"/>
    <w:rsid w:val="00B95940"/>
    <w:rsid w:val="00BA16F8"/>
    <w:rsid w:val="00BB1795"/>
    <w:rsid w:val="00BB46F3"/>
    <w:rsid w:val="00BB4CB1"/>
    <w:rsid w:val="00BB4F32"/>
    <w:rsid w:val="00BB4F5C"/>
    <w:rsid w:val="00BB4F98"/>
    <w:rsid w:val="00BC029B"/>
    <w:rsid w:val="00BC2A21"/>
    <w:rsid w:val="00BC584E"/>
    <w:rsid w:val="00BC626D"/>
    <w:rsid w:val="00BC7154"/>
    <w:rsid w:val="00BD1A0E"/>
    <w:rsid w:val="00BD289D"/>
    <w:rsid w:val="00BD33B9"/>
    <w:rsid w:val="00BD366B"/>
    <w:rsid w:val="00BD6D50"/>
    <w:rsid w:val="00BE17A4"/>
    <w:rsid w:val="00BE18B9"/>
    <w:rsid w:val="00BE2495"/>
    <w:rsid w:val="00BE4840"/>
    <w:rsid w:val="00BF1578"/>
    <w:rsid w:val="00BF188B"/>
    <w:rsid w:val="00BF2D72"/>
    <w:rsid w:val="00BF351E"/>
    <w:rsid w:val="00C0356A"/>
    <w:rsid w:val="00C155C9"/>
    <w:rsid w:val="00C2075C"/>
    <w:rsid w:val="00C21F94"/>
    <w:rsid w:val="00C26085"/>
    <w:rsid w:val="00C27913"/>
    <w:rsid w:val="00C321AA"/>
    <w:rsid w:val="00C334B5"/>
    <w:rsid w:val="00C33B68"/>
    <w:rsid w:val="00C355AC"/>
    <w:rsid w:val="00C35778"/>
    <w:rsid w:val="00C36A79"/>
    <w:rsid w:val="00C405D4"/>
    <w:rsid w:val="00C425B5"/>
    <w:rsid w:val="00C4513B"/>
    <w:rsid w:val="00C47418"/>
    <w:rsid w:val="00C53A1B"/>
    <w:rsid w:val="00C54697"/>
    <w:rsid w:val="00C5497F"/>
    <w:rsid w:val="00C57A92"/>
    <w:rsid w:val="00C631AB"/>
    <w:rsid w:val="00C6570F"/>
    <w:rsid w:val="00C71F69"/>
    <w:rsid w:val="00C73737"/>
    <w:rsid w:val="00C73885"/>
    <w:rsid w:val="00C747B1"/>
    <w:rsid w:val="00C82191"/>
    <w:rsid w:val="00C90CF4"/>
    <w:rsid w:val="00C92EB6"/>
    <w:rsid w:val="00C93389"/>
    <w:rsid w:val="00C93E98"/>
    <w:rsid w:val="00CA184D"/>
    <w:rsid w:val="00CB4930"/>
    <w:rsid w:val="00CB5F21"/>
    <w:rsid w:val="00CC2E7D"/>
    <w:rsid w:val="00CD07CB"/>
    <w:rsid w:val="00CD10A5"/>
    <w:rsid w:val="00CD2076"/>
    <w:rsid w:val="00CD2936"/>
    <w:rsid w:val="00CD67F3"/>
    <w:rsid w:val="00CD77D4"/>
    <w:rsid w:val="00CD7D71"/>
    <w:rsid w:val="00CE19A0"/>
    <w:rsid w:val="00CE2D5F"/>
    <w:rsid w:val="00CE48AF"/>
    <w:rsid w:val="00CE5E4B"/>
    <w:rsid w:val="00CE670B"/>
    <w:rsid w:val="00CF0057"/>
    <w:rsid w:val="00CF0549"/>
    <w:rsid w:val="00CF3484"/>
    <w:rsid w:val="00CF51EC"/>
    <w:rsid w:val="00CF73AE"/>
    <w:rsid w:val="00D040DD"/>
    <w:rsid w:val="00D04580"/>
    <w:rsid w:val="00D104F4"/>
    <w:rsid w:val="00D10CEE"/>
    <w:rsid w:val="00D13986"/>
    <w:rsid w:val="00D16EC5"/>
    <w:rsid w:val="00D21CC1"/>
    <w:rsid w:val="00D22D27"/>
    <w:rsid w:val="00D235B7"/>
    <w:rsid w:val="00D25F28"/>
    <w:rsid w:val="00D27973"/>
    <w:rsid w:val="00D3621B"/>
    <w:rsid w:val="00D41B71"/>
    <w:rsid w:val="00D43815"/>
    <w:rsid w:val="00D446CF"/>
    <w:rsid w:val="00D460DD"/>
    <w:rsid w:val="00D50F46"/>
    <w:rsid w:val="00D575E3"/>
    <w:rsid w:val="00D57DD6"/>
    <w:rsid w:val="00D62D99"/>
    <w:rsid w:val="00D66223"/>
    <w:rsid w:val="00D7081E"/>
    <w:rsid w:val="00D8078B"/>
    <w:rsid w:val="00D8084C"/>
    <w:rsid w:val="00D8253D"/>
    <w:rsid w:val="00D836A1"/>
    <w:rsid w:val="00D83D60"/>
    <w:rsid w:val="00DA6A35"/>
    <w:rsid w:val="00DA7C0C"/>
    <w:rsid w:val="00DB127B"/>
    <w:rsid w:val="00DB1E98"/>
    <w:rsid w:val="00DB2EC8"/>
    <w:rsid w:val="00DC4F32"/>
    <w:rsid w:val="00DC5B3B"/>
    <w:rsid w:val="00DD1237"/>
    <w:rsid w:val="00DD129F"/>
    <w:rsid w:val="00DD43D2"/>
    <w:rsid w:val="00DD6C03"/>
    <w:rsid w:val="00DE05DD"/>
    <w:rsid w:val="00DE1026"/>
    <w:rsid w:val="00DE2DC1"/>
    <w:rsid w:val="00DE600B"/>
    <w:rsid w:val="00DE65FF"/>
    <w:rsid w:val="00DF1250"/>
    <w:rsid w:val="00DF128B"/>
    <w:rsid w:val="00DF42FF"/>
    <w:rsid w:val="00E01C0E"/>
    <w:rsid w:val="00E03F9A"/>
    <w:rsid w:val="00E04694"/>
    <w:rsid w:val="00E04FBD"/>
    <w:rsid w:val="00E12B1E"/>
    <w:rsid w:val="00E17262"/>
    <w:rsid w:val="00E242C6"/>
    <w:rsid w:val="00E253A2"/>
    <w:rsid w:val="00E2604A"/>
    <w:rsid w:val="00E266E9"/>
    <w:rsid w:val="00E3309D"/>
    <w:rsid w:val="00E40760"/>
    <w:rsid w:val="00E4324B"/>
    <w:rsid w:val="00E445EE"/>
    <w:rsid w:val="00E446B1"/>
    <w:rsid w:val="00E4611E"/>
    <w:rsid w:val="00E500A5"/>
    <w:rsid w:val="00E50156"/>
    <w:rsid w:val="00E52F73"/>
    <w:rsid w:val="00E53470"/>
    <w:rsid w:val="00E539F6"/>
    <w:rsid w:val="00E550E9"/>
    <w:rsid w:val="00E61904"/>
    <w:rsid w:val="00E63E69"/>
    <w:rsid w:val="00E6519D"/>
    <w:rsid w:val="00E665A5"/>
    <w:rsid w:val="00E67696"/>
    <w:rsid w:val="00E71658"/>
    <w:rsid w:val="00E71A58"/>
    <w:rsid w:val="00E72A7A"/>
    <w:rsid w:val="00E745EA"/>
    <w:rsid w:val="00E75C94"/>
    <w:rsid w:val="00E76862"/>
    <w:rsid w:val="00E77573"/>
    <w:rsid w:val="00E830B6"/>
    <w:rsid w:val="00E93820"/>
    <w:rsid w:val="00EA0C68"/>
    <w:rsid w:val="00EA32BC"/>
    <w:rsid w:val="00EA4FCF"/>
    <w:rsid w:val="00EA5062"/>
    <w:rsid w:val="00EA6978"/>
    <w:rsid w:val="00EB098A"/>
    <w:rsid w:val="00EB3701"/>
    <w:rsid w:val="00EB4511"/>
    <w:rsid w:val="00EC0298"/>
    <w:rsid w:val="00EC03D7"/>
    <w:rsid w:val="00EC122C"/>
    <w:rsid w:val="00EC438E"/>
    <w:rsid w:val="00EC5A1A"/>
    <w:rsid w:val="00ED62C6"/>
    <w:rsid w:val="00ED64C1"/>
    <w:rsid w:val="00EE1040"/>
    <w:rsid w:val="00EE3446"/>
    <w:rsid w:val="00EE34FB"/>
    <w:rsid w:val="00EE3E78"/>
    <w:rsid w:val="00EE4B1B"/>
    <w:rsid w:val="00EE50AD"/>
    <w:rsid w:val="00EE6E25"/>
    <w:rsid w:val="00EF0264"/>
    <w:rsid w:val="00EF150D"/>
    <w:rsid w:val="00EF1F5A"/>
    <w:rsid w:val="00EF33ED"/>
    <w:rsid w:val="00EF47BF"/>
    <w:rsid w:val="00F04811"/>
    <w:rsid w:val="00F0488C"/>
    <w:rsid w:val="00F07605"/>
    <w:rsid w:val="00F10F11"/>
    <w:rsid w:val="00F1145A"/>
    <w:rsid w:val="00F14A93"/>
    <w:rsid w:val="00F15AAA"/>
    <w:rsid w:val="00F15BEF"/>
    <w:rsid w:val="00F16A15"/>
    <w:rsid w:val="00F23E0E"/>
    <w:rsid w:val="00F24407"/>
    <w:rsid w:val="00F24FAA"/>
    <w:rsid w:val="00F26BA4"/>
    <w:rsid w:val="00F33479"/>
    <w:rsid w:val="00F3364D"/>
    <w:rsid w:val="00F33DA6"/>
    <w:rsid w:val="00F33E6C"/>
    <w:rsid w:val="00F34B23"/>
    <w:rsid w:val="00F4161A"/>
    <w:rsid w:val="00F437CC"/>
    <w:rsid w:val="00F47067"/>
    <w:rsid w:val="00F524F5"/>
    <w:rsid w:val="00F525EB"/>
    <w:rsid w:val="00F53167"/>
    <w:rsid w:val="00F60161"/>
    <w:rsid w:val="00F63DDE"/>
    <w:rsid w:val="00F63FB7"/>
    <w:rsid w:val="00F649D2"/>
    <w:rsid w:val="00F65105"/>
    <w:rsid w:val="00F6602B"/>
    <w:rsid w:val="00F72B23"/>
    <w:rsid w:val="00F73A0C"/>
    <w:rsid w:val="00F756DB"/>
    <w:rsid w:val="00F82B96"/>
    <w:rsid w:val="00F83B84"/>
    <w:rsid w:val="00F85066"/>
    <w:rsid w:val="00F866F9"/>
    <w:rsid w:val="00F87435"/>
    <w:rsid w:val="00F928B6"/>
    <w:rsid w:val="00F92C10"/>
    <w:rsid w:val="00F9319B"/>
    <w:rsid w:val="00FA1306"/>
    <w:rsid w:val="00FA3921"/>
    <w:rsid w:val="00FA5D4D"/>
    <w:rsid w:val="00FB0EE2"/>
    <w:rsid w:val="00FB542E"/>
    <w:rsid w:val="00FC0E5F"/>
    <w:rsid w:val="00FC1A95"/>
    <w:rsid w:val="00FC2DAD"/>
    <w:rsid w:val="00FC39C6"/>
    <w:rsid w:val="00FC45A6"/>
    <w:rsid w:val="00FC56DE"/>
    <w:rsid w:val="00FC684B"/>
    <w:rsid w:val="00FC744D"/>
    <w:rsid w:val="00FD286C"/>
    <w:rsid w:val="00FD3265"/>
    <w:rsid w:val="00FE0C05"/>
    <w:rsid w:val="00FE2B8C"/>
    <w:rsid w:val="00FE2F78"/>
    <w:rsid w:val="00FF1D3D"/>
    <w:rsid w:val="00FF3AC0"/>
    <w:rsid w:val="00FF672E"/>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EFF88EEF-B76D-4F3B-AC84-78EDA8D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AF5"/>
    <w:pPr>
      <w:spacing w:after="120" w:line="288" w:lineRule="auto"/>
      <w:jc w:val="both"/>
    </w:pPr>
    <w:rPr>
      <w:rFonts w:ascii="Arial" w:eastAsia="Times New Roman" w:hAnsi="Arial"/>
      <w:szCs w:val="24"/>
      <w:lang w:eastAsia="cs-CZ"/>
    </w:rPr>
  </w:style>
  <w:style w:type="paragraph" w:styleId="Nadpis1">
    <w:name w:val="heading 1"/>
    <w:next w:val="Normln"/>
    <w:link w:val="Nadpis1Char"/>
    <w:uiPriority w:val="9"/>
    <w:qFormat/>
    <w:rsid w:val="00332671"/>
    <w:pPr>
      <w:keepNext/>
      <w:keepLines/>
      <w:spacing w:after="100" w:line="288" w:lineRule="auto"/>
      <w:contextualSpacing/>
      <w:outlineLvl w:val="0"/>
    </w:pPr>
    <w:rPr>
      <w:rFonts w:ascii="Arial" w:eastAsia="MS Gothic" w:hAnsi="Arial"/>
      <w:b/>
      <w:bCs/>
      <w:color w:val="CC9610"/>
      <w:sz w:val="32"/>
      <w:szCs w:val="28"/>
      <w:lang w:eastAsia="cs-CZ"/>
    </w:rPr>
  </w:style>
  <w:style w:type="paragraph" w:styleId="Nadpis2">
    <w:name w:val="heading 2"/>
    <w:next w:val="Normln"/>
    <w:link w:val="Nadpis2Char"/>
    <w:uiPriority w:val="9"/>
    <w:qFormat/>
    <w:rsid w:val="00332671"/>
    <w:pPr>
      <w:keepNext/>
      <w:keepLines/>
      <w:spacing w:line="288" w:lineRule="auto"/>
      <w:outlineLvl w:val="1"/>
    </w:pPr>
    <w:rPr>
      <w:rFonts w:ascii="Arial" w:eastAsia="MS Gothic" w:hAnsi="Arial"/>
      <w:b/>
      <w:bCs/>
      <w:color w:val="CC9610"/>
      <w:sz w:val="28"/>
      <w:szCs w:val="26"/>
      <w:lang w:eastAsia="cs-CZ"/>
    </w:rPr>
  </w:style>
  <w:style w:type="paragraph" w:styleId="Nadpis3">
    <w:name w:val="heading 3"/>
    <w:next w:val="Normln"/>
    <w:link w:val="Nadpis3Char"/>
    <w:uiPriority w:val="9"/>
    <w:qFormat/>
    <w:rsid w:val="00332671"/>
    <w:pPr>
      <w:keepNext/>
      <w:keepLines/>
      <w:spacing w:line="288" w:lineRule="auto"/>
      <w:outlineLvl w:val="2"/>
    </w:pPr>
    <w:rPr>
      <w:rFonts w:ascii="Arial" w:eastAsia="MS Gothic" w:hAnsi="Arial"/>
      <w:b/>
      <w:bCs/>
      <w:color w:val="CC9610"/>
      <w:sz w:val="24"/>
      <w:szCs w:val="24"/>
      <w:lang w:eastAsia="cs-CZ"/>
    </w:rPr>
  </w:style>
  <w:style w:type="paragraph" w:styleId="Nadpis4">
    <w:name w:val="heading 4"/>
    <w:next w:val="Normln"/>
    <w:link w:val="Nadpis4Char"/>
    <w:uiPriority w:val="9"/>
    <w:qFormat/>
    <w:rsid w:val="00332671"/>
    <w:pPr>
      <w:keepNext/>
      <w:keepLines/>
      <w:spacing w:line="288" w:lineRule="auto"/>
      <w:outlineLvl w:val="3"/>
    </w:pPr>
    <w:rPr>
      <w:rFonts w:ascii="Arial" w:eastAsia="MS Gothic" w:hAnsi="Arial"/>
      <w:b/>
      <w:bCs/>
      <w:iCs/>
      <w:color w:val="CC9610"/>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32671"/>
    <w:rPr>
      <w:rFonts w:ascii="Arial" w:eastAsia="MS Gothic" w:hAnsi="Arial"/>
      <w:b/>
      <w:bCs/>
      <w:color w:val="CC9610"/>
      <w:sz w:val="32"/>
      <w:szCs w:val="28"/>
      <w:lang w:eastAsia="cs-CZ"/>
    </w:rPr>
  </w:style>
  <w:style w:type="character" w:customStyle="1" w:styleId="Nadpis2Char">
    <w:name w:val="Nadpis 2 Char"/>
    <w:link w:val="Nadpis2"/>
    <w:uiPriority w:val="9"/>
    <w:rsid w:val="00332671"/>
    <w:rPr>
      <w:rFonts w:ascii="Arial" w:eastAsia="MS Gothic" w:hAnsi="Arial"/>
      <w:b/>
      <w:bCs/>
      <w:color w:val="CC9610"/>
      <w:sz w:val="28"/>
      <w:szCs w:val="26"/>
      <w:lang w:eastAsia="cs-CZ"/>
    </w:rPr>
  </w:style>
  <w:style w:type="character" w:customStyle="1" w:styleId="Nadpis3Char">
    <w:name w:val="Nadpis 3 Char"/>
    <w:link w:val="Nadpis3"/>
    <w:uiPriority w:val="9"/>
    <w:rsid w:val="00332671"/>
    <w:rPr>
      <w:rFonts w:ascii="Arial" w:eastAsia="MS Gothic" w:hAnsi="Arial"/>
      <w:b/>
      <w:bCs/>
      <w:color w:val="CC9610"/>
      <w:sz w:val="24"/>
      <w:szCs w:val="24"/>
      <w:lang w:eastAsia="cs-CZ"/>
    </w:rPr>
  </w:style>
  <w:style w:type="character" w:customStyle="1" w:styleId="Nadpis4Char">
    <w:name w:val="Nadpis 4 Char"/>
    <w:link w:val="Nadpis4"/>
    <w:uiPriority w:val="9"/>
    <w:rsid w:val="00332671"/>
    <w:rPr>
      <w:rFonts w:ascii="Arial" w:eastAsia="MS Gothic" w:hAnsi="Arial"/>
      <w:b/>
      <w:bCs/>
      <w:iCs/>
      <w:color w:val="CC9610"/>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31293E"/>
    <w:pPr>
      <w:spacing w:after="80" w:line="288" w:lineRule="auto"/>
    </w:pPr>
    <w:rPr>
      <w:rFonts w:ascii="Arial" w:eastAsia="Times New Roman" w:hAnsi="Arial"/>
      <w:b/>
      <w:color w:val="CC9610"/>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5E326B"/>
    <w:pPr>
      <w:shd w:val="clear" w:color="auto" w:fill="F8EFDE"/>
      <w:spacing w:before="240" w:after="240" w:line="288" w:lineRule="auto"/>
      <w:ind w:left="709"/>
      <w:contextualSpacing/>
    </w:pPr>
    <w:rPr>
      <w:rFonts w:ascii="Arial" w:hAnsi="Arial" w:cs="Arial"/>
      <w:lang w:eastAsia="cs-CZ"/>
    </w:rPr>
  </w:style>
  <w:style w:type="paragraph" w:customStyle="1" w:styleId="Box2">
    <w:name w:val="Box 2"/>
    <w:qFormat/>
    <w:rsid w:val="00332671"/>
    <w:pPr>
      <w:spacing w:before="240" w:after="240" w:line="288" w:lineRule="auto"/>
      <w:ind w:left="709"/>
      <w:contextualSpacing/>
    </w:pPr>
    <w:rPr>
      <w:rFonts w:ascii="Arial" w:hAnsi="Arial" w:cs="Arial"/>
      <w:color w:val="CC9610"/>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31293E"/>
    <w:pPr>
      <w:spacing w:after="40"/>
      <w:contextualSpacing/>
    </w:pPr>
    <w:rPr>
      <w:b/>
      <w:caps/>
      <w:color w:val="000000" w:themeColor="text1"/>
      <w:sz w:val="24"/>
    </w:rPr>
  </w:style>
  <w:style w:type="paragraph" w:customStyle="1" w:styleId="TLKontakty">
    <w:name w:val="TL Kontakty"/>
    <w:qFormat/>
    <w:rsid w:val="0031293E"/>
    <w:pPr>
      <w:spacing w:after="160" w:line="259" w:lineRule="auto"/>
      <w:contextualSpacing/>
    </w:pPr>
    <w:rPr>
      <w:rFonts w:ascii="Arial" w:eastAsia="Times New Roman" w:hAnsi="Arial"/>
      <w:b/>
      <w:color w:val="CC9610"/>
      <w:lang w:eastAsia="cs-CZ"/>
    </w:rPr>
  </w:style>
  <w:style w:type="paragraph" w:styleId="Nzev">
    <w:name w:val="Title"/>
    <w:link w:val="NzevChar"/>
    <w:uiPriority w:val="10"/>
    <w:qFormat/>
    <w:rsid w:val="0031293E"/>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31293E"/>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31293E"/>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31293E"/>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intenzivn">
    <w:name w:val="Intense Emphasis"/>
    <w:basedOn w:val="Standardnpsmoodstavce"/>
    <w:uiPriority w:val="21"/>
    <w:qFormat/>
    <w:rsid w:val="0031293E"/>
    <w:rPr>
      <w:i/>
      <w:iCs/>
      <w:color w:val="000000" w:themeColor="text1"/>
    </w:rPr>
  </w:style>
  <w:style w:type="character" w:styleId="Odkazintenzivn">
    <w:name w:val="Intense Reference"/>
    <w:basedOn w:val="Standardnpsmoodstavce"/>
    <w:uiPriority w:val="32"/>
    <w:qFormat/>
    <w:rsid w:val="0031293E"/>
    <w:rPr>
      <w:b/>
      <w:bCs/>
      <w:smallCaps/>
      <w:color w:val="000000" w:themeColor="text1"/>
      <w:spacing w:val="5"/>
    </w:rPr>
  </w:style>
  <w:style w:type="paragraph" w:styleId="Odstavecseseznamem">
    <w:name w:val="List Paragraph"/>
    <w:basedOn w:val="Normln"/>
    <w:uiPriority w:val="99"/>
    <w:qFormat/>
    <w:rsid w:val="001A42B3"/>
    <w:pPr>
      <w:ind w:left="720"/>
      <w:contextualSpacing/>
    </w:pPr>
  </w:style>
  <w:style w:type="paragraph" w:styleId="Textpoznpodarou">
    <w:name w:val="footnote text"/>
    <w:basedOn w:val="Normln"/>
    <w:link w:val="TextpoznpodarouChar"/>
    <w:uiPriority w:val="99"/>
    <w:semiHidden/>
    <w:unhideWhenUsed/>
    <w:rsid w:val="00BF188B"/>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F188B"/>
    <w:rPr>
      <w:rFonts w:ascii="Arial" w:eastAsia="Times New Roman" w:hAnsi="Arial"/>
      <w:lang w:eastAsia="cs-CZ"/>
    </w:rPr>
  </w:style>
  <w:style w:type="character" w:styleId="Znakapoznpodarou">
    <w:name w:val="footnote reference"/>
    <w:basedOn w:val="Standardnpsmoodstavce"/>
    <w:unhideWhenUsed/>
    <w:rsid w:val="00BF188B"/>
    <w:rPr>
      <w:vertAlign w:val="superscript"/>
    </w:rPr>
  </w:style>
  <w:style w:type="character" w:styleId="Sledovanodkaz">
    <w:name w:val="FollowedHyperlink"/>
    <w:basedOn w:val="Standardnpsmoodstavce"/>
    <w:uiPriority w:val="99"/>
    <w:semiHidden/>
    <w:unhideWhenUsed/>
    <w:rsid w:val="00266AF5"/>
    <w:rPr>
      <w:color w:val="800080" w:themeColor="followedHyperlink"/>
      <w:u w:val="single"/>
    </w:rPr>
  </w:style>
  <w:style w:type="character" w:styleId="Odkaznakoment">
    <w:name w:val="annotation reference"/>
    <w:basedOn w:val="Standardnpsmoodstavce"/>
    <w:uiPriority w:val="99"/>
    <w:semiHidden/>
    <w:unhideWhenUsed/>
    <w:rsid w:val="00B722AD"/>
    <w:rPr>
      <w:sz w:val="16"/>
      <w:szCs w:val="16"/>
    </w:rPr>
  </w:style>
  <w:style w:type="paragraph" w:styleId="Textkomente">
    <w:name w:val="annotation text"/>
    <w:basedOn w:val="Normln"/>
    <w:link w:val="TextkomenteChar"/>
    <w:uiPriority w:val="99"/>
    <w:semiHidden/>
    <w:unhideWhenUsed/>
    <w:rsid w:val="00B722AD"/>
    <w:pPr>
      <w:spacing w:line="240" w:lineRule="auto"/>
    </w:pPr>
    <w:rPr>
      <w:szCs w:val="20"/>
    </w:rPr>
  </w:style>
  <w:style w:type="character" w:customStyle="1" w:styleId="TextkomenteChar">
    <w:name w:val="Text komentáře Char"/>
    <w:basedOn w:val="Standardnpsmoodstavce"/>
    <w:link w:val="Textkomente"/>
    <w:uiPriority w:val="99"/>
    <w:semiHidden/>
    <w:rsid w:val="00B722AD"/>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B722AD"/>
    <w:rPr>
      <w:b/>
      <w:bCs/>
    </w:rPr>
  </w:style>
  <w:style w:type="character" w:customStyle="1" w:styleId="PedmtkomenteChar">
    <w:name w:val="Předmět komentáře Char"/>
    <w:basedOn w:val="TextkomenteChar"/>
    <w:link w:val="Pedmtkomente"/>
    <w:uiPriority w:val="99"/>
    <w:semiHidden/>
    <w:rsid w:val="00B722AD"/>
    <w:rPr>
      <w:rFonts w:ascii="Arial" w:eastAsia="Times New Roman" w:hAnsi="Arial"/>
      <w:b/>
      <w:bCs/>
      <w:lang w:eastAsia="cs-CZ"/>
    </w:rPr>
  </w:style>
  <w:style w:type="paragraph" w:styleId="Titulek">
    <w:name w:val="caption"/>
    <w:basedOn w:val="Normln"/>
    <w:next w:val="Normln"/>
    <w:uiPriority w:val="35"/>
    <w:unhideWhenUsed/>
    <w:qFormat/>
    <w:rsid w:val="007602F1"/>
    <w:pPr>
      <w:spacing w:after="200" w:line="240" w:lineRule="auto"/>
    </w:pPr>
    <w:rPr>
      <w:i/>
      <w:iCs/>
      <w:color w:val="1F497D" w:themeColor="text2"/>
      <w:sz w:val="18"/>
      <w:szCs w:val="18"/>
    </w:rPr>
  </w:style>
  <w:style w:type="paragraph" w:styleId="Normlnweb">
    <w:name w:val="Normal (Web)"/>
    <w:basedOn w:val="Normln"/>
    <w:uiPriority w:val="99"/>
    <w:semiHidden/>
    <w:unhideWhenUsed/>
    <w:rsid w:val="00021C3F"/>
    <w:pPr>
      <w:spacing w:before="100" w:beforeAutospacing="1" w:after="100" w:afterAutospacing="1" w:line="240" w:lineRule="auto"/>
      <w:jc w:val="left"/>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897913">
      <w:bodyDiv w:val="1"/>
      <w:marLeft w:val="0"/>
      <w:marRight w:val="0"/>
      <w:marTop w:val="0"/>
      <w:marBottom w:val="0"/>
      <w:divBdr>
        <w:top w:val="none" w:sz="0" w:space="0" w:color="auto"/>
        <w:left w:val="none" w:sz="0" w:space="0" w:color="auto"/>
        <w:bottom w:val="none" w:sz="0" w:space="0" w:color="auto"/>
        <w:right w:val="none" w:sz="0" w:space="0" w:color="auto"/>
      </w:divBdr>
    </w:div>
    <w:div w:id="12079845">
      <w:bodyDiv w:val="1"/>
      <w:marLeft w:val="0"/>
      <w:marRight w:val="0"/>
      <w:marTop w:val="0"/>
      <w:marBottom w:val="0"/>
      <w:divBdr>
        <w:top w:val="none" w:sz="0" w:space="0" w:color="auto"/>
        <w:left w:val="none" w:sz="0" w:space="0" w:color="auto"/>
        <w:bottom w:val="none" w:sz="0" w:space="0" w:color="auto"/>
        <w:right w:val="none" w:sz="0" w:space="0" w:color="auto"/>
      </w:divBdr>
    </w:div>
    <w:div w:id="24137105">
      <w:bodyDiv w:val="1"/>
      <w:marLeft w:val="0"/>
      <w:marRight w:val="0"/>
      <w:marTop w:val="0"/>
      <w:marBottom w:val="0"/>
      <w:divBdr>
        <w:top w:val="none" w:sz="0" w:space="0" w:color="auto"/>
        <w:left w:val="none" w:sz="0" w:space="0" w:color="auto"/>
        <w:bottom w:val="none" w:sz="0" w:space="0" w:color="auto"/>
        <w:right w:val="none" w:sz="0" w:space="0" w:color="auto"/>
      </w:divBdr>
    </w:div>
    <w:div w:id="35861840">
      <w:bodyDiv w:val="1"/>
      <w:marLeft w:val="0"/>
      <w:marRight w:val="0"/>
      <w:marTop w:val="0"/>
      <w:marBottom w:val="0"/>
      <w:divBdr>
        <w:top w:val="none" w:sz="0" w:space="0" w:color="auto"/>
        <w:left w:val="none" w:sz="0" w:space="0" w:color="auto"/>
        <w:bottom w:val="none" w:sz="0" w:space="0" w:color="auto"/>
        <w:right w:val="none" w:sz="0" w:space="0" w:color="auto"/>
      </w:divBdr>
    </w:div>
    <w:div w:id="38166901">
      <w:bodyDiv w:val="1"/>
      <w:marLeft w:val="0"/>
      <w:marRight w:val="0"/>
      <w:marTop w:val="0"/>
      <w:marBottom w:val="0"/>
      <w:divBdr>
        <w:top w:val="none" w:sz="0" w:space="0" w:color="auto"/>
        <w:left w:val="none" w:sz="0" w:space="0" w:color="auto"/>
        <w:bottom w:val="none" w:sz="0" w:space="0" w:color="auto"/>
        <w:right w:val="none" w:sz="0" w:space="0" w:color="auto"/>
      </w:divBdr>
    </w:div>
    <w:div w:id="39136801">
      <w:bodyDiv w:val="1"/>
      <w:marLeft w:val="0"/>
      <w:marRight w:val="0"/>
      <w:marTop w:val="0"/>
      <w:marBottom w:val="0"/>
      <w:divBdr>
        <w:top w:val="none" w:sz="0" w:space="0" w:color="auto"/>
        <w:left w:val="none" w:sz="0" w:space="0" w:color="auto"/>
        <w:bottom w:val="none" w:sz="0" w:space="0" w:color="auto"/>
        <w:right w:val="none" w:sz="0" w:space="0" w:color="auto"/>
      </w:divBdr>
    </w:div>
    <w:div w:id="74321973">
      <w:bodyDiv w:val="1"/>
      <w:marLeft w:val="0"/>
      <w:marRight w:val="0"/>
      <w:marTop w:val="0"/>
      <w:marBottom w:val="0"/>
      <w:divBdr>
        <w:top w:val="none" w:sz="0" w:space="0" w:color="auto"/>
        <w:left w:val="none" w:sz="0" w:space="0" w:color="auto"/>
        <w:bottom w:val="none" w:sz="0" w:space="0" w:color="auto"/>
        <w:right w:val="none" w:sz="0" w:space="0" w:color="auto"/>
      </w:divBdr>
    </w:div>
    <w:div w:id="103966990">
      <w:bodyDiv w:val="1"/>
      <w:marLeft w:val="0"/>
      <w:marRight w:val="0"/>
      <w:marTop w:val="0"/>
      <w:marBottom w:val="0"/>
      <w:divBdr>
        <w:top w:val="none" w:sz="0" w:space="0" w:color="auto"/>
        <w:left w:val="none" w:sz="0" w:space="0" w:color="auto"/>
        <w:bottom w:val="none" w:sz="0" w:space="0" w:color="auto"/>
        <w:right w:val="none" w:sz="0" w:space="0" w:color="auto"/>
      </w:divBdr>
    </w:div>
    <w:div w:id="114643628">
      <w:bodyDiv w:val="1"/>
      <w:marLeft w:val="0"/>
      <w:marRight w:val="0"/>
      <w:marTop w:val="0"/>
      <w:marBottom w:val="0"/>
      <w:divBdr>
        <w:top w:val="none" w:sz="0" w:space="0" w:color="auto"/>
        <w:left w:val="none" w:sz="0" w:space="0" w:color="auto"/>
        <w:bottom w:val="none" w:sz="0" w:space="0" w:color="auto"/>
        <w:right w:val="none" w:sz="0" w:space="0" w:color="auto"/>
      </w:divBdr>
    </w:div>
    <w:div w:id="134567493">
      <w:bodyDiv w:val="1"/>
      <w:marLeft w:val="0"/>
      <w:marRight w:val="0"/>
      <w:marTop w:val="0"/>
      <w:marBottom w:val="0"/>
      <w:divBdr>
        <w:top w:val="none" w:sz="0" w:space="0" w:color="auto"/>
        <w:left w:val="none" w:sz="0" w:space="0" w:color="auto"/>
        <w:bottom w:val="none" w:sz="0" w:space="0" w:color="auto"/>
        <w:right w:val="none" w:sz="0" w:space="0" w:color="auto"/>
      </w:divBdr>
    </w:div>
    <w:div w:id="141964413">
      <w:bodyDiv w:val="1"/>
      <w:marLeft w:val="0"/>
      <w:marRight w:val="0"/>
      <w:marTop w:val="0"/>
      <w:marBottom w:val="0"/>
      <w:divBdr>
        <w:top w:val="none" w:sz="0" w:space="0" w:color="auto"/>
        <w:left w:val="none" w:sz="0" w:space="0" w:color="auto"/>
        <w:bottom w:val="none" w:sz="0" w:space="0" w:color="auto"/>
        <w:right w:val="none" w:sz="0" w:space="0" w:color="auto"/>
      </w:divBdr>
    </w:div>
    <w:div w:id="160199894">
      <w:bodyDiv w:val="1"/>
      <w:marLeft w:val="0"/>
      <w:marRight w:val="0"/>
      <w:marTop w:val="0"/>
      <w:marBottom w:val="0"/>
      <w:divBdr>
        <w:top w:val="none" w:sz="0" w:space="0" w:color="auto"/>
        <w:left w:val="none" w:sz="0" w:space="0" w:color="auto"/>
        <w:bottom w:val="none" w:sz="0" w:space="0" w:color="auto"/>
        <w:right w:val="none" w:sz="0" w:space="0" w:color="auto"/>
      </w:divBdr>
    </w:div>
    <w:div w:id="179467529">
      <w:bodyDiv w:val="1"/>
      <w:marLeft w:val="0"/>
      <w:marRight w:val="0"/>
      <w:marTop w:val="0"/>
      <w:marBottom w:val="0"/>
      <w:divBdr>
        <w:top w:val="none" w:sz="0" w:space="0" w:color="auto"/>
        <w:left w:val="none" w:sz="0" w:space="0" w:color="auto"/>
        <w:bottom w:val="none" w:sz="0" w:space="0" w:color="auto"/>
        <w:right w:val="none" w:sz="0" w:space="0" w:color="auto"/>
      </w:divBdr>
    </w:div>
    <w:div w:id="188108490">
      <w:bodyDiv w:val="1"/>
      <w:marLeft w:val="0"/>
      <w:marRight w:val="0"/>
      <w:marTop w:val="0"/>
      <w:marBottom w:val="0"/>
      <w:divBdr>
        <w:top w:val="none" w:sz="0" w:space="0" w:color="auto"/>
        <w:left w:val="none" w:sz="0" w:space="0" w:color="auto"/>
        <w:bottom w:val="none" w:sz="0" w:space="0" w:color="auto"/>
        <w:right w:val="none" w:sz="0" w:space="0" w:color="auto"/>
      </w:divBdr>
    </w:div>
    <w:div w:id="195167705">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309483955">
      <w:bodyDiv w:val="1"/>
      <w:marLeft w:val="0"/>
      <w:marRight w:val="0"/>
      <w:marTop w:val="0"/>
      <w:marBottom w:val="0"/>
      <w:divBdr>
        <w:top w:val="none" w:sz="0" w:space="0" w:color="auto"/>
        <w:left w:val="none" w:sz="0" w:space="0" w:color="auto"/>
        <w:bottom w:val="none" w:sz="0" w:space="0" w:color="auto"/>
        <w:right w:val="none" w:sz="0" w:space="0" w:color="auto"/>
      </w:divBdr>
    </w:div>
    <w:div w:id="358092061">
      <w:bodyDiv w:val="1"/>
      <w:marLeft w:val="0"/>
      <w:marRight w:val="0"/>
      <w:marTop w:val="0"/>
      <w:marBottom w:val="0"/>
      <w:divBdr>
        <w:top w:val="none" w:sz="0" w:space="0" w:color="auto"/>
        <w:left w:val="none" w:sz="0" w:space="0" w:color="auto"/>
        <w:bottom w:val="none" w:sz="0" w:space="0" w:color="auto"/>
        <w:right w:val="none" w:sz="0" w:space="0" w:color="auto"/>
      </w:divBdr>
    </w:div>
    <w:div w:id="370808912">
      <w:bodyDiv w:val="1"/>
      <w:marLeft w:val="0"/>
      <w:marRight w:val="0"/>
      <w:marTop w:val="0"/>
      <w:marBottom w:val="0"/>
      <w:divBdr>
        <w:top w:val="none" w:sz="0" w:space="0" w:color="auto"/>
        <w:left w:val="none" w:sz="0" w:space="0" w:color="auto"/>
        <w:bottom w:val="none" w:sz="0" w:space="0" w:color="auto"/>
        <w:right w:val="none" w:sz="0" w:space="0" w:color="auto"/>
      </w:divBdr>
    </w:div>
    <w:div w:id="386759622">
      <w:bodyDiv w:val="1"/>
      <w:marLeft w:val="0"/>
      <w:marRight w:val="0"/>
      <w:marTop w:val="0"/>
      <w:marBottom w:val="0"/>
      <w:divBdr>
        <w:top w:val="none" w:sz="0" w:space="0" w:color="auto"/>
        <w:left w:val="none" w:sz="0" w:space="0" w:color="auto"/>
        <w:bottom w:val="none" w:sz="0" w:space="0" w:color="auto"/>
        <w:right w:val="none" w:sz="0" w:space="0" w:color="auto"/>
      </w:divBdr>
    </w:div>
    <w:div w:id="410273593">
      <w:bodyDiv w:val="1"/>
      <w:marLeft w:val="0"/>
      <w:marRight w:val="0"/>
      <w:marTop w:val="0"/>
      <w:marBottom w:val="0"/>
      <w:divBdr>
        <w:top w:val="none" w:sz="0" w:space="0" w:color="auto"/>
        <w:left w:val="none" w:sz="0" w:space="0" w:color="auto"/>
        <w:bottom w:val="none" w:sz="0" w:space="0" w:color="auto"/>
        <w:right w:val="none" w:sz="0" w:space="0" w:color="auto"/>
      </w:divBdr>
    </w:div>
    <w:div w:id="413822633">
      <w:bodyDiv w:val="1"/>
      <w:marLeft w:val="0"/>
      <w:marRight w:val="0"/>
      <w:marTop w:val="0"/>
      <w:marBottom w:val="0"/>
      <w:divBdr>
        <w:top w:val="none" w:sz="0" w:space="0" w:color="auto"/>
        <w:left w:val="none" w:sz="0" w:space="0" w:color="auto"/>
        <w:bottom w:val="none" w:sz="0" w:space="0" w:color="auto"/>
        <w:right w:val="none" w:sz="0" w:space="0" w:color="auto"/>
      </w:divBdr>
    </w:div>
    <w:div w:id="425346949">
      <w:bodyDiv w:val="1"/>
      <w:marLeft w:val="0"/>
      <w:marRight w:val="0"/>
      <w:marTop w:val="0"/>
      <w:marBottom w:val="0"/>
      <w:divBdr>
        <w:top w:val="none" w:sz="0" w:space="0" w:color="auto"/>
        <w:left w:val="none" w:sz="0" w:space="0" w:color="auto"/>
        <w:bottom w:val="none" w:sz="0" w:space="0" w:color="auto"/>
        <w:right w:val="none" w:sz="0" w:space="0" w:color="auto"/>
      </w:divBdr>
    </w:div>
    <w:div w:id="426854145">
      <w:bodyDiv w:val="1"/>
      <w:marLeft w:val="0"/>
      <w:marRight w:val="0"/>
      <w:marTop w:val="0"/>
      <w:marBottom w:val="0"/>
      <w:divBdr>
        <w:top w:val="none" w:sz="0" w:space="0" w:color="auto"/>
        <w:left w:val="none" w:sz="0" w:space="0" w:color="auto"/>
        <w:bottom w:val="none" w:sz="0" w:space="0" w:color="auto"/>
        <w:right w:val="none" w:sz="0" w:space="0" w:color="auto"/>
      </w:divBdr>
    </w:div>
    <w:div w:id="437867909">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065642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41942851">
      <w:bodyDiv w:val="1"/>
      <w:marLeft w:val="0"/>
      <w:marRight w:val="0"/>
      <w:marTop w:val="0"/>
      <w:marBottom w:val="0"/>
      <w:divBdr>
        <w:top w:val="none" w:sz="0" w:space="0" w:color="auto"/>
        <w:left w:val="none" w:sz="0" w:space="0" w:color="auto"/>
        <w:bottom w:val="none" w:sz="0" w:space="0" w:color="auto"/>
        <w:right w:val="none" w:sz="0" w:space="0" w:color="auto"/>
      </w:divBdr>
    </w:div>
    <w:div w:id="556624786">
      <w:bodyDiv w:val="1"/>
      <w:marLeft w:val="0"/>
      <w:marRight w:val="0"/>
      <w:marTop w:val="0"/>
      <w:marBottom w:val="0"/>
      <w:divBdr>
        <w:top w:val="none" w:sz="0" w:space="0" w:color="auto"/>
        <w:left w:val="none" w:sz="0" w:space="0" w:color="auto"/>
        <w:bottom w:val="none" w:sz="0" w:space="0" w:color="auto"/>
        <w:right w:val="none" w:sz="0" w:space="0" w:color="auto"/>
      </w:divBdr>
    </w:div>
    <w:div w:id="569929932">
      <w:bodyDiv w:val="1"/>
      <w:marLeft w:val="0"/>
      <w:marRight w:val="0"/>
      <w:marTop w:val="0"/>
      <w:marBottom w:val="0"/>
      <w:divBdr>
        <w:top w:val="none" w:sz="0" w:space="0" w:color="auto"/>
        <w:left w:val="none" w:sz="0" w:space="0" w:color="auto"/>
        <w:bottom w:val="none" w:sz="0" w:space="0" w:color="auto"/>
        <w:right w:val="none" w:sz="0" w:space="0" w:color="auto"/>
      </w:divBdr>
    </w:div>
    <w:div w:id="590741861">
      <w:bodyDiv w:val="1"/>
      <w:marLeft w:val="0"/>
      <w:marRight w:val="0"/>
      <w:marTop w:val="0"/>
      <w:marBottom w:val="0"/>
      <w:divBdr>
        <w:top w:val="none" w:sz="0" w:space="0" w:color="auto"/>
        <w:left w:val="none" w:sz="0" w:space="0" w:color="auto"/>
        <w:bottom w:val="none" w:sz="0" w:space="0" w:color="auto"/>
        <w:right w:val="none" w:sz="0" w:space="0" w:color="auto"/>
      </w:divBdr>
    </w:div>
    <w:div w:id="602032721">
      <w:bodyDiv w:val="1"/>
      <w:marLeft w:val="0"/>
      <w:marRight w:val="0"/>
      <w:marTop w:val="0"/>
      <w:marBottom w:val="0"/>
      <w:divBdr>
        <w:top w:val="none" w:sz="0" w:space="0" w:color="auto"/>
        <w:left w:val="none" w:sz="0" w:space="0" w:color="auto"/>
        <w:bottom w:val="none" w:sz="0" w:space="0" w:color="auto"/>
        <w:right w:val="none" w:sz="0" w:space="0" w:color="auto"/>
      </w:divBdr>
    </w:div>
    <w:div w:id="650328145">
      <w:bodyDiv w:val="1"/>
      <w:marLeft w:val="0"/>
      <w:marRight w:val="0"/>
      <w:marTop w:val="0"/>
      <w:marBottom w:val="0"/>
      <w:divBdr>
        <w:top w:val="none" w:sz="0" w:space="0" w:color="auto"/>
        <w:left w:val="none" w:sz="0" w:space="0" w:color="auto"/>
        <w:bottom w:val="none" w:sz="0" w:space="0" w:color="auto"/>
        <w:right w:val="none" w:sz="0" w:space="0" w:color="auto"/>
      </w:divBdr>
    </w:div>
    <w:div w:id="656230885">
      <w:bodyDiv w:val="1"/>
      <w:marLeft w:val="0"/>
      <w:marRight w:val="0"/>
      <w:marTop w:val="0"/>
      <w:marBottom w:val="0"/>
      <w:divBdr>
        <w:top w:val="none" w:sz="0" w:space="0" w:color="auto"/>
        <w:left w:val="none" w:sz="0" w:space="0" w:color="auto"/>
        <w:bottom w:val="none" w:sz="0" w:space="0" w:color="auto"/>
        <w:right w:val="none" w:sz="0" w:space="0" w:color="auto"/>
      </w:divBdr>
    </w:div>
    <w:div w:id="668560400">
      <w:bodyDiv w:val="1"/>
      <w:marLeft w:val="0"/>
      <w:marRight w:val="0"/>
      <w:marTop w:val="0"/>
      <w:marBottom w:val="0"/>
      <w:divBdr>
        <w:top w:val="none" w:sz="0" w:space="0" w:color="auto"/>
        <w:left w:val="none" w:sz="0" w:space="0" w:color="auto"/>
        <w:bottom w:val="none" w:sz="0" w:space="0" w:color="auto"/>
        <w:right w:val="none" w:sz="0" w:space="0" w:color="auto"/>
      </w:divBdr>
    </w:div>
    <w:div w:id="681706883">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03989709">
      <w:bodyDiv w:val="1"/>
      <w:marLeft w:val="0"/>
      <w:marRight w:val="0"/>
      <w:marTop w:val="0"/>
      <w:marBottom w:val="0"/>
      <w:divBdr>
        <w:top w:val="none" w:sz="0" w:space="0" w:color="auto"/>
        <w:left w:val="none" w:sz="0" w:space="0" w:color="auto"/>
        <w:bottom w:val="none" w:sz="0" w:space="0" w:color="auto"/>
        <w:right w:val="none" w:sz="0" w:space="0" w:color="auto"/>
      </w:divBdr>
    </w:div>
    <w:div w:id="721488428">
      <w:bodyDiv w:val="1"/>
      <w:marLeft w:val="0"/>
      <w:marRight w:val="0"/>
      <w:marTop w:val="0"/>
      <w:marBottom w:val="0"/>
      <w:divBdr>
        <w:top w:val="none" w:sz="0" w:space="0" w:color="auto"/>
        <w:left w:val="none" w:sz="0" w:space="0" w:color="auto"/>
        <w:bottom w:val="none" w:sz="0" w:space="0" w:color="auto"/>
        <w:right w:val="none" w:sz="0" w:space="0" w:color="auto"/>
      </w:divBdr>
    </w:div>
    <w:div w:id="727070471">
      <w:bodyDiv w:val="1"/>
      <w:marLeft w:val="0"/>
      <w:marRight w:val="0"/>
      <w:marTop w:val="0"/>
      <w:marBottom w:val="0"/>
      <w:divBdr>
        <w:top w:val="none" w:sz="0" w:space="0" w:color="auto"/>
        <w:left w:val="none" w:sz="0" w:space="0" w:color="auto"/>
        <w:bottom w:val="none" w:sz="0" w:space="0" w:color="auto"/>
        <w:right w:val="none" w:sz="0" w:space="0" w:color="auto"/>
      </w:divBdr>
    </w:div>
    <w:div w:id="749817407">
      <w:bodyDiv w:val="1"/>
      <w:marLeft w:val="0"/>
      <w:marRight w:val="0"/>
      <w:marTop w:val="0"/>
      <w:marBottom w:val="0"/>
      <w:divBdr>
        <w:top w:val="none" w:sz="0" w:space="0" w:color="auto"/>
        <w:left w:val="none" w:sz="0" w:space="0" w:color="auto"/>
        <w:bottom w:val="none" w:sz="0" w:space="0" w:color="auto"/>
        <w:right w:val="none" w:sz="0" w:space="0" w:color="auto"/>
      </w:divBdr>
    </w:div>
    <w:div w:id="776800643">
      <w:bodyDiv w:val="1"/>
      <w:marLeft w:val="0"/>
      <w:marRight w:val="0"/>
      <w:marTop w:val="0"/>
      <w:marBottom w:val="0"/>
      <w:divBdr>
        <w:top w:val="none" w:sz="0" w:space="0" w:color="auto"/>
        <w:left w:val="none" w:sz="0" w:space="0" w:color="auto"/>
        <w:bottom w:val="none" w:sz="0" w:space="0" w:color="auto"/>
        <w:right w:val="none" w:sz="0" w:space="0" w:color="auto"/>
      </w:divBdr>
    </w:div>
    <w:div w:id="811361905">
      <w:bodyDiv w:val="1"/>
      <w:marLeft w:val="0"/>
      <w:marRight w:val="0"/>
      <w:marTop w:val="0"/>
      <w:marBottom w:val="0"/>
      <w:divBdr>
        <w:top w:val="none" w:sz="0" w:space="0" w:color="auto"/>
        <w:left w:val="none" w:sz="0" w:space="0" w:color="auto"/>
        <w:bottom w:val="none" w:sz="0" w:space="0" w:color="auto"/>
        <w:right w:val="none" w:sz="0" w:space="0" w:color="auto"/>
      </w:divBdr>
    </w:div>
    <w:div w:id="831486017">
      <w:bodyDiv w:val="1"/>
      <w:marLeft w:val="0"/>
      <w:marRight w:val="0"/>
      <w:marTop w:val="0"/>
      <w:marBottom w:val="0"/>
      <w:divBdr>
        <w:top w:val="none" w:sz="0" w:space="0" w:color="auto"/>
        <w:left w:val="none" w:sz="0" w:space="0" w:color="auto"/>
        <w:bottom w:val="none" w:sz="0" w:space="0" w:color="auto"/>
        <w:right w:val="none" w:sz="0" w:space="0" w:color="auto"/>
      </w:divBdr>
    </w:div>
    <w:div w:id="847132962">
      <w:bodyDiv w:val="1"/>
      <w:marLeft w:val="0"/>
      <w:marRight w:val="0"/>
      <w:marTop w:val="0"/>
      <w:marBottom w:val="0"/>
      <w:divBdr>
        <w:top w:val="none" w:sz="0" w:space="0" w:color="auto"/>
        <w:left w:val="none" w:sz="0" w:space="0" w:color="auto"/>
        <w:bottom w:val="none" w:sz="0" w:space="0" w:color="auto"/>
        <w:right w:val="none" w:sz="0" w:space="0" w:color="auto"/>
      </w:divBdr>
    </w:div>
    <w:div w:id="872381966">
      <w:bodyDiv w:val="1"/>
      <w:marLeft w:val="0"/>
      <w:marRight w:val="0"/>
      <w:marTop w:val="0"/>
      <w:marBottom w:val="0"/>
      <w:divBdr>
        <w:top w:val="none" w:sz="0" w:space="0" w:color="auto"/>
        <w:left w:val="none" w:sz="0" w:space="0" w:color="auto"/>
        <w:bottom w:val="none" w:sz="0" w:space="0" w:color="auto"/>
        <w:right w:val="none" w:sz="0" w:space="0" w:color="auto"/>
      </w:divBdr>
    </w:div>
    <w:div w:id="901407292">
      <w:bodyDiv w:val="1"/>
      <w:marLeft w:val="0"/>
      <w:marRight w:val="0"/>
      <w:marTop w:val="0"/>
      <w:marBottom w:val="0"/>
      <w:divBdr>
        <w:top w:val="none" w:sz="0" w:space="0" w:color="auto"/>
        <w:left w:val="none" w:sz="0" w:space="0" w:color="auto"/>
        <w:bottom w:val="none" w:sz="0" w:space="0" w:color="auto"/>
        <w:right w:val="none" w:sz="0" w:space="0" w:color="auto"/>
      </w:divBdr>
    </w:div>
    <w:div w:id="938681292">
      <w:bodyDiv w:val="1"/>
      <w:marLeft w:val="0"/>
      <w:marRight w:val="0"/>
      <w:marTop w:val="0"/>
      <w:marBottom w:val="0"/>
      <w:divBdr>
        <w:top w:val="none" w:sz="0" w:space="0" w:color="auto"/>
        <w:left w:val="none" w:sz="0" w:space="0" w:color="auto"/>
        <w:bottom w:val="none" w:sz="0" w:space="0" w:color="auto"/>
        <w:right w:val="none" w:sz="0" w:space="0" w:color="auto"/>
      </w:divBdr>
    </w:div>
    <w:div w:id="950673854">
      <w:bodyDiv w:val="1"/>
      <w:marLeft w:val="0"/>
      <w:marRight w:val="0"/>
      <w:marTop w:val="0"/>
      <w:marBottom w:val="0"/>
      <w:divBdr>
        <w:top w:val="none" w:sz="0" w:space="0" w:color="auto"/>
        <w:left w:val="none" w:sz="0" w:space="0" w:color="auto"/>
        <w:bottom w:val="none" w:sz="0" w:space="0" w:color="auto"/>
        <w:right w:val="none" w:sz="0" w:space="0" w:color="auto"/>
      </w:divBdr>
    </w:div>
    <w:div w:id="962199715">
      <w:bodyDiv w:val="1"/>
      <w:marLeft w:val="0"/>
      <w:marRight w:val="0"/>
      <w:marTop w:val="0"/>
      <w:marBottom w:val="0"/>
      <w:divBdr>
        <w:top w:val="none" w:sz="0" w:space="0" w:color="auto"/>
        <w:left w:val="none" w:sz="0" w:space="0" w:color="auto"/>
        <w:bottom w:val="none" w:sz="0" w:space="0" w:color="auto"/>
        <w:right w:val="none" w:sz="0" w:space="0" w:color="auto"/>
      </w:divBdr>
    </w:div>
    <w:div w:id="972440158">
      <w:bodyDiv w:val="1"/>
      <w:marLeft w:val="0"/>
      <w:marRight w:val="0"/>
      <w:marTop w:val="0"/>
      <w:marBottom w:val="0"/>
      <w:divBdr>
        <w:top w:val="none" w:sz="0" w:space="0" w:color="auto"/>
        <w:left w:val="none" w:sz="0" w:space="0" w:color="auto"/>
        <w:bottom w:val="none" w:sz="0" w:space="0" w:color="auto"/>
        <w:right w:val="none" w:sz="0" w:space="0" w:color="auto"/>
      </w:divBdr>
    </w:div>
    <w:div w:id="974335002">
      <w:bodyDiv w:val="1"/>
      <w:marLeft w:val="0"/>
      <w:marRight w:val="0"/>
      <w:marTop w:val="0"/>
      <w:marBottom w:val="0"/>
      <w:divBdr>
        <w:top w:val="none" w:sz="0" w:space="0" w:color="auto"/>
        <w:left w:val="none" w:sz="0" w:space="0" w:color="auto"/>
        <w:bottom w:val="none" w:sz="0" w:space="0" w:color="auto"/>
        <w:right w:val="none" w:sz="0" w:space="0" w:color="auto"/>
      </w:divBdr>
    </w:div>
    <w:div w:id="995765196">
      <w:bodyDiv w:val="1"/>
      <w:marLeft w:val="0"/>
      <w:marRight w:val="0"/>
      <w:marTop w:val="0"/>
      <w:marBottom w:val="0"/>
      <w:divBdr>
        <w:top w:val="none" w:sz="0" w:space="0" w:color="auto"/>
        <w:left w:val="none" w:sz="0" w:space="0" w:color="auto"/>
        <w:bottom w:val="none" w:sz="0" w:space="0" w:color="auto"/>
        <w:right w:val="none" w:sz="0" w:space="0" w:color="auto"/>
      </w:divBdr>
    </w:div>
    <w:div w:id="996037105">
      <w:bodyDiv w:val="1"/>
      <w:marLeft w:val="0"/>
      <w:marRight w:val="0"/>
      <w:marTop w:val="0"/>
      <w:marBottom w:val="0"/>
      <w:divBdr>
        <w:top w:val="none" w:sz="0" w:space="0" w:color="auto"/>
        <w:left w:val="none" w:sz="0" w:space="0" w:color="auto"/>
        <w:bottom w:val="none" w:sz="0" w:space="0" w:color="auto"/>
        <w:right w:val="none" w:sz="0" w:space="0" w:color="auto"/>
      </w:divBdr>
    </w:div>
    <w:div w:id="997272949">
      <w:bodyDiv w:val="1"/>
      <w:marLeft w:val="0"/>
      <w:marRight w:val="0"/>
      <w:marTop w:val="0"/>
      <w:marBottom w:val="0"/>
      <w:divBdr>
        <w:top w:val="none" w:sz="0" w:space="0" w:color="auto"/>
        <w:left w:val="none" w:sz="0" w:space="0" w:color="auto"/>
        <w:bottom w:val="none" w:sz="0" w:space="0" w:color="auto"/>
        <w:right w:val="none" w:sz="0" w:space="0" w:color="auto"/>
      </w:divBdr>
    </w:div>
    <w:div w:id="1000348838">
      <w:bodyDiv w:val="1"/>
      <w:marLeft w:val="0"/>
      <w:marRight w:val="0"/>
      <w:marTop w:val="0"/>
      <w:marBottom w:val="0"/>
      <w:divBdr>
        <w:top w:val="none" w:sz="0" w:space="0" w:color="auto"/>
        <w:left w:val="none" w:sz="0" w:space="0" w:color="auto"/>
        <w:bottom w:val="none" w:sz="0" w:space="0" w:color="auto"/>
        <w:right w:val="none" w:sz="0" w:space="0" w:color="auto"/>
      </w:divBdr>
    </w:div>
    <w:div w:id="1063673939">
      <w:bodyDiv w:val="1"/>
      <w:marLeft w:val="0"/>
      <w:marRight w:val="0"/>
      <w:marTop w:val="0"/>
      <w:marBottom w:val="0"/>
      <w:divBdr>
        <w:top w:val="none" w:sz="0" w:space="0" w:color="auto"/>
        <w:left w:val="none" w:sz="0" w:space="0" w:color="auto"/>
        <w:bottom w:val="none" w:sz="0" w:space="0" w:color="auto"/>
        <w:right w:val="none" w:sz="0" w:space="0" w:color="auto"/>
      </w:divBdr>
    </w:div>
    <w:div w:id="1089043192">
      <w:bodyDiv w:val="1"/>
      <w:marLeft w:val="0"/>
      <w:marRight w:val="0"/>
      <w:marTop w:val="0"/>
      <w:marBottom w:val="0"/>
      <w:divBdr>
        <w:top w:val="none" w:sz="0" w:space="0" w:color="auto"/>
        <w:left w:val="none" w:sz="0" w:space="0" w:color="auto"/>
        <w:bottom w:val="none" w:sz="0" w:space="0" w:color="auto"/>
        <w:right w:val="none" w:sz="0" w:space="0" w:color="auto"/>
      </w:divBdr>
    </w:div>
    <w:div w:id="1093748560">
      <w:bodyDiv w:val="1"/>
      <w:marLeft w:val="0"/>
      <w:marRight w:val="0"/>
      <w:marTop w:val="0"/>
      <w:marBottom w:val="0"/>
      <w:divBdr>
        <w:top w:val="none" w:sz="0" w:space="0" w:color="auto"/>
        <w:left w:val="none" w:sz="0" w:space="0" w:color="auto"/>
        <w:bottom w:val="none" w:sz="0" w:space="0" w:color="auto"/>
        <w:right w:val="none" w:sz="0" w:space="0" w:color="auto"/>
      </w:divBdr>
    </w:div>
    <w:div w:id="1095058321">
      <w:bodyDiv w:val="1"/>
      <w:marLeft w:val="0"/>
      <w:marRight w:val="0"/>
      <w:marTop w:val="0"/>
      <w:marBottom w:val="0"/>
      <w:divBdr>
        <w:top w:val="none" w:sz="0" w:space="0" w:color="auto"/>
        <w:left w:val="none" w:sz="0" w:space="0" w:color="auto"/>
        <w:bottom w:val="none" w:sz="0" w:space="0" w:color="auto"/>
        <w:right w:val="none" w:sz="0" w:space="0" w:color="auto"/>
      </w:divBdr>
    </w:div>
    <w:div w:id="1107429055">
      <w:bodyDiv w:val="1"/>
      <w:marLeft w:val="0"/>
      <w:marRight w:val="0"/>
      <w:marTop w:val="0"/>
      <w:marBottom w:val="0"/>
      <w:divBdr>
        <w:top w:val="none" w:sz="0" w:space="0" w:color="auto"/>
        <w:left w:val="none" w:sz="0" w:space="0" w:color="auto"/>
        <w:bottom w:val="none" w:sz="0" w:space="0" w:color="auto"/>
        <w:right w:val="none" w:sz="0" w:space="0" w:color="auto"/>
      </w:divBdr>
    </w:div>
    <w:div w:id="1124621395">
      <w:bodyDiv w:val="1"/>
      <w:marLeft w:val="0"/>
      <w:marRight w:val="0"/>
      <w:marTop w:val="0"/>
      <w:marBottom w:val="0"/>
      <w:divBdr>
        <w:top w:val="none" w:sz="0" w:space="0" w:color="auto"/>
        <w:left w:val="none" w:sz="0" w:space="0" w:color="auto"/>
        <w:bottom w:val="none" w:sz="0" w:space="0" w:color="auto"/>
        <w:right w:val="none" w:sz="0" w:space="0" w:color="auto"/>
      </w:divBdr>
    </w:div>
    <w:div w:id="1130707148">
      <w:bodyDiv w:val="1"/>
      <w:marLeft w:val="0"/>
      <w:marRight w:val="0"/>
      <w:marTop w:val="0"/>
      <w:marBottom w:val="0"/>
      <w:divBdr>
        <w:top w:val="none" w:sz="0" w:space="0" w:color="auto"/>
        <w:left w:val="none" w:sz="0" w:space="0" w:color="auto"/>
        <w:bottom w:val="none" w:sz="0" w:space="0" w:color="auto"/>
        <w:right w:val="none" w:sz="0" w:space="0" w:color="auto"/>
      </w:divBdr>
    </w:div>
    <w:div w:id="1136723826">
      <w:bodyDiv w:val="1"/>
      <w:marLeft w:val="0"/>
      <w:marRight w:val="0"/>
      <w:marTop w:val="0"/>
      <w:marBottom w:val="0"/>
      <w:divBdr>
        <w:top w:val="none" w:sz="0" w:space="0" w:color="auto"/>
        <w:left w:val="none" w:sz="0" w:space="0" w:color="auto"/>
        <w:bottom w:val="none" w:sz="0" w:space="0" w:color="auto"/>
        <w:right w:val="none" w:sz="0" w:space="0" w:color="auto"/>
      </w:divBdr>
    </w:div>
    <w:div w:id="1144927501">
      <w:bodyDiv w:val="1"/>
      <w:marLeft w:val="0"/>
      <w:marRight w:val="0"/>
      <w:marTop w:val="0"/>
      <w:marBottom w:val="0"/>
      <w:divBdr>
        <w:top w:val="none" w:sz="0" w:space="0" w:color="auto"/>
        <w:left w:val="none" w:sz="0" w:space="0" w:color="auto"/>
        <w:bottom w:val="none" w:sz="0" w:space="0" w:color="auto"/>
        <w:right w:val="none" w:sz="0" w:space="0" w:color="auto"/>
      </w:divBdr>
    </w:div>
    <w:div w:id="1151025897">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3819169">
      <w:bodyDiv w:val="1"/>
      <w:marLeft w:val="0"/>
      <w:marRight w:val="0"/>
      <w:marTop w:val="0"/>
      <w:marBottom w:val="0"/>
      <w:divBdr>
        <w:top w:val="none" w:sz="0" w:space="0" w:color="auto"/>
        <w:left w:val="none" w:sz="0" w:space="0" w:color="auto"/>
        <w:bottom w:val="none" w:sz="0" w:space="0" w:color="auto"/>
        <w:right w:val="none" w:sz="0" w:space="0" w:color="auto"/>
      </w:divBdr>
    </w:div>
    <w:div w:id="1178928299">
      <w:bodyDiv w:val="1"/>
      <w:marLeft w:val="0"/>
      <w:marRight w:val="0"/>
      <w:marTop w:val="0"/>
      <w:marBottom w:val="0"/>
      <w:divBdr>
        <w:top w:val="none" w:sz="0" w:space="0" w:color="auto"/>
        <w:left w:val="none" w:sz="0" w:space="0" w:color="auto"/>
        <w:bottom w:val="none" w:sz="0" w:space="0" w:color="auto"/>
        <w:right w:val="none" w:sz="0" w:space="0" w:color="auto"/>
      </w:divBdr>
    </w:div>
    <w:div w:id="1185247372">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30533495">
      <w:bodyDiv w:val="1"/>
      <w:marLeft w:val="0"/>
      <w:marRight w:val="0"/>
      <w:marTop w:val="0"/>
      <w:marBottom w:val="0"/>
      <w:divBdr>
        <w:top w:val="none" w:sz="0" w:space="0" w:color="auto"/>
        <w:left w:val="none" w:sz="0" w:space="0" w:color="auto"/>
        <w:bottom w:val="none" w:sz="0" w:space="0" w:color="auto"/>
        <w:right w:val="none" w:sz="0" w:space="0" w:color="auto"/>
      </w:divBdr>
    </w:div>
    <w:div w:id="1239708304">
      <w:bodyDiv w:val="1"/>
      <w:marLeft w:val="0"/>
      <w:marRight w:val="0"/>
      <w:marTop w:val="0"/>
      <w:marBottom w:val="0"/>
      <w:divBdr>
        <w:top w:val="none" w:sz="0" w:space="0" w:color="auto"/>
        <w:left w:val="none" w:sz="0" w:space="0" w:color="auto"/>
        <w:bottom w:val="none" w:sz="0" w:space="0" w:color="auto"/>
        <w:right w:val="none" w:sz="0" w:space="0" w:color="auto"/>
      </w:divBdr>
    </w:div>
    <w:div w:id="1245184719">
      <w:bodyDiv w:val="1"/>
      <w:marLeft w:val="0"/>
      <w:marRight w:val="0"/>
      <w:marTop w:val="0"/>
      <w:marBottom w:val="0"/>
      <w:divBdr>
        <w:top w:val="none" w:sz="0" w:space="0" w:color="auto"/>
        <w:left w:val="none" w:sz="0" w:space="0" w:color="auto"/>
        <w:bottom w:val="none" w:sz="0" w:space="0" w:color="auto"/>
        <w:right w:val="none" w:sz="0" w:space="0" w:color="auto"/>
      </w:divBdr>
    </w:div>
    <w:div w:id="1254431845">
      <w:bodyDiv w:val="1"/>
      <w:marLeft w:val="0"/>
      <w:marRight w:val="0"/>
      <w:marTop w:val="0"/>
      <w:marBottom w:val="0"/>
      <w:divBdr>
        <w:top w:val="none" w:sz="0" w:space="0" w:color="auto"/>
        <w:left w:val="none" w:sz="0" w:space="0" w:color="auto"/>
        <w:bottom w:val="none" w:sz="0" w:space="0" w:color="auto"/>
        <w:right w:val="none" w:sz="0" w:space="0" w:color="auto"/>
      </w:divBdr>
    </w:div>
    <w:div w:id="1323192993">
      <w:bodyDiv w:val="1"/>
      <w:marLeft w:val="0"/>
      <w:marRight w:val="0"/>
      <w:marTop w:val="0"/>
      <w:marBottom w:val="0"/>
      <w:divBdr>
        <w:top w:val="none" w:sz="0" w:space="0" w:color="auto"/>
        <w:left w:val="none" w:sz="0" w:space="0" w:color="auto"/>
        <w:bottom w:val="none" w:sz="0" w:space="0" w:color="auto"/>
        <w:right w:val="none" w:sz="0" w:space="0" w:color="auto"/>
      </w:divBdr>
    </w:div>
    <w:div w:id="1330601443">
      <w:bodyDiv w:val="1"/>
      <w:marLeft w:val="0"/>
      <w:marRight w:val="0"/>
      <w:marTop w:val="0"/>
      <w:marBottom w:val="0"/>
      <w:divBdr>
        <w:top w:val="none" w:sz="0" w:space="0" w:color="auto"/>
        <w:left w:val="none" w:sz="0" w:space="0" w:color="auto"/>
        <w:bottom w:val="none" w:sz="0" w:space="0" w:color="auto"/>
        <w:right w:val="none" w:sz="0" w:space="0" w:color="auto"/>
      </w:divBdr>
    </w:div>
    <w:div w:id="1332485243">
      <w:bodyDiv w:val="1"/>
      <w:marLeft w:val="0"/>
      <w:marRight w:val="0"/>
      <w:marTop w:val="0"/>
      <w:marBottom w:val="0"/>
      <w:divBdr>
        <w:top w:val="none" w:sz="0" w:space="0" w:color="auto"/>
        <w:left w:val="none" w:sz="0" w:space="0" w:color="auto"/>
        <w:bottom w:val="none" w:sz="0" w:space="0" w:color="auto"/>
        <w:right w:val="none" w:sz="0" w:space="0" w:color="auto"/>
      </w:divBdr>
    </w:div>
    <w:div w:id="1366638562">
      <w:bodyDiv w:val="1"/>
      <w:marLeft w:val="0"/>
      <w:marRight w:val="0"/>
      <w:marTop w:val="0"/>
      <w:marBottom w:val="0"/>
      <w:divBdr>
        <w:top w:val="none" w:sz="0" w:space="0" w:color="auto"/>
        <w:left w:val="none" w:sz="0" w:space="0" w:color="auto"/>
        <w:bottom w:val="none" w:sz="0" w:space="0" w:color="auto"/>
        <w:right w:val="none" w:sz="0" w:space="0" w:color="auto"/>
      </w:divBdr>
    </w:div>
    <w:div w:id="1377315999">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53011575">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11485360">
      <w:bodyDiv w:val="1"/>
      <w:marLeft w:val="0"/>
      <w:marRight w:val="0"/>
      <w:marTop w:val="0"/>
      <w:marBottom w:val="0"/>
      <w:divBdr>
        <w:top w:val="none" w:sz="0" w:space="0" w:color="auto"/>
        <w:left w:val="none" w:sz="0" w:space="0" w:color="auto"/>
        <w:bottom w:val="none" w:sz="0" w:space="0" w:color="auto"/>
        <w:right w:val="none" w:sz="0" w:space="0" w:color="auto"/>
      </w:divBdr>
    </w:div>
    <w:div w:id="1588612527">
      <w:bodyDiv w:val="1"/>
      <w:marLeft w:val="0"/>
      <w:marRight w:val="0"/>
      <w:marTop w:val="0"/>
      <w:marBottom w:val="0"/>
      <w:divBdr>
        <w:top w:val="none" w:sz="0" w:space="0" w:color="auto"/>
        <w:left w:val="none" w:sz="0" w:space="0" w:color="auto"/>
        <w:bottom w:val="none" w:sz="0" w:space="0" w:color="auto"/>
        <w:right w:val="none" w:sz="0" w:space="0" w:color="auto"/>
      </w:divBdr>
    </w:div>
    <w:div w:id="1592394851">
      <w:bodyDiv w:val="1"/>
      <w:marLeft w:val="0"/>
      <w:marRight w:val="0"/>
      <w:marTop w:val="0"/>
      <w:marBottom w:val="0"/>
      <w:divBdr>
        <w:top w:val="none" w:sz="0" w:space="0" w:color="auto"/>
        <w:left w:val="none" w:sz="0" w:space="0" w:color="auto"/>
        <w:bottom w:val="none" w:sz="0" w:space="0" w:color="auto"/>
        <w:right w:val="none" w:sz="0" w:space="0" w:color="auto"/>
      </w:divBdr>
    </w:div>
    <w:div w:id="1608538941">
      <w:bodyDiv w:val="1"/>
      <w:marLeft w:val="0"/>
      <w:marRight w:val="0"/>
      <w:marTop w:val="0"/>
      <w:marBottom w:val="0"/>
      <w:divBdr>
        <w:top w:val="none" w:sz="0" w:space="0" w:color="auto"/>
        <w:left w:val="none" w:sz="0" w:space="0" w:color="auto"/>
        <w:bottom w:val="none" w:sz="0" w:space="0" w:color="auto"/>
        <w:right w:val="none" w:sz="0" w:space="0" w:color="auto"/>
      </w:divBdr>
    </w:div>
    <w:div w:id="1645622757">
      <w:bodyDiv w:val="1"/>
      <w:marLeft w:val="0"/>
      <w:marRight w:val="0"/>
      <w:marTop w:val="0"/>
      <w:marBottom w:val="0"/>
      <w:divBdr>
        <w:top w:val="none" w:sz="0" w:space="0" w:color="auto"/>
        <w:left w:val="none" w:sz="0" w:space="0" w:color="auto"/>
        <w:bottom w:val="none" w:sz="0" w:space="0" w:color="auto"/>
        <w:right w:val="none" w:sz="0" w:space="0" w:color="auto"/>
      </w:divBdr>
    </w:div>
    <w:div w:id="1646474544">
      <w:bodyDiv w:val="1"/>
      <w:marLeft w:val="0"/>
      <w:marRight w:val="0"/>
      <w:marTop w:val="0"/>
      <w:marBottom w:val="0"/>
      <w:divBdr>
        <w:top w:val="none" w:sz="0" w:space="0" w:color="auto"/>
        <w:left w:val="none" w:sz="0" w:space="0" w:color="auto"/>
        <w:bottom w:val="none" w:sz="0" w:space="0" w:color="auto"/>
        <w:right w:val="none" w:sz="0" w:space="0" w:color="auto"/>
      </w:divBdr>
    </w:div>
    <w:div w:id="1680428844">
      <w:bodyDiv w:val="1"/>
      <w:marLeft w:val="0"/>
      <w:marRight w:val="0"/>
      <w:marTop w:val="0"/>
      <w:marBottom w:val="0"/>
      <w:divBdr>
        <w:top w:val="none" w:sz="0" w:space="0" w:color="auto"/>
        <w:left w:val="none" w:sz="0" w:space="0" w:color="auto"/>
        <w:bottom w:val="none" w:sz="0" w:space="0" w:color="auto"/>
        <w:right w:val="none" w:sz="0" w:space="0" w:color="auto"/>
      </w:divBdr>
    </w:div>
    <w:div w:id="1684355298">
      <w:bodyDiv w:val="1"/>
      <w:marLeft w:val="0"/>
      <w:marRight w:val="0"/>
      <w:marTop w:val="0"/>
      <w:marBottom w:val="0"/>
      <w:divBdr>
        <w:top w:val="none" w:sz="0" w:space="0" w:color="auto"/>
        <w:left w:val="none" w:sz="0" w:space="0" w:color="auto"/>
        <w:bottom w:val="none" w:sz="0" w:space="0" w:color="auto"/>
        <w:right w:val="none" w:sz="0" w:space="0" w:color="auto"/>
      </w:divBdr>
    </w:div>
    <w:div w:id="1687248489">
      <w:bodyDiv w:val="1"/>
      <w:marLeft w:val="0"/>
      <w:marRight w:val="0"/>
      <w:marTop w:val="0"/>
      <w:marBottom w:val="0"/>
      <w:divBdr>
        <w:top w:val="none" w:sz="0" w:space="0" w:color="auto"/>
        <w:left w:val="none" w:sz="0" w:space="0" w:color="auto"/>
        <w:bottom w:val="none" w:sz="0" w:space="0" w:color="auto"/>
        <w:right w:val="none" w:sz="0" w:space="0" w:color="auto"/>
      </w:divBdr>
    </w:div>
    <w:div w:id="1712804279">
      <w:bodyDiv w:val="1"/>
      <w:marLeft w:val="0"/>
      <w:marRight w:val="0"/>
      <w:marTop w:val="0"/>
      <w:marBottom w:val="0"/>
      <w:divBdr>
        <w:top w:val="none" w:sz="0" w:space="0" w:color="auto"/>
        <w:left w:val="none" w:sz="0" w:space="0" w:color="auto"/>
        <w:bottom w:val="none" w:sz="0" w:space="0" w:color="auto"/>
        <w:right w:val="none" w:sz="0" w:space="0" w:color="auto"/>
      </w:divBdr>
    </w:div>
    <w:div w:id="1745563818">
      <w:bodyDiv w:val="1"/>
      <w:marLeft w:val="0"/>
      <w:marRight w:val="0"/>
      <w:marTop w:val="0"/>
      <w:marBottom w:val="0"/>
      <w:divBdr>
        <w:top w:val="none" w:sz="0" w:space="0" w:color="auto"/>
        <w:left w:val="none" w:sz="0" w:space="0" w:color="auto"/>
        <w:bottom w:val="none" w:sz="0" w:space="0" w:color="auto"/>
        <w:right w:val="none" w:sz="0" w:space="0" w:color="auto"/>
      </w:divBdr>
    </w:div>
    <w:div w:id="1750808718">
      <w:bodyDiv w:val="1"/>
      <w:marLeft w:val="0"/>
      <w:marRight w:val="0"/>
      <w:marTop w:val="0"/>
      <w:marBottom w:val="0"/>
      <w:divBdr>
        <w:top w:val="none" w:sz="0" w:space="0" w:color="auto"/>
        <w:left w:val="none" w:sz="0" w:space="0" w:color="auto"/>
        <w:bottom w:val="none" w:sz="0" w:space="0" w:color="auto"/>
        <w:right w:val="none" w:sz="0" w:space="0" w:color="auto"/>
      </w:divBdr>
    </w:div>
    <w:div w:id="1753894266">
      <w:bodyDiv w:val="1"/>
      <w:marLeft w:val="0"/>
      <w:marRight w:val="0"/>
      <w:marTop w:val="0"/>
      <w:marBottom w:val="0"/>
      <w:divBdr>
        <w:top w:val="none" w:sz="0" w:space="0" w:color="auto"/>
        <w:left w:val="none" w:sz="0" w:space="0" w:color="auto"/>
        <w:bottom w:val="none" w:sz="0" w:space="0" w:color="auto"/>
        <w:right w:val="none" w:sz="0" w:space="0" w:color="auto"/>
      </w:divBdr>
    </w:div>
    <w:div w:id="1761832247">
      <w:bodyDiv w:val="1"/>
      <w:marLeft w:val="0"/>
      <w:marRight w:val="0"/>
      <w:marTop w:val="0"/>
      <w:marBottom w:val="0"/>
      <w:divBdr>
        <w:top w:val="none" w:sz="0" w:space="0" w:color="auto"/>
        <w:left w:val="none" w:sz="0" w:space="0" w:color="auto"/>
        <w:bottom w:val="none" w:sz="0" w:space="0" w:color="auto"/>
        <w:right w:val="none" w:sz="0" w:space="0" w:color="auto"/>
      </w:divBdr>
    </w:div>
    <w:div w:id="1774746553">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788502748">
      <w:bodyDiv w:val="1"/>
      <w:marLeft w:val="0"/>
      <w:marRight w:val="0"/>
      <w:marTop w:val="0"/>
      <w:marBottom w:val="0"/>
      <w:divBdr>
        <w:top w:val="none" w:sz="0" w:space="0" w:color="auto"/>
        <w:left w:val="none" w:sz="0" w:space="0" w:color="auto"/>
        <w:bottom w:val="none" w:sz="0" w:space="0" w:color="auto"/>
        <w:right w:val="none" w:sz="0" w:space="0" w:color="auto"/>
      </w:divBdr>
    </w:div>
    <w:div w:id="1789275031">
      <w:bodyDiv w:val="1"/>
      <w:marLeft w:val="0"/>
      <w:marRight w:val="0"/>
      <w:marTop w:val="0"/>
      <w:marBottom w:val="0"/>
      <w:divBdr>
        <w:top w:val="none" w:sz="0" w:space="0" w:color="auto"/>
        <w:left w:val="none" w:sz="0" w:space="0" w:color="auto"/>
        <w:bottom w:val="none" w:sz="0" w:space="0" w:color="auto"/>
        <w:right w:val="none" w:sz="0" w:space="0" w:color="auto"/>
      </w:divBdr>
    </w:div>
    <w:div w:id="1793092081">
      <w:bodyDiv w:val="1"/>
      <w:marLeft w:val="0"/>
      <w:marRight w:val="0"/>
      <w:marTop w:val="0"/>
      <w:marBottom w:val="0"/>
      <w:divBdr>
        <w:top w:val="none" w:sz="0" w:space="0" w:color="auto"/>
        <w:left w:val="none" w:sz="0" w:space="0" w:color="auto"/>
        <w:bottom w:val="none" w:sz="0" w:space="0" w:color="auto"/>
        <w:right w:val="none" w:sz="0" w:space="0" w:color="auto"/>
      </w:divBdr>
    </w:div>
    <w:div w:id="1795440117">
      <w:bodyDiv w:val="1"/>
      <w:marLeft w:val="0"/>
      <w:marRight w:val="0"/>
      <w:marTop w:val="0"/>
      <w:marBottom w:val="0"/>
      <w:divBdr>
        <w:top w:val="none" w:sz="0" w:space="0" w:color="auto"/>
        <w:left w:val="none" w:sz="0" w:space="0" w:color="auto"/>
        <w:bottom w:val="none" w:sz="0" w:space="0" w:color="auto"/>
        <w:right w:val="none" w:sz="0" w:space="0" w:color="auto"/>
      </w:divBdr>
    </w:div>
    <w:div w:id="1872379853">
      <w:bodyDiv w:val="1"/>
      <w:marLeft w:val="0"/>
      <w:marRight w:val="0"/>
      <w:marTop w:val="0"/>
      <w:marBottom w:val="0"/>
      <w:divBdr>
        <w:top w:val="none" w:sz="0" w:space="0" w:color="auto"/>
        <w:left w:val="none" w:sz="0" w:space="0" w:color="auto"/>
        <w:bottom w:val="none" w:sz="0" w:space="0" w:color="auto"/>
        <w:right w:val="none" w:sz="0" w:space="0" w:color="auto"/>
      </w:divBdr>
    </w:div>
    <w:div w:id="1892184304">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08802539">
      <w:bodyDiv w:val="1"/>
      <w:marLeft w:val="0"/>
      <w:marRight w:val="0"/>
      <w:marTop w:val="0"/>
      <w:marBottom w:val="0"/>
      <w:divBdr>
        <w:top w:val="none" w:sz="0" w:space="0" w:color="auto"/>
        <w:left w:val="none" w:sz="0" w:space="0" w:color="auto"/>
        <w:bottom w:val="none" w:sz="0" w:space="0" w:color="auto"/>
        <w:right w:val="none" w:sz="0" w:space="0" w:color="auto"/>
      </w:divBdr>
    </w:div>
    <w:div w:id="1920367739">
      <w:bodyDiv w:val="1"/>
      <w:marLeft w:val="0"/>
      <w:marRight w:val="0"/>
      <w:marTop w:val="0"/>
      <w:marBottom w:val="0"/>
      <w:divBdr>
        <w:top w:val="none" w:sz="0" w:space="0" w:color="auto"/>
        <w:left w:val="none" w:sz="0" w:space="0" w:color="auto"/>
        <w:bottom w:val="none" w:sz="0" w:space="0" w:color="auto"/>
        <w:right w:val="none" w:sz="0" w:space="0" w:color="auto"/>
      </w:divBdr>
    </w:div>
    <w:div w:id="1922060932">
      <w:bodyDiv w:val="1"/>
      <w:marLeft w:val="0"/>
      <w:marRight w:val="0"/>
      <w:marTop w:val="0"/>
      <w:marBottom w:val="0"/>
      <w:divBdr>
        <w:top w:val="none" w:sz="0" w:space="0" w:color="auto"/>
        <w:left w:val="none" w:sz="0" w:space="0" w:color="auto"/>
        <w:bottom w:val="none" w:sz="0" w:space="0" w:color="auto"/>
        <w:right w:val="none" w:sz="0" w:space="0" w:color="auto"/>
      </w:divBdr>
    </w:div>
    <w:div w:id="1943681223">
      <w:bodyDiv w:val="1"/>
      <w:marLeft w:val="0"/>
      <w:marRight w:val="0"/>
      <w:marTop w:val="0"/>
      <w:marBottom w:val="0"/>
      <w:divBdr>
        <w:top w:val="none" w:sz="0" w:space="0" w:color="auto"/>
        <w:left w:val="none" w:sz="0" w:space="0" w:color="auto"/>
        <w:bottom w:val="none" w:sz="0" w:space="0" w:color="auto"/>
        <w:right w:val="none" w:sz="0" w:space="0" w:color="auto"/>
      </w:divBdr>
    </w:div>
    <w:div w:id="1951472581">
      <w:bodyDiv w:val="1"/>
      <w:marLeft w:val="0"/>
      <w:marRight w:val="0"/>
      <w:marTop w:val="0"/>
      <w:marBottom w:val="0"/>
      <w:divBdr>
        <w:top w:val="none" w:sz="0" w:space="0" w:color="auto"/>
        <w:left w:val="none" w:sz="0" w:space="0" w:color="auto"/>
        <w:bottom w:val="none" w:sz="0" w:space="0" w:color="auto"/>
        <w:right w:val="none" w:sz="0" w:space="0" w:color="auto"/>
      </w:divBdr>
    </w:div>
    <w:div w:id="1961103278">
      <w:bodyDiv w:val="1"/>
      <w:marLeft w:val="0"/>
      <w:marRight w:val="0"/>
      <w:marTop w:val="0"/>
      <w:marBottom w:val="0"/>
      <w:divBdr>
        <w:top w:val="none" w:sz="0" w:space="0" w:color="auto"/>
        <w:left w:val="none" w:sz="0" w:space="0" w:color="auto"/>
        <w:bottom w:val="none" w:sz="0" w:space="0" w:color="auto"/>
        <w:right w:val="none" w:sz="0" w:space="0" w:color="auto"/>
      </w:divBdr>
    </w:div>
    <w:div w:id="1974552642">
      <w:bodyDiv w:val="1"/>
      <w:marLeft w:val="0"/>
      <w:marRight w:val="0"/>
      <w:marTop w:val="0"/>
      <w:marBottom w:val="0"/>
      <w:divBdr>
        <w:top w:val="none" w:sz="0" w:space="0" w:color="auto"/>
        <w:left w:val="none" w:sz="0" w:space="0" w:color="auto"/>
        <w:bottom w:val="none" w:sz="0" w:space="0" w:color="auto"/>
        <w:right w:val="none" w:sz="0" w:space="0" w:color="auto"/>
      </w:divBdr>
    </w:div>
    <w:div w:id="1980261414">
      <w:bodyDiv w:val="1"/>
      <w:marLeft w:val="0"/>
      <w:marRight w:val="0"/>
      <w:marTop w:val="0"/>
      <w:marBottom w:val="0"/>
      <w:divBdr>
        <w:top w:val="none" w:sz="0" w:space="0" w:color="auto"/>
        <w:left w:val="none" w:sz="0" w:space="0" w:color="auto"/>
        <w:bottom w:val="none" w:sz="0" w:space="0" w:color="auto"/>
        <w:right w:val="none" w:sz="0" w:space="0" w:color="auto"/>
      </w:divBdr>
    </w:div>
    <w:div w:id="2015182489">
      <w:bodyDiv w:val="1"/>
      <w:marLeft w:val="0"/>
      <w:marRight w:val="0"/>
      <w:marTop w:val="0"/>
      <w:marBottom w:val="0"/>
      <w:divBdr>
        <w:top w:val="none" w:sz="0" w:space="0" w:color="auto"/>
        <w:left w:val="none" w:sz="0" w:space="0" w:color="auto"/>
        <w:bottom w:val="none" w:sz="0" w:space="0" w:color="auto"/>
        <w:right w:val="none" w:sz="0" w:space="0" w:color="auto"/>
      </w:divBdr>
    </w:div>
    <w:div w:id="2046832513">
      <w:bodyDiv w:val="1"/>
      <w:marLeft w:val="0"/>
      <w:marRight w:val="0"/>
      <w:marTop w:val="0"/>
      <w:marBottom w:val="0"/>
      <w:divBdr>
        <w:top w:val="none" w:sz="0" w:space="0" w:color="auto"/>
        <w:left w:val="none" w:sz="0" w:space="0" w:color="auto"/>
        <w:bottom w:val="none" w:sz="0" w:space="0" w:color="auto"/>
        <w:right w:val="none" w:sz="0" w:space="0" w:color="auto"/>
      </w:divBdr>
    </w:div>
    <w:div w:id="2057125160">
      <w:bodyDiv w:val="1"/>
      <w:marLeft w:val="0"/>
      <w:marRight w:val="0"/>
      <w:marTop w:val="0"/>
      <w:marBottom w:val="0"/>
      <w:divBdr>
        <w:top w:val="none" w:sz="0" w:space="0" w:color="auto"/>
        <w:left w:val="none" w:sz="0" w:space="0" w:color="auto"/>
        <w:bottom w:val="none" w:sz="0" w:space="0" w:color="auto"/>
        <w:right w:val="none" w:sz="0" w:space="0" w:color="auto"/>
      </w:divBdr>
    </w:div>
    <w:div w:id="207750493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 w:id="214500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sv.cz/kalkulacka-pro-vypocet-davek-v-roce-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sz.cz/web/cz/osvc-nemocenske-pojisteni-ucast-na-pojisten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ved=2ahUKEwitwfDAvaWNAxWlgP0HHTRTFB8QFnoECBgQAQ&amp;url=https%3A%2F%2Fwww.mpsv.cz%2Fcms%2Fdocuments%2F412fc2b2-76da-d818-7358-de3c0e467a1a%2FAnal%25C3%25BDza%2Bv%25C3%25BDvoje%2Bnemocensk%25C3%25A9ho%2Bpoji%25C5%25A1t%25C4%259Bn%25C3%25AD%2B2024%2B%25281%2529.pdf%3Ft%3D1738330062040&amp;usg=AOvVaw3XiriyVE4d7ozNu43caxUa&amp;opi=8997844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sz.cz/cz/nemocenske-pojisteni/ucast-na-pojisteni/" TargetMode="External"/><Relationship Id="rId5" Type="http://schemas.openxmlformats.org/officeDocument/2006/relationships/numbering" Target="numbering.xml"/><Relationship Id="rId15" Type="http://schemas.openxmlformats.org/officeDocument/2006/relationships/hyperlink" Target="https://www.cssz.cz/web/cz/nemocensk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sv.cz/web/cz/nemocenske-pojisten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ssz.cz/web/eneschopenk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rz41268\Desktop\PUBLIKACE%20Pracovn&#237;%20neschopnost%202024\rok%202024\Text\grafick&#225;%20&#353;ablona%20pro%20publika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154a9b-48f0-4027-84a6-b753b7361b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D9F2DB7AEC6647A8C955557DF8632E" ma:contentTypeVersion="16" ma:contentTypeDescription="Vytvoří nový dokument" ma:contentTypeScope="" ma:versionID="32927f0b3b847db0d1eb95c158cefd80">
  <xsd:schema xmlns:xsd="http://www.w3.org/2001/XMLSchema" xmlns:xs="http://www.w3.org/2001/XMLSchema" xmlns:p="http://schemas.microsoft.com/office/2006/metadata/properties" xmlns:ns3="a54ffe45-0905-4298-9ac1-24bf84dddb4f" xmlns:ns4="58154a9b-48f0-4027-84a6-b753b7361b43" targetNamespace="http://schemas.microsoft.com/office/2006/metadata/properties" ma:root="true" ma:fieldsID="abc4ee6c3309122ac14de48afffdbae5" ns3:_="" ns4:_="">
    <xsd:import namespace="a54ffe45-0905-4298-9ac1-24bf84dddb4f"/>
    <xsd:import namespace="58154a9b-48f0-4027-84a6-b753b7361b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ffe45-0905-4298-9ac1-24bf84dddb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54a9b-48f0-4027-84a6-b753b7361b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58154a9b-48f0-4027-84a6-b753b7361b43"/>
  </ds:schemaRefs>
</ds:datastoreItem>
</file>

<file path=customXml/itemProps3.xml><?xml version="1.0" encoding="utf-8"?>
<ds:datastoreItem xmlns:ds="http://schemas.openxmlformats.org/officeDocument/2006/customXml" ds:itemID="{32DEB28C-D40C-4025-9BDD-0344ACFD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ffe45-0905-4298-9ac1-24bf84dddb4f"/>
    <ds:schemaRef ds:uri="58154a9b-48f0-4027-84a6-b753b7361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7EB91-0955-44FD-A625-22E38719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grafická šablona pro publikaci.dotx</Template>
  <TotalTime>389</TotalTime>
  <Pages>5</Pages>
  <Words>2672</Words>
  <Characters>15766</Characters>
  <Application>Microsoft Office Word</Application>
  <DocSecurity>0</DocSecurity>
  <Lines>131</Lines>
  <Paragraphs>36</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18402</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Tvrz Michal</dc:creator>
  <cp:keywords/>
  <dc:description/>
  <cp:lastModifiedBy>Tvrz Michal</cp:lastModifiedBy>
  <cp:revision>16</cp:revision>
  <cp:lastPrinted>2014-07-17T14:07:00Z</cp:lastPrinted>
  <dcterms:created xsi:type="dcterms:W3CDTF">2025-06-23T19:02:00Z</dcterms:created>
  <dcterms:modified xsi:type="dcterms:W3CDTF">2025-06-26T11:41:00Z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0x01010004D9F2DB7AEC6647A8C955557DF8632E</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