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494EB" w14:textId="384DAECA" w:rsidR="000979EC" w:rsidRDefault="001A33A3" w:rsidP="000979EC">
      <w:pPr>
        <w:pStyle w:val="Nadpis1"/>
      </w:pPr>
      <w:bookmarkStart w:id="0" w:name="_Toc47942143"/>
      <w:r>
        <w:t>7. </w:t>
      </w:r>
      <w:r w:rsidR="000979EC">
        <w:t>Hospodaření vládních institucí</w:t>
      </w:r>
      <w:bookmarkEnd w:id="0"/>
    </w:p>
    <w:tbl>
      <w:tblPr>
        <w:tblW w:w="9644" w:type="dxa"/>
        <w:tblInd w:w="-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76"/>
        <w:gridCol w:w="277"/>
        <w:gridCol w:w="7391"/>
      </w:tblGrid>
      <w:tr w:rsidR="000979EC" w:rsidRPr="00157A87" w14:paraId="10849C26" w14:textId="77777777" w:rsidTr="00E503A5">
        <w:trPr>
          <w:trHeight w:val="145"/>
        </w:trPr>
        <w:tc>
          <w:tcPr>
            <w:tcW w:w="1976" w:type="dxa"/>
          </w:tcPr>
          <w:p w14:paraId="52F1D79B" w14:textId="685FE00F" w:rsidR="000979EC" w:rsidRPr="00157A87" w:rsidRDefault="000979EC" w:rsidP="00E503A5">
            <w:pPr>
              <w:pStyle w:val="Marginlie"/>
            </w:pPr>
            <w:r>
              <w:t>Vládní instituce loni dosáhly přebytku, ten ale výrazně oslabil.</w:t>
            </w:r>
          </w:p>
        </w:tc>
        <w:tc>
          <w:tcPr>
            <w:tcW w:w="277" w:type="dxa"/>
          </w:tcPr>
          <w:p w14:paraId="22E94627" w14:textId="77777777" w:rsidR="000979EC" w:rsidRPr="00157A87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6A350EC5" w14:textId="0EB2E2DC" w:rsidR="000979EC" w:rsidRPr="00157A87" w:rsidRDefault="000979EC" w:rsidP="00E503A5">
            <w:r>
              <w:t>Sektor vládních institucí v roce 2019 hospodařil s přebytkem 15,4</w:t>
            </w:r>
            <w:r w:rsidR="00A21624">
              <w:t> mld.</w:t>
            </w:r>
            <w:r>
              <w:t xml:space="preserve"> korun </w:t>
            </w:r>
            <w:r w:rsidR="001A33A3">
              <w:t>a </w:t>
            </w:r>
            <w:r>
              <w:t>dosáhl tak kladného salda čtvrtý rok v řadě. Dynamika přebytku ale výrazně oslabila ve srovnání s předchozím rokem (</w:t>
            </w:r>
            <w:r w:rsidR="00A21624">
              <w:t>–</w:t>
            </w:r>
            <w:r>
              <w:t>33,9</w:t>
            </w:r>
            <w:r w:rsidR="00A21624">
              <w:t> mld.</w:t>
            </w:r>
            <w:r>
              <w:t xml:space="preserve"> korun). Důvodem snížení je větší posílení výdajové strany rozpočtu nad příjmy. To vedlo k poklesu přebytku již v roce 2018. Výsledný podíl salda vůči HDP (relativní přebytek/deficit) loni dosáhl 0,3</w:t>
            </w:r>
            <w:r w:rsidR="00F118D5">
              <w:t> %</w:t>
            </w:r>
            <w:r>
              <w:t xml:space="preserve"> </w:t>
            </w:r>
            <w:r w:rsidR="001A33A3">
              <w:t>a </w:t>
            </w:r>
            <w:r>
              <w:t xml:space="preserve">meziročně poklesl </w:t>
            </w:r>
            <w:r w:rsidR="001A33A3">
              <w:t>o </w:t>
            </w:r>
            <w:r>
              <w:t>0,6</w:t>
            </w:r>
            <w:r w:rsidR="00F118D5">
              <w:t> p. b.</w:t>
            </w:r>
            <w:r>
              <w:t xml:space="preserve"> V rámci EU</w:t>
            </w:r>
            <w:r>
              <w:rPr>
                <w:rStyle w:val="Znakapoznpodarou"/>
              </w:rPr>
              <w:footnoteReference w:id="1"/>
            </w:r>
            <w:r>
              <w:t xml:space="preserve"> tak český relativní přebytek patřil k těm nižším.</w:t>
            </w:r>
          </w:p>
        </w:tc>
      </w:tr>
      <w:tr w:rsidR="000979EC" w:rsidRPr="00157A87" w14:paraId="6B87F273" w14:textId="77777777" w:rsidTr="00E503A5">
        <w:trPr>
          <w:trHeight w:val="145"/>
        </w:trPr>
        <w:tc>
          <w:tcPr>
            <w:tcW w:w="1976" w:type="dxa"/>
          </w:tcPr>
          <w:p w14:paraId="4A670597" w14:textId="77777777" w:rsidR="000979EC" w:rsidRDefault="000979EC" w:rsidP="00E503A5">
            <w:pPr>
              <w:pStyle w:val="Marginlie"/>
            </w:pPr>
            <w:r>
              <w:t>Většina zemí EU hospodařila s přebytkem.</w:t>
            </w:r>
          </w:p>
        </w:tc>
        <w:tc>
          <w:tcPr>
            <w:tcW w:w="277" w:type="dxa"/>
          </w:tcPr>
          <w:p w14:paraId="6D4E5D00" w14:textId="77777777" w:rsidR="000979EC" w:rsidRPr="00157A87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7252BF75" w14:textId="1F63422E" w:rsidR="000979EC" w:rsidRPr="00157A87" w:rsidRDefault="000979EC" w:rsidP="00E503A5">
            <w:r>
              <w:t xml:space="preserve">Období hospodářského růstu posledních let umožnilo celkové zlepšení veřejných financí v Evropské unii. </w:t>
            </w:r>
            <w:r w:rsidR="001A33A3">
              <w:t>V </w:t>
            </w:r>
            <w:r>
              <w:t>posledních čtyřech letech se tak počet zemí EU, které hospodařily s kladným saldem, výrazně zvýšil (</w:t>
            </w:r>
            <w:r w:rsidR="001A33A3">
              <w:t>v </w:t>
            </w:r>
            <w:r>
              <w:t xml:space="preserve">roce 2015 to byly </w:t>
            </w:r>
            <w:r w:rsidR="00A21624">
              <w:t>4 </w:t>
            </w:r>
            <w:r>
              <w:t xml:space="preserve">státy, loni 16). Loňský výsledek byl tak nejlepší v celé dostupné časové řadě od roku 1995. Relativní saldo se loni zlepšilo </w:t>
            </w:r>
            <w:r w:rsidR="001A33A3">
              <w:t>u </w:t>
            </w:r>
            <w:r>
              <w:t>1</w:t>
            </w:r>
            <w:r w:rsidR="00A21624">
              <w:t>3 </w:t>
            </w:r>
            <w:r>
              <w:t xml:space="preserve">států. Celkově však hospodaření vládních institucí </w:t>
            </w:r>
            <w:r w:rsidR="001A33A3">
              <w:t>v </w:t>
            </w:r>
            <w:r>
              <w:t xml:space="preserve">EU bylo deficitní </w:t>
            </w:r>
            <w:r w:rsidR="001A33A3">
              <w:t>a </w:t>
            </w:r>
            <w:r>
              <w:t xml:space="preserve">relativní saldo dosáhlo </w:t>
            </w:r>
            <w:r w:rsidR="00A21624">
              <w:t>–</w:t>
            </w:r>
            <w:r>
              <w:t>0,6</w:t>
            </w:r>
            <w:r w:rsidR="00F118D5">
              <w:t> %</w:t>
            </w:r>
            <w:r>
              <w:t xml:space="preserve"> (zhoršilo se </w:t>
            </w:r>
            <w:r w:rsidR="001A33A3">
              <w:t>o </w:t>
            </w:r>
            <w:r w:rsidR="004A670E">
              <w:t>–</w:t>
            </w:r>
            <w:r>
              <w:t>0,2 p. b.).</w:t>
            </w:r>
            <w:r w:rsidR="004A670E">
              <w:br/>
            </w:r>
            <w:r>
              <w:t>Důvodem bylo mimo jiné zhoršení hospodaření ve velkých zemích Unie. Nejvyššího relativního přebytku dosáhly Dánsko (3,7</w:t>
            </w:r>
            <w:r w:rsidR="00F118D5">
              <w:t> %</w:t>
            </w:r>
            <w:r>
              <w:t>), Lucembursko (2,2</w:t>
            </w:r>
            <w:r w:rsidR="00F118D5">
              <w:t> %</w:t>
            </w:r>
            <w:r>
              <w:t xml:space="preserve">) </w:t>
            </w:r>
            <w:r w:rsidR="001A33A3">
              <w:t>a </w:t>
            </w:r>
            <w:r>
              <w:t>Bulharsko (2,1</w:t>
            </w:r>
            <w:r w:rsidR="00BF6EE6">
              <w:t> </w:t>
            </w:r>
            <w:r>
              <w:t>%). Hranici 3</w:t>
            </w:r>
            <w:r w:rsidR="00F118D5">
              <w:t> %</w:t>
            </w:r>
            <w:r>
              <w:t xml:space="preserve"> HDP překonal relativní deficit v Rumunsku. Relativní saldo se zde velmi zhoršilo navzdory silné dynamice HDP (4,1</w:t>
            </w:r>
            <w:r w:rsidR="00F118D5">
              <w:t> %</w:t>
            </w:r>
            <w:r>
              <w:t>). Přesně 3</w:t>
            </w:r>
            <w:r w:rsidR="00F118D5">
              <w:t> %</w:t>
            </w:r>
            <w:r>
              <w:t xml:space="preserve"> HDP dosáhl deficit ve Francii </w:t>
            </w:r>
            <w:r w:rsidR="001A33A3">
              <w:t>a </w:t>
            </w:r>
            <w:r>
              <w:t>třetí nejvyšší relativní záporné saldo mělo Španělsko (</w:t>
            </w:r>
            <w:r w:rsidR="00A21624">
              <w:t>–</w:t>
            </w:r>
            <w:r>
              <w:t>2,8</w:t>
            </w:r>
            <w:r w:rsidR="00F118D5">
              <w:t> %</w:t>
            </w:r>
            <w:r>
              <w:t>).</w:t>
            </w:r>
          </w:p>
        </w:tc>
      </w:tr>
      <w:tr w:rsidR="000979EC" w:rsidRPr="00894C66" w14:paraId="296001C6" w14:textId="77777777" w:rsidTr="00E503A5">
        <w:tc>
          <w:tcPr>
            <w:tcW w:w="1976" w:type="dxa"/>
            <w:vMerge w:val="restart"/>
          </w:tcPr>
          <w:p w14:paraId="596D04DC" w14:textId="77777777" w:rsidR="000979EC" w:rsidRDefault="000979EC" w:rsidP="00E503A5">
            <w:pPr>
              <w:pStyle w:val="Marginlie"/>
            </w:pPr>
          </w:p>
        </w:tc>
        <w:tc>
          <w:tcPr>
            <w:tcW w:w="277" w:type="dxa"/>
            <w:vMerge w:val="restart"/>
          </w:tcPr>
          <w:p w14:paraId="46605918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7946BA24" w14:textId="7BF26EF6" w:rsidR="000979EC" w:rsidRPr="004454DC" w:rsidRDefault="000979EC" w:rsidP="00E503A5">
            <w:pPr>
              <w:spacing w:after="0"/>
              <w:rPr>
                <w:b/>
              </w:rPr>
            </w:pPr>
            <w:r w:rsidRPr="00B606BE">
              <w:rPr>
                <w:b/>
              </w:rPr>
              <w:t xml:space="preserve">Graf </w:t>
            </w:r>
            <w:r w:rsidR="00A21624" w:rsidRPr="00B606BE">
              <w:rPr>
                <w:b/>
              </w:rPr>
              <w:t>č. </w:t>
            </w:r>
            <w:r w:rsidR="001A33A3" w:rsidRPr="00B606BE">
              <w:rPr>
                <w:b/>
              </w:rPr>
              <w:t>8</w:t>
            </w:r>
            <w:r w:rsidR="001A480E">
              <w:rPr>
                <w:b/>
              </w:rPr>
              <w:t xml:space="preserve">  </w:t>
            </w:r>
            <w:r w:rsidRPr="005263D4">
              <w:rPr>
                <w:b/>
                <w:lang w:eastAsia="en-US"/>
              </w:rPr>
              <w:t xml:space="preserve">Čisté půjčky/výpůjčky </w:t>
            </w:r>
            <w:r>
              <w:rPr>
                <w:b/>
                <w:lang w:eastAsia="en-US"/>
              </w:rPr>
              <w:t xml:space="preserve">sektoru </w:t>
            </w:r>
            <w:r w:rsidRPr="005263D4">
              <w:rPr>
                <w:b/>
                <w:lang w:eastAsia="en-US"/>
              </w:rPr>
              <w:t>vládních institucí</w:t>
            </w:r>
            <w:r w:rsidRPr="00ED61AD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v</w:t>
            </w:r>
            <w:r w:rsidR="00F118D5">
              <w:rPr>
                <w:lang w:eastAsia="en-US"/>
              </w:rPr>
              <w:t> %</w:t>
            </w:r>
            <w:r>
              <w:rPr>
                <w:lang w:eastAsia="en-US"/>
              </w:rPr>
              <w:t xml:space="preserve"> HDP, </w:t>
            </w:r>
            <w:r w:rsidRPr="00ED61AD">
              <w:rPr>
                <w:lang w:eastAsia="en-US"/>
              </w:rPr>
              <w:t>z údajů v běžných cenách)</w:t>
            </w:r>
          </w:p>
        </w:tc>
      </w:tr>
      <w:tr w:rsidR="000979EC" w:rsidRPr="00894C66" w14:paraId="746D4057" w14:textId="77777777" w:rsidTr="00B606BE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976" w:type="dxa"/>
            <w:vMerge/>
          </w:tcPr>
          <w:p w14:paraId="6330C4CC" w14:textId="77777777" w:rsidR="000979EC" w:rsidRDefault="000979EC" w:rsidP="00E503A5">
            <w:pPr>
              <w:pStyle w:val="Marginlie"/>
            </w:pPr>
          </w:p>
        </w:tc>
        <w:tc>
          <w:tcPr>
            <w:tcW w:w="277" w:type="dxa"/>
            <w:vMerge/>
          </w:tcPr>
          <w:p w14:paraId="60FAA4F8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0A97964A" w14:textId="588C2BA1" w:rsidR="000979EC" w:rsidRDefault="00B606BE" w:rsidP="00E503A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62F30ED" wp14:editId="08EE0AC1">
                  <wp:extent cx="4604385" cy="3453130"/>
                  <wp:effectExtent l="0" t="0" r="5715" b="0"/>
                  <wp:docPr id="27" name="Graf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0979EC" w:rsidRPr="00894C66" w14:paraId="2835CB38" w14:textId="77777777" w:rsidTr="00E503A5">
        <w:trPr>
          <w:trHeight w:val="170"/>
        </w:trPr>
        <w:tc>
          <w:tcPr>
            <w:tcW w:w="1976" w:type="dxa"/>
            <w:vMerge/>
          </w:tcPr>
          <w:p w14:paraId="1E4A30EF" w14:textId="77777777" w:rsidR="000979EC" w:rsidRDefault="000979EC" w:rsidP="00E503A5">
            <w:pPr>
              <w:pStyle w:val="Marginlie"/>
            </w:pPr>
          </w:p>
        </w:tc>
        <w:tc>
          <w:tcPr>
            <w:tcW w:w="277" w:type="dxa"/>
            <w:vMerge/>
          </w:tcPr>
          <w:p w14:paraId="1F4406E2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0FC8DF93" w14:textId="77777777" w:rsidR="000979EC" w:rsidRPr="00A1151F" w:rsidRDefault="000979EC" w:rsidP="00E503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Eurostat</w:t>
            </w:r>
          </w:p>
        </w:tc>
      </w:tr>
      <w:tr w:rsidR="000979EC" w:rsidRPr="00894C66" w14:paraId="740F9A11" w14:textId="77777777" w:rsidTr="00E503A5">
        <w:trPr>
          <w:trHeight w:val="145"/>
        </w:trPr>
        <w:tc>
          <w:tcPr>
            <w:tcW w:w="1976" w:type="dxa"/>
          </w:tcPr>
          <w:p w14:paraId="32C1DB64" w14:textId="77777777" w:rsidR="000979EC" w:rsidRDefault="000979EC" w:rsidP="00E503A5">
            <w:pPr>
              <w:pStyle w:val="Marginlie"/>
            </w:pPr>
            <w:r>
              <w:t>Příjmy sektoru vládních institucí nerostly tak silně jako dříve.</w:t>
            </w:r>
          </w:p>
        </w:tc>
        <w:tc>
          <w:tcPr>
            <w:tcW w:w="277" w:type="dxa"/>
          </w:tcPr>
          <w:p w14:paraId="520A6012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73147D16" w14:textId="4595E443" w:rsidR="000979EC" w:rsidRPr="007834C9" w:rsidRDefault="000979EC" w:rsidP="00E503A5">
            <w:r>
              <w:t>Příjmy vládních institucí loni činily 2 381,2</w:t>
            </w:r>
            <w:r w:rsidR="00A21624">
              <w:t> mld.</w:t>
            </w:r>
            <w:r>
              <w:t xml:space="preserve"> korun </w:t>
            </w:r>
            <w:r w:rsidR="001A33A3">
              <w:t>a </w:t>
            </w:r>
            <w:r>
              <w:t xml:space="preserve">meziročně se zvýšily </w:t>
            </w:r>
            <w:r w:rsidR="001A33A3">
              <w:t>o </w:t>
            </w:r>
            <w:r>
              <w:t>135,3</w:t>
            </w:r>
            <w:r w:rsidR="00BF6EE6">
              <w:t> </w:t>
            </w:r>
            <w:r>
              <w:t>mld. (6,0</w:t>
            </w:r>
            <w:r w:rsidR="00F118D5">
              <w:t> %</w:t>
            </w:r>
            <w:r>
              <w:t xml:space="preserve">). Přírůstek výrazně zpomalil oproti roku 2018 (tehdy se příjmy navýšily </w:t>
            </w:r>
            <w:r w:rsidR="001A33A3">
              <w:t>o </w:t>
            </w:r>
            <w:r>
              <w:t>177,0</w:t>
            </w:r>
            <w:r w:rsidR="00A21624">
              <w:t> mld.</w:t>
            </w:r>
            <w:r>
              <w:t>, tedy 8,6</w:t>
            </w:r>
            <w:r w:rsidR="00F118D5">
              <w:t> %</w:t>
            </w:r>
            <w:r>
              <w:t xml:space="preserve">). Růst příjmů stále výrazně podporovaly jejich nejvýznamnější zdroje – přijaté čisté sociální příspěvky. Ty se loni zvýšily </w:t>
            </w:r>
            <w:r w:rsidR="001A33A3">
              <w:t>o </w:t>
            </w:r>
            <w:r>
              <w:t xml:space="preserve">61,2 mld. korun, ale přírůstek oproti předchozímu roku zmírnil společně s útlumem mzdové dynamiky. Další významný zdroj – přijaté daně z výroby </w:t>
            </w:r>
            <w:r w:rsidR="001A33A3">
              <w:t>a </w:t>
            </w:r>
            <w:r>
              <w:t xml:space="preserve">dovozu – narostl </w:t>
            </w:r>
            <w:r w:rsidR="001A33A3">
              <w:lastRenderedPageBreak/>
              <w:t>o </w:t>
            </w:r>
            <w:r>
              <w:t>41,9</w:t>
            </w:r>
            <w:r w:rsidR="00BF6EE6">
              <w:t> </w:t>
            </w:r>
            <w:r>
              <w:t xml:space="preserve">mld. korun </w:t>
            </w:r>
            <w:r w:rsidR="001A33A3">
              <w:t>a </w:t>
            </w:r>
            <w:r w:rsidR="003733A0">
              <w:t xml:space="preserve">jeho </w:t>
            </w:r>
            <w:r>
              <w:t xml:space="preserve">přírůstek se meziročně zdvojnásobil. Z toho se objem daní z produktů zvýšil </w:t>
            </w:r>
            <w:r w:rsidR="001A33A3">
              <w:t>o </w:t>
            </w:r>
            <w:r>
              <w:t>26,9</w:t>
            </w:r>
            <w:r w:rsidR="00A21624">
              <w:t> mld.</w:t>
            </w:r>
            <w:r>
              <w:t xml:space="preserve"> korun </w:t>
            </w:r>
            <w:r w:rsidR="001A33A3">
              <w:t>a </w:t>
            </w:r>
            <w:r>
              <w:t xml:space="preserve">ostatních daní z výroby </w:t>
            </w:r>
            <w:r w:rsidR="001A33A3">
              <w:t>o </w:t>
            </w:r>
            <w:r>
              <w:t>10,4 mld.</w:t>
            </w:r>
            <w:r>
              <w:rPr>
                <w:rStyle w:val="Znakapoznpodarou"/>
              </w:rPr>
              <w:footnoteReference w:id="2"/>
            </w:r>
            <w:r>
              <w:t xml:space="preserve"> Objem přijatých běžných daní z důchodů </w:t>
            </w:r>
            <w:r w:rsidR="001A33A3">
              <w:t>a </w:t>
            </w:r>
            <w:r>
              <w:t xml:space="preserve">jmění se zvýšil </w:t>
            </w:r>
            <w:r w:rsidR="001A33A3">
              <w:t>o </w:t>
            </w:r>
            <w:r>
              <w:t>24,0</w:t>
            </w:r>
            <w:r w:rsidR="00A21624">
              <w:t> mld.</w:t>
            </w:r>
            <w:r>
              <w:t>, což je výrazně méně než v předchozím roce. Hodnota t</w:t>
            </w:r>
            <w:r w:rsidRPr="00C43C5B">
              <w:t xml:space="preserve">ržní produkce, produkce pro vlastní užití </w:t>
            </w:r>
            <w:r w:rsidR="001A33A3" w:rsidRPr="00C43C5B">
              <w:t>a</w:t>
            </w:r>
            <w:r w:rsidR="001A33A3">
              <w:t> </w:t>
            </w:r>
            <w:r w:rsidRPr="00C43C5B">
              <w:t>plat</w:t>
            </w:r>
            <w:r>
              <w:t>e</w:t>
            </w:r>
            <w:r w:rsidRPr="00C43C5B">
              <w:t>b za ostatní netržní produkci</w:t>
            </w:r>
            <w:r>
              <w:t xml:space="preserve"> se zvýšila </w:t>
            </w:r>
            <w:r w:rsidR="001A33A3">
              <w:t>o </w:t>
            </w:r>
            <w:r>
              <w:t>8,0</w:t>
            </w:r>
            <w:r w:rsidR="00A21624">
              <w:t> mld.</w:t>
            </w:r>
            <w:r>
              <w:t xml:space="preserve"> Objem přijatých kapitálových transferů vzrostl </w:t>
            </w:r>
            <w:r w:rsidR="001A33A3">
              <w:t>o </w:t>
            </w:r>
            <w:r>
              <w:t>1,6</w:t>
            </w:r>
            <w:r w:rsidR="00A21624">
              <w:t> mld.</w:t>
            </w:r>
            <w:r>
              <w:t xml:space="preserve"> korun, podstatně méně než v roce 2018. Přijaté ostatní běžné transfery narostly </w:t>
            </w:r>
            <w:r w:rsidR="001A33A3">
              <w:t>o </w:t>
            </w:r>
            <w:r>
              <w:t>1,3</w:t>
            </w:r>
            <w:r w:rsidR="00A21624">
              <w:t> mld.</w:t>
            </w:r>
            <w:r>
              <w:t xml:space="preserve"> korun </w:t>
            </w:r>
            <w:r w:rsidR="001A33A3">
              <w:t>a </w:t>
            </w:r>
            <w:r>
              <w:t xml:space="preserve">byly druhou položkou, jejíž výrazný přírůstek se loni neudržel. </w:t>
            </w:r>
            <w:r w:rsidR="001A33A3">
              <w:t>O </w:t>
            </w:r>
            <w:r>
              <w:t>2,7</w:t>
            </w:r>
            <w:r w:rsidR="00A21624">
              <w:t> mld.</w:t>
            </w:r>
            <w:r>
              <w:t xml:space="preserve"> korun klesl objem přijatých důchodů z vlastnictví.</w:t>
            </w:r>
          </w:p>
        </w:tc>
      </w:tr>
      <w:tr w:rsidR="000979EC" w:rsidRPr="00894C66" w14:paraId="34708909" w14:textId="77777777" w:rsidTr="00E503A5">
        <w:trPr>
          <w:trHeight w:val="145"/>
        </w:trPr>
        <w:tc>
          <w:tcPr>
            <w:tcW w:w="1976" w:type="dxa"/>
          </w:tcPr>
          <w:p w14:paraId="15967FBB" w14:textId="73C59B07" w:rsidR="000979EC" w:rsidRDefault="000979EC" w:rsidP="00E503A5">
            <w:pPr>
              <w:pStyle w:val="Marginlie"/>
            </w:pPr>
            <w:r>
              <w:lastRenderedPageBreak/>
              <w:t xml:space="preserve">Výdaje navyšoval růst sociálních dávek </w:t>
            </w:r>
            <w:r w:rsidR="001A33A3">
              <w:t>a </w:t>
            </w:r>
            <w:r>
              <w:t xml:space="preserve">naturálních sociálních transferů, investiční aktivita </w:t>
            </w:r>
            <w:r w:rsidR="001A33A3">
              <w:t>i </w:t>
            </w:r>
            <w:r>
              <w:t>náhrady zaměstnancům.</w:t>
            </w:r>
          </w:p>
        </w:tc>
        <w:tc>
          <w:tcPr>
            <w:tcW w:w="277" w:type="dxa"/>
          </w:tcPr>
          <w:p w14:paraId="49AEDEA8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54A0B5F0" w14:textId="5D7230BE" w:rsidR="000979EC" w:rsidRPr="007834C9" w:rsidRDefault="000979EC" w:rsidP="00E503A5">
            <w:r>
              <w:t>Výdaje vládních institucí loni dosáhly 2 365,9</w:t>
            </w:r>
            <w:r w:rsidR="00A21624">
              <w:t> mld.</w:t>
            </w:r>
            <w:r>
              <w:t xml:space="preserve"> korun </w:t>
            </w:r>
            <w:r w:rsidR="001A33A3">
              <w:t>a </w:t>
            </w:r>
            <w:r>
              <w:t xml:space="preserve">meziročně se zvýšily </w:t>
            </w:r>
            <w:r w:rsidR="001A33A3">
              <w:t>o </w:t>
            </w:r>
            <w:r>
              <w:t>169,2</w:t>
            </w:r>
            <w:r w:rsidR="00A21624">
              <w:t> mld.</w:t>
            </w:r>
            <w:r>
              <w:t xml:space="preserve"> (7,7</w:t>
            </w:r>
            <w:r w:rsidR="00F118D5">
              <w:t> %</w:t>
            </w:r>
            <w:r>
              <w:t xml:space="preserve">). Dynamika výdajů oproti roku 2018 mírně zvolnila. Největší porci z loňského přírůstku výdajů představovaly </w:t>
            </w:r>
            <w:r w:rsidRPr="006829A2">
              <w:t xml:space="preserve">sociální dávky </w:t>
            </w:r>
            <w:r w:rsidR="001A33A3" w:rsidRPr="006829A2">
              <w:t>a</w:t>
            </w:r>
            <w:r w:rsidR="001A33A3">
              <w:t> </w:t>
            </w:r>
            <w:r w:rsidRPr="006829A2">
              <w:t>naturální sociální transfery</w:t>
            </w:r>
            <w:r>
              <w:t xml:space="preserve">. Ty loni narostly </w:t>
            </w:r>
            <w:r w:rsidR="001A33A3">
              <w:t>o </w:t>
            </w:r>
            <w:r>
              <w:t>65,8</w:t>
            </w:r>
            <w:r w:rsidR="00A21624">
              <w:t> mld.</w:t>
            </w:r>
            <w:r>
              <w:t xml:space="preserve"> korun, nejvíce v celé dostupné časové řadě (přírůstek zrychlil z 5,5</w:t>
            </w:r>
            <w:r w:rsidR="00F118D5">
              <w:t> %</w:t>
            </w:r>
            <w:r>
              <w:t xml:space="preserve"> na 7,5</w:t>
            </w:r>
            <w:r w:rsidR="00F118D5">
              <w:t> %</w:t>
            </w:r>
            <w:r>
              <w:t xml:space="preserve">). Z toho samotné sociální dávky (ovlivněné především starobními důchody) rostly </w:t>
            </w:r>
            <w:r w:rsidR="001A33A3">
              <w:t>o </w:t>
            </w:r>
            <w:r>
              <w:t xml:space="preserve">49,0 mld. Naturální sociální transfery se navýšily </w:t>
            </w:r>
            <w:r w:rsidR="001A33A3">
              <w:t>o </w:t>
            </w:r>
            <w:r>
              <w:t>16,7</w:t>
            </w:r>
            <w:r w:rsidR="00A21624">
              <w:t> mld.</w:t>
            </w:r>
            <w:r>
              <w:t xml:space="preserve"> (více než dvojnásobný nárůst ve srovnání s rokem 2018). Pokračoval silný růst náhrad zaměstnancům (+53,5</w:t>
            </w:r>
            <w:r w:rsidR="00A21624">
              <w:t> mld.</w:t>
            </w:r>
            <w:r>
              <w:t xml:space="preserve"> korun). Nárůst zde mírně zvolnil, ale </w:t>
            </w:r>
            <w:r w:rsidR="001A33A3">
              <w:t>i </w:t>
            </w:r>
            <w:r>
              <w:t xml:space="preserve">tak byl již třetím rokem více než 10%. Položka náhrad zaměstnancům se za období 2017–2019 zvýšila </w:t>
            </w:r>
            <w:r w:rsidR="001A33A3">
              <w:t>o </w:t>
            </w:r>
            <w:r>
              <w:t>36,9</w:t>
            </w:r>
            <w:r w:rsidR="00F118D5">
              <w:t> %</w:t>
            </w:r>
            <w:r>
              <w:t xml:space="preserve"> </w:t>
            </w:r>
            <w:r w:rsidR="001A33A3">
              <w:t>a </w:t>
            </w:r>
            <w:r>
              <w:t>její podíl na celkových výdajích sektoru loni činil 24,3</w:t>
            </w:r>
            <w:r w:rsidR="00F118D5">
              <w:t> %</w:t>
            </w:r>
            <w:r>
              <w:t xml:space="preserve"> (20,5</w:t>
            </w:r>
            <w:r w:rsidR="00F118D5">
              <w:t> %</w:t>
            </w:r>
            <w:r>
              <w:t xml:space="preserve"> v roce 2015). Třetím rokem pokračoval růst výdajů na tvorbu hrubého kapitálu. Ty se zvýšily </w:t>
            </w:r>
            <w:r w:rsidR="001A33A3">
              <w:t>o </w:t>
            </w:r>
            <w:r>
              <w:t>27,4</w:t>
            </w:r>
            <w:r w:rsidR="00A21624">
              <w:t> mld.</w:t>
            </w:r>
            <w:r>
              <w:t xml:space="preserve"> korun (11,9</w:t>
            </w:r>
            <w:r w:rsidR="00F118D5">
              <w:t> %</w:t>
            </w:r>
            <w:r>
              <w:t xml:space="preserve">). Z toho samotná investiční aktivita vzrostla </w:t>
            </w:r>
            <w:r w:rsidR="001A33A3">
              <w:t>o </w:t>
            </w:r>
            <w:r>
              <w:t>24,0</w:t>
            </w:r>
            <w:r w:rsidR="00A21624">
              <w:t> mld.</w:t>
            </w:r>
            <w:r>
              <w:t xml:space="preserve"> Mezispotřeba se loni nezvýšila tak silně jako v předchozím roce, ale stále byl přírůstek 8,1</w:t>
            </w:r>
            <w:r w:rsidR="00A21624">
              <w:t> mld.</w:t>
            </w:r>
            <w:r>
              <w:t xml:space="preserve"> nadprůměrný. Druhým rokem se udržel poměrně výrazný přírůstek vyplacených dotací (+10,3</w:t>
            </w:r>
            <w:r w:rsidR="00A21624">
              <w:t> mld.</w:t>
            </w:r>
            <w:r>
              <w:t xml:space="preserve"> korun).</w:t>
            </w:r>
          </w:p>
        </w:tc>
      </w:tr>
      <w:tr w:rsidR="000979EC" w:rsidRPr="00894C66" w14:paraId="0BF76324" w14:textId="77777777" w:rsidTr="00E503A5">
        <w:trPr>
          <w:trHeight w:val="170"/>
        </w:trPr>
        <w:tc>
          <w:tcPr>
            <w:tcW w:w="1976" w:type="dxa"/>
            <w:vMerge w:val="restart"/>
          </w:tcPr>
          <w:p w14:paraId="5C45F7BC" w14:textId="77777777" w:rsidR="000979EC" w:rsidRDefault="000979EC" w:rsidP="00E503A5">
            <w:pPr>
              <w:pStyle w:val="Marginlie"/>
            </w:pPr>
          </w:p>
        </w:tc>
        <w:tc>
          <w:tcPr>
            <w:tcW w:w="277" w:type="dxa"/>
            <w:vMerge w:val="restart"/>
          </w:tcPr>
          <w:p w14:paraId="033DBC7F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7274F567" w14:textId="3F68F322" w:rsidR="000979EC" w:rsidRPr="007834C9" w:rsidRDefault="000979EC" w:rsidP="00E503A5">
            <w:pPr>
              <w:spacing w:after="0"/>
            </w:pPr>
            <w:r w:rsidRPr="002A0077">
              <w:rPr>
                <w:b/>
              </w:rPr>
              <w:t xml:space="preserve">Graf </w:t>
            </w:r>
            <w:r w:rsidR="00A21624">
              <w:rPr>
                <w:b/>
              </w:rPr>
              <w:t>č. </w:t>
            </w:r>
            <w:r w:rsidR="001A33A3">
              <w:rPr>
                <w:b/>
              </w:rPr>
              <w:t>9</w:t>
            </w:r>
            <w:r w:rsidR="001A480E">
              <w:rPr>
                <w:b/>
              </w:rPr>
              <w:t xml:space="preserve">  </w:t>
            </w:r>
            <w:r>
              <w:rPr>
                <w:b/>
                <w:lang w:eastAsia="en-US"/>
              </w:rPr>
              <w:t xml:space="preserve">Příjmy, výdaje </w:t>
            </w:r>
            <w:r w:rsidR="001A33A3">
              <w:rPr>
                <w:b/>
                <w:lang w:eastAsia="en-US"/>
              </w:rPr>
              <w:t>a </w:t>
            </w:r>
            <w:r>
              <w:rPr>
                <w:b/>
                <w:lang w:eastAsia="en-US"/>
              </w:rPr>
              <w:t>č</w:t>
            </w:r>
            <w:r w:rsidRPr="005263D4">
              <w:rPr>
                <w:b/>
                <w:lang w:eastAsia="en-US"/>
              </w:rPr>
              <w:t>isté půjčky/výpůjčky</w:t>
            </w:r>
            <w:r>
              <w:rPr>
                <w:b/>
                <w:lang w:eastAsia="en-US"/>
              </w:rPr>
              <w:t xml:space="preserve"> vládních institucí </w:t>
            </w:r>
            <w:r w:rsidRPr="00E76E49">
              <w:rPr>
                <w:lang w:eastAsia="en-US"/>
              </w:rPr>
              <w:t>(v</w:t>
            </w:r>
            <w:r w:rsidR="00A21624">
              <w:rPr>
                <w:lang w:eastAsia="en-US"/>
              </w:rPr>
              <w:t> mld.</w:t>
            </w:r>
            <w:r w:rsidRPr="00E76E49">
              <w:rPr>
                <w:lang w:eastAsia="en-US"/>
              </w:rPr>
              <w:t xml:space="preserve"> korun</w:t>
            </w:r>
            <w:r>
              <w:rPr>
                <w:spacing w:val="-2"/>
                <w:lang w:eastAsia="en-US"/>
              </w:rPr>
              <w:t>)</w:t>
            </w:r>
          </w:p>
        </w:tc>
      </w:tr>
      <w:tr w:rsidR="000979EC" w:rsidRPr="00894C66" w14:paraId="0A73F957" w14:textId="77777777" w:rsidTr="00E503A5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976" w:type="dxa"/>
            <w:vMerge/>
          </w:tcPr>
          <w:p w14:paraId="2CA303B7" w14:textId="77777777" w:rsidR="000979EC" w:rsidRDefault="000979EC" w:rsidP="00E503A5">
            <w:pPr>
              <w:pStyle w:val="Marginlie"/>
            </w:pPr>
          </w:p>
        </w:tc>
        <w:tc>
          <w:tcPr>
            <w:tcW w:w="277" w:type="dxa"/>
            <w:vMerge/>
          </w:tcPr>
          <w:p w14:paraId="04D260B2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15D43EA5" w14:textId="77777777" w:rsidR="000979EC" w:rsidRPr="007834C9" w:rsidRDefault="000979EC" w:rsidP="00E503A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EE8BDDD" wp14:editId="4849BA76">
                  <wp:extent cx="4604385" cy="3453130"/>
                  <wp:effectExtent l="0" t="0" r="5715" b="0"/>
                  <wp:docPr id="15" name="Graf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0979EC" w:rsidRPr="00894C66" w14:paraId="06708C35" w14:textId="77777777" w:rsidTr="00E503A5">
        <w:trPr>
          <w:trHeight w:val="170"/>
        </w:trPr>
        <w:tc>
          <w:tcPr>
            <w:tcW w:w="1976" w:type="dxa"/>
            <w:vMerge/>
          </w:tcPr>
          <w:p w14:paraId="1E313754" w14:textId="77777777" w:rsidR="000979EC" w:rsidRDefault="000979EC" w:rsidP="00E503A5">
            <w:pPr>
              <w:pStyle w:val="Marginlie"/>
            </w:pPr>
          </w:p>
        </w:tc>
        <w:tc>
          <w:tcPr>
            <w:tcW w:w="277" w:type="dxa"/>
            <w:vMerge/>
          </w:tcPr>
          <w:p w14:paraId="6124583F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4A5A54B5" w14:textId="77777777" w:rsidR="000979EC" w:rsidRPr="002A0077" w:rsidRDefault="000979EC" w:rsidP="00E503A5">
            <w:pPr>
              <w:rPr>
                <w:sz w:val="14"/>
                <w:szCs w:val="14"/>
              </w:rPr>
            </w:pPr>
            <w:r w:rsidRPr="002A0077">
              <w:rPr>
                <w:sz w:val="14"/>
                <w:szCs w:val="14"/>
              </w:rPr>
              <w:t>Zdroj: ČSÚ</w:t>
            </w:r>
          </w:p>
        </w:tc>
      </w:tr>
      <w:tr w:rsidR="000979EC" w:rsidRPr="00894C66" w14:paraId="70370CBE" w14:textId="77777777" w:rsidTr="00E503A5">
        <w:trPr>
          <w:trHeight w:val="145"/>
        </w:trPr>
        <w:tc>
          <w:tcPr>
            <w:tcW w:w="1976" w:type="dxa"/>
          </w:tcPr>
          <w:p w14:paraId="26BF88AD" w14:textId="77777777" w:rsidR="000979EC" w:rsidRDefault="000979EC" w:rsidP="00E503A5">
            <w:pPr>
              <w:pStyle w:val="Marginlie"/>
            </w:pPr>
            <w:r>
              <w:t>Ústřední vládní instituce spadly do deficitu.</w:t>
            </w:r>
          </w:p>
        </w:tc>
        <w:tc>
          <w:tcPr>
            <w:tcW w:w="277" w:type="dxa"/>
          </w:tcPr>
          <w:p w14:paraId="1CEB09E6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7FE7871B" w14:textId="05F20F40" w:rsidR="000979EC" w:rsidRPr="007834C9" w:rsidRDefault="000979EC" w:rsidP="00E503A5">
            <w:r>
              <w:t xml:space="preserve">Pohled na vývoj v jednotlivých subsektorech ukazuje, že celkový pokles kladného salda lze přičíst na vrub ústředním vládním institucím, které se loni propadly do </w:t>
            </w:r>
            <w:r>
              <w:lastRenderedPageBreak/>
              <w:t xml:space="preserve">deficitu po dvou letech přebytkového hospodaření. Ústřední vládní instituce totiž nesou hlavní břemeno sociálních dávek, které loni na výdajové stránce nejvíce narostly. Výdaje se tak zvýšily více než v předchozím roce – </w:t>
            </w:r>
            <w:r w:rsidR="001A33A3">
              <w:t>o </w:t>
            </w:r>
            <w:r>
              <w:t>136,3</w:t>
            </w:r>
            <w:r w:rsidR="00A21624">
              <w:t> mld.</w:t>
            </w:r>
            <w:r>
              <w:t xml:space="preserve"> korun (8,7</w:t>
            </w:r>
            <w:r w:rsidR="00BF6EE6">
              <w:t> </w:t>
            </w:r>
            <w:r>
              <w:t xml:space="preserve">%). Z toho sociální dávky </w:t>
            </w:r>
            <w:r w:rsidR="001A33A3">
              <w:t>a </w:t>
            </w:r>
            <w:r>
              <w:t xml:space="preserve">naturální sociální transfery se navýšily </w:t>
            </w:r>
            <w:r w:rsidR="001A33A3">
              <w:t>o </w:t>
            </w:r>
            <w:r>
              <w:t>52,2</w:t>
            </w:r>
            <w:r w:rsidR="00A21624">
              <w:t> mld.</w:t>
            </w:r>
            <w:r>
              <w:t xml:space="preserve"> korun (v předchozím roce </w:t>
            </w:r>
            <w:r w:rsidR="001A33A3">
              <w:t>o </w:t>
            </w:r>
            <w:r>
              <w:t>33,3</w:t>
            </w:r>
            <w:r w:rsidR="00A21624">
              <w:t> mld.</w:t>
            </w:r>
            <w:r>
              <w:t xml:space="preserve">). Výdaje na tvorbu hrubého kapitálu posílily </w:t>
            </w:r>
            <w:r w:rsidR="001A33A3">
              <w:t>o </w:t>
            </w:r>
            <w:r>
              <w:t xml:space="preserve">23,1 mld. korun </w:t>
            </w:r>
            <w:r w:rsidR="001A33A3">
              <w:t>a </w:t>
            </w:r>
            <w:r>
              <w:t xml:space="preserve">náhrady zaměstnancům rostly </w:t>
            </w:r>
            <w:r w:rsidR="001A33A3">
              <w:t>o </w:t>
            </w:r>
            <w:r>
              <w:t>21,2</w:t>
            </w:r>
            <w:r w:rsidR="00A21624">
              <w:t> mld.</w:t>
            </w:r>
            <w:r>
              <w:t xml:space="preserve"> Růst příjmů ústředních vládních institucí naopak meziročně oslabil na 95,6</w:t>
            </w:r>
            <w:r w:rsidR="00A21624">
              <w:t> mld.</w:t>
            </w:r>
            <w:r>
              <w:t xml:space="preserve"> (6,0</w:t>
            </w:r>
            <w:r w:rsidR="00F118D5">
              <w:t> %</w:t>
            </w:r>
            <w:r>
              <w:t xml:space="preserve">). Na straně příjmů sice posílil nárůst přijatých daní z výroby </w:t>
            </w:r>
            <w:r w:rsidR="001A33A3">
              <w:t>a </w:t>
            </w:r>
            <w:r>
              <w:t>dovozu na 31,6</w:t>
            </w:r>
            <w:r w:rsidR="00A21624">
              <w:t> mld.</w:t>
            </w:r>
            <w:r>
              <w:t xml:space="preserve"> korun, ale další důležité zdroje na silný rok 2018 nenavázaly. Přijaté běžné daně z důchodů </w:t>
            </w:r>
            <w:r w:rsidR="001A33A3">
              <w:t>a </w:t>
            </w:r>
            <w:r>
              <w:t xml:space="preserve">jmění narostly </w:t>
            </w:r>
            <w:r w:rsidR="001A33A3">
              <w:t>o </w:t>
            </w:r>
            <w:r>
              <w:t>15,6</w:t>
            </w:r>
            <w:r w:rsidR="00A21624">
              <w:t> mld.</w:t>
            </w:r>
            <w:r>
              <w:t xml:space="preserve"> korun (nejméně od roku 2015), na 39,6 mld. oslabil také přírůstek přijatých sociálních příspěvků. Ostatní běžné transfery vzrostly </w:t>
            </w:r>
            <w:r w:rsidR="001A33A3">
              <w:t>o </w:t>
            </w:r>
            <w:r>
              <w:t>6,0</w:t>
            </w:r>
            <w:r w:rsidR="00A21624">
              <w:t> mld.</w:t>
            </w:r>
            <w:r>
              <w:t xml:space="preserve"> (polovina oproti roku 2018).</w:t>
            </w:r>
          </w:p>
        </w:tc>
      </w:tr>
      <w:tr w:rsidR="000979EC" w:rsidRPr="00894C66" w14:paraId="7A3C15E3" w14:textId="77777777" w:rsidTr="00E503A5">
        <w:trPr>
          <w:trHeight w:val="170"/>
        </w:trPr>
        <w:tc>
          <w:tcPr>
            <w:tcW w:w="1976" w:type="dxa"/>
            <w:vMerge w:val="restart"/>
          </w:tcPr>
          <w:p w14:paraId="0AF0D1A2" w14:textId="77777777" w:rsidR="000979EC" w:rsidRDefault="000979EC" w:rsidP="00E503A5">
            <w:pPr>
              <w:pStyle w:val="Marginlie"/>
            </w:pPr>
          </w:p>
        </w:tc>
        <w:tc>
          <w:tcPr>
            <w:tcW w:w="277" w:type="dxa"/>
            <w:vMerge w:val="restart"/>
          </w:tcPr>
          <w:p w14:paraId="53A6EA06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456CCE88" w14:textId="3FC46259" w:rsidR="000979EC" w:rsidRPr="007834C9" w:rsidRDefault="000979EC" w:rsidP="00976681">
            <w:pPr>
              <w:spacing w:after="0"/>
            </w:pPr>
            <w:r w:rsidRPr="00976681">
              <w:rPr>
                <w:b/>
              </w:rPr>
              <w:t xml:space="preserve">Graf </w:t>
            </w:r>
            <w:r w:rsidR="00A21624" w:rsidRPr="00976681">
              <w:rPr>
                <w:b/>
              </w:rPr>
              <w:t>č. </w:t>
            </w:r>
            <w:r w:rsidR="00E503A5" w:rsidRPr="00976681">
              <w:rPr>
                <w:b/>
              </w:rPr>
              <w:t>10</w:t>
            </w:r>
            <w:r w:rsidRPr="00C83FAA">
              <w:rPr>
                <w:b/>
                <w:bCs/>
              </w:rPr>
              <w:t xml:space="preserve">  </w:t>
            </w:r>
            <w:r w:rsidRPr="005263D4">
              <w:rPr>
                <w:b/>
                <w:lang w:eastAsia="en-US"/>
              </w:rPr>
              <w:t>Čisté půjčky</w:t>
            </w:r>
            <w:r w:rsidR="00C83FAA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(</w:t>
            </w:r>
            <w:r w:rsidR="00976681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>)</w:t>
            </w:r>
            <w:r w:rsidR="00C83FAA">
              <w:rPr>
                <w:b/>
                <w:lang w:eastAsia="en-US"/>
              </w:rPr>
              <w:t xml:space="preserve"> </w:t>
            </w:r>
            <w:r w:rsidRPr="005263D4">
              <w:rPr>
                <w:b/>
                <w:lang w:eastAsia="en-US"/>
              </w:rPr>
              <w:t>/</w:t>
            </w:r>
            <w:r w:rsidR="00C83FAA">
              <w:rPr>
                <w:b/>
                <w:lang w:eastAsia="en-US"/>
              </w:rPr>
              <w:t xml:space="preserve"> </w:t>
            </w:r>
            <w:r w:rsidRPr="005263D4">
              <w:rPr>
                <w:b/>
                <w:lang w:eastAsia="en-US"/>
              </w:rPr>
              <w:t>výpůjčky</w:t>
            </w:r>
            <w:r w:rsidR="00C83FAA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(</w:t>
            </w:r>
            <w:r w:rsidR="00976681">
              <w:rPr>
                <w:b/>
                <w:lang w:eastAsia="en-US"/>
              </w:rPr>
              <w:t>+</w:t>
            </w:r>
            <w:r>
              <w:rPr>
                <w:b/>
                <w:lang w:eastAsia="en-US"/>
              </w:rPr>
              <w:t>)</w:t>
            </w:r>
            <w:r w:rsidRPr="005263D4">
              <w:rPr>
                <w:b/>
                <w:lang w:eastAsia="en-US"/>
              </w:rPr>
              <w:t xml:space="preserve"> vládních institucí v členění na subsektory </w:t>
            </w:r>
            <w:r w:rsidRPr="00ED61AD">
              <w:rPr>
                <w:lang w:eastAsia="en-US"/>
              </w:rPr>
              <w:t>(</w:t>
            </w:r>
            <w:r w:rsidRPr="005263D4">
              <w:rPr>
                <w:spacing w:val="-2"/>
                <w:lang w:eastAsia="en-US"/>
              </w:rPr>
              <w:t>v</w:t>
            </w:r>
            <w:r w:rsidR="00A21624">
              <w:rPr>
                <w:spacing w:val="-2"/>
                <w:lang w:eastAsia="en-US"/>
              </w:rPr>
              <w:t> mld.</w:t>
            </w:r>
            <w:r w:rsidRPr="005263D4">
              <w:rPr>
                <w:spacing w:val="-2"/>
                <w:lang w:eastAsia="en-US"/>
              </w:rPr>
              <w:t xml:space="preserve"> korun, b</w:t>
            </w:r>
            <w:r>
              <w:rPr>
                <w:spacing w:val="-2"/>
                <w:lang w:eastAsia="en-US"/>
              </w:rPr>
              <w:t>ěžné ceny</w:t>
            </w:r>
            <w:r w:rsidRPr="00ED61AD">
              <w:rPr>
                <w:lang w:eastAsia="en-US"/>
              </w:rPr>
              <w:t>)</w:t>
            </w:r>
          </w:p>
        </w:tc>
      </w:tr>
      <w:tr w:rsidR="000979EC" w:rsidRPr="00894C66" w14:paraId="60A5C4F4" w14:textId="77777777" w:rsidTr="00E503A5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976" w:type="dxa"/>
            <w:vMerge/>
          </w:tcPr>
          <w:p w14:paraId="6E20A78A" w14:textId="77777777" w:rsidR="000979EC" w:rsidRDefault="000979EC" w:rsidP="00E503A5">
            <w:pPr>
              <w:pStyle w:val="Marginlie"/>
            </w:pPr>
          </w:p>
        </w:tc>
        <w:tc>
          <w:tcPr>
            <w:tcW w:w="277" w:type="dxa"/>
            <w:vMerge/>
          </w:tcPr>
          <w:p w14:paraId="75C83F8F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1E3B367B" w14:textId="77777777" w:rsidR="000979EC" w:rsidRPr="007834C9" w:rsidRDefault="000979EC" w:rsidP="00E503A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4DD660F3" wp14:editId="34523653">
                  <wp:extent cx="4604385" cy="3453130"/>
                  <wp:effectExtent l="0" t="0" r="5715" b="0"/>
                  <wp:docPr id="16" name="Graf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0979EC" w:rsidRPr="00894C66" w14:paraId="51CC86C9" w14:textId="77777777" w:rsidTr="00E503A5">
        <w:trPr>
          <w:trHeight w:val="170"/>
        </w:trPr>
        <w:tc>
          <w:tcPr>
            <w:tcW w:w="1976" w:type="dxa"/>
            <w:vMerge/>
          </w:tcPr>
          <w:p w14:paraId="5281AE4A" w14:textId="77777777" w:rsidR="000979EC" w:rsidRDefault="000979EC" w:rsidP="00E503A5">
            <w:pPr>
              <w:pStyle w:val="Marginlie"/>
            </w:pPr>
          </w:p>
        </w:tc>
        <w:tc>
          <w:tcPr>
            <w:tcW w:w="277" w:type="dxa"/>
            <w:vMerge/>
          </w:tcPr>
          <w:p w14:paraId="54082B11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58691160" w14:textId="77777777" w:rsidR="000979EC" w:rsidRPr="002A0077" w:rsidRDefault="000979EC" w:rsidP="00E503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</w:t>
            </w:r>
          </w:p>
        </w:tc>
      </w:tr>
      <w:tr w:rsidR="000979EC" w:rsidRPr="00894C66" w14:paraId="6CE5A945" w14:textId="77777777" w:rsidTr="00E503A5">
        <w:trPr>
          <w:trHeight w:val="145"/>
        </w:trPr>
        <w:tc>
          <w:tcPr>
            <w:tcW w:w="1976" w:type="dxa"/>
          </w:tcPr>
          <w:p w14:paraId="2E5BB0FA" w14:textId="77777777" w:rsidR="000979EC" w:rsidRDefault="000979EC" w:rsidP="00E503A5">
            <w:pPr>
              <w:pStyle w:val="Marginlie"/>
            </w:pPr>
            <w:r>
              <w:t>Přebytek hospodaření místních vládních institucí posílil.</w:t>
            </w:r>
          </w:p>
        </w:tc>
        <w:tc>
          <w:tcPr>
            <w:tcW w:w="277" w:type="dxa"/>
          </w:tcPr>
          <w:p w14:paraId="0EA12623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5740D2D9" w14:textId="14D8CF89" w:rsidR="000979EC" w:rsidRDefault="000979EC" w:rsidP="00E503A5">
            <w:r>
              <w:t xml:space="preserve">Přebytek hospodaření místních vládních institucí meziročně vzrostl </w:t>
            </w:r>
            <w:r w:rsidR="001A33A3">
              <w:t>o </w:t>
            </w:r>
            <w:r>
              <w:t>12,4</w:t>
            </w:r>
            <w:r w:rsidR="00A21624">
              <w:t> mld.</w:t>
            </w:r>
            <w:r>
              <w:t xml:space="preserve"> korun na 36,0</w:t>
            </w:r>
            <w:r w:rsidR="00A21624">
              <w:t> mld.</w:t>
            </w:r>
            <w:r>
              <w:t xml:space="preserve"> Situace v tomto subsektoru byla oproti ústředním vládním institucím opačná – růst výdajů byl méně než poloviční ve srovnání s rokem 2018 (+39,0</w:t>
            </w:r>
            <w:r w:rsidR="00A21624">
              <w:t> mld.</w:t>
            </w:r>
            <w:r>
              <w:t>, 6,1</w:t>
            </w:r>
            <w:r w:rsidR="00F118D5">
              <w:t> %</w:t>
            </w:r>
            <w:r>
              <w:t>). Silné zůstalo navýšení vyplacených náhrad zaměstnancům (+31,7</w:t>
            </w:r>
            <w:r w:rsidR="00A21624">
              <w:t> mld.</w:t>
            </w:r>
            <w:r>
              <w:t xml:space="preserve"> korun). Hlavní propad na výdajové stránce proběhl </w:t>
            </w:r>
            <w:r w:rsidR="001A33A3">
              <w:t>u </w:t>
            </w:r>
            <w:r>
              <w:t xml:space="preserve">růstu výdajů na tvorbu hrubého kapitálu. Ty se loni zvýšily </w:t>
            </w:r>
            <w:r w:rsidR="001A33A3">
              <w:t>o </w:t>
            </w:r>
            <w:r>
              <w:t>3,9</w:t>
            </w:r>
            <w:r w:rsidR="00A21624">
              <w:t> mld.</w:t>
            </w:r>
            <w:r>
              <w:t xml:space="preserve"> korun (</w:t>
            </w:r>
            <w:r w:rsidR="001A33A3">
              <w:t>v </w:t>
            </w:r>
            <w:r>
              <w:t>roce 2018 to bylo 34,9</w:t>
            </w:r>
            <w:r w:rsidR="00A21624">
              <w:t> mld.</w:t>
            </w:r>
            <w:r>
              <w:t xml:space="preserve">). Propadl se objem </w:t>
            </w:r>
            <w:r w:rsidR="002D6BD2">
              <w:t>vy</w:t>
            </w:r>
            <w:r>
              <w:t xml:space="preserve">placených kapitálových transferů </w:t>
            </w:r>
            <w:r w:rsidR="001A33A3">
              <w:t>o </w:t>
            </w:r>
            <w:r>
              <w:t>6,8</w:t>
            </w:r>
            <w:r w:rsidR="00A21624">
              <w:t> mld.</w:t>
            </w:r>
            <w:r>
              <w:t xml:space="preserve"> Příjmy místních vládních institucí loni vzrostly </w:t>
            </w:r>
            <w:r w:rsidR="001A33A3">
              <w:t>o </w:t>
            </w:r>
            <w:r>
              <w:t>51,4</w:t>
            </w:r>
            <w:r w:rsidR="00A21624">
              <w:t> mld.</w:t>
            </w:r>
            <w:r>
              <w:t xml:space="preserve"> korun (7,8</w:t>
            </w:r>
            <w:r w:rsidR="00F118D5">
              <w:t> %</w:t>
            </w:r>
            <w:r>
              <w:t xml:space="preserve">), méně než v předchozím roce. Přijaté daně z výroby </w:t>
            </w:r>
            <w:r w:rsidR="001A33A3">
              <w:t>a </w:t>
            </w:r>
            <w:r>
              <w:t xml:space="preserve">dovozu se zvýšily </w:t>
            </w:r>
            <w:r w:rsidR="001A33A3">
              <w:t>o </w:t>
            </w:r>
            <w:r>
              <w:t>10,3</w:t>
            </w:r>
            <w:r w:rsidR="00A21624">
              <w:t> mld.</w:t>
            </w:r>
            <w:r>
              <w:t xml:space="preserve"> korun, přírůstek běžných daní z důchodů </w:t>
            </w:r>
            <w:r w:rsidR="001A33A3">
              <w:t>a </w:t>
            </w:r>
            <w:r>
              <w:t>jmění výrazně oslabil na 8,4</w:t>
            </w:r>
            <w:r w:rsidR="00A21624">
              <w:t> mld.</w:t>
            </w:r>
            <w:r>
              <w:t xml:space="preserve"> Naopak výrazně posílily přijaté ostatní běžné transfery (+30,3</w:t>
            </w:r>
            <w:r w:rsidR="00A21624">
              <w:t> mld.</w:t>
            </w:r>
            <w:r>
              <w:t xml:space="preserve">). Na straně příjmů chyběl </w:t>
            </w:r>
            <w:r w:rsidR="001A33A3">
              <w:t>i </w:t>
            </w:r>
            <w:r>
              <w:t xml:space="preserve">výraznější přírůstek kapitálových transferů (ty loni klesly </w:t>
            </w:r>
            <w:r w:rsidR="001A33A3">
              <w:t>o </w:t>
            </w:r>
            <w:r>
              <w:t>2,2</w:t>
            </w:r>
            <w:r w:rsidR="00A21624">
              <w:t> mld.</w:t>
            </w:r>
            <w:r>
              <w:t>).</w:t>
            </w:r>
          </w:p>
        </w:tc>
      </w:tr>
      <w:tr w:rsidR="000979EC" w:rsidRPr="00894C66" w14:paraId="0BC3C5DB" w14:textId="77777777" w:rsidTr="00E503A5">
        <w:trPr>
          <w:trHeight w:val="145"/>
        </w:trPr>
        <w:tc>
          <w:tcPr>
            <w:tcW w:w="1976" w:type="dxa"/>
          </w:tcPr>
          <w:p w14:paraId="419B9F1F" w14:textId="77777777" w:rsidR="000979EC" w:rsidRDefault="000979EC" w:rsidP="00E503A5">
            <w:pPr>
              <w:pStyle w:val="Marginlie"/>
            </w:pPr>
            <w:r>
              <w:lastRenderedPageBreak/>
              <w:t>Zdravotní pojišťovny zaznamenaly oslabení růstu příjmů.</w:t>
            </w:r>
          </w:p>
        </w:tc>
        <w:tc>
          <w:tcPr>
            <w:tcW w:w="277" w:type="dxa"/>
          </w:tcPr>
          <w:p w14:paraId="0A344733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129C2853" w14:textId="3BBE4D7B" w:rsidR="000979EC" w:rsidRDefault="000979EC" w:rsidP="00E503A5">
            <w:r>
              <w:t>Fondy sociálního zabezpečení</w:t>
            </w:r>
            <w:r>
              <w:rPr>
                <w:rStyle w:val="Znakapoznpodarou"/>
              </w:rPr>
              <w:footnoteReference w:id="3"/>
            </w:r>
            <w:r>
              <w:t xml:space="preserve"> hospodařily s přebytkem pátý rok v řadě. Kladné saldo 11,1</w:t>
            </w:r>
            <w:r w:rsidR="00A21624">
              <w:t> mld.</w:t>
            </w:r>
            <w:r>
              <w:t xml:space="preserve"> korun bylo meziročně nižší </w:t>
            </w:r>
            <w:r w:rsidR="001A33A3">
              <w:t>o </w:t>
            </w:r>
            <w:r>
              <w:t>5,6</w:t>
            </w:r>
            <w:r w:rsidR="00A21624">
              <w:t> mld.</w:t>
            </w:r>
            <w:r>
              <w:t xml:space="preserve"> Důvodem bylo oslabení růstu příjmů na 21,3</w:t>
            </w:r>
            <w:r w:rsidR="00A21624">
              <w:t> mld.</w:t>
            </w:r>
            <w:r>
              <w:t xml:space="preserve"> (6,8</w:t>
            </w:r>
            <w:r w:rsidR="00F118D5">
              <w:t> %</w:t>
            </w:r>
            <w:r>
              <w:t xml:space="preserve">) </w:t>
            </w:r>
            <w:r w:rsidR="001A33A3">
              <w:t>a </w:t>
            </w:r>
            <w:r>
              <w:t>zároveň vyšší přírůstek výdajů (+26,9</w:t>
            </w:r>
            <w:r w:rsidR="00A21624">
              <w:t> mld.</w:t>
            </w:r>
            <w:r>
              <w:t xml:space="preserve">, 9,1 %). Subsektor totiž zasáhlo oslabení dynamiky vybraných sociálních příspěvků (21,3 mld. korun). Přitom výdaje na naturální sociální transfery posílily </w:t>
            </w:r>
            <w:r w:rsidR="001A33A3">
              <w:t>o </w:t>
            </w:r>
            <w:r>
              <w:t>13,3</w:t>
            </w:r>
            <w:r w:rsidR="00A21624">
              <w:t> mld.</w:t>
            </w:r>
            <w:r>
              <w:t xml:space="preserve"> (dvojnásobně oproti roku 2018). Silný zůstal přírůstek ostatních běžných transferů (12,8</w:t>
            </w:r>
            <w:r w:rsidR="00A21624">
              <w:t> mld.</w:t>
            </w:r>
            <w:r>
              <w:t>).</w:t>
            </w:r>
          </w:p>
        </w:tc>
      </w:tr>
      <w:tr w:rsidR="000979EC" w:rsidRPr="00894C66" w14:paraId="7F6B4CE4" w14:textId="77777777" w:rsidTr="00E503A5">
        <w:trPr>
          <w:trHeight w:val="145"/>
        </w:trPr>
        <w:tc>
          <w:tcPr>
            <w:tcW w:w="1976" w:type="dxa"/>
          </w:tcPr>
          <w:p w14:paraId="07774065" w14:textId="77777777" w:rsidR="00E364BB" w:rsidRDefault="000979EC" w:rsidP="00E503A5">
            <w:pPr>
              <w:pStyle w:val="Marginlie"/>
            </w:pPr>
            <w:r>
              <w:t>Celkový dluh vládních institucí v ČR se zvýšil.</w:t>
            </w:r>
          </w:p>
          <w:p w14:paraId="7E8FF103" w14:textId="64616547" w:rsidR="000979EC" w:rsidRDefault="000979EC" w:rsidP="00E503A5">
            <w:pPr>
              <w:pStyle w:val="Marginlie"/>
            </w:pPr>
          </w:p>
          <w:p w14:paraId="731E04C9" w14:textId="77777777" w:rsidR="000979EC" w:rsidRDefault="000979EC" w:rsidP="00E503A5">
            <w:pPr>
              <w:pStyle w:val="Marginlie"/>
            </w:pPr>
          </w:p>
          <w:p w14:paraId="61AA873B" w14:textId="77777777" w:rsidR="000979EC" w:rsidRDefault="000979EC" w:rsidP="00E503A5">
            <w:pPr>
              <w:pStyle w:val="Marginlie"/>
            </w:pPr>
          </w:p>
          <w:p w14:paraId="6612D825" w14:textId="77777777" w:rsidR="000979EC" w:rsidRDefault="000979EC" w:rsidP="00E503A5">
            <w:pPr>
              <w:pStyle w:val="Marginlie"/>
            </w:pPr>
          </w:p>
          <w:p w14:paraId="7BFAEAFD" w14:textId="77777777" w:rsidR="000979EC" w:rsidRDefault="000979EC" w:rsidP="00E503A5">
            <w:pPr>
              <w:pStyle w:val="Marginlie"/>
            </w:pPr>
          </w:p>
          <w:p w14:paraId="6415ED29" w14:textId="77777777" w:rsidR="000979EC" w:rsidRDefault="000979EC" w:rsidP="00E503A5">
            <w:pPr>
              <w:pStyle w:val="Marginlie"/>
            </w:pPr>
            <w:r>
              <w:t>Relativní dluh díky růstu HDP klesl, podobně jako ve většině zemí EU.</w:t>
            </w:r>
          </w:p>
        </w:tc>
        <w:tc>
          <w:tcPr>
            <w:tcW w:w="277" w:type="dxa"/>
          </w:tcPr>
          <w:p w14:paraId="38382479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5CDC02FB" w14:textId="3C5633DA" w:rsidR="000979EC" w:rsidRPr="007834C9" w:rsidRDefault="000979EC" w:rsidP="00E503A5">
            <w:r>
              <w:t>Celkový dlu</w:t>
            </w:r>
            <w:r w:rsidR="00343331">
              <w:t>h vládních institucí v roce 2019</w:t>
            </w:r>
            <w:r>
              <w:t xml:space="preserve"> dosáhl 1 738,7</w:t>
            </w:r>
            <w:r w:rsidR="00A21624">
              <w:t> mld.</w:t>
            </w:r>
            <w:r>
              <w:t xml:space="preserve"> korun </w:t>
            </w:r>
            <w:r w:rsidR="001A33A3">
              <w:t>a </w:t>
            </w:r>
            <w:r>
              <w:t xml:space="preserve">meziročně se zvýšil </w:t>
            </w:r>
            <w:r w:rsidR="001A33A3">
              <w:t>o </w:t>
            </w:r>
            <w:r>
              <w:t>4,1</w:t>
            </w:r>
            <w:r w:rsidR="00A21624">
              <w:t> mld.</w:t>
            </w:r>
            <w:r>
              <w:t xml:space="preserve"> Naposledy dluh rostl v roce 2015. V dluhovém portfoliu posílil objem cenných papírů (+41,8</w:t>
            </w:r>
            <w:r w:rsidR="00A21624">
              <w:t> mld.</w:t>
            </w:r>
            <w:r>
              <w:t xml:space="preserve">), hlavně </w:t>
            </w:r>
            <w:r w:rsidRPr="006829A2">
              <w:t xml:space="preserve">dlouhodobých </w:t>
            </w:r>
            <w:r>
              <w:t>(+42,2 mld.). Naopak klesl objem půjček (</w:t>
            </w:r>
            <w:r w:rsidR="00A21624">
              <w:t>–</w:t>
            </w:r>
            <w:r>
              <w:t>34,2</w:t>
            </w:r>
            <w:r w:rsidR="00A21624">
              <w:t> mld.</w:t>
            </w:r>
            <w:r>
              <w:t xml:space="preserve">). Ty výrazně narostly v roce 2018, hlavně kvůli úrokové optimalizaci (krátkodobé půjčky se zvýšily </w:t>
            </w:r>
            <w:r w:rsidR="001A33A3">
              <w:t>o </w:t>
            </w:r>
            <w:r>
              <w:t>42,8</w:t>
            </w:r>
            <w:r w:rsidR="00A21624">
              <w:t> mld.</w:t>
            </w:r>
            <w:r>
              <w:t xml:space="preserve"> korun). Podíl dluhu vládních institucí na HDP (relativní dluh) klesl </w:t>
            </w:r>
            <w:r w:rsidR="001A33A3">
              <w:t>o </w:t>
            </w:r>
            <w:r>
              <w:t>1,8</w:t>
            </w:r>
            <w:r w:rsidR="00F118D5">
              <w:t> p. b.</w:t>
            </w:r>
            <w:r>
              <w:t xml:space="preserve"> na 30,8</w:t>
            </w:r>
            <w:r w:rsidR="00F118D5">
              <w:t> %</w:t>
            </w:r>
            <w:r>
              <w:t>. Relativní dluh tak klesl pošesté v řadě, tentokrát ale snížení ukazatele plně ovlivnil příznivý vývoj HDP. Podíl dluhu vládních institucí na HDP v EU loni činil 77,8</w:t>
            </w:r>
            <w:r w:rsidR="00F118D5">
              <w:t> %</w:t>
            </w:r>
            <w:r>
              <w:t xml:space="preserve"> </w:t>
            </w:r>
            <w:r w:rsidR="001A33A3">
              <w:t>a </w:t>
            </w:r>
            <w:r>
              <w:t xml:space="preserve">snížil se </w:t>
            </w:r>
            <w:r w:rsidR="001A33A3">
              <w:t>o </w:t>
            </w:r>
            <w:r>
              <w:t>1,8</w:t>
            </w:r>
            <w:r w:rsidR="00F118D5">
              <w:t> p. b.</w:t>
            </w:r>
            <w:r>
              <w:t xml:space="preserve"> Relativní dluh klesal ve většině zemí EU, šlo ale </w:t>
            </w:r>
            <w:r w:rsidR="001A33A3">
              <w:t>o </w:t>
            </w:r>
            <w:r>
              <w:t xml:space="preserve">vliv rostoucího HDP, protože nominálně se </w:t>
            </w:r>
            <w:r w:rsidR="001A33A3">
              <w:t>u </w:t>
            </w:r>
            <w:r>
              <w:t>většiny států dluh ve skutečnosti zvyšoval. Relativní dluh se zvýšil jen v Litvě (+2,5</w:t>
            </w:r>
            <w:r w:rsidR="00BF6EE6">
              <w:t> </w:t>
            </w:r>
            <w:r>
              <w:t>p.</w:t>
            </w:r>
            <w:r w:rsidR="00142C1C">
              <w:t> </w:t>
            </w:r>
            <w:r>
              <w:t>b. na 36,3</w:t>
            </w:r>
            <w:r w:rsidR="00F118D5">
              <w:t> %</w:t>
            </w:r>
            <w:r>
              <w:t>), Lucembursku (+1,1</w:t>
            </w:r>
            <w:r w:rsidR="00F118D5">
              <w:t> p. b.</w:t>
            </w:r>
            <w:r>
              <w:t xml:space="preserve"> na 22,1</w:t>
            </w:r>
            <w:r w:rsidR="00F118D5">
              <w:t> %</w:t>
            </w:r>
            <w:r>
              <w:t xml:space="preserve">) </w:t>
            </w:r>
            <w:r w:rsidR="001A33A3">
              <w:t>a </w:t>
            </w:r>
            <w:r>
              <w:t>Rumunsku (+0,5</w:t>
            </w:r>
            <w:r w:rsidR="00F118D5">
              <w:t> p. b.</w:t>
            </w:r>
            <w:r>
              <w:t xml:space="preserve"> na 35,2</w:t>
            </w:r>
            <w:r w:rsidR="00F118D5">
              <w:t> %</w:t>
            </w:r>
            <w:r>
              <w:t>). Největší podíl dluhu vůči HDP má dlouhodobě Řecko (loni to bylo 176,6</w:t>
            </w:r>
            <w:r w:rsidR="00BF6EE6">
              <w:t> </w:t>
            </w:r>
            <w:r>
              <w:t xml:space="preserve">%, meziroční pokles </w:t>
            </w:r>
            <w:r w:rsidR="001A33A3">
              <w:t>o </w:t>
            </w:r>
            <w:r>
              <w:t>4,6 p. b.), dále Itálie (134,8</w:t>
            </w:r>
            <w:r w:rsidR="00F118D5">
              <w:t> %</w:t>
            </w:r>
            <w:r>
              <w:t xml:space="preserve">, stejně jako v roce 2018) </w:t>
            </w:r>
            <w:r w:rsidR="001A33A3">
              <w:t>a </w:t>
            </w:r>
            <w:r>
              <w:t>Portugalsko (117,7</w:t>
            </w:r>
            <w:r w:rsidR="00F118D5">
              <w:t> %</w:t>
            </w:r>
            <w:r>
              <w:t xml:space="preserve">, </w:t>
            </w:r>
            <w:r w:rsidR="00A21624">
              <w:t>–</w:t>
            </w:r>
            <w:r>
              <w:t>4,3</w:t>
            </w:r>
            <w:r w:rsidR="00F118D5">
              <w:t> p. b.</w:t>
            </w:r>
            <w:r>
              <w:t>). Nejmenší relativní dluh mělo Estonsko (8,4</w:t>
            </w:r>
            <w:r w:rsidR="00F118D5">
              <w:t> %</w:t>
            </w:r>
            <w:r>
              <w:t>, stejně jako v roce 2018), dále Bulharsko (20,4</w:t>
            </w:r>
            <w:r w:rsidR="00F118D5">
              <w:t> %</w:t>
            </w:r>
            <w:r>
              <w:t xml:space="preserve">, </w:t>
            </w:r>
            <w:r w:rsidR="00A21624">
              <w:t>–</w:t>
            </w:r>
            <w:r>
              <w:t>1,9</w:t>
            </w:r>
            <w:r w:rsidR="00F118D5">
              <w:t> p. b.</w:t>
            </w:r>
            <w:r>
              <w:t xml:space="preserve">) </w:t>
            </w:r>
            <w:r w:rsidR="001A33A3">
              <w:t>a </w:t>
            </w:r>
            <w:r>
              <w:t>výše zmíněné Lucembursko (22,1</w:t>
            </w:r>
            <w:r w:rsidR="00F118D5">
              <w:t> %</w:t>
            </w:r>
            <w:r>
              <w:t>). Šestnáct zemí udrželo dluh pod 60</w:t>
            </w:r>
            <w:r w:rsidR="00F118D5">
              <w:t> %</w:t>
            </w:r>
            <w:r>
              <w:t xml:space="preserve"> HDP (</w:t>
            </w:r>
            <w:r w:rsidR="001A33A3">
              <w:t>v </w:t>
            </w:r>
            <w:r>
              <w:t>roce 2018 to bylo 1</w:t>
            </w:r>
            <w:r w:rsidR="00A21624">
              <w:t>4 </w:t>
            </w:r>
            <w:r>
              <w:t xml:space="preserve">států). Česko mělo </w:t>
            </w:r>
            <w:r w:rsidR="001A33A3">
              <w:t>i </w:t>
            </w:r>
            <w:r>
              <w:t>loni čtvrtý nejnižší dluh v EU.</w:t>
            </w:r>
          </w:p>
        </w:tc>
      </w:tr>
      <w:tr w:rsidR="000979EC" w:rsidRPr="00894C66" w14:paraId="799687CA" w14:textId="77777777" w:rsidTr="00E503A5">
        <w:trPr>
          <w:trHeight w:val="170"/>
        </w:trPr>
        <w:tc>
          <w:tcPr>
            <w:tcW w:w="1976" w:type="dxa"/>
            <w:vMerge w:val="restart"/>
          </w:tcPr>
          <w:p w14:paraId="5271D4BE" w14:textId="77777777" w:rsidR="000979EC" w:rsidRDefault="000979EC" w:rsidP="00E503A5">
            <w:pPr>
              <w:pStyle w:val="Marginlie"/>
            </w:pPr>
          </w:p>
        </w:tc>
        <w:tc>
          <w:tcPr>
            <w:tcW w:w="277" w:type="dxa"/>
            <w:vMerge w:val="restart"/>
          </w:tcPr>
          <w:p w14:paraId="73FB580F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0C6E2BE4" w14:textId="3EC26C9F" w:rsidR="000979EC" w:rsidRPr="00D25CDB" w:rsidRDefault="000979EC" w:rsidP="00E503A5">
            <w:pPr>
              <w:spacing w:after="0"/>
              <w:rPr>
                <w:b/>
              </w:rPr>
            </w:pPr>
            <w:r w:rsidRPr="00976681">
              <w:rPr>
                <w:b/>
                <w:lang w:eastAsia="en-US"/>
              </w:rPr>
              <w:t xml:space="preserve">Graf </w:t>
            </w:r>
            <w:r w:rsidR="00A21624" w:rsidRPr="00976681">
              <w:rPr>
                <w:b/>
                <w:lang w:eastAsia="en-US"/>
              </w:rPr>
              <w:t>č. </w:t>
            </w:r>
            <w:r w:rsidR="00E503A5" w:rsidRPr="00976681">
              <w:rPr>
                <w:b/>
                <w:lang w:eastAsia="en-US"/>
              </w:rPr>
              <w:t>11</w:t>
            </w:r>
            <w:r>
              <w:rPr>
                <w:b/>
                <w:lang w:eastAsia="en-US"/>
              </w:rPr>
              <w:t xml:space="preserve">  Meziroční změna h</w:t>
            </w:r>
            <w:r w:rsidRPr="005263D4">
              <w:rPr>
                <w:b/>
                <w:lang w:eastAsia="en-US"/>
              </w:rPr>
              <w:t>rub</w:t>
            </w:r>
            <w:r>
              <w:rPr>
                <w:b/>
                <w:lang w:eastAsia="en-US"/>
              </w:rPr>
              <w:t>ého</w:t>
            </w:r>
            <w:r w:rsidRPr="005263D4">
              <w:rPr>
                <w:b/>
                <w:lang w:eastAsia="en-US"/>
              </w:rPr>
              <w:t xml:space="preserve"> konsolidovan</w:t>
            </w:r>
            <w:r>
              <w:rPr>
                <w:b/>
                <w:lang w:eastAsia="en-US"/>
              </w:rPr>
              <w:t>ého</w:t>
            </w:r>
            <w:r w:rsidRPr="005263D4">
              <w:rPr>
                <w:b/>
                <w:lang w:eastAsia="en-US"/>
              </w:rPr>
              <w:t xml:space="preserve"> dluh</w:t>
            </w:r>
            <w:r>
              <w:rPr>
                <w:b/>
                <w:lang w:eastAsia="en-US"/>
              </w:rPr>
              <w:t>u</w:t>
            </w:r>
            <w:r w:rsidRPr="005263D4">
              <w:rPr>
                <w:b/>
                <w:lang w:eastAsia="en-US"/>
              </w:rPr>
              <w:t xml:space="preserve"> sektoru vládních institucí </w:t>
            </w:r>
            <w:r w:rsidRPr="00ED61AD">
              <w:rPr>
                <w:lang w:eastAsia="en-US"/>
              </w:rPr>
              <w:t>(</w:t>
            </w:r>
            <w:r w:rsidRPr="005263D4">
              <w:rPr>
                <w:spacing w:val="-2"/>
                <w:lang w:eastAsia="en-US"/>
              </w:rPr>
              <w:t>v</w:t>
            </w:r>
            <w:r w:rsidR="00A21624">
              <w:rPr>
                <w:spacing w:val="-2"/>
                <w:lang w:eastAsia="en-US"/>
              </w:rPr>
              <w:t> mld.</w:t>
            </w:r>
            <w:r w:rsidRPr="005263D4">
              <w:rPr>
                <w:spacing w:val="-2"/>
                <w:lang w:eastAsia="en-US"/>
              </w:rPr>
              <w:t xml:space="preserve"> korun, běžné ceny</w:t>
            </w:r>
            <w:r w:rsidRPr="00ED61AD">
              <w:rPr>
                <w:lang w:eastAsia="en-US"/>
              </w:rPr>
              <w:t>)</w:t>
            </w:r>
          </w:p>
        </w:tc>
      </w:tr>
      <w:tr w:rsidR="000979EC" w:rsidRPr="00894C66" w14:paraId="0DDD98D2" w14:textId="77777777" w:rsidTr="00E503A5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976" w:type="dxa"/>
            <w:vMerge/>
          </w:tcPr>
          <w:p w14:paraId="1EE458E8" w14:textId="77777777" w:rsidR="000979EC" w:rsidRDefault="000979EC" w:rsidP="00E503A5">
            <w:pPr>
              <w:pStyle w:val="Marginlie"/>
            </w:pPr>
          </w:p>
        </w:tc>
        <w:tc>
          <w:tcPr>
            <w:tcW w:w="277" w:type="dxa"/>
            <w:vMerge/>
          </w:tcPr>
          <w:p w14:paraId="39336DF6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050E3A42" w14:textId="77777777" w:rsidR="000979EC" w:rsidRDefault="000979EC" w:rsidP="00E503A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0FAE525" wp14:editId="443591DC">
                  <wp:extent cx="4604385" cy="3453130"/>
                  <wp:effectExtent l="0" t="0" r="5715" b="0"/>
                  <wp:docPr id="17" name="Graf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0979EC" w:rsidRPr="00894C66" w14:paraId="2A7E8EA3" w14:textId="77777777" w:rsidTr="00E503A5">
        <w:trPr>
          <w:trHeight w:val="170"/>
        </w:trPr>
        <w:tc>
          <w:tcPr>
            <w:tcW w:w="1976" w:type="dxa"/>
            <w:vMerge/>
          </w:tcPr>
          <w:p w14:paraId="093C7587" w14:textId="77777777" w:rsidR="000979EC" w:rsidRDefault="000979EC" w:rsidP="00E503A5">
            <w:pPr>
              <w:pStyle w:val="Marginlie"/>
            </w:pPr>
          </w:p>
        </w:tc>
        <w:tc>
          <w:tcPr>
            <w:tcW w:w="277" w:type="dxa"/>
            <w:vMerge/>
          </w:tcPr>
          <w:p w14:paraId="6F756939" w14:textId="77777777" w:rsidR="000979EC" w:rsidRPr="005E4483" w:rsidRDefault="000979EC" w:rsidP="00E503A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391" w:type="dxa"/>
          </w:tcPr>
          <w:p w14:paraId="06529DDB" w14:textId="77777777" w:rsidR="000979EC" w:rsidRPr="00D25CDB" w:rsidRDefault="000979EC" w:rsidP="00E503A5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</w:t>
            </w:r>
          </w:p>
        </w:tc>
      </w:tr>
    </w:tbl>
    <w:p w14:paraId="0D0B99E1" w14:textId="6E25C91E" w:rsidR="0060404F" w:rsidRDefault="0060404F" w:rsidP="00934899">
      <w:pPr>
        <w:pStyle w:val="Nadpis1"/>
        <w:rPr>
          <w:b w:val="0"/>
          <w:bCs w:val="0"/>
          <w:lang w:eastAsia="en-US"/>
        </w:rPr>
      </w:pPr>
      <w:bookmarkStart w:id="1" w:name="_GoBack"/>
      <w:bookmarkEnd w:id="1"/>
    </w:p>
    <w:sectPr w:rsidR="0060404F" w:rsidSect="00934899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680" w:gutter="0"/>
      <w:pgNumType w:start="18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A7FAE8" w16cid:durableId="22D3FA44"/>
  <w16cid:commentId w16cid:paraId="1C72AF4D" w16cid:durableId="22D64A75"/>
  <w16cid:commentId w16cid:paraId="282A67DB" w16cid:durableId="22D40348"/>
  <w16cid:commentId w16cid:paraId="74131377" w16cid:durableId="22D405B0"/>
  <w16cid:commentId w16cid:paraId="7D1A41B8" w16cid:durableId="22D40777"/>
  <w16cid:commentId w16cid:paraId="01FFE40C" w16cid:durableId="22D41165"/>
  <w16cid:commentId w16cid:paraId="6EBCA2E2" w16cid:durableId="22D42359"/>
  <w16cid:commentId w16cid:paraId="506DC739" w16cid:durableId="22D64B1C"/>
  <w16cid:commentId w16cid:paraId="014CC69D" w16cid:durableId="22D6A1C4"/>
  <w16cid:commentId w16cid:paraId="28552269" w16cid:durableId="22D6A357"/>
  <w16cid:commentId w16cid:paraId="05257285" w16cid:durableId="22D6FF5C"/>
  <w16cid:commentId w16cid:paraId="65249E36" w16cid:durableId="22D70089"/>
  <w16cid:commentId w16cid:paraId="3DEEA2F9" w16cid:durableId="22D7B641"/>
  <w16cid:commentId w16cid:paraId="51E0656F" w16cid:durableId="22D7B96C"/>
  <w16cid:commentId w16cid:paraId="319DD0C7" w16cid:durableId="22D7BBCD"/>
  <w16cid:commentId w16cid:paraId="2DB24C55" w16cid:durableId="22D80165"/>
  <w16cid:commentId w16cid:paraId="07B9B879" w16cid:durableId="22D809B2"/>
  <w16cid:commentId w16cid:paraId="7C9C8F73" w16cid:durableId="22D824B1"/>
  <w16cid:commentId w16cid:paraId="5483C675" w16cid:durableId="22D81600"/>
  <w16cid:commentId w16cid:paraId="7AA21C0F" w16cid:durableId="22D819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2C8EF" w14:textId="77777777" w:rsidR="008614FC" w:rsidRDefault="008614FC" w:rsidP="00E71A58">
      <w:r>
        <w:separator/>
      </w:r>
    </w:p>
  </w:endnote>
  <w:endnote w:type="continuationSeparator" w:id="0">
    <w:p w14:paraId="3A359C0B" w14:textId="77777777" w:rsidR="008614FC" w:rsidRDefault="008614F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694B" w14:textId="207702BF" w:rsidR="00B606BE" w:rsidRPr="00932443" w:rsidRDefault="00B606B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1384CD77" wp14:editId="68CB0E97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3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934899">
      <w:rPr>
        <w:szCs w:val="16"/>
      </w:rPr>
      <w:t>20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5AA9" w14:textId="785D715F" w:rsidR="00B606BE" w:rsidRPr="00932443" w:rsidRDefault="00B606B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6704" behindDoc="0" locked="0" layoutInCell="1" allowOverlap="1" wp14:anchorId="50FBB82E" wp14:editId="63D5AA2E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1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2019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934899">
      <w:rPr>
        <w:rStyle w:val="ZpatChar"/>
        <w:szCs w:val="16"/>
      </w:rPr>
      <w:t>21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F0914" w14:textId="77777777" w:rsidR="008614FC" w:rsidRDefault="008614FC" w:rsidP="0084727E">
      <w:pPr>
        <w:spacing w:after="0"/>
      </w:pPr>
      <w:r>
        <w:separator/>
      </w:r>
    </w:p>
  </w:footnote>
  <w:footnote w:type="continuationSeparator" w:id="0">
    <w:p w14:paraId="51BD9A0A" w14:textId="77777777" w:rsidR="008614FC" w:rsidRDefault="008614FC" w:rsidP="00E71A58">
      <w:r>
        <w:continuationSeparator/>
      </w:r>
    </w:p>
  </w:footnote>
  <w:footnote w:id="1">
    <w:p w14:paraId="302E55D6" w14:textId="7189E1AD" w:rsidR="00B606BE" w:rsidRPr="008B5600" w:rsidRDefault="00B606BE" w:rsidP="000979EC">
      <w:pPr>
        <w:pStyle w:val="Textpoznpodarou"/>
        <w:rPr>
          <w:sz w:val="16"/>
          <w:szCs w:val="16"/>
        </w:rPr>
      </w:pPr>
      <w:r w:rsidRPr="008B5600">
        <w:rPr>
          <w:rStyle w:val="Znakapoznpodarou"/>
          <w:sz w:val="16"/>
          <w:szCs w:val="16"/>
        </w:rPr>
        <w:footnoteRef/>
      </w:r>
      <w:r w:rsidRPr="008B5600">
        <w:rPr>
          <w:sz w:val="16"/>
          <w:szCs w:val="16"/>
        </w:rPr>
        <w:t xml:space="preserve"> EU27 bez </w:t>
      </w:r>
      <w:r>
        <w:rPr>
          <w:sz w:val="16"/>
          <w:szCs w:val="16"/>
        </w:rPr>
        <w:t>V</w:t>
      </w:r>
      <w:r w:rsidRPr="008B5600">
        <w:rPr>
          <w:sz w:val="16"/>
          <w:szCs w:val="16"/>
        </w:rPr>
        <w:t>elké Británie</w:t>
      </w:r>
    </w:p>
  </w:footnote>
  <w:footnote w:id="2">
    <w:p w14:paraId="7C9FBDBE" w14:textId="5FBFFB97" w:rsidR="00B606BE" w:rsidRPr="0026119B" w:rsidRDefault="00B606BE" w:rsidP="000979EC">
      <w:pPr>
        <w:pStyle w:val="Textpoznpodarou"/>
        <w:rPr>
          <w:sz w:val="16"/>
          <w:szCs w:val="16"/>
        </w:rPr>
      </w:pPr>
      <w:r w:rsidRPr="0026119B">
        <w:rPr>
          <w:rStyle w:val="Znakapoznpodarou"/>
          <w:sz w:val="16"/>
          <w:szCs w:val="16"/>
        </w:rPr>
        <w:footnoteRef/>
      </w:r>
      <w:r w:rsidRPr="0026119B">
        <w:rPr>
          <w:sz w:val="16"/>
          <w:szCs w:val="16"/>
        </w:rPr>
        <w:t xml:space="preserve"> Zejména daně ze znečištění, konkrétně emisní povolenky. Jejich cena prudce narostla již v roce 2018, kdy došlo k omezení množství povolenek na trhu</w:t>
      </w:r>
      <w:r>
        <w:rPr>
          <w:sz w:val="16"/>
          <w:szCs w:val="16"/>
        </w:rPr>
        <w:t xml:space="preserve"> s nimi</w:t>
      </w:r>
      <w:r w:rsidRPr="0026119B">
        <w:rPr>
          <w:sz w:val="16"/>
          <w:szCs w:val="16"/>
        </w:rPr>
        <w:t>, což byl také jeden z důvodů tehdejšího zdražení elektřiny.</w:t>
      </w:r>
    </w:p>
  </w:footnote>
  <w:footnote w:id="3">
    <w:p w14:paraId="173F1B69" w14:textId="77777777" w:rsidR="00B606BE" w:rsidRPr="00233DA3" w:rsidRDefault="00B606BE" w:rsidP="000979EC">
      <w:pPr>
        <w:pStyle w:val="Textpoznpodarou"/>
        <w:rPr>
          <w:sz w:val="16"/>
          <w:szCs w:val="16"/>
        </w:rPr>
      </w:pPr>
      <w:r w:rsidRPr="00233DA3">
        <w:rPr>
          <w:rStyle w:val="Znakapoznpodarou"/>
          <w:sz w:val="16"/>
          <w:szCs w:val="16"/>
        </w:rPr>
        <w:footnoteRef/>
      </w:r>
      <w:r w:rsidRPr="00233DA3">
        <w:rPr>
          <w:sz w:val="16"/>
          <w:szCs w:val="16"/>
        </w:rPr>
        <w:t xml:space="preserve"> Zahrnuje především zdravotní pojišťovny.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1C6B" w14:textId="77777777" w:rsidR="00B606BE" w:rsidRPr="00601A2E" w:rsidRDefault="00B606BE" w:rsidP="00601A2E">
    <w:pPr>
      <w:pStyle w:val="Zhlav"/>
    </w:pPr>
    <w:r>
      <w:t>Analýza ekonomického vývoje v roce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F4E2" w14:textId="77777777" w:rsidR="00B606BE" w:rsidRDefault="00B606BE" w:rsidP="00937AE2">
    <w:pPr>
      <w:pStyle w:val="Zhlav"/>
    </w:pPr>
    <w:r>
      <w:t>Analýza ekonomického vývoje v roce 2019</w:t>
    </w:r>
  </w:p>
  <w:p w14:paraId="525077D0" w14:textId="77777777" w:rsidR="00B606BE" w:rsidRPr="006F5416" w:rsidRDefault="00B606BE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15AC1"/>
    <w:multiLevelType w:val="hybridMultilevel"/>
    <w:tmpl w:val="7464A696"/>
    <w:lvl w:ilvl="0" w:tplc="4246FC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4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02"/>
    <w:rsid w:val="0000083D"/>
    <w:rsid w:val="0000209D"/>
    <w:rsid w:val="00004D5A"/>
    <w:rsid w:val="000056D5"/>
    <w:rsid w:val="00006ABD"/>
    <w:rsid w:val="0000767A"/>
    <w:rsid w:val="00007BEF"/>
    <w:rsid w:val="00010256"/>
    <w:rsid w:val="00010702"/>
    <w:rsid w:val="00011912"/>
    <w:rsid w:val="00012408"/>
    <w:rsid w:val="00014E7F"/>
    <w:rsid w:val="0002195D"/>
    <w:rsid w:val="000234D6"/>
    <w:rsid w:val="00023D29"/>
    <w:rsid w:val="00026389"/>
    <w:rsid w:val="00031AE0"/>
    <w:rsid w:val="000322EF"/>
    <w:rsid w:val="000333B9"/>
    <w:rsid w:val="00033FCD"/>
    <w:rsid w:val="00037A79"/>
    <w:rsid w:val="00041CEC"/>
    <w:rsid w:val="0004694F"/>
    <w:rsid w:val="000500AB"/>
    <w:rsid w:val="000522E4"/>
    <w:rsid w:val="000610E1"/>
    <w:rsid w:val="00062EC5"/>
    <w:rsid w:val="00062F22"/>
    <w:rsid w:val="00064B6A"/>
    <w:rsid w:val="00067A82"/>
    <w:rsid w:val="000712B3"/>
    <w:rsid w:val="000748F2"/>
    <w:rsid w:val="0008263E"/>
    <w:rsid w:val="00082A55"/>
    <w:rsid w:val="00082C19"/>
    <w:rsid w:val="00085395"/>
    <w:rsid w:val="00087634"/>
    <w:rsid w:val="00087F2B"/>
    <w:rsid w:val="00093E3F"/>
    <w:rsid w:val="00093E53"/>
    <w:rsid w:val="00095135"/>
    <w:rsid w:val="00096085"/>
    <w:rsid w:val="000974D1"/>
    <w:rsid w:val="0009799E"/>
    <w:rsid w:val="000979EC"/>
    <w:rsid w:val="000A1183"/>
    <w:rsid w:val="000A256D"/>
    <w:rsid w:val="000A3A2C"/>
    <w:rsid w:val="000A66F4"/>
    <w:rsid w:val="000A75F4"/>
    <w:rsid w:val="000B525B"/>
    <w:rsid w:val="000C1D78"/>
    <w:rsid w:val="000C3408"/>
    <w:rsid w:val="000C6AFD"/>
    <w:rsid w:val="000D2C3F"/>
    <w:rsid w:val="000D5637"/>
    <w:rsid w:val="000E3D0E"/>
    <w:rsid w:val="000E53C3"/>
    <w:rsid w:val="000E6C04"/>
    <w:rsid w:val="000E6FBD"/>
    <w:rsid w:val="000F7084"/>
    <w:rsid w:val="00100F5C"/>
    <w:rsid w:val="0010106F"/>
    <w:rsid w:val="00101CDA"/>
    <w:rsid w:val="0010268C"/>
    <w:rsid w:val="00104C4C"/>
    <w:rsid w:val="00117623"/>
    <w:rsid w:val="0012192F"/>
    <w:rsid w:val="00122BB3"/>
    <w:rsid w:val="00125A9C"/>
    <w:rsid w:val="00125D69"/>
    <w:rsid w:val="00135FEE"/>
    <w:rsid w:val="00137DF7"/>
    <w:rsid w:val="001405FA"/>
    <w:rsid w:val="00141782"/>
    <w:rsid w:val="001425C3"/>
    <w:rsid w:val="00142C1C"/>
    <w:rsid w:val="001457AA"/>
    <w:rsid w:val="0014794C"/>
    <w:rsid w:val="0015085A"/>
    <w:rsid w:val="001528B9"/>
    <w:rsid w:val="001612F4"/>
    <w:rsid w:val="00162312"/>
    <w:rsid w:val="0016256B"/>
    <w:rsid w:val="00163793"/>
    <w:rsid w:val="001671FF"/>
    <w:rsid w:val="001706D6"/>
    <w:rsid w:val="001714F2"/>
    <w:rsid w:val="00175B9F"/>
    <w:rsid w:val="00175F48"/>
    <w:rsid w:val="00181BBC"/>
    <w:rsid w:val="00182799"/>
    <w:rsid w:val="00184B08"/>
    <w:rsid w:val="00185010"/>
    <w:rsid w:val="00186919"/>
    <w:rsid w:val="001916DB"/>
    <w:rsid w:val="00193818"/>
    <w:rsid w:val="00194520"/>
    <w:rsid w:val="001969D1"/>
    <w:rsid w:val="001A0487"/>
    <w:rsid w:val="001A0D6B"/>
    <w:rsid w:val="001A33A3"/>
    <w:rsid w:val="001A480E"/>
    <w:rsid w:val="001A5387"/>
    <w:rsid w:val="001A552F"/>
    <w:rsid w:val="001B28D3"/>
    <w:rsid w:val="001B2CA9"/>
    <w:rsid w:val="001B3110"/>
    <w:rsid w:val="001B4729"/>
    <w:rsid w:val="001B5C4D"/>
    <w:rsid w:val="001B6310"/>
    <w:rsid w:val="001B6C09"/>
    <w:rsid w:val="001C05CD"/>
    <w:rsid w:val="001C1B66"/>
    <w:rsid w:val="001C487C"/>
    <w:rsid w:val="001D198A"/>
    <w:rsid w:val="001D463E"/>
    <w:rsid w:val="001D51EB"/>
    <w:rsid w:val="001D68B2"/>
    <w:rsid w:val="001D70E9"/>
    <w:rsid w:val="001E504C"/>
    <w:rsid w:val="001F138C"/>
    <w:rsid w:val="001F4063"/>
    <w:rsid w:val="001F4597"/>
    <w:rsid w:val="001F52D6"/>
    <w:rsid w:val="00203DA4"/>
    <w:rsid w:val="002052C6"/>
    <w:rsid w:val="002054B4"/>
    <w:rsid w:val="002118B9"/>
    <w:rsid w:val="00217C5B"/>
    <w:rsid w:val="0022139E"/>
    <w:rsid w:val="00222729"/>
    <w:rsid w:val="00222FFB"/>
    <w:rsid w:val="002252E0"/>
    <w:rsid w:val="002255F6"/>
    <w:rsid w:val="00227850"/>
    <w:rsid w:val="00227A53"/>
    <w:rsid w:val="00230C6E"/>
    <w:rsid w:val="00231CC2"/>
    <w:rsid w:val="00236443"/>
    <w:rsid w:val="00241035"/>
    <w:rsid w:val="00241B06"/>
    <w:rsid w:val="002436BA"/>
    <w:rsid w:val="00244A15"/>
    <w:rsid w:val="00244EB3"/>
    <w:rsid w:val="00247319"/>
    <w:rsid w:val="0024799E"/>
    <w:rsid w:val="00253C0F"/>
    <w:rsid w:val="002558C1"/>
    <w:rsid w:val="00255943"/>
    <w:rsid w:val="00260FC5"/>
    <w:rsid w:val="002632EC"/>
    <w:rsid w:val="00271465"/>
    <w:rsid w:val="00274037"/>
    <w:rsid w:val="00285412"/>
    <w:rsid w:val="0028587B"/>
    <w:rsid w:val="00291640"/>
    <w:rsid w:val="002A16D4"/>
    <w:rsid w:val="002A230C"/>
    <w:rsid w:val="002A5D97"/>
    <w:rsid w:val="002A7679"/>
    <w:rsid w:val="002B2127"/>
    <w:rsid w:val="002B213A"/>
    <w:rsid w:val="002B4845"/>
    <w:rsid w:val="002B6B06"/>
    <w:rsid w:val="002C43BD"/>
    <w:rsid w:val="002D0E59"/>
    <w:rsid w:val="002D2D9F"/>
    <w:rsid w:val="002D6BD2"/>
    <w:rsid w:val="002E02A1"/>
    <w:rsid w:val="002E1A9C"/>
    <w:rsid w:val="002E32FC"/>
    <w:rsid w:val="002E4E4C"/>
    <w:rsid w:val="002F4860"/>
    <w:rsid w:val="002F550B"/>
    <w:rsid w:val="0030150E"/>
    <w:rsid w:val="00303533"/>
    <w:rsid w:val="00304771"/>
    <w:rsid w:val="003052D4"/>
    <w:rsid w:val="00306C5B"/>
    <w:rsid w:val="00314A41"/>
    <w:rsid w:val="003209D6"/>
    <w:rsid w:val="00321924"/>
    <w:rsid w:val="0032314C"/>
    <w:rsid w:val="0032656E"/>
    <w:rsid w:val="003268DD"/>
    <w:rsid w:val="00330060"/>
    <w:rsid w:val="00332190"/>
    <w:rsid w:val="0033250B"/>
    <w:rsid w:val="00343331"/>
    <w:rsid w:val="0034335E"/>
    <w:rsid w:val="00344668"/>
    <w:rsid w:val="003462D9"/>
    <w:rsid w:val="00347378"/>
    <w:rsid w:val="00347604"/>
    <w:rsid w:val="003576EB"/>
    <w:rsid w:val="00357908"/>
    <w:rsid w:val="00360C86"/>
    <w:rsid w:val="00360DE3"/>
    <w:rsid w:val="00360FBC"/>
    <w:rsid w:val="00362E90"/>
    <w:rsid w:val="00364C32"/>
    <w:rsid w:val="00364FA0"/>
    <w:rsid w:val="003657F3"/>
    <w:rsid w:val="003733A0"/>
    <w:rsid w:val="00376C3B"/>
    <w:rsid w:val="003818DC"/>
    <w:rsid w:val="00384327"/>
    <w:rsid w:val="003852A9"/>
    <w:rsid w:val="00385D98"/>
    <w:rsid w:val="003870EE"/>
    <w:rsid w:val="003A2B4D"/>
    <w:rsid w:val="003A2D12"/>
    <w:rsid w:val="003A478C"/>
    <w:rsid w:val="003A5525"/>
    <w:rsid w:val="003A6B38"/>
    <w:rsid w:val="003B461F"/>
    <w:rsid w:val="003B5A32"/>
    <w:rsid w:val="003B6B9E"/>
    <w:rsid w:val="003C3490"/>
    <w:rsid w:val="003C4BE8"/>
    <w:rsid w:val="003C77D0"/>
    <w:rsid w:val="003C7E62"/>
    <w:rsid w:val="003D6920"/>
    <w:rsid w:val="003E38BA"/>
    <w:rsid w:val="003E4C91"/>
    <w:rsid w:val="003F313C"/>
    <w:rsid w:val="003F37FC"/>
    <w:rsid w:val="003F3890"/>
    <w:rsid w:val="003F4B2C"/>
    <w:rsid w:val="003F551C"/>
    <w:rsid w:val="003F72ED"/>
    <w:rsid w:val="003F7D23"/>
    <w:rsid w:val="00400B82"/>
    <w:rsid w:val="00407C13"/>
    <w:rsid w:val="00410638"/>
    <w:rsid w:val="0041215C"/>
    <w:rsid w:val="0041501E"/>
    <w:rsid w:val="004159C3"/>
    <w:rsid w:val="00425F45"/>
    <w:rsid w:val="00432A58"/>
    <w:rsid w:val="00433C0C"/>
    <w:rsid w:val="00434617"/>
    <w:rsid w:val="00436778"/>
    <w:rsid w:val="00437E53"/>
    <w:rsid w:val="00440900"/>
    <w:rsid w:val="00441BF6"/>
    <w:rsid w:val="004441A0"/>
    <w:rsid w:val="0045078A"/>
    <w:rsid w:val="0045086D"/>
    <w:rsid w:val="00460FB3"/>
    <w:rsid w:val="00467ABC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948F4"/>
    <w:rsid w:val="004A14E4"/>
    <w:rsid w:val="004A3212"/>
    <w:rsid w:val="004A5494"/>
    <w:rsid w:val="004A61C5"/>
    <w:rsid w:val="004A670E"/>
    <w:rsid w:val="004A77DF"/>
    <w:rsid w:val="004B1417"/>
    <w:rsid w:val="004B481B"/>
    <w:rsid w:val="004B48DF"/>
    <w:rsid w:val="004B55B7"/>
    <w:rsid w:val="004B6468"/>
    <w:rsid w:val="004B7125"/>
    <w:rsid w:val="004C26B0"/>
    <w:rsid w:val="004C384C"/>
    <w:rsid w:val="004C3867"/>
    <w:rsid w:val="004C4CD0"/>
    <w:rsid w:val="004C5FBF"/>
    <w:rsid w:val="004C70DC"/>
    <w:rsid w:val="004D0211"/>
    <w:rsid w:val="004D0794"/>
    <w:rsid w:val="004D3177"/>
    <w:rsid w:val="004E326C"/>
    <w:rsid w:val="004F06F5"/>
    <w:rsid w:val="004F16F7"/>
    <w:rsid w:val="004F1879"/>
    <w:rsid w:val="004F33A0"/>
    <w:rsid w:val="004F6EDC"/>
    <w:rsid w:val="0050689D"/>
    <w:rsid w:val="0051031A"/>
    <w:rsid w:val="005108C0"/>
    <w:rsid w:val="00511873"/>
    <w:rsid w:val="00512A2F"/>
    <w:rsid w:val="00513B7E"/>
    <w:rsid w:val="0051465A"/>
    <w:rsid w:val="005152D9"/>
    <w:rsid w:val="00515C74"/>
    <w:rsid w:val="00515FFA"/>
    <w:rsid w:val="005172FF"/>
    <w:rsid w:val="005173AF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1238"/>
    <w:rsid w:val="0055599F"/>
    <w:rsid w:val="00556D68"/>
    <w:rsid w:val="00561B03"/>
    <w:rsid w:val="00563EB8"/>
    <w:rsid w:val="005647BF"/>
    <w:rsid w:val="00564AF1"/>
    <w:rsid w:val="00570D95"/>
    <w:rsid w:val="0057364B"/>
    <w:rsid w:val="00574773"/>
    <w:rsid w:val="00581AC8"/>
    <w:rsid w:val="00583FFD"/>
    <w:rsid w:val="005901E9"/>
    <w:rsid w:val="005911BE"/>
    <w:rsid w:val="00593152"/>
    <w:rsid w:val="00596F92"/>
    <w:rsid w:val="005A10F2"/>
    <w:rsid w:val="005A21E0"/>
    <w:rsid w:val="005A28FF"/>
    <w:rsid w:val="005A2A19"/>
    <w:rsid w:val="005A2C7B"/>
    <w:rsid w:val="005A3DF8"/>
    <w:rsid w:val="005A5549"/>
    <w:rsid w:val="005A5D45"/>
    <w:rsid w:val="005A655B"/>
    <w:rsid w:val="005A7666"/>
    <w:rsid w:val="005B121D"/>
    <w:rsid w:val="005C06ED"/>
    <w:rsid w:val="005C2609"/>
    <w:rsid w:val="005C35A1"/>
    <w:rsid w:val="005D3386"/>
    <w:rsid w:val="005D5802"/>
    <w:rsid w:val="005D7119"/>
    <w:rsid w:val="005D7890"/>
    <w:rsid w:val="005E2A7C"/>
    <w:rsid w:val="005E7C78"/>
    <w:rsid w:val="005F18C5"/>
    <w:rsid w:val="005F3EB1"/>
    <w:rsid w:val="005F46D8"/>
    <w:rsid w:val="005F5469"/>
    <w:rsid w:val="00600079"/>
    <w:rsid w:val="006003D1"/>
    <w:rsid w:val="00601A2E"/>
    <w:rsid w:val="0060404F"/>
    <w:rsid w:val="00604307"/>
    <w:rsid w:val="0060487F"/>
    <w:rsid w:val="00604EAD"/>
    <w:rsid w:val="006104FB"/>
    <w:rsid w:val="0061249B"/>
    <w:rsid w:val="00612A2F"/>
    <w:rsid w:val="00616E05"/>
    <w:rsid w:val="00624093"/>
    <w:rsid w:val="006254CB"/>
    <w:rsid w:val="0063201A"/>
    <w:rsid w:val="006350D5"/>
    <w:rsid w:val="006404A7"/>
    <w:rsid w:val="006451E4"/>
    <w:rsid w:val="00645B33"/>
    <w:rsid w:val="00650330"/>
    <w:rsid w:val="006516CB"/>
    <w:rsid w:val="006558BD"/>
    <w:rsid w:val="00657E87"/>
    <w:rsid w:val="00664803"/>
    <w:rsid w:val="00665BA4"/>
    <w:rsid w:val="00666D91"/>
    <w:rsid w:val="00667AF2"/>
    <w:rsid w:val="006710C9"/>
    <w:rsid w:val="00674D89"/>
    <w:rsid w:val="00675E37"/>
    <w:rsid w:val="00680001"/>
    <w:rsid w:val="0068174E"/>
    <w:rsid w:val="00681DCE"/>
    <w:rsid w:val="0068260E"/>
    <w:rsid w:val="006863B2"/>
    <w:rsid w:val="00695BEF"/>
    <w:rsid w:val="006977F6"/>
    <w:rsid w:val="00697A13"/>
    <w:rsid w:val="006A109C"/>
    <w:rsid w:val="006A3E08"/>
    <w:rsid w:val="006A5C31"/>
    <w:rsid w:val="006A73A6"/>
    <w:rsid w:val="006B0F92"/>
    <w:rsid w:val="006B344A"/>
    <w:rsid w:val="006B4B7B"/>
    <w:rsid w:val="006B78D8"/>
    <w:rsid w:val="006C113F"/>
    <w:rsid w:val="006C123E"/>
    <w:rsid w:val="006C1752"/>
    <w:rsid w:val="006C33B2"/>
    <w:rsid w:val="006C56D4"/>
    <w:rsid w:val="006C6924"/>
    <w:rsid w:val="006C6AF4"/>
    <w:rsid w:val="006C7CA6"/>
    <w:rsid w:val="006D3E8A"/>
    <w:rsid w:val="006D5C0C"/>
    <w:rsid w:val="006D61F6"/>
    <w:rsid w:val="006D64C2"/>
    <w:rsid w:val="006E279A"/>
    <w:rsid w:val="006E313B"/>
    <w:rsid w:val="006E7227"/>
    <w:rsid w:val="006F0AC6"/>
    <w:rsid w:val="006F2595"/>
    <w:rsid w:val="006F438E"/>
    <w:rsid w:val="006F5416"/>
    <w:rsid w:val="00705242"/>
    <w:rsid w:val="00706AD4"/>
    <w:rsid w:val="00707150"/>
    <w:rsid w:val="00711BB0"/>
    <w:rsid w:val="007140BE"/>
    <w:rsid w:val="00716E3F"/>
    <w:rsid w:val="007211F5"/>
    <w:rsid w:val="007240E2"/>
    <w:rsid w:val="00725BB5"/>
    <w:rsid w:val="00730AE8"/>
    <w:rsid w:val="00730F1B"/>
    <w:rsid w:val="00740575"/>
    <w:rsid w:val="00741493"/>
    <w:rsid w:val="0074369B"/>
    <w:rsid w:val="00744EE6"/>
    <w:rsid w:val="00745062"/>
    <w:rsid w:val="00745BC3"/>
    <w:rsid w:val="007506A5"/>
    <w:rsid w:val="00750EF8"/>
    <w:rsid w:val="00752180"/>
    <w:rsid w:val="00753CAB"/>
    <w:rsid w:val="00755202"/>
    <w:rsid w:val="00755D3A"/>
    <w:rsid w:val="007578D3"/>
    <w:rsid w:val="007609C6"/>
    <w:rsid w:val="0076175D"/>
    <w:rsid w:val="00763B85"/>
    <w:rsid w:val="0076521E"/>
    <w:rsid w:val="00765698"/>
    <w:rsid w:val="007661E9"/>
    <w:rsid w:val="00774779"/>
    <w:rsid w:val="00775F45"/>
    <w:rsid w:val="00776169"/>
    <w:rsid w:val="00776527"/>
    <w:rsid w:val="00780EF1"/>
    <w:rsid w:val="00785232"/>
    <w:rsid w:val="00790764"/>
    <w:rsid w:val="0079343E"/>
    <w:rsid w:val="0079453C"/>
    <w:rsid w:val="00794677"/>
    <w:rsid w:val="007A38F2"/>
    <w:rsid w:val="007A3F0C"/>
    <w:rsid w:val="007A516D"/>
    <w:rsid w:val="007B0750"/>
    <w:rsid w:val="007B6689"/>
    <w:rsid w:val="007C13A4"/>
    <w:rsid w:val="007C2D23"/>
    <w:rsid w:val="007C6BBD"/>
    <w:rsid w:val="007C7BAE"/>
    <w:rsid w:val="007D0C24"/>
    <w:rsid w:val="007D106B"/>
    <w:rsid w:val="007D1AEA"/>
    <w:rsid w:val="007D40DF"/>
    <w:rsid w:val="007E29B4"/>
    <w:rsid w:val="007E435A"/>
    <w:rsid w:val="007E7E61"/>
    <w:rsid w:val="007F0845"/>
    <w:rsid w:val="007F661C"/>
    <w:rsid w:val="007F708D"/>
    <w:rsid w:val="00801E13"/>
    <w:rsid w:val="00805381"/>
    <w:rsid w:val="00807674"/>
    <w:rsid w:val="00807C82"/>
    <w:rsid w:val="00816905"/>
    <w:rsid w:val="00817FDA"/>
    <w:rsid w:val="00821FF6"/>
    <w:rsid w:val="00822574"/>
    <w:rsid w:val="00825C4D"/>
    <w:rsid w:val="0083143E"/>
    <w:rsid w:val="00831CDE"/>
    <w:rsid w:val="00833BF2"/>
    <w:rsid w:val="00834304"/>
    <w:rsid w:val="00834FAA"/>
    <w:rsid w:val="00836086"/>
    <w:rsid w:val="008364D5"/>
    <w:rsid w:val="00846121"/>
    <w:rsid w:val="0084708F"/>
    <w:rsid w:val="0084727E"/>
    <w:rsid w:val="008477C8"/>
    <w:rsid w:val="00847931"/>
    <w:rsid w:val="0085114D"/>
    <w:rsid w:val="00852217"/>
    <w:rsid w:val="00855408"/>
    <w:rsid w:val="00856D65"/>
    <w:rsid w:val="00857658"/>
    <w:rsid w:val="008614FC"/>
    <w:rsid w:val="00861B41"/>
    <w:rsid w:val="00861BE3"/>
    <w:rsid w:val="00863434"/>
    <w:rsid w:val="008637A2"/>
    <w:rsid w:val="00865E4C"/>
    <w:rsid w:val="008701E4"/>
    <w:rsid w:val="00873072"/>
    <w:rsid w:val="00875A32"/>
    <w:rsid w:val="00876086"/>
    <w:rsid w:val="00884A6F"/>
    <w:rsid w:val="008856A3"/>
    <w:rsid w:val="008873D4"/>
    <w:rsid w:val="0089296D"/>
    <w:rsid w:val="00893E85"/>
    <w:rsid w:val="00894031"/>
    <w:rsid w:val="00894C3D"/>
    <w:rsid w:val="00895508"/>
    <w:rsid w:val="00895A7B"/>
    <w:rsid w:val="008B1391"/>
    <w:rsid w:val="008B2636"/>
    <w:rsid w:val="008B7C02"/>
    <w:rsid w:val="008B7D2B"/>
    <w:rsid w:val="008C0049"/>
    <w:rsid w:val="008C0E88"/>
    <w:rsid w:val="008D0DBD"/>
    <w:rsid w:val="008D1E6A"/>
    <w:rsid w:val="008D2A16"/>
    <w:rsid w:val="008D664D"/>
    <w:rsid w:val="008D7BE5"/>
    <w:rsid w:val="008E0DC9"/>
    <w:rsid w:val="008E2830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5CF4"/>
    <w:rsid w:val="0091728D"/>
    <w:rsid w:val="009177D4"/>
    <w:rsid w:val="0092180B"/>
    <w:rsid w:val="00921F14"/>
    <w:rsid w:val="0092434D"/>
    <w:rsid w:val="00924AC8"/>
    <w:rsid w:val="0092597A"/>
    <w:rsid w:val="00930FB1"/>
    <w:rsid w:val="0093139F"/>
    <w:rsid w:val="00932443"/>
    <w:rsid w:val="00934899"/>
    <w:rsid w:val="00937AE2"/>
    <w:rsid w:val="00942C19"/>
    <w:rsid w:val="0094427A"/>
    <w:rsid w:val="00945245"/>
    <w:rsid w:val="00953F28"/>
    <w:rsid w:val="009540B7"/>
    <w:rsid w:val="0095759C"/>
    <w:rsid w:val="0096154D"/>
    <w:rsid w:val="0096221A"/>
    <w:rsid w:val="00972F87"/>
    <w:rsid w:val="00974923"/>
    <w:rsid w:val="00976681"/>
    <w:rsid w:val="00976BAF"/>
    <w:rsid w:val="00980D3D"/>
    <w:rsid w:val="00987A30"/>
    <w:rsid w:val="00992CF3"/>
    <w:rsid w:val="009942B6"/>
    <w:rsid w:val="00994868"/>
    <w:rsid w:val="009968D6"/>
    <w:rsid w:val="009A1CAB"/>
    <w:rsid w:val="009A4901"/>
    <w:rsid w:val="009A60D1"/>
    <w:rsid w:val="009B6FD3"/>
    <w:rsid w:val="009B7C82"/>
    <w:rsid w:val="009C0293"/>
    <w:rsid w:val="009C03C8"/>
    <w:rsid w:val="009C1750"/>
    <w:rsid w:val="009C1EEA"/>
    <w:rsid w:val="009C2E29"/>
    <w:rsid w:val="009C554B"/>
    <w:rsid w:val="009C719E"/>
    <w:rsid w:val="009D3ACD"/>
    <w:rsid w:val="009E0DD4"/>
    <w:rsid w:val="009E42ED"/>
    <w:rsid w:val="009E5273"/>
    <w:rsid w:val="009E5DDB"/>
    <w:rsid w:val="009F46EA"/>
    <w:rsid w:val="009F4CA7"/>
    <w:rsid w:val="00A01CA0"/>
    <w:rsid w:val="00A10D66"/>
    <w:rsid w:val="00A1260E"/>
    <w:rsid w:val="00A14114"/>
    <w:rsid w:val="00A16413"/>
    <w:rsid w:val="00A16E1D"/>
    <w:rsid w:val="00A17D5B"/>
    <w:rsid w:val="00A20028"/>
    <w:rsid w:val="00A21624"/>
    <w:rsid w:val="00A2181F"/>
    <w:rsid w:val="00A230A8"/>
    <w:rsid w:val="00A23E43"/>
    <w:rsid w:val="00A25216"/>
    <w:rsid w:val="00A27420"/>
    <w:rsid w:val="00A27C85"/>
    <w:rsid w:val="00A30F65"/>
    <w:rsid w:val="00A32759"/>
    <w:rsid w:val="00A329DF"/>
    <w:rsid w:val="00A35142"/>
    <w:rsid w:val="00A35EA6"/>
    <w:rsid w:val="00A40EAC"/>
    <w:rsid w:val="00A416D4"/>
    <w:rsid w:val="00A418BC"/>
    <w:rsid w:val="00A46DE0"/>
    <w:rsid w:val="00A4750C"/>
    <w:rsid w:val="00A50D73"/>
    <w:rsid w:val="00A51F19"/>
    <w:rsid w:val="00A51F45"/>
    <w:rsid w:val="00A52CAD"/>
    <w:rsid w:val="00A537F0"/>
    <w:rsid w:val="00A53FC7"/>
    <w:rsid w:val="00A54250"/>
    <w:rsid w:val="00A55161"/>
    <w:rsid w:val="00A55593"/>
    <w:rsid w:val="00A62B23"/>
    <w:rsid w:val="00A62CE1"/>
    <w:rsid w:val="00A66A11"/>
    <w:rsid w:val="00A6741E"/>
    <w:rsid w:val="00A73C77"/>
    <w:rsid w:val="00A75E40"/>
    <w:rsid w:val="00A77D1D"/>
    <w:rsid w:val="00A84923"/>
    <w:rsid w:val="00A857C0"/>
    <w:rsid w:val="00A90FED"/>
    <w:rsid w:val="00A97A1E"/>
    <w:rsid w:val="00AA2996"/>
    <w:rsid w:val="00AA52BF"/>
    <w:rsid w:val="00AA559A"/>
    <w:rsid w:val="00AB2AF1"/>
    <w:rsid w:val="00AB5421"/>
    <w:rsid w:val="00AB5F7B"/>
    <w:rsid w:val="00AC45BD"/>
    <w:rsid w:val="00AC46DA"/>
    <w:rsid w:val="00AD1355"/>
    <w:rsid w:val="00AD168E"/>
    <w:rsid w:val="00AD306C"/>
    <w:rsid w:val="00AD68C4"/>
    <w:rsid w:val="00AD7D0B"/>
    <w:rsid w:val="00AE09B3"/>
    <w:rsid w:val="00AE1A83"/>
    <w:rsid w:val="00AE7FB2"/>
    <w:rsid w:val="00AF71EC"/>
    <w:rsid w:val="00B00913"/>
    <w:rsid w:val="00B01593"/>
    <w:rsid w:val="00B023F2"/>
    <w:rsid w:val="00B04B4A"/>
    <w:rsid w:val="00B07379"/>
    <w:rsid w:val="00B10A4D"/>
    <w:rsid w:val="00B120A1"/>
    <w:rsid w:val="00B12AA6"/>
    <w:rsid w:val="00B14BC1"/>
    <w:rsid w:val="00B17E71"/>
    <w:rsid w:val="00B17FDE"/>
    <w:rsid w:val="00B20632"/>
    <w:rsid w:val="00B22CD2"/>
    <w:rsid w:val="00B23055"/>
    <w:rsid w:val="00B2379C"/>
    <w:rsid w:val="00B2687D"/>
    <w:rsid w:val="00B32DDB"/>
    <w:rsid w:val="00B34528"/>
    <w:rsid w:val="00B34CC9"/>
    <w:rsid w:val="00B357BF"/>
    <w:rsid w:val="00B366E5"/>
    <w:rsid w:val="00B402FC"/>
    <w:rsid w:val="00B40FF9"/>
    <w:rsid w:val="00B42470"/>
    <w:rsid w:val="00B439DA"/>
    <w:rsid w:val="00B46604"/>
    <w:rsid w:val="00B530CD"/>
    <w:rsid w:val="00B53AB0"/>
    <w:rsid w:val="00B55F5E"/>
    <w:rsid w:val="00B57338"/>
    <w:rsid w:val="00B5752E"/>
    <w:rsid w:val="00B57E25"/>
    <w:rsid w:val="00B606BE"/>
    <w:rsid w:val="00B619A9"/>
    <w:rsid w:val="00B63A11"/>
    <w:rsid w:val="00B64C24"/>
    <w:rsid w:val="00B6608F"/>
    <w:rsid w:val="00B679FB"/>
    <w:rsid w:val="00B76D1E"/>
    <w:rsid w:val="00B80EC6"/>
    <w:rsid w:val="00B84CF6"/>
    <w:rsid w:val="00B86F03"/>
    <w:rsid w:val="00B9088A"/>
    <w:rsid w:val="00B9200E"/>
    <w:rsid w:val="00B92D1D"/>
    <w:rsid w:val="00B938C5"/>
    <w:rsid w:val="00B9432C"/>
    <w:rsid w:val="00B950E3"/>
    <w:rsid w:val="00B95940"/>
    <w:rsid w:val="00B962D2"/>
    <w:rsid w:val="00B97434"/>
    <w:rsid w:val="00BA0DD3"/>
    <w:rsid w:val="00BA6C2B"/>
    <w:rsid w:val="00BA76E6"/>
    <w:rsid w:val="00BB2F03"/>
    <w:rsid w:val="00BB46F3"/>
    <w:rsid w:val="00BB4AF6"/>
    <w:rsid w:val="00BB4CB1"/>
    <w:rsid w:val="00BB4F98"/>
    <w:rsid w:val="00BC0E31"/>
    <w:rsid w:val="00BC5C12"/>
    <w:rsid w:val="00BC7075"/>
    <w:rsid w:val="00BC7154"/>
    <w:rsid w:val="00BC731E"/>
    <w:rsid w:val="00BD163C"/>
    <w:rsid w:val="00BD1B27"/>
    <w:rsid w:val="00BD2991"/>
    <w:rsid w:val="00BD366B"/>
    <w:rsid w:val="00BD6D50"/>
    <w:rsid w:val="00BE18B9"/>
    <w:rsid w:val="00BE2495"/>
    <w:rsid w:val="00BE468E"/>
    <w:rsid w:val="00BE6186"/>
    <w:rsid w:val="00BF1578"/>
    <w:rsid w:val="00BF45D9"/>
    <w:rsid w:val="00BF4B4B"/>
    <w:rsid w:val="00BF6EE6"/>
    <w:rsid w:val="00C024B1"/>
    <w:rsid w:val="00C12D52"/>
    <w:rsid w:val="00C21405"/>
    <w:rsid w:val="00C21F94"/>
    <w:rsid w:val="00C25709"/>
    <w:rsid w:val="00C27913"/>
    <w:rsid w:val="00C33B68"/>
    <w:rsid w:val="00C36A79"/>
    <w:rsid w:val="00C401D2"/>
    <w:rsid w:val="00C405D4"/>
    <w:rsid w:val="00C4513B"/>
    <w:rsid w:val="00C466D2"/>
    <w:rsid w:val="00C53576"/>
    <w:rsid w:val="00C5390B"/>
    <w:rsid w:val="00C54697"/>
    <w:rsid w:val="00C60191"/>
    <w:rsid w:val="00C609C9"/>
    <w:rsid w:val="00C6152B"/>
    <w:rsid w:val="00C73885"/>
    <w:rsid w:val="00C747B1"/>
    <w:rsid w:val="00C82191"/>
    <w:rsid w:val="00C83134"/>
    <w:rsid w:val="00C83FAA"/>
    <w:rsid w:val="00C8418E"/>
    <w:rsid w:val="00C85545"/>
    <w:rsid w:val="00C86B84"/>
    <w:rsid w:val="00C90CF4"/>
    <w:rsid w:val="00C90F53"/>
    <w:rsid w:val="00C92EB6"/>
    <w:rsid w:val="00C93389"/>
    <w:rsid w:val="00C936C3"/>
    <w:rsid w:val="00C96D08"/>
    <w:rsid w:val="00CA28BC"/>
    <w:rsid w:val="00CA6668"/>
    <w:rsid w:val="00CA6AB4"/>
    <w:rsid w:val="00CB259D"/>
    <w:rsid w:val="00CB390A"/>
    <w:rsid w:val="00CB4930"/>
    <w:rsid w:val="00CC2E7D"/>
    <w:rsid w:val="00CC71EC"/>
    <w:rsid w:val="00CD10A5"/>
    <w:rsid w:val="00CD2076"/>
    <w:rsid w:val="00CD29B5"/>
    <w:rsid w:val="00CD6331"/>
    <w:rsid w:val="00CE153B"/>
    <w:rsid w:val="00CE670B"/>
    <w:rsid w:val="00CE7F95"/>
    <w:rsid w:val="00CF1C4C"/>
    <w:rsid w:val="00CF4908"/>
    <w:rsid w:val="00CF51EC"/>
    <w:rsid w:val="00CF73AE"/>
    <w:rsid w:val="00D040DD"/>
    <w:rsid w:val="00D050F8"/>
    <w:rsid w:val="00D075BE"/>
    <w:rsid w:val="00D1005A"/>
    <w:rsid w:val="00D11854"/>
    <w:rsid w:val="00D120FA"/>
    <w:rsid w:val="00D13986"/>
    <w:rsid w:val="00D21D83"/>
    <w:rsid w:val="00D22038"/>
    <w:rsid w:val="00D235B7"/>
    <w:rsid w:val="00D25F28"/>
    <w:rsid w:val="00D26071"/>
    <w:rsid w:val="00D27973"/>
    <w:rsid w:val="00D32F90"/>
    <w:rsid w:val="00D35E1A"/>
    <w:rsid w:val="00D50F46"/>
    <w:rsid w:val="00D52BE2"/>
    <w:rsid w:val="00D57677"/>
    <w:rsid w:val="00D62FF4"/>
    <w:rsid w:val="00D64227"/>
    <w:rsid w:val="00D64F56"/>
    <w:rsid w:val="00D66223"/>
    <w:rsid w:val="00D67375"/>
    <w:rsid w:val="00D73384"/>
    <w:rsid w:val="00D8084C"/>
    <w:rsid w:val="00D85980"/>
    <w:rsid w:val="00D915EA"/>
    <w:rsid w:val="00D92FD1"/>
    <w:rsid w:val="00D93CE2"/>
    <w:rsid w:val="00D943C6"/>
    <w:rsid w:val="00D965EC"/>
    <w:rsid w:val="00DA0BBD"/>
    <w:rsid w:val="00DA7C0C"/>
    <w:rsid w:val="00DB08A9"/>
    <w:rsid w:val="00DB2EC8"/>
    <w:rsid w:val="00DC37E3"/>
    <w:rsid w:val="00DC5B3B"/>
    <w:rsid w:val="00DC76ED"/>
    <w:rsid w:val="00DD0AE9"/>
    <w:rsid w:val="00DD129F"/>
    <w:rsid w:val="00DD242A"/>
    <w:rsid w:val="00DD6B52"/>
    <w:rsid w:val="00DE0F63"/>
    <w:rsid w:val="00DE4C19"/>
    <w:rsid w:val="00DF317B"/>
    <w:rsid w:val="00DF42FF"/>
    <w:rsid w:val="00DF7190"/>
    <w:rsid w:val="00DF7AD4"/>
    <w:rsid w:val="00E01C0E"/>
    <w:rsid w:val="00E03F9A"/>
    <w:rsid w:val="00E04694"/>
    <w:rsid w:val="00E04F27"/>
    <w:rsid w:val="00E102BD"/>
    <w:rsid w:val="00E10A2E"/>
    <w:rsid w:val="00E11DE1"/>
    <w:rsid w:val="00E12B1E"/>
    <w:rsid w:val="00E17262"/>
    <w:rsid w:val="00E212C9"/>
    <w:rsid w:val="00E2394F"/>
    <w:rsid w:val="00E253A2"/>
    <w:rsid w:val="00E305C8"/>
    <w:rsid w:val="00E3309D"/>
    <w:rsid w:val="00E333BA"/>
    <w:rsid w:val="00E364BB"/>
    <w:rsid w:val="00E453F9"/>
    <w:rsid w:val="00E47EBA"/>
    <w:rsid w:val="00E50156"/>
    <w:rsid w:val="00E503A5"/>
    <w:rsid w:val="00E53470"/>
    <w:rsid w:val="00E539F6"/>
    <w:rsid w:val="00E6519D"/>
    <w:rsid w:val="00E67696"/>
    <w:rsid w:val="00E711D1"/>
    <w:rsid w:val="00E71A58"/>
    <w:rsid w:val="00E72A7A"/>
    <w:rsid w:val="00E733C7"/>
    <w:rsid w:val="00E75C94"/>
    <w:rsid w:val="00E76E61"/>
    <w:rsid w:val="00E8168E"/>
    <w:rsid w:val="00E924B2"/>
    <w:rsid w:val="00E93820"/>
    <w:rsid w:val="00E94A86"/>
    <w:rsid w:val="00E96143"/>
    <w:rsid w:val="00E972A9"/>
    <w:rsid w:val="00E972B3"/>
    <w:rsid w:val="00EA0840"/>
    <w:rsid w:val="00EA0C68"/>
    <w:rsid w:val="00EA17B0"/>
    <w:rsid w:val="00EA32BC"/>
    <w:rsid w:val="00EA405F"/>
    <w:rsid w:val="00EB4511"/>
    <w:rsid w:val="00EC03D7"/>
    <w:rsid w:val="00EC25F0"/>
    <w:rsid w:val="00ED62C6"/>
    <w:rsid w:val="00ED64C1"/>
    <w:rsid w:val="00ED7B65"/>
    <w:rsid w:val="00EE160E"/>
    <w:rsid w:val="00EE3446"/>
    <w:rsid w:val="00EE3C8D"/>
    <w:rsid w:val="00EE3E78"/>
    <w:rsid w:val="00EE466C"/>
    <w:rsid w:val="00EE4B1B"/>
    <w:rsid w:val="00EE50DB"/>
    <w:rsid w:val="00EF150D"/>
    <w:rsid w:val="00EF1F5A"/>
    <w:rsid w:val="00EF348D"/>
    <w:rsid w:val="00EF47BF"/>
    <w:rsid w:val="00F04811"/>
    <w:rsid w:val="00F0488C"/>
    <w:rsid w:val="00F05E10"/>
    <w:rsid w:val="00F10F11"/>
    <w:rsid w:val="00F118D5"/>
    <w:rsid w:val="00F13819"/>
    <w:rsid w:val="00F13C9C"/>
    <w:rsid w:val="00F15AAA"/>
    <w:rsid w:val="00F15BEF"/>
    <w:rsid w:val="00F160CE"/>
    <w:rsid w:val="00F161E1"/>
    <w:rsid w:val="00F162B3"/>
    <w:rsid w:val="00F231AE"/>
    <w:rsid w:val="00F24407"/>
    <w:rsid w:val="00F24FAA"/>
    <w:rsid w:val="00F26590"/>
    <w:rsid w:val="00F3364D"/>
    <w:rsid w:val="00F33926"/>
    <w:rsid w:val="00F33E56"/>
    <w:rsid w:val="00F41068"/>
    <w:rsid w:val="00F433FE"/>
    <w:rsid w:val="00F437CC"/>
    <w:rsid w:val="00F44537"/>
    <w:rsid w:val="00F4530D"/>
    <w:rsid w:val="00F46502"/>
    <w:rsid w:val="00F47067"/>
    <w:rsid w:val="00F525EB"/>
    <w:rsid w:val="00F55E08"/>
    <w:rsid w:val="00F56129"/>
    <w:rsid w:val="00F63DDE"/>
    <w:rsid w:val="00F63FB7"/>
    <w:rsid w:val="00F6421B"/>
    <w:rsid w:val="00F649D2"/>
    <w:rsid w:val="00F6602B"/>
    <w:rsid w:val="00F73A0C"/>
    <w:rsid w:val="00F73D08"/>
    <w:rsid w:val="00F756DB"/>
    <w:rsid w:val="00F8090E"/>
    <w:rsid w:val="00F84E7D"/>
    <w:rsid w:val="00F85066"/>
    <w:rsid w:val="00F853A9"/>
    <w:rsid w:val="00F859D0"/>
    <w:rsid w:val="00F87A4D"/>
    <w:rsid w:val="00F87A8D"/>
    <w:rsid w:val="00FA5D4D"/>
    <w:rsid w:val="00FB0EE2"/>
    <w:rsid w:val="00FB542E"/>
    <w:rsid w:val="00FC0359"/>
    <w:rsid w:val="00FC0E5F"/>
    <w:rsid w:val="00FC1A95"/>
    <w:rsid w:val="00FC56DE"/>
    <w:rsid w:val="00FC684B"/>
    <w:rsid w:val="00FD3265"/>
    <w:rsid w:val="00FD4916"/>
    <w:rsid w:val="00FE2F78"/>
    <w:rsid w:val="00FF3E63"/>
    <w:rsid w:val="00FF3EE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C691A96"/>
  <w15:docId w15:val="{A4C7AF56-5B51-4067-BDB9-17A6C364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EA0840"/>
    <w:rPr>
      <w:noProof/>
      <w:lang w:eastAsia="en-US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F4650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">
    <w:name w:val="Nadpis 21"/>
    <w:basedOn w:val="Normln"/>
    <w:uiPriority w:val="9"/>
    <w:qFormat/>
    <w:rsid w:val="00F46502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">
    <w:name w:val="Text pozn. pod čarou1"/>
    <w:basedOn w:val="Normln"/>
    <w:rsid w:val="00F46502"/>
    <w:pPr>
      <w:spacing w:after="0" w:line="240" w:lineRule="auto"/>
      <w:jc w:val="left"/>
    </w:pPr>
    <w:rPr>
      <w:rFonts w:eastAsia="Calibri"/>
      <w:color w:val="00000A"/>
      <w:szCs w:val="20"/>
    </w:rPr>
  </w:style>
  <w:style w:type="character" w:customStyle="1" w:styleId="TextpoznpodarouChar1">
    <w:name w:val="Text pozn. pod čarou Char1"/>
    <w:aliases w:val="Text pozn. pod čarou_martin_ang Char1"/>
    <w:basedOn w:val="Standardnpsmoodstavce"/>
    <w:semiHidden/>
    <w:rsid w:val="00F46502"/>
    <w:rPr>
      <w:rFonts w:ascii="Arial" w:eastAsia="Times New Roman" w:hAnsi="Arial" w:cs="Times New Roman"/>
      <w:color w:val="00000A"/>
      <w:szCs w:val="20"/>
      <w:lang w:eastAsia="cs-CZ"/>
    </w:rPr>
  </w:style>
  <w:style w:type="character" w:styleId="Znakapoznpodarou">
    <w:name w:val="footnote reference"/>
    <w:basedOn w:val="Standardnpsmoodstavce"/>
    <w:rsid w:val="00F46502"/>
    <w:rPr>
      <w:rFonts w:cs="Times New Roman"/>
      <w:vertAlign w:val="superscript"/>
    </w:rPr>
  </w:style>
  <w:style w:type="character" w:customStyle="1" w:styleId="odkaz-style-wrapper">
    <w:name w:val="odkaz-style-wrapper"/>
    <w:basedOn w:val="Standardnpsmoodstavce"/>
    <w:rsid w:val="00BE6186"/>
  </w:style>
  <w:style w:type="paragraph" w:customStyle="1" w:styleId="Nadpis110">
    <w:name w:val="Nadpis 11"/>
    <w:basedOn w:val="Normln"/>
    <w:uiPriority w:val="9"/>
    <w:qFormat/>
    <w:rsid w:val="00BE6186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0">
    <w:name w:val="Nadpis 21"/>
    <w:basedOn w:val="Normln"/>
    <w:uiPriority w:val="9"/>
    <w:qFormat/>
    <w:rsid w:val="00BE6186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0">
    <w:name w:val="Text pozn. pod čarou1"/>
    <w:basedOn w:val="Normln"/>
    <w:rsid w:val="00BE6186"/>
    <w:pPr>
      <w:spacing w:after="0" w:line="240" w:lineRule="auto"/>
      <w:jc w:val="left"/>
    </w:pPr>
    <w:rPr>
      <w:rFonts w:eastAsia="Calibri"/>
      <w:color w:val="00000A"/>
      <w:szCs w:val="20"/>
    </w:rPr>
  </w:style>
  <w:style w:type="paragraph" w:styleId="Normlnweb">
    <w:name w:val="Normal (Web)"/>
    <w:basedOn w:val="Normln"/>
    <w:uiPriority w:val="99"/>
    <w:unhideWhenUsed/>
    <w:rsid w:val="00C96D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4C5FBF"/>
    <w:pPr>
      <w:widowControl w:val="0"/>
      <w:suppressAutoHyphens/>
      <w:autoSpaceDE w:val="0"/>
      <w:autoSpaceDN w:val="0"/>
      <w:adjustRightInd w:val="0"/>
      <w:spacing w:before="120" w:after="0" w:line="215" w:lineRule="exact"/>
    </w:pPr>
    <w:rPr>
      <w:rFonts w:ascii="Times New Roman CE obyèejné" w:hAnsi="Times New Roman CE obyèejné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C5FBF"/>
    <w:rPr>
      <w:rFonts w:ascii="Times New Roman CE obyèejné" w:eastAsia="Times New Roman" w:hAnsi="Times New Roman CE obyèejné"/>
      <w:lang w:eastAsia="cs-CZ"/>
    </w:rPr>
  </w:style>
  <w:style w:type="character" w:customStyle="1" w:styleId="content">
    <w:name w:val="content"/>
    <w:basedOn w:val="Standardnpsmoodstavce"/>
    <w:rsid w:val="003C4BE8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44EE6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4EE6"/>
    <w:rPr>
      <w:rFonts w:ascii="Arial" w:eastAsia="Times New Roman" w:hAnsi="Arial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44E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6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8" Type="http://schemas.microsoft.com/office/2016/09/relationships/commentsIds" Target="commentsId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Ro&#269;n&#237;%20anal&#253;za%202018\Ana&#253;za%20ekonomick&#233;ho%20v&#253;voje%20v%20roce%202017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Ro&#269;n&#237;%20n&#225;rodn&#237;%20&#250;&#269;ty\Hospoda&#345;en&#237;%20vl&#225;dn&#237;ho%20sektoru\gov_10dd_edpt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Ro&#269;n&#237;%20n&#225;rodn&#237;%20&#250;&#269;ty\Hospoda&#345;en&#237;%20vl&#225;dn&#237;ho%20sektoru\GOV_TR130_CZ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Ro&#269;n&#237;%20n&#225;rodn&#237;%20&#250;&#269;ty\Hospoda&#345;en&#237;%20vl&#225;dn&#237;ho%20sektoru\GOV_TR130_CZ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zabojnikova31519\Documents\Anal&#253;za\Ro&#269;n&#237;%20n&#225;rodn&#237;%20&#250;&#269;ty\Hospoda&#345;en&#237;%20vl&#225;dn&#237;ho%20sektoru\GOV_DEBT_CZ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Data!$J$11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Pt>
            <c:idx val="1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A57-4FDE-A032-42FAEEFD9C91}"/>
              </c:ext>
            </c:extLst>
          </c:dPt>
          <c:cat>
            <c:strRef>
              <c:f>Data!$A$12:$A$39</c:f>
              <c:strCache>
                <c:ptCount val="28"/>
                <c:pt idx="0">
                  <c:v>Dánsko</c:v>
                </c:pt>
                <c:pt idx="1">
                  <c:v>Lucembursko</c:v>
                </c:pt>
                <c:pt idx="2">
                  <c:v>Bulharsko</c:v>
                </c:pt>
                <c:pt idx="3">
                  <c:v>Kypr</c:v>
                </c:pt>
                <c:pt idx="4">
                  <c:v>Nizozemsko</c:v>
                </c:pt>
                <c:pt idx="5">
                  <c:v>Řecko</c:v>
                </c:pt>
                <c:pt idx="6">
                  <c:v>Německo</c:v>
                </c:pt>
                <c:pt idx="7">
                  <c:v>Rakousko</c:v>
                </c:pt>
                <c:pt idx="8">
                  <c:v>Malta</c:v>
                </c:pt>
                <c:pt idx="9">
                  <c:v>Slovinsko</c:v>
                </c:pt>
                <c:pt idx="10">
                  <c:v>Švédsko</c:v>
                </c:pt>
                <c:pt idx="11">
                  <c:v>Irsko</c:v>
                </c:pt>
                <c:pt idx="12">
                  <c:v>Chorvatsko</c:v>
                </c:pt>
                <c:pt idx="13">
                  <c:v>Česko</c:v>
                </c:pt>
                <c:pt idx="14">
                  <c:v>Litva</c:v>
                </c:pt>
                <c:pt idx="15">
                  <c:v>Portugalsko</c:v>
                </c:pt>
                <c:pt idx="16">
                  <c:v>Lotyšsko</c:v>
                </c:pt>
                <c:pt idx="17">
                  <c:v>Estonsko</c:v>
                </c:pt>
                <c:pt idx="18">
                  <c:v>EU 27</c:v>
                </c:pt>
                <c:pt idx="19">
                  <c:v>Polsko</c:v>
                </c:pt>
                <c:pt idx="20">
                  <c:v>Finsko</c:v>
                </c:pt>
                <c:pt idx="21">
                  <c:v>Slovensko</c:v>
                </c:pt>
                <c:pt idx="22">
                  <c:v>Itálie</c:v>
                </c:pt>
                <c:pt idx="23">
                  <c:v>Belgie</c:v>
                </c:pt>
                <c:pt idx="24">
                  <c:v>Maďarsko</c:v>
                </c:pt>
                <c:pt idx="25">
                  <c:v>Španělsko</c:v>
                </c:pt>
                <c:pt idx="26">
                  <c:v>Francie</c:v>
                </c:pt>
                <c:pt idx="27">
                  <c:v>Rumunsko</c:v>
                </c:pt>
              </c:strCache>
            </c:strRef>
          </c:cat>
          <c:val>
            <c:numRef>
              <c:f>Data!$J$12:$J$39</c:f>
              <c:numCache>
                <c:formatCode>#\ ##0.0_ ;[Red]\-#\ ##0.0\ </c:formatCode>
                <c:ptCount val="28"/>
                <c:pt idx="0">
                  <c:v>0.7</c:v>
                </c:pt>
                <c:pt idx="1">
                  <c:v>3.1</c:v>
                </c:pt>
                <c:pt idx="2">
                  <c:v>2</c:v>
                </c:pt>
                <c:pt idx="3">
                  <c:v>-3.7</c:v>
                </c:pt>
                <c:pt idx="4">
                  <c:v>1.4</c:v>
                </c:pt>
                <c:pt idx="5">
                  <c:v>1</c:v>
                </c:pt>
                <c:pt idx="6">
                  <c:v>1.9</c:v>
                </c:pt>
                <c:pt idx="7">
                  <c:v>0.2</c:v>
                </c:pt>
                <c:pt idx="8">
                  <c:v>1.9</c:v>
                </c:pt>
                <c:pt idx="9">
                  <c:v>0.7</c:v>
                </c:pt>
                <c:pt idx="10">
                  <c:v>0.8</c:v>
                </c:pt>
                <c:pt idx="11">
                  <c:v>0.1</c:v>
                </c:pt>
                <c:pt idx="12">
                  <c:v>0.2</c:v>
                </c:pt>
                <c:pt idx="13">
                  <c:v>0.9</c:v>
                </c:pt>
                <c:pt idx="14">
                  <c:v>0.6</c:v>
                </c:pt>
                <c:pt idx="15">
                  <c:v>-0.4</c:v>
                </c:pt>
                <c:pt idx="16">
                  <c:v>-0.8</c:v>
                </c:pt>
                <c:pt idx="17">
                  <c:v>-0.6</c:v>
                </c:pt>
                <c:pt idx="18">
                  <c:v>-0.4</c:v>
                </c:pt>
                <c:pt idx="19">
                  <c:v>-0.2</c:v>
                </c:pt>
                <c:pt idx="20">
                  <c:v>-0.9</c:v>
                </c:pt>
                <c:pt idx="21">
                  <c:v>-1</c:v>
                </c:pt>
                <c:pt idx="22">
                  <c:v>-2.2000000000000002</c:v>
                </c:pt>
                <c:pt idx="23">
                  <c:v>-0.8</c:v>
                </c:pt>
                <c:pt idx="24">
                  <c:v>-2.1</c:v>
                </c:pt>
                <c:pt idx="25">
                  <c:v>-2.5</c:v>
                </c:pt>
                <c:pt idx="26">
                  <c:v>-2.2999999999999998</c:v>
                </c:pt>
                <c:pt idx="27">
                  <c:v>-2.9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57-4FDE-A032-42FAEEFD9C91}"/>
            </c:ext>
          </c:extLst>
        </c:ser>
        <c:ser>
          <c:idx val="1"/>
          <c:order val="1"/>
          <c:tx>
            <c:strRef>
              <c:f>Data!$K$11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1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A57-4FDE-A032-42FAEEFD9C91}"/>
              </c:ext>
            </c:extLst>
          </c:dPt>
          <c:cat>
            <c:strRef>
              <c:f>Data!$A$12:$A$39</c:f>
              <c:strCache>
                <c:ptCount val="28"/>
                <c:pt idx="0">
                  <c:v>Dánsko</c:v>
                </c:pt>
                <c:pt idx="1">
                  <c:v>Lucembursko</c:v>
                </c:pt>
                <c:pt idx="2">
                  <c:v>Bulharsko</c:v>
                </c:pt>
                <c:pt idx="3">
                  <c:v>Kypr</c:v>
                </c:pt>
                <c:pt idx="4">
                  <c:v>Nizozemsko</c:v>
                </c:pt>
                <c:pt idx="5">
                  <c:v>Řecko</c:v>
                </c:pt>
                <c:pt idx="6">
                  <c:v>Německo</c:v>
                </c:pt>
                <c:pt idx="7">
                  <c:v>Rakousko</c:v>
                </c:pt>
                <c:pt idx="8">
                  <c:v>Malta</c:v>
                </c:pt>
                <c:pt idx="9">
                  <c:v>Slovinsko</c:v>
                </c:pt>
                <c:pt idx="10">
                  <c:v>Švédsko</c:v>
                </c:pt>
                <c:pt idx="11">
                  <c:v>Irsko</c:v>
                </c:pt>
                <c:pt idx="12">
                  <c:v>Chorvatsko</c:v>
                </c:pt>
                <c:pt idx="13">
                  <c:v>Česko</c:v>
                </c:pt>
                <c:pt idx="14">
                  <c:v>Litva</c:v>
                </c:pt>
                <c:pt idx="15">
                  <c:v>Portugalsko</c:v>
                </c:pt>
                <c:pt idx="16">
                  <c:v>Lotyšsko</c:v>
                </c:pt>
                <c:pt idx="17">
                  <c:v>Estonsko</c:v>
                </c:pt>
                <c:pt idx="18">
                  <c:v>EU 27</c:v>
                </c:pt>
                <c:pt idx="19">
                  <c:v>Polsko</c:v>
                </c:pt>
                <c:pt idx="20">
                  <c:v>Finsko</c:v>
                </c:pt>
                <c:pt idx="21">
                  <c:v>Slovensko</c:v>
                </c:pt>
                <c:pt idx="22">
                  <c:v>Itálie</c:v>
                </c:pt>
                <c:pt idx="23">
                  <c:v>Belgie</c:v>
                </c:pt>
                <c:pt idx="24">
                  <c:v>Maďarsko</c:v>
                </c:pt>
                <c:pt idx="25">
                  <c:v>Španělsko</c:v>
                </c:pt>
                <c:pt idx="26">
                  <c:v>Francie</c:v>
                </c:pt>
                <c:pt idx="27">
                  <c:v>Rumunsko</c:v>
                </c:pt>
              </c:strCache>
            </c:strRef>
          </c:cat>
          <c:val>
            <c:numRef>
              <c:f>Data!$K$12:$K$39</c:f>
              <c:numCache>
                <c:formatCode>#\ ##0.0_ ;[Red]\-#\ ##0.0\ </c:formatCode>
                <c:ptCount val="28"/>
                <c:pt idx="0">
                  <c:v>3.7</c:v>
                </c:pt>
                <c:pt idx="1">
                  <c:v>2.2000000000000002</c:v>
                </c:pt>
                <c:pt idx="2">
                  <c:v>2.1</c:v>
                </c:pt>
                <c:pt idx="3">
                  <c:v>1.7</c:v>
                </c:pt>
                <c:pt idx="4">
                  <c:v>1.7</c:v>
                </c:pt>
                <c:pt idx="5">
                  <c:v>1.5</c:v>
                </c:pt>
                <c:pt idx="6">
                  <c:v>1.4</c:v>
                </c:pt>
                <c:pt idx="7">
                  <c:v>0.7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0.4</c:v>
                </c:pt>
                <c:pt idx="12">
                  <c:v>0.4</c:v>
                </c:pt>
                <c:pt idx="13">
                  <c:v>0.3</c:v>
                </c:pt>
                <c:pt idx="14">
                  <c:v>0.3</c:v>
                </c:pt>
                <c:pt idx="15">
                  <c:v>0.2</c:v>
                </c:pt>
                <c:pt idx="16">
                  <c:v>-0.2</c:v>
                </c:pt>
                <c:pt idx="17">
                  <c:v>-0.3</c:v>
                </c:pt>
                <c:pt idx="18">
                  <c:v>-0.6</c:v>
                </c:pt>
                <c:pt idx="19">
                  <c:v>-0.7</c:v>
                </c:pt>
                <c:pt idx="20">
                  <c:v>-1.1000000000000001</c:v>
                </c:pt>
                <c:pt idx="21">
                  <c:v>-1.3</c:v>
                </c:pt>
                <c:pt idx="22">
                  <c:v>-1.6</c:v>
                </c:pt>
                <c:pt idx="23">
                  <c:v>-1.9</c:v>
                </c:pt>
                <c:pt idx="24">
                  <c:v>-2</c:v>
                </c:pt>
                <c:pt idx="25">
                  <c:v>-2.8</c:v>
                </c:pt>
                <c:pt idx="26">
                  <c:v>-3</c:v>
                </c:pt>
                <c:pt idx="27">
                  <c:v>-4.3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A57-4FDE-A032-42FAEEFD9C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overlap val="-27"/>
        <c:axId val="353857871"/>
        <c:axId val="353857455"/>
      </c:barChart>
      <c:catAx>
        <c:axId val="353857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53857455"/>
        <c:crosses val="autoZero"/>
        <c:auto val="1"/>
        <c:lblAlgn val="ctr"/>
        <c:lblOffset val="100"/>
        <c:noMultiLvlLbl val="0"/>
      </c:catAx>
      <c:valAx>
        <c:axId val="353857455"/>
        <c:scaling>
          <c:orientation val="minMax"/>
          <c:max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53857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59612462006079"/>
          <c:y val="3.9316672295395698E-2"/>
          <c:w val="0.79635743836541706"/>
          <c:h val="0.8137560508837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List1!$C$5</c:f>
              <c:strCache>
                <c:ptCount val="1"/>
                <c:pt idx="0">
                  <c:v>Čisté půjčky (-) / výpůjčky (+)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numRef>
              <c:f>List1!$B$6:$B$16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List1!$C$6:$C$16</c:f>
              <c:numCache>
                <c:formatCode>General</c:formatCode>
                <c:ptCount val="11"/>
                <c:pt idx="0">
                  <c:v>-213.982</c:v>
                </c:pt>
                <c:pt idx="1">
                  <c:v>-165.78399999999999</c:v>
                </c:pt>
                <c:pt idx="2">
                  <c:v>-109.697</c:v>
                </c:pt>
                <c:pt idx="3">
                  <c:v>-159.34899999999999</c:v>
                </c:pt>
                <c:pt idx="4">
                  <c:v>-53.189</c:v>
                </c:pt>
                <c:pt idx="5">
                  <c:v>-90.195999999999998</c:v>
                </c:pt>
                <c:pt idx="6">
                  <c:v>-29.779</c:v>
                </c:pt>
                <c:pt idx="7">
                  <c:v>34.143000000000001</c:v>
                </c:pt>
                <c:pt idx="8">
                  <c:v>76.733000000000004</c:v>
                </c:pt>
                <c:pt idx="9">
                  <c:v>49.255000000000003</c:v>
                </c:pt>
                <c:pt idx="10">
                  <c:v>15.365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E6-4BAD-AFA9-71B307EE7A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92915407"/>
        <c:axId val="292914575"/>
      </c:barChart>
      <c:lineChart>
        <c:grouping val="standard"/>
        <c:varyColors val="0"/>
        <c:ser>
          <c:idx val="1"/>
          <c:order val="1"/>
          <c:tx>
            <c:strRef>
              <c:f>List1!$D$5</c:f>
              <c:strCache>
                <c:ptCount val="1"/>
                <c:pt idx="0">
                  <c:v>Výdaje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List1!$B$6:$B$16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List1!$D$6:$D$16</c:f>
              <c:numCache>
                <c:formatCode>General</c:formatCode>
                <c:ptCount val="11"/>
                <c:pt idx="0">
                  <c:v>1754.0340000000001</c:v>
                </c:pt>
                <c:pt idx="1">
                  <c:v>1742.0889999999999</c:v>
                </c:pt>
                <c:pt idx="2">
                  <c:v>1754.422</c:v>
                </c:pt>
                <c:pt idx="3">
                  <c:v>1826.7249999999999</c:v>
                </c:pt>
                <c:pt idx="4">
                  <c:v>1766.9159999999999</c:v>
                </c:pt>
                <c:pt idx="5">
                  <c:v>1852.2550000000001</c:v>
                </c:pt>
                <c:pt idx="6">
                  <c:v>1939.6120000000001</c:v>
                </c:pt>
                <c:pt idx="7">
                  <c:v>1906.806</c:v>
                </c:pt>
                <c:pt idx="8">
                  <c:v>1992.172</c:v>
                </c:pt>
                <c:pt idx="9">
                  <c:v>2196.63</c:v>
                </c:pt>
                <c:pt idx="10">
                  <c:v>2365.855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E6-4BAD-AFA9-71B307EE7A72}"/>
            </c:ext>
          </c:extLst>
        </c:ser>
        <c:ser>
          <c:idx val="2"/>
          <c:order val="2"/>
          <c:tx>
            <c:strRef>
              <c:f>List1!$E$5</c:f>
              <c:strCache>
                <c:ptCount val="1"/>
                <c:pt idx="0">
                  <c:v>Příjmy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numRef>
              <c:f>List1!$B$6:$B$16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List1!$E$6:$E$16</c:f>
              <c:numCache>
                <c:formatCode>General</c:formatCode>
                <c:ptCount val="11"/>
                <c:pt idx="0">
                  <c:v>1540.0519999999999</c:v>
                </c:pt>
                <c:pt idx="1">
                  <c:v>1576.3050000000001</c:v>
                </c:pt>
                <c:pt idx="2">
                  <c:v>1644.7249999999999</c:v>
                </c:pt>
                <c:pt idx="3">
                  <c:v>1667.376</c:v>
                </c:pt>
                <c:pt idx="4">
                  <c:v>1713.7270000000001</c:v>
                </c:pt>
                <c:pt idx="5">
                  <c:v>1762.059</c:v>
                </c:pt>
                <c:pt idx="6">
                  <c:v>1909.8330000000001</c:v>
                </c:pt>
                <c:pt idx="7">
                  <c:v>1940.9490000000001</c:v>
                </c:pt>
                <c:pt idx="8">
                  <c:v>2068.9050000000002</c:v>
                </c:pt>
                <c:pt idx="9">
                  <c:v>2245.8850000000002</c:v>
                </c:pt>
                <c:pt idx="10">
                  <c:v>2381.2199999999998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EE6-4BAD-AFA9-71B307EE7A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912495"/>
        <c:axId val="292920815"/>
      </c:lineChart>
      <c:catAx>
        <c:axId val="292912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292920815"/>
        <c:crosses val="autoZero"/>
        <c:auto val="1"/>
        <c:lblAlgn val="ctr"/>
        <c:lblOffset val="100"/>
        <c:noMultiLvlLbl val="0"/>
      </c:catAx>
      <c:valAx>
        <c:axId val="292920815"/>
        <c:scaling>
          <c:orientation val="minMax"/>
          <c:max val="2400"/>
          <c:min val="1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Výdaje, příjmy (mld. korun)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292912495"/>
        <c:crosses val="autoZero"/>
        <c:crossBetween val="between"/>
      </c:valAx>
      <c:valAx>
        <c:axId val="292914575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Čisté půjčky/výpujčky (mld. korun)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292915407"/>
        <c:crosses val="max"/>
        <c:crossBetween val="between"/>
      </c:valAx>
      <c:catAx>
        <c:axId val="29291540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29145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337174940898342"/>
          <c:y val="0.92549279522683781"/>
          <c:w val="0.79470174772036473"/>
          <c:h val="5.30617471574918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523598446470801E-2"/>
          <c:y val="3.9316672295395698E-2"/>
          <c:w val="0.88098889733198249"/>
          <c:h val="0.71712006079027357"/>
        </c:manualLayout>
      </c:layout>
      <c:barChart>
        <c:barDir val="col"/>
        <c:grouping val="stacked"/>
        <c:varyColors val="0"/>
        <c:ser>
          <c:idx val="3"/>
          <c:order val="1"/>
          <c:tx>
            <c:strRef>
              <c:f>List1!$N$5</c:f>
              <c:strCache>
                <c:ptCount val="1"/>
                <c:pt idx="0">
                  <c:v>Fondy sociálního zabezpečení (zdravotní pojišťovny)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List1!$J$6:$J$16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List1!$N$6:$N$16</c:f>
              <c:numCache>
                <c:formatCode>General</c:formatCode>
                <c:ptCount val="11"/>
                <c:pt idx="0">
                  <c:v>-10.648999999999999</c:v>
                </c:pt>
                <c:pt idx="1">
                  <c:v>-8.7189999999999994</c:v>
                </c:pt>
                <c:pt idx="2">
                  <c:v>-6.9260000000000002</c:v>
                </c:pt>
                <c:pt idx="3">
                  <c:v>-6.8280000000000003</c:v>
                </c:pt>
                <c:pt idx="4">
                  <c:v>0.91500000000000004</c:v>
                </c:pt>
                <c:pt idx="5">
                  <c:v>-2.6930000000000001</c:v>
                </c:pt>
                <c:pt idx="6">
                  <c:v>1.913</c:v>
                </c:pt>
                <c:pt idx="7">
                  <c:v>4.8860000000000001</c:v>
                </c:pt>
                <c:pt idx="8">
                  <c:v>8.1820000000000004</c:v>
                </c:pt>
                <c:pt idx="9">
                  <c:v>16.646000000000001</c:v>
                </c:pt>
                <c:pt idx="10">
                  <c:v>11.09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0F-40C9-860C-73CB6F9825F5}"/>
            </c:ext>
          </c:extLst>
        </c:ser>
        <c:ser>
          <c:idx val="2"/>
          <c:order val="2"/>
          <c:tx>
            <c:strRef>
              <c:f>List1!$M$5</c:f>
              <c:strCache>
                <c:ptCount val="1"/>
                <c:pt idx="0">
                  <c:v>Místní vládní instituce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List1!$J$6:$J$16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List1!$M$6:$M$16</c:f>
              <c:numCache>
                <c:formatCode>General</c:formatCode>
                <c:ptCount val="11"/>
                <c:pt idx="0">
                  <c:v>-24.731000000000002</c:v>
                </c:pt>
                <c:pt idx="1">
                  <c:v>-15.188000000000001</c:v>
                </c:pt>
                <c:pt idx="2">
                  <c:v>-11.268000000000001</c:v>
                </c:pt>
                <c:pt idx="3">
                  <c:v>-2.0920000000000001</c:v>
                </c:pt>
                <c:pt idx="4">
                  <c:v>12.135</c:v>
                </c:pt>
                <c:pt idx="5">
                  <c:v>7.6749999999999998</c:v>
                </c:pt>
                <c:pt idx="6">
                  <c:v>25.989000000000001</c:v>
                </c:pt>
                <c:pt idx="7">
                  <c:v>49.677999999999997</c:v>
                </c:pt>
                <c:pt idx="8">
                  <c:v>41.924999999999997</c:v>
                </c:pt>
                <c:pt idx="9">
                  <c:v>23.565000000000001</c:v>
                </c:pt>
                <c:pt idx="10">
                  <c:v>35.950000000000003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0F-40C9-860C-73CB6F9825F5}"/>
            </c:ext>
          </c:extLst>
        </c:ser>
        <c:ser>
          <c:idx val="1"/>
          <c:order val="3"/>
          <c:tx>
            <c:strRef>
              <c:f>List1!$L$5</c:f>
              <c:strCache>
                <c:ptCount val="1"/>
                <c:pt idx="0">
                  <c:v>Ústřední vládní instituce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List1!$J$6:$J$16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List1!$L$6:$L$16</c:f>
              <c:numCache>
                <c:formatCode>General</c:formatCode>
                <c:ptCount val="11"/>
                <c:pt idx="0">
                  <c:v>-178.602</c:v>
                </c:pt>
                <c:pt idx="1">
                  <c:v>-141.87700000000001</c:v>
                </c:pt>
                <c:pt idx="2">
                  <c:v>-91.503</c:v>
                </c:pt>
                <c:pt idx="3">
                  <c:v>-150.429</c:v>
                </c:pt>
                <c:pt idx="4">
                  <c:v>-66.239000000000004</c:v>
                </c:pt>
                <c:pt idx="5">
                  <c:v>-95.177999999999997</c:v>
                </c:pt>
                <c:pt idx="6">
                  <c:v>-57.680999999999997</c:v>
                </c:pt>
                <c:pt idx="7">
                  <c:v>-20.420999999999999</c:v>
                </c:pt>
                <c:pt idx="8">
                  <c:v>26.626000000000001</c:v>
                </c:pt>
                <c:pt idx="9">
                  <c:v>9.0440000000000005</c:v>
                </c:pt>
                <c:pt idx="10">
                  <c:v>-31.675000000000001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0F-40C9-860C-73CB6F982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362697039"/>
        <c:axId val="362711599"/>
      </c:barChart>
      <c:lineChart>
        <c:grouping val="standard"/>
        <c:varyColors val="0"/>
        <c:ser>
          <c:idx val="0"/>
          <c:order val="0"/>
          <c:tx>
            <c:strRef>
              <c:f>List1!$K$5</c:f>
              <c:strCache>
                <c:ptCount val="1"/>
                <c:pt idx="0">
                  <c:v>Celkem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List1!$J$6:$J$16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List1!$K$6:$K$16</c:f>
              <c:numCache>
                <c:formatCode>General</c:formatCode>
                <c:ptCount val="11"/>
                <c:pt idx="0">
                  <c:v>-213.982</c:v>
                </c:pt>
                <c:pt idx="1">
                  <c:v>-165.78399999999999</c:v>
                </c:pt>
                <c:pt idx="2">
                  <c:v>-109.697</c:v>
                </c:pt>
                <c:pt idx="3">
                  <c:v>-159.34899999999999</c:v>
                </c:pt>
                <c:pt idx="4">
                  <c:v>-53.189</c:v>
                </c:pt>
                <c:pt idx="5">
                  <c:v>-90.195999999999998</c:v>
                </c:pt>
                <c:pt idx="6">
                  <c:v>-29.779</c:v>
                </c:pt>
                <c:pt idx="7">
                  <c:v>34.143000000000001</c:v>
                </c:pt>
                <c:pt idx="8">
                  <c:v>76.733000000000004</c:v>
                </c:pt>
                <c:pt idx="9">
                  <c:v>49.255000000000003</c:v>
                </c:pt>
                <c:pt idx="10">
                  <c:v>15.365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00F-40C9-860C-73CB6F982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2697039"/>
        <c:axId val="362711599"/>
      </c:lineChart>
      <c:catAx>
        <c:axId val="362697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62711599"/>
        <c:crosses val="autoZero"/>
        <c:auto val="1"/>
        <c:lblAlgn val="ctr"/>
        <c:lblOffset val="100"/>
        <c:noMultiLvlLbl val="0"/>
      </c:catAx>
      <c:valAx>
        <c:axId val="3627115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Čisté půjčky/výpůjčky (mld. korun)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3626970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0298041202296527E-2"/>
          <c:y val="0.81813407632556567"/>
          <c:w val="0.89033666835528558"/>
          <c:h val="0.160420466058763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26633738601824E-2"/>
          <c:y val="3.9316672295395698E-2"/>
          <c:w val="0.87324615839243502"/>
          <c:h val="0.76651750534729246"/>
        </c:manualLayout>
      </c:layout>
      <c:barChart>
        <c:barDir val="col"/>
        <c:grouping val="stacked"/>
        <c:varyColors val="0"/>
        <c:ser>
          <c:idx val="6"/>
          <c:order val="0"/>
          <c:tx>
            <c:strRef>
              <c:f>GOV_DEBT_CZ!$T$32</c:f>
              <c:strCache>
                <c:ptCount val="1"/>
                <c:pt idx="0">
                  <c:v>Dlouhodobé dluhové cenné papíry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GOV_DEBT_CZ!$M$34:$M$44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GOV_DEBT_CZ!$T$34:$T$44</c:f>
              <c:numCache>
                <c:formatCode>General</c:formatCode>
                <c:ptCount val="11"/>
                <c:pt idx="0">
                  <c:v>142.77800000000013</c:v>
                </c:pt>
                <c:pt idx="1">
                  <c:v>132.60500000000002</c:v>
                </c:pt>
                <c:pt idx="2">
                  <c:v>86.786999999999807</c:v>
                </c:pt>
                <c:pt idx="3">
                  <c:v>153.67100000000005</c:v>
                </c:pt>
                <c:pt idx="4">
                  <c:v>93.644999999999982</c:v>
                </c:pt>
                <c:pt idx="5">
                  <c:v>-2.1150000000000091</c:v>
                </c:pt>
                <c:pt idx="6">
                  <c:v>48.032000000000153</c:v>
                </c:pt>
                <c:pt idx="7">
                  <c:v>24.29099999999994</c:v>
                </c:pt>
                <c:pt idx="8">
                  <c:v>-30.150000000000091</c:v>
                </c:pt>
                <c:pt idx="9">
                  <c:v>-8.4459999999999127</c:v>
                </c:pt>
                <c:pt idx="10">
                  <c:v>42.247000000000071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B9-42AD-AC98-6C6F53237563}"/>
            </c:ext>
          </c:extLst>
        </c:ser>
        <c:ser>
          <c:idx val="5"/>
          <c:order val="2"/>
          <c:tx>
            <c:strRef>
              <c:f>GOV_DEBT_CZ!$S$32</c:f>
              <c:strCache>
                <c:ptCount val="1"/>
                <c:pt idx="0">
                  <c:v>Krátkodobé dluhové cenné papíry</c:v>
                </c:pt>
              </c:strCache>
            </c:strRef>
          </c:tx>
          <c:spPr>
            <a:solidFill>
              <a:srgbClr val="FF9B9B"/>
            </a:solidFill>
            <a:ln>
              <a:noFill/>
            </a:ln>
            <a:effectLst/>
          </c:spPr>
          <c:invertIfNegative val="0"/>
          <c:cat>
            <c:numRef>
              <c:f>GOV_DEBT_CZ!$M$34:$M$44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GOV_DEBT_CZ!$S$34:$S$44</c:f>
              <c:numCache>
                <c:formatCode>General</c:formatCode>
                <c:ptCount val="11"/>
                <c:pt idx="0">
                  <c:v>15.194000000000003</c:v>
                </c:pt>
                <c:pt idx="1">
                  <c:v>22.599999999999994</c:v>
                </c:pt>
                <c:pt idx="2">
                  <c:v>41.106999999999999</c:v>
                </c:pt>
                <c:pt idx="3">
                  <c:v>41.652000000000015</c:v>
                </c:pt>
                <c:pt idx="4">
                  <c:v>-58.018000000000015</c:v>
                </c:pt>
                <c:pt idx="5">
                  <c:v>-14.031999999999996</c:v>
                </c:pt>
                <c:pt idx="6">
                  <c:v>-22.658000000000001</c:v>
                </c:pt>
                <c:pt idx="7">
                  <c:v>-79.730999999999995</c:v>
                </c:pt>
                <c:pt idx="8">
                  <c:v>39.607999999999997</c:v>
                </c:pt>
                <c:pt idx="9">
                  <c:v>-40.204999999999998</c:v>
                </c:pt>
                <c:pt idx="10">
                  <c:v>-0.41400000000000015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B9-42AD-AC98-6C6F53237563}"/>
            </c:ext>
          </c:extLst>
        </c:ser>
        <c:ser>
          <c:idx val="9"/>
          <c:order val="3"/>
          <c:tx>
            <c:strRef>
              <c:f>GOV_DEBT_CZ!$W$32</c:f>
              <c:strCache>
                <c:ptCount val="1"/>
                <c:pt idx="0">
                  <c:v>Dlouhodobé půjčky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GOV_DEBT_CZ!$M$34:$M$44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GOV_DEBT_CZ!$W$34:$W$44</c:f>
              <c:numCache>
                <c:formatCode>General</c:formatCode>
                <c:ptCount val="11"/>
                <c:pt idx="0">
                  <c:v>18.286000000000001</c:v>
                </c:pt>
                <c:pt idx="1">
                  <c:v>8.1639999999999873</c:v>
                </c:pt>
                <c:pt idx="2">
                  <c:v>2.6310000000000002</c:v>
                </c:pt>
                <c:pt idx="3">
                  <c:v>3.8550000000000182</c:v>
                </c:pt>
                <c:pt idx="4">
                  <c:v>-0.10800000000000409</c:v>
                </c:pt>
                <c:pt idx="5">
                  <c:v>-13.024000000000001</c:v>
                </c:pt>
                <c:pt idx="6">
                  <c:v>-3.4690000000000225</c:v>
                </c:pt>
                <c:pt idx="7">
                  <c:v>-22.611999999999995</c:v>
                </c:pt>
                <c:pt idx="8">
                  <c:v>-12.262</c:v>
                </c:pt>
                <c:pt idx="9">
                  <c:v>-11.948999999999998</c:v>
                </c:pt>
                <c:pt idx="10">
                  <c:v>-3.7269999999999897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B9-42AD-AC98-6C6F53237563}"/>
            </c:ext>
          </c:extLst>
        </c:ser>
        <c:ser>
          <c:idx val="8"/>
          <c:order val="4"/>
          <c:tx>
            <c:strRef>
              <c:f>GOV_DEBT_CZ!$V$32</c:f>
              <c:strCache>
                <c:ptCount val="1"/>
                <c:pt idx="0">
                  <c:v>Krátkodobé půjčky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GOV_DEBT_CZ!$M$34:$M$44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GOV_DEBT_CZ!$V$34:$V$44</c:f>
              <c:numCache>
                <c:formatCode>General</c:formatCode>
                <c:ptCount val="11"/>
                <c:pt idx="0">
                  <c:v>4.6549999999999994</c:v>
                </c:pt>
                <c:pt idx="1">
                  <c:v>-2.7509999999999994</c:v>
                </c:pt>
                <c:pt idx="2">
                  <c:v>0.12399999999999967</c:v>
                </c:pt>
                <c:pt idx="3">
                  <c:v>-2.3260000000000001</c:v>
                </c:pt>
                <c:pt idx="4">
                  <c:v>-9.5999999999999641E-2</c:v>
                </c:pt>
                <c:pt idx="5">
                  <c:v>2.9089999999999998</c:v>
                </c:pt>
                <c:pt idx="6">
                  <c:v>1.899</c:v>
                </c:pt>
                <c:pt idx="7">
                  <c:v>-5.4249999999999998</c:v>
                </c:pt>
                <c:pt idx="8">
                  <c:v>1.0019999999999998</c:v>
                </c:pt>
                <c:pt idx="9">
                  <c:v>42.76</c:v>
                </c:pt>
                <c:pt idx="10">
                  <c:v>-30.451000000000001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B9-42AD-AC98-6C6F53237563}"/>
            </c:ext>
          </c:extLst>
        </c:ser>
        <c:ser>
          <c:idx val="1"/>
          <c:order val="5"/>
          <c:tx>
            <c:strRef>
              <c:f>GOV_DEBT_CZ!$O$32</c:f>
              <c:strCache>
                <c:ptCount val="1"/>
                <c:pt idx="0">
                  <c:v>Oběživo a vklady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GOV_DEBT_CZ!$M$34:$M$44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GOV_DEBT_CZ!$O$34:$O$44</c:f>
              <c:numCache>
                <c:formatCode>General</c:formatCode>
                <c:ptCount val="11"/>
                <c:pt idx="0">
                  <c:v>1.3149999999999995</c:v>
                </c:pt>
                <c:pt idx="1">
                  <c:v>0.47700000000000031</c:v>
                </c:pt>
                <c:pt idx="2">
                  <c:v>2.9039999999999999</c:v>
                </c:pt>
                <c:pt idx="3">
                  <c:v>-5.1950000000000003</c:v>
                </c:pt>
                <c:pt idx="4">
                  <c:v>-0.48299999999999876</c:v>
                </c:pt>
                <c:pt idx="5">
                  <c:v>4.9029999999999987</c:v>
                </c:pt>
                <c:pt idx="6">
                  <c:v>-6.6449999999999996</c:v>
                </c:pt>
                <c:pt idx="7">
                  <c:v>2.1669999999999998</c:v>
                </c:pt>
                <c:pt idx="8">
                  <c:v>-3.258</c:v>
                </c:pt>
                <c:pt idx="9">
                  <c:v>2.7649999999999997</c:v>
                </c:pt>
                <c:pt idx="10">
                  <c:v>-3.5339999999999989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B9-42AD-AC98-6C6F53237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910004479"/>
        <c:axId val="910001151"/>
      </c:barChart>
      <c:lineChart>
        <c:grouping val="standard"/>
        <c:varyColors val="0"/>
        <c:ser>
          <c:idx val="0"/>
          <c:order val="1"/>
          <c:tx>
            <c:strRef>
              <c:f>GOV_DEBT_CZ!$N$32</c:f>
              <c:strCache>
                <c:ptCount val="1"/>
                <c:pt idx="0">
                  <c:v>Celkem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GOV_DEBT_CZ!$M$34:$M$44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GOV_DEBT_CZ!$N$34:$N$44</c:f>
              <c:numCache>
                <c:formatCode>General</c:formatCode>
                <c:ptCount val="11"/>
                <c:pt idx="0">
                  <c:v>182.22800000000007</c:v>
                </c:pt>
                <c:pt idx="1">
                  <c:v>161.09500000000003</c:v>
                </c:pt>
                <c:pt idx="2">
                  <c:v>133.55300000000011</c:v>
                </c:pt>
                <c:pt idx="3">
                  <c:v>191.65699999999993</c:v>
                </c:pt>
                <c:pt idx="4">
                  <c:v>34.940000000000055</c:v>
                </c:pt>
                <c:pt idx="5">
                  <c:v>-21.359000000000151</c:v>
                </c:pt>
                <c:pt idx="6">
                  <c:v>17.159000000000106</c:v>
                </c:pt>
                <c:pt idx="7">
                  <c:v>-81.309999999999945</c:v>
                </c:pt>
                <c:pt idx="8">
                  <c:v>-5.0600000000001728</c:v>
                </c:pt>
                <c:pt idx="9">
                  <c:v>-15.074999999999818</c:v>
                </c:pt>
                <c:pt idx="10">
                  <c:v>4.1209999999998672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8B9-42AD-AC98-6C6F53237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0004479"/>
        <c:axId val="910001151"/>
      </c:lineChart>
      <c:catAx>
        <c:axId val="9100044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910001151"/>
        <c:crosses val="autoZero"/>
        <c:auto val="1"/>
        <c:lblAlgn val="ctr"/>
        <c:lblOffset val="100"/>
        <c:noMultiLvlLbl val="0"/>
      </c:catAx>
      <c:valAx>
        <c:axId val="910001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r>
                  <a:rPr lang="en-US"/>
                  <a:t>Meziroční změna dluhu (mld. korun)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ysClr val="windowText" lastClr="000000"/>
                  </a:solidFill>
                  <a:latin typeface="Arial" panose="020B0604020202020204" pitchFamily="34" charset="0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910004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383189800742994E-2"/>
          <c:y val="0.86730496453900707"/>
          <c:w val="0.88012453562985493"/>
          <c:h val="0.111249577845322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5C6E-D231-402C-B0CA-FD79DC73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Anaýza ekonomického vývoje v roce 2017.dotx</Template>
  <TotalTime>2</TotalTime>
  <Pages>4</Pages>
  <Words>1276</Words>
  <Characters>7531</Characters>
  <Application>Microsoft Office Word</Application>
  <DocSecurity>0</DocSecurity>
  <Lines>62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8790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Zábojníková</cp:lastModifiedBy>
  <cp:revision>3</cp:revision>
  <cp:lastPrinted>2019-09-12T09:26:00Z</cp:lastPrinted>
  <dcterms:created xsi:type="dcterms:W3CDTF">2020-08-10T06:56:00Z</dcterms:created>
  <dcterms:modified xsi:type="dcterms:W3CDTF">2020-08-17T07:34:00Z</dcterms:modified>
</cp:coreProperties>
</file>