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2E" w:rsidRPr="001827CE" w:rsidRDefault="00B6724D" w:rsidP="00F51724">
      <w:pPr>
        <w:pStyle w:val="Nadpis1"/>
        <w:numPr>
          <w:ilvl w:val="0"/>
          <w:numId w:val="25"/>
        </w:numPr>
        <w:rPr>
          <w:lang w:val="en-GB"/>
        </w:rPr>
      </w:pPr>
      <w:bookmarkStart w:id="0" w:name="_Toc493683638"/>
      <w:r w:rsidRPr="001827CE">
        <w:rPr>
          <w:lang w:val="en-GB"/>
        </w:rPr>
        <w:t>Labour Market</w:t>
      </w:r>
      <w:bookmarkEnd w:id="0"/>
    </w:p>
    <w:tbl>
      <w:tblPr>
        <w:tblW w:w="4995" w:type="pct"/>
        <w:tblInd w:w="108" w:type="dxa"/>
        <w:tblLayout w:type="fixed"/>
        <w:tblLook w:val="00A0"/>
      </w:tblPr>
      <w:tblGrid>
        <w:gridCol w:w="2000"/>
        <w:gridCol w:w="284"/>
        <w:gridCol w:w="7560"/>
      </w:tblGrid>
      <w:tr w:rsidR="00FD77BB" w:rsidRPr="001827CE" w:rsidTr="00CF0826">
        <w:trPr>
          <w:trHeight w:val="145"/>
        </w:trPr>
        <w:tc>
          <w:tcPr>
            <w:tcW w:w="1016" w:type="pct"/>
            <w:shd w:val="clear" w:color="auto" w:fill="auto"/>
          </w:tcPr>
          <w:p w:rsidR="00FD77BB" w:rsidRPr="001827CE" w:rsidRDefault="001827CE" w:rsidP="00CF0826">
            <w:pPr>
              <w:spacing w:line="240" w:lineRule="auto"/>
              <w:rPr>
                <w:rFonts w:cs="Arial"/>
                <w:color w:val="0D0D0D" w:themeColor="text1" w:themeTint="F2"/>
                <w:spacing w:val="-4"/>
                <w:sz w:val="16"/>
                <w:szCs w:val="16"/>
                <w:lang w:val="en-GB"/>
              </w:rPr>
            </w:pPr>
            <w:r>
              <w:rPr>
                <w:rFonts w:cs="Arial"/>
                <w:color w:val="0D0D0D" w:themeColor="text1" w:themeTint="F2"/>
                <w:spacing w:val="-4"/>
                <w:sz w:val="16"/>
                <w:szCs w:val="16"/>
                <w:lang w:val="en-GB"/>
              </w:rPr>
              <w:t xml:space="preserve">Growing economy was heightening the demand for labour force, which however still more markedly faced the inadequate supply. Employment kept significantly growing, the largest number of persons had a job in the history of the CR.  </w:t>
            </w:r>
          </w:p>
        </w:tc>
        <w:tc>
          <w:tcPr>
            <w:tcW w:w="144" w:type="pct"/>
          </w:tcPr>
          <w:p w:rsidR="00FD77BB" w:rsidRPr="001827CE" w:rsidRDefault="00FD77BB" w:rsidP="00CF0826">
            <w:pPr>
              <w:pStyle w:val="Textpoznpodarou"/>
              <w:jc w:val="both"/>
              <w:rPr>
                <w:rFonts w:cs="Arial"/>
                <w:color w:val="0D0D0D" w:themeColor="text1" w:themeTint="F2"/>
                <w:lang w:val="en-GB"/>
              </w:rPr>
            </w:pPr>
          </w:p>
        </w:tc>
        <w:tc>
          <w:tcPr>
            <w:tcW w:w="3840" w:type="pct"/>
          </w:tcPr>
          <w:p w:rsidR="00FD77BB" w:rsidRPr="001827CE" w:rsidRDefault="00B6724D" w:rsidP="00CF0826">
            <w:pPr>
              <w:pStyle w:val="Textpoznpodarou"/>
              <w:jc w:val="both"/>
              <w:rPr>
                <w:rFonts w:cs="Arial"/>
                <w:color w:val="0D0D0D" w:themeColor="text1" w:themeTint="F2"/>
                <w:spacing w:val="-4"/>
                <w:lang w:val="en-GB"/>
              </w:rPr>
            </w:pPr>
            <w:r w:rsidRPr="001827CE">
              <w:rPr>
                <w:rFonts w:cs="Arial"/>
                <w:color w:val="0D0D0D" w:themeColor="text1" w:themeTint="F2"/>
                <w:spacing w:val="-4"/>
                <w:lang w:val="en-GB"/>
              </w:rPr>
              <w:t xml:space="preserve">Favourable tendencies from the previous years continued on the labour market during 2017. Simultaneously, the growing tension arising from the non-satiated demand of business for the labour forces was still more apparent. At the background of this fact, the employment was </w:t>
            </w:r>
            <w:r w:rsidR="001827CE" w:rsidRPr="001827CE">
              <w:rPr>
                <w:rFonts w:cs="Arial"/>
                <w:color w:val="0D0D0D" w:themeColor="text1" w:themeTint="F2"/>
                <w:spacing w:val="-4"/>
                <w:lang w:val="en-GB"/>
              </w:rPr>
              <w:t>strengthening</w:t>
            </w:r>
            <w:r w:rsidRPr="001827CE">
              <w:rPr>
                <w:rFonts w:cs="Arial"/>
                <w:color w:val="0D0D0D" w:themeColor="text1" w:themeTint="F2"/>
                <w:spacing w:val="-4"/>
                <w:lang w:val="en-GB"/>
              </w:rPr>
              <w:t xml:space="preserve"> for the most part of the year. The number of workers</w:t>
            </w:r>
            <w:r w:rsidR="00FD77BB" w:rsidRPr="001827CE">
              <w:rPr>
                <w:rStyle w:val="Znakapoznpodarou"/>
                <w:color w:val="0D0D0D" w:themeColor="text1" w:themeTint="F2"/>
                <w:spacing w:val="-4"/>
                <w:lang w:val="en-GB"/>
              </w:rPr>
              <w:footnoteReference w:id="1"/>
            </w:r>
            <w:r w:rsidR="001827CE" w:rsidRPr="001827CE">
              <w:rPr>
                <w:rFonts w:cs="Arial"/>
                <w:color w:val="0D0D0D" w:themeColor="text1" w:themeTint="F2"/>
                <w:spacing w:val="-4"/>
                <w:lang w:val="en-GB"/>
              </w:rPr>
              <w:t xml:space="preserve"> increased by 1.6% compared to year 2016, it was the highest year-on-year rate of growth since the expansion year </w:t>
            </w:r>
            <w:r w:rsidR="00FD77BB" w:rsidRPr="001827CE">
              <w:rPr>
                <w:rFonts w:cs="Arial"/>
                <w:color w:val="0D0D0D" w:themeColor="text1" w:themeTint="F2"/>
                <w:spacing w:val="-4"/>
                <w:lang w:val="en-GB"/>
              </w:rPr>
              <w:t xml:space="preserve">2008. </w:t>
            </w:r>
            <w:r w:rsidR="00893269">
              <w:rPr>
                <w:rFonts w:cs="Arial"/>
                <w:color w:val="0D0D0D" w:themeColor="text1" w:themeTint="F2"/>
                <w:spacing w:val="-4"/>
                <w:lang w:val="en-GB"/>
              </w:rPr>
              <w:t xml:space="preserve">Nevertheless, the quarter-on-quarter growth of employment halted in the last three months of the last year. </w:t>
            </w:r>
            <w:r w:rsidR="008929A0">
              <w:rPr>
                <w:rFonts w:cs="Arial"/>
                <w:color w:val="0D0D0D" w:themeColor="text1" w:themeTint="F2"/>
                <w:spacing w:val="-4"/>
                <w:lang w:val="en-GB"/>
              </w:rPr>
              <w:t xml:space="preserve">Mainly the </w:t>
            </w:r>
            <w:r w:rsidR="00633C64">
              <w:rPr>
                <w:rFonts w:cs="Arial"/>
                <w:color w:val="0D0D0D" w:themeColor="text1" w:themeTint="F2"/>
                <w:spacing w:val="-4"/>
                <w:lang w:val="en-GB"/>
              </w:rPr>
              <w:t>high</w:t>
            </w:r>
            <w:r w:rsidR="008929A0">
              <w:rPr>
                <w:rFonts w:cs="Arial"/>
                <w:color w:val="0D0D0D" w:themeColor="text1" w:themeTint="F2"/>
                <w:spacing w:val="-4"/>
                <w:lang w:val="en-GB"/>
              </w:rPr>
              <w:t xml:space="preserve"> basis stood behind it </w:t>
            </w:r>
            <w:r w:rsidR="00FD77BB" w:rsidRPr="001827CE">
              <w:rPr>
                <w:rFonts w:cs="Arial"/>
                <w:color w:val="0D0D0D" w:themeColor="text1" w:themeTint="F2"/>
                <w:spacing w:val="-4"/>
                <w:lang w:val="en-GB"/>
              </w:rPr>
              <w:t>(</w:t>
            </w:r>
            <w:r w:rsidR="008929A0">
              <w:rPr>
                <w:rFonts w:cs="Arial"/>
                <w:color w:val="0D0D0D" w:themeColor="text1" w:themeTint="F2"/>
                <w:spacing w:val="-4"/>
                <w:lang w:val="en-GB"/>
              </w:rPr>
              <w:t>growth in the preceding quarter was the strongest since the end of expansion in the previous decade</w:t>
            </w:r>
            <w:r w:rsidR="00FD77BB" w:rsidRPr="001827CE">
              <w:rPr>
                <w:rStyle w:val="Znakapoznpodarou"/>
                <w:color w:val="0D0D0D" w:themeColor="text1" w:themeTint="F2"/>
                <w:spacing w:val="-4"/>
                <w:lang w:val="en-GB"/>
              </w:rPr>
              <w:footnoteReference w:id="2"/>
            </w:r>
            <w:r w:rsidR="00DF3A10">
              <w:rPr>
                <w:rFonts w:cs="Arial"/>
                <w:color w:val="0D0D0D" w:themeColor="text1" w:themeTint="F2"/>
                <w:spacing w:val="-4"/>
                <w:lang w:val="en-GB"/>
              </w:rPr>
              <w:t>)</w:t>
            </w:r>
            <w:r w:rsidR="00FD77BB" w:rsidRPr="001827CE">
              <w:rPr>
                <w:rFonts w:cs="Arial"/>
                <w:color w:val="0D0D0D" w:themeColor="text1" w:themeTint="F2"/>
                <w:spacing w:val="-4"/>
                <w:lang w:val="en-GB"/>
              </w:rPr>
              <w:t xml:space="preserve">. </w:t>
            </w:r>
            <w:r w:rsidR="00A90B8B">
              <w:rPr>
                <w:rFonts w:cs="Arial"/>
                <w:color w:val="0D0D0D" w:themeColor="text1" w:themeTint="F2"/>
                <w:spacing w:val="-4"/>
                <w:lang w:val="en-GB"/>
              </w:rPr>
              <w:t xml:space="preserve">The largest number of people were </w:t>
            </w:r>
            <w:r w:rsidR="00633C64">
              <w:rPr>
                <w:rFonts w:cs="Arial"/>
                <w:color w:val="0D0D0D" w:themeColor="text1" w:themeTint="F2"/>
                <w:spacing w:val="-4"/>
                <w:lang w:val="en-GB"/>
              </w:rPr>
              <w:t>employed</w:t>
            </w:r>
            <w:r w:rsidR="00A90B8B">
              <w:rPr>
                <w:rFonts w:cs="Arial"/>
                <w:color w:val="0D0D0D" w:themeColor="text1" w:themeTint="F2"/>
                <w:spacing w:val="-4"/>
                <w:lang w:val="en-GB"/>
              </w:rPr>
              <w:t xml:space="preserve"> at the end of last year in </w:t>
            </w:r>
            <w:r w:rsidR="00633C64">
              <w:rPr>
                <w:rFonts w:cs="Arial"/>
                <w:color w:val="0D0D0D" w:themeColor="text1" w:themeTint="F2"/>
                <w:spacing w:val="-4"/>
                <w:lang w:val="en-GB"/>
              </w:rPr>
              <w:t xml:space="preserve">the CR in its history (5.36 mil). The business cycle impacted here together with the inflow of the labour force from abroad, but also the shift in the age </w:t>
            </w:r>
            <w:r w:rsidR="00F57CAD">
              <w:rPr>
                <w:rFonts w:cs="Arial"/>
                <w:color w:val="0D0D0D" w:themeColor="text1" w:themeTint="F2"/>
                <w:spacing w:val="-4"/>
                <w:lang w:val="en-GB"/>
              </w:rPr>
              <w:t>structure</w:t>
            </w:r>
            <w:r w:rsidR="00633C64">
              <w:rPr>
                <w:rFonts w:cs="Arial"/>
                <w:color w:val="0D0D0D" w:themeColor="text1" w:themeTint="F2"/>
                <w:spacing w:val="-4"/>
                <w:lang w:val="en-GB"/>
              </w:rPr>
              <w:t xml:space="preserve"> of the population or the regular increases of the retirement age.</w:t>
            </w:r>
            <w:r w:rsidR="00FD77BB" w:rsidRPr="001827CE">
              <w:rPr>
                <w:rFonts w:cs="Arial"/>
                <w:color w:val="0D0D0D" w:themeColor="text1" w:themeTint="F2"/>
                <w:spacing w:val="-4"/>
                <w:lang w:val="en-GB"/>
              </w:rPr>
              <w:t xml:space="preserve"> </w:t>
            </w:r>
          </w:p>
          <w:p w:rsidR="00FD77BB" w:rsidRPr="001827CE" w:rsidRDefault="00FD77BB" w:rsidP="00CF0826">
            <w:pPr>
              <w:pStyle w:val="Textpoznpodarou"/>
              <w:jc w:val="both"/>
              <w:rPr>
                <w:rFonts w:cs="Arial"/>
                <w:color w:val="0D0D0D" w:themeColor="text1" w:themeTint="F2"/>
                <w:spacing w:val="-4"/>
                <w:sz w:val="14"/>
                <w:szCs w:val="14"/>
                <w:lang w:val="en-GB"/>
              </w:rPr>
            </w:pPr>
          </w:p>
        </w:tc>
      </w:tr>
      <w:tr w:rsidR="00FD77BB" w:rsidRPr="008A4BA8" w:rsidTr="00CF0826">
        <w:trPr>
          <w:trHeight w:val="145"/>
        </w:trPr>
        <w:tc>
          <w:tcPr>
            <w:tcW w:w="1016" w:type="pct"/>
            <w:shd w:val="clear" w:color="auto" w:fill="auto"/>
          </w:tcPr>
          <w:p w:rsidR="00FD77BB" w:rsidRPr="00F57CAD" w:rsidRDefault="00F57CAD" w:rsidP="00CF0826">
            <w:pPr>
              <w:spacing w:line="240" w:lineRule="auto"/>
              <w:rPr>
                <w:rFonts w:cs="Arial"/>
                <w:color w:val="0D0D0D" w:themeColor="text1" w:themeTint="F2"/>
                <w:spacing w:val="-4"/>
                <w:sz w:val="16"/>
                <w:szCs w:val="16"/>
                <w:lang w:val="en-GB"/>
              </w:rPr>
            </w:pPr>
            <w:r w:rsidRPr="00F57CAD">
              <w:rPr>
                <w:rFonts w:cs="Arial"/>
                <w:color w:val="0D0D0D" w:themeColor="text1" w:themeTint="F2"/>
                <w:spacing w:val="-4"/>
                <w:sz w:val="16"/>
                <w:szCs w:val="16"/>
                <w:lang w:val="en-GB"/>
              </w:rPr>
              <w:t>Employment rate kept further increasing. The CR held fron</w:t>
            </w:r>
            <w:r>
              <w:rPr>
                <w:rFonts w:cs="Arial"/>
                <w:color w:val="0D0D0D" w:themeColor="text1" w:themeTint="F2"/>
                <w:spacing w:val="-4"/>
                <w:sz w:val="16"/>
                <w:szCs w:val="16"/>
                <w:lang w:val="en-GB"/>
              </w:rPr>
              <w:t>t</w:t>
            </w:r>
            <w:r w:rsidRPr="00F57CAD">
              <w:rPr>
                <w:rFonts w:cs="Arial"/>
                <w:color w:val="0D0D0D" w:themeColor="text1" w:themeTint="F2"/>
                <w:spacing w:val="-4"/>
                <w:sz w:val="16"/>
                <w:szCs w:val="16"/>
                <w:lang w:val="en-GB"/>
              </w:rPr>
              <w:t xml:space="preserve"> position in the whole EU </w:t>
            </w:r>
            <w:r>
              <w:rPr>
                <w:rFonts w:cs="Arial"/>
                <w:color w:val="0D0D0D" w:themeColor="text1" w:themeTint="F2"/>
                <w:spacing w:val="-4"/>
                <w:sz w:val="16"/>
                <w:szCs w:val="16"/>
                <w:lang w:val="en-GB"/>
              </w:rPr>
              <w:t xml:space="preserve">in case of </w:t>
            </w:r>
            <w:r w:rsidRPr="00F57CAD">
              <w:rPr>
                <w:rFonts w:cs="Arial"/>
                <w:color w:val="0D0D0D" w:themeColor="text1" w:themeTint="F2"/>
                <w:spacing w:val="-4"/>
                <w:sz w:val="16"/>
                <w:szCs w:val="16"/>
                <w:lang w:val="en-GB"/>
              </w:rPr>
              <w:t>male</w:t>
            </w:r>
            <w:r>
              <w:rPr>
                <w:rFonts w:cs="Arial"/>
                <w:color w:val="0D0D0D" w:themeColor="text1" w:themeTint="F2"/>
                <w:spacing w:val="-4"/>
                <w:sz w:val="16"/>
                <w:szCs w:val="16"/>
                <w:lang w:val="en-GB"/>
              </w:rPr>
              <w:t>s</w:t>
            </w:r>
            <w:r w:rsidRPr="00F57CAD">
              <w:rPr>
                <w:rFonts w:cs="Arial"/>
                <w:color w:val="0D0D0D" w:themeColor="text1" w:themeTint="F2"/>
                <w:spacing w:val="-4"/>
                <w:sz w:val="16"/>
                <w:szCs w:val="16"/>
                <w:lang w:val="en-GB"/>
              </w:rPr>
              <w:t>.</w:t>
            </w:r>
            <w:r w:rsidR="00FD77BB" w:rsidRPr="00F57CAD">
              <w:rPr>
                <w:rFonts w:cs="Arial"/>
                <w:color w:val="0D0D0D" w:themeColor="text1" w:themeTint="F2"/>
                <w:spacing w:val="-4"/>
                <w:sz w:val="16"/>
                <w:szCs w:val="16"/>
                <w:lang w:val="en-GB"/>
              </w:rPr>
              <w:t xml:space="preserve"> </w:t>
            </w:r>
          </w:p>
        </w:tc>
        <w:tc>
          <w:tcPr>
            <w:tcW w:w="144" w:type="pct"/>
          </w:tcPr>
          <w:p w:rsidR="00FD77BB" w:rsidRPr="00F57CAD" w:rsidRDefault="00FD77BB" w:rsidP="00CF0826">
            <w:pPr>
              <w:pStyle w:val="Textpoznpodarou"/>
              <w:jc w:val="both"/>
              <w:rPr>
                <w:rFonts w:cs="Arial"/>
                <w:color w:val="0D0D0D" w:themeColor="text1" w:themeTint="F2"/>
                <w:lang w:val="en-GB"/>
              </w:rPr>
            </w:pPr>
          </w:p>
        </w:tc>
        <w:tc>
          <w:tcPr>
            <w:tcW w:w="3840" w:type="pct"/>
          </w:tcPr>
          <w:p w:rsidR="00FD77BB" w:rsidRPr="00F57CAD" w:rsidRDefault="00F57CAD" w:rsidP="00CF0826">
            <w:pPr>
              <w:pStyle w:val="Textpoznpodarou"/>
              <w:jc w:val="both"/>
              <w:rPr>
                <w:rFonts w:cs="Arial"/>
                <w:color w:val="0D0D0D" w:themeColor="text1" w:themeTint="F2"/>
                <w:spacing w:val="-4"/>
                <w:lang w:val="en-GB"/>
              </w:rPr>
            </w:pPr>
            <w:r>
              <w:rPr>
                <w:rFonts w:cs="Arial"/>
                <w:color w:val="0D0D0D" w:themeColor="text1" w:themeTint="F2"/>
                <w:spacing w:val="-4"/>
                <w:lang w:val="en-GB"/>
              </w:rPr>
              <w:t xml:space="preserve">More detailed data of the Labour force sample survey (LFSS) suggest, that the main source of the employment growth was the net inflow from unemployment in Q1 to Q3 2017 (resulting from its further reduction). Already 74.3% of population aged 15-64 years held </w:t>
            </w:r>
            <w:r w:rsidR="007B70B8">
              <w:rPr>
                <w:rFonts w:cs="Arial"/>
                <w:color w:val="0D0D0D" w:themeColor="text1" w:themeTint="F2"/>
                <w:spacing w:val="-4"/>
                <w:lang w:val="en-GB"/>
              </w:rPr>
              <w:t xml:space="preserve">a </w:t>
            </w:r>
            <w:r>
              <w:rPr>
                <w:rFonts w:cs="Arial"/>
                <w:color w:val="0D0D0D" w:themeColor="text1" w:themeTint="F2"/>
                <w:spacing w:val="-4"/>
                <w:lang w:val="en-GB"/>
              </w:rPr>
              <w:t>job in Q4 2017.</w:t>
            </w:r>
            <w:r w:rsidR="00E94ADB" w:rsidRPr="00F57CAD">
              <w:rPr>
                <w:rFonts w:cs="Arial"/>
                <w:color w:val="0D0D0D" w:themeColor="text1" w:themeTint="F2"/>
                <w:spacing w:val="-4"/>
                <w:lang w:val="en-GB"/>
              </w:rPr>
              <w:t xml:space="preserve"> </w:t>
            </w:r>
            <w:r w:rsidR="00821C4A">
              <w:rPr>
                <w:rFonts w:cs="Arial"/>
                <w:color w:val="0D0D0D" w:themeColor="text1" w:themeTint="F2"/>
                <w:spacing w:val="-4"/>
                <w:lang w:val="en-GB"/>
              </w:rPr>
              <w:t xml:space="preserve">Year-on-year rate of growth of the employment rate slightly weakened – from 2.1 </w:t>
            </w:r>
            <w:r w:rsidR="0030607B">
              <w:rPr>
                <w:rFonts w:cs="Arial"/>
                <w:color w:val="0D0D0D" w:themeColor="text1" w:themeTint="F2"/>
                <w:spacing w:val="-4"/>
                <w:lang w:val="en-GB"/>
              </w:rPr>
              <w:t>p.p.</w:t>
            </w:r>
            <w:r w:rsidR="00821C4A">
              <w:rPr>
                <w:rFonts w:cs="Arial"/>
                <w:color w:val="0D0D0D" w:themeColor="text1" w:themeTint="F2"/>
                <w:spacing w:val="-4"/>
                <w:lang w:val="en-GB"/>
              </w:rPr>
              <w:t xml:space="preserve"> (in Q4 2016) to 1.4 </w:t>
            </w:r>
            <w:r w:rsidR="0030607B">
              <w:rPr>
                <w:rFonts w:cs="Arial"/>
                <w:color w:val="0D0D0D" w:themeColor="text1" w:themeTint="F2"/>
                <w:spacing w:val="-4"/>
                <w:lang w:val="en-GB"/>
              </w:rPr>
              <w:t>p.p.</w:t>
            </w:r>
            <w:r w:rsidR="00821C4A">
              <w:rPr>
                <w:rFonts w:cs="Arial"/>
                <w:color w:val="0D0D0D" w:themeColor="text1" w:themeTint="F2"/>
                <w:spacing w:val="-4"/>
                <w:lang w:val="en-GB"/>
              </w:rPr>
              <w:t xml:space="preserve"> (a year later)</w:t>
            </w:r>
            <w:r w:rsidR="00FD77BB" w:rsidRPr="00F57CAD">
              <w:rPr>
                <w:rFonts w:cs="Arial"/>
                <w:color w:val="0D0D0D" w:themeColor="text1" w:themeTint="F2"/>
                <w:spacing w:val="-4"/>
                <w:lang w:val="en-GB"/>
              </w:rPr>
              <w:t xml:space="preserve">. </w:t>
            </w:r>
            <w:r w:rsidR="00821C4A">
              <w:rPr>
                <w:rFonts w:cs="Arial"/>
                <w:color w:val="0D0D0D" w:themeColor="text1" w:themeTint="F2"/>
                <w:spacing w:val="-4"/>
                <w:lang w:val="en-GB"/>
              </w:rPr>
              <w:t>Older employees held a larger share on this growth (above 55 years)</w:t>
            </w:r>
            <w:proofErr w:type="gramStart"/>
            <w:r w:rsidR="00821C4A">
              <w:rPr>
                <w:rFonts w:cs="Arial"/>
                <w:color w:val="0D0D0D" w:themeColor="text1" w:themeTint="F2"/>
                <w:spacing w:val="-4"/>
                <w:lang w:val="en-GB"/>
              </w:rPr>
              <w:t>,</w:t>
            </w:r>
            <w:proofErr w:type="gramEnd"/>
            <w:r w:rsidR="00821C4A">
              <w:rPr>
                <w:rFonts w:cs="Arial"/>
                <w:color w:val="0D0D0D" w:themeColor="text1" w:themeTint="F2"/>
                <w:spacing w:val="-4"/>
                <w:lang w:val="en-GB"/>
              </w:rPr>
              <w:t xml:space="preserve"> however the employment rate rose in all age groups (apart from females aged 35 – 3</w:t>
            </w:r>
            <w:r w:rsidR="00C905B2">
              <w:rPr>
                <w:rFonts w:cs="Arial"/>
                <w:color w:val="0D0D0D" w:themeColor="text1" w:themeTint="F2"/>
                <w:spacing w:val="-4"/>
                <w:lang w:val="en-GB"/>
              </w:rPr>
              <w:t>9</w:t>
            </w:r>
            <w:r w:rsidR="00821C4A">
              <w:rPr>
                <w:rFonts w:cs="Arial"/>
                <w:color w:val="0D0D0D" w:themeColor="text1" w:themeTint="F2"/>
                <w:spacing w:val="-4"/>
                <w:lang w:val="en-GB"/>
              </w:rPr>
              <w:t xml:space="preserve"> years). Employment of males achieved 81.4% in Q3 and it was the highest in the EU already for more than one year. Employment of females ranked the CR still only to the eleventh place, even though it grew year-on-year by double pace compared to the Union (from 64.5% to 66.7%).</w:t>
            </w:r>
          </w:p>
        </w:tc>
      </w:tr>
    </w:tbl>
    <w:p w:rsidR="00FD77BB" w:rsidRPr="00FD77BB" w:rsidRDefault="00FD77BB" w:rsidP="00FD77BB">
      <w:pPr>
        <w:rPr>
          <w:sz w:val="14"/>
          <w:szCs w:val="14"/>
          <w:lang w:eastAsia="ar-SA"/>
        </w:rPr>
      </w:pPr>
    </w:p>
    <w:tbl>
      <w:tblPr>
        <w:tblW w:w="5000" w:type="pct"/>
        <w:tblInd w:w="80" w:type="dxa"/>
        <w:tblLayout w:type="fixed"/>
        <w:tblLook w:val="00A0"/>
      </w:tblPr>
      <w:tblGrid>
        <w:gridCol w:w="27"/>
        <w:gridCol w:w="1973"/>
        <w:gridCol w:w="24"/>
        <w:gridCol w:w="260"/>
        <w:gridCol w:w="24"/>
        <w:gridCol w:w="1096"/>
        <w:gridCol w:w="6387"/>
        <w:gridCol w:w="63"/>
      </w:tblGrid>
      <w:tr w:rsidR="00FD77BB" w:rsidRPr="000117D0" w:rsidTr="007F45FF">
        <w:trPr>
          <w:gridAfter w:val="1"/>
          <w:wAfter w:w="32" w:type="pct"/>
          <w:trHeight w:val="145"/>
        </w:trPr>
        <w:tc>
          <w:tcPr>
            <w:tcW w:w="1015" w:type="pct"/>
            <w:gridSpan w:val="2"/>
            <w:shd w:val="clear" w:color="auto" w:fill="auto"/>
          </w:tcPr>
          <w:p w:rsidR="00FD77BB" w:rsidRPr="00AA4A76" w:rsidRDefault="00FD77BB" w:rsidP="00CF0826">
            <w:pPr>
              <w:spacing w:line="240" w:lineRule="auto"/>
              <w:jc w:val="center"/>
              <w:rPr>
                <w:color w:val="000000"/>
                <w:szCs w:val="20"/>
              </w:rPr>
            </w:pPr>
          </w:p>
        </w:tc>
        <w:tc>
          <w:tcPr>
            <w:tcW w:w="144" w:type="pct"/>
            <w:gridSpan w:val="2"/>
          </w:tcPr>
          <w:p w:rsidR="00FD77BB" w:rsidRPr="00AA4A76" w:rsidRDefault="00FD77BB" w:rsidP="00CF0826">
            <w:pPr>
              <w:pStyle w:val="Textpoznpodarou"/>
              <w:jc w:val="both"/>
              <w:rPr>
                <w:highlight w:val="yellow"/>
              </w:rPr>
            </w:pPr>
          </w:p>
        </w:tc>
        <w:tc>
          <w:tcPr>
            <w:tcW w:w="568" w:type="pct"/>
            <w:gridSpan w:val="2"/>
          </w:tcPr>
          <w:p w:rsidR="00FD77BB" w:rsidRPr="00AA4A76" w:rsidRDefault="00F57CAD" w:rsidP="00CF0826">
            <w:pPr>
              <w:pStyle w:val="Textpoznpodarou"/>
              <w:jc w:val="both"/>
              <w:rPr>
                <w:highlight w:val="yellow"/>
              </w:rPr>
            </w:pPr>
            <w:r>
              <w:rPr>
                <w:color w:val="000000"/>
              </w:rPr>
              <w:t xml:space="preserve">Chart </w:t>
            </w:r>
            <w:r w:rsidR="00FD77BB">
              <w:rPr>
                <w:color w:val="000000"/>
              </w:rPr>
              <w:t>15</w:t>
            </w:r>
          </w:p>
        </w:tc>
        <w:tc>
          <w:tcPr>
            <w:tcW w:w="3241" w:type="pct"/>
          </w:tcPr>
          <w:p w:rsidR="00FD77BB" w:rsidRPr="002B725B" w:rsidRDefault="00C844CA" w:rsidP="00C844CA">
            <w:pPr>
              <w:pStyle w:val="Textpoznpodarou"/>
              <w:rPr>
                <w:b/>
                <w:lang w:val="en-GB" w:eastAsia="en-US"/>
              </w:rPr>
            </w:pPr>
            <w:r>
              <w:rPr>
                <w:b/>
                <w:lang w:val="en-GB" w:eastAsia="en-US"/>
              </w:rPr>
              <w:t xml:space="preserve">Total employment in selected branches and </w:t>
            </w:r>
            <w:r w:rsidR="002B725B" w:rsidRPr="002B725B">
              <w:rPr>
                <w:b/>
                <w:lang w:val="en-GB" w:eastAsia="en-US"/>
              </w:rPr>
              <w:t xml:space="preserve">number of employees </w:t>
            </w:r>
            <w:r w:rsidR="00FD77BB" w:rsidRPr="002B725B">
              <w:rPr>
                <w:spacing w:val="-4"/>
                <w:lang w:val="en-GB" w:eastAsia="en-US"/>
              </w:rPr>
              <w:t>(</w:t>
            </w:r>
            <w:r w:rsidR="002B725B" w:rsidRPr="002B725B">
              <w:rPr>
                <w:spacing w:val="-4"/>
                <w:lang w:val="en-GB" w:eastAsia="en-US"/>
              </w:rPr>
              <w:t xml:space="preserve">seasonally adjusted, year-on-year in </w:t>
            </w:r>
            <w:r w:rsidR="00FD77BB" w:rsidRPr="002B725B">
              <w:rPr>
                <w:bCs/>
                <w:spacing w:val="-2"/>
                <w:lang w:val="en-GB"/>
              </w:rPr>
              <w:t>%)</w:t>
            </w:r>
          </w:p>
        </w:tc>
      </w:tr>
      <w:tr w:rsidR="00FD77BB" w:rsidRPr="000C70D9" w:rsidTr="007F45FF">
        <w:trPr>
          <w:gridAfter w:val="1"/>
          <w:wAfter w:w="32" w:type="pct"/>
          <w:trHeight w:val="145"/>
        </w:trPr>
        <w:tc>
          <w:tcPr>
            <w:tcW w:w="1015" w:type="pct"/>
            <w:gridSpan w:val="2"/>
            <w:shd w:val="clear" w:color="auto" w:fill="auto"/>
          </w:tcPr>
          <w:p w:rsidR="00FD77BB" w:rsidRPr="000C70D9" w:rsidRDefault="00FD77BB" w:rsidP="00CF0826">
            <w:pPr>
              <w:spacing w:line="240" w:lineRule="auto"/>
              <w:rPr>
                <w:color w:val="000000"/>
                <w:sz w:val="16"/>
                <w:szCs w:val="16"/>
                <w:highlight w:val="yellow"/>
                <w:lang w:val="en-GB"/>
              </w:rPr>
            </w:pPr>
          </w:p>
        </w:tc>
        <w:tc>
          <w:tcPr>
            <w:tcW w:w="144" w:type="pct"/>
            <w:gridSpan w:val="2"/>
          </w:tcPr>
          <w:p w:rsidR="00FD77BB" w:rsidRPr="000C70D9" w:rsidRDefault="00FD77BB" w:rsidP="00CF0826">
            <w:pPr>
              <w:pStyle w:val="Textpoznpodarou"/>
              <w:jc w:val="both"/>
              <w:rPr>
                <w:lang w:val="en-GB"/>
              </w:rPr>
            </w:pPr>
          </w:p>
        </w:tc>
        <w:tc>
          <w:tcPr>
            <w:tcW w:w="3809" w:type="pct"/>
            <w:gridSpan w:val="3"/>
          </w:tcPr>
          <w:p w:rsidR="00FD77BB" w:rsidRPr="000C70D9" w:rsidRDefault="00C844CA" w:rsidP="00CF0826">
            <w:pPr>
              <w:pStyle w:val="Textpoznpodarou"/>
              <w:ind w:left="-124"/>
              <w:jc w:val="both"/>
              <w:rPr>
                <w:sz w:val="16"/>
                <w:szCs w:val="16"/>
                <w:lang w:val="en-GB"/>
              </w:rPr>
            </w:pPr>
            <w:r w:rsidRPr="00C844CA">
              <w:rPr>
                <w:noProof/>
                <w:sz w:val="16"/>
                <w:szCs w:val="16"/>
              </w:rPr>
              <w:drawing>
                <wp:inline distT="0" distB="0" distL="0" distR="0">
                  <wp:extent cx="4769510" cy="3482035"/>
                  <wp:effectExtent l="0" t="0" r="0" b="0"/>
                  <wp:docPr id="2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725B" w:rsidRPr="00C844CA" w:rsidRDefault="000C70D9" w:rsidP="00C844CA">
            <w:pPr>
              <w:pStyle w:val="Textpoznpodarou"/>
              <w:ind w:left="-124"/>
              <w:jc w:val="right"/>
              <w:rPr>
                <w:rFonts w:cs="Arial"/>
                <w:sz w:val="14"/>
                <w:szCs w:val="14"/>
                <w:lang w:val="en-GB"/>
              </w:rPr>
            </w:pPr>
            <w:r w:rsidRPr="000C70D9">
              <w:rPr>
                <w:rFonts w:cs="Arial"/>
                <w:sz w:val="14"/>
                <w:szCs w:val="14"/>
                <w:lang w:val="en-GB"/>
              </w:rPr>
              <w:t>Source</w:t>
            </w:r>
            <w:r w:rsidR="00FD77BB" w:rsidRPr="000C70D9">
              <w:rPr>
                <w:rFonts w:cs="Arial"/>
                <w:sz w:val="14"/>
                <w:szCs w:val="14"/>
                <w:lang w:val="en-GB"/>
              </w:rPr>
              <w:t xml:space="preserve">: </w:t>
            </w:r>
            <w:r w:rsidRPr="000C70D9">
              <w:rPr>
                <w:rFonts w:cs="Arial"/>
                <w:sz w:val="14"/>
                <w:szCs w:val="14"/>
                <w:lang w:val="en-GB"/>
              </w:rPr>
              <w:t>CZSO</w:t>
            </w:r>
            <w:r w:rsidR="00FD77BB" w:rsidRPr="000C70D9">
              <w:rPr>
                <w:rFonts w:cs="Arial"/>
                <w:sz w:val="14"/>
                <w:szCs w:val="14"/>
                <w:lang w:val="en-GB"/>
              </w:rPr>
              <w:t xml:space="preserve"> (n</w:t>
            </w:r>
            <w:r w:rsidRPr="000C70D9">
              <w:rPr>
                <w:rFonts w:cs="Arial"/>
                <w:sz w:val="14"/>
                <w:szCs w:val="14"/>
                <w:lang w:val="en-GB"/>
              </w:rPr>
              <w:t>ational accounts</w:t>
            </w:r>
            <w:r w:rsidR="00FD77BB" w:rsidRPr="000C70D9">
              <w:rPr>
                <w:rFonts w:cs="Arial"/>
                <w:sz w:val="14"/>
                <w:szCs w:val="14"/>
                <w:lang w:val="en-GB"/>
              </w:rPr>
              <w:t>)</w:t>
            </w:r>
          </w:p>
        </w:tc>
      </w:tr>
      <w:tr w:rsidR="007F45FF" w:rsidRPr="000C70D9" w:rsidTr="007F45FF">
        <w:trPr>
          <w:gridAfter w:val="1"/>
          <w:wAfter w:w="32" w:type="pct"/>
          <w:trHeight w:val="145"/>
        </w:trPr>
        <w:tc>
          <w:tcPr>
            <w:tcW w:w="1015" w:type="pct"/>
            <w:gridSpan w:val="2"/>
            <w:shd w:val="clear" w:color="auto" w:fill="auto"/>
          </w:tcPr>
          <w:p w:rsidR="007F45FF" w:rsidRPr="00F51724" w:rsidRDefault="007F45FF" w:rsidP="00CF0826">
            <w:pPr>
              <w:spacing w:line="240" w:lineRule="auto"/>
              <w:rPr>
                <w:color w:val="000000"/>
                <w:sz w:val="10"/>
                <w:szCs w:val="10"/>
                <w:highlight w:val="yellow"/>
                <w:lang w:val="en-GB"/>
              </w:rPr>
            </w:pPr>
          </w:p>
        </w:tc>
        <w:tc>
          <w:tcPr>
            <w:tcW w:w="144" w:type="pct"/>
            <w:gridSpan w:val="2"/>
          </w:tcPr>
          <w:p w:rsidR="007F45FF" w:rsidRPr="00F51724" w:rsidRDefault="007F45FF" w:rsidP="00CF0826">
            <w:pPr>
              <w:pStyle w:val="Textpoznpodarou"/>
              <w:jc w:val="both"/>
              <w:rPr>
                <w:sz w:val="10"/>
                <w:szCs w:val="10"/>
                <w:lang w:val="en-GB"/>
              </w:rPr>
            </w:pPr>
          </w:p>
        </w:tc>
        <w:tc>
          <w:tcPr>
            <w:tcW w:w="3809" w:type="pct"/>
            <w:gridSpan w:val="3"/>
          </w:tcPr>
          <w:p w:rsidR="007F45FF" w:rsidRPr="000C70D9" w:rsidRDefault="007F45FF" w:rsidP="00CF0826">
            <w:pPr>
              <w:pStyle w:val="Textpoznpodarou"/>
              <w:ind w:left="-124"/>
              <w:jc w:val="both"/>
              <w:rPr>
                <w:noProof/>
                <w:sz w:val="16"/>
                <w:szCs w:val="16"/>
                <w:lang w:val="en-GB" w:eastAsia="en-US"/>
              </w:rPr>
            </w:pPr>
          </w:p>
        </w:tc>
      </w:tr>
      <w:tr w:rsidR="00FD77BB" w:rsidRPr="00F06A1D" w:rsidTr="007F45FF">
        <w:trPr>
          <w:gridBefore w:val="1"/>
          <w:wBefore w:w="14" w:type="pct"/>
          <w:trHeight w:val="145"/>
        </w:trPr>
        <w:tc>
          <w:tcPr>
            <w:tcW w:w="1013" w:type="pct"/>
            <w:gridSpan w:val="2"/>
            <w:shd w:val="clear" w:color="auto" w:fill="auto"/>
          </w:tcPr>
          <w:p w:rsidR="00FD77BB" w:rsidRPr="000B4550" w:rsidRDefault="00416618" w:rsidP="00CF0826">
            <w:pPr>
              <w:spacing w:line="240" w:lineRule="auto"/>
              <w:rPr>
                <w:rFonts w:cs="Arial"/>
                <w:color w:val="0D0D0D" w:themeColor="text1" w:themeTint="F2"/>
                <w:spacing w:val="-2"/>
                <w:sz w:val="16"/>
                <w:szCs w:val="16"/>
                <w:lang w:val="en-GB"/>
              </w:rPr>
            </w:pPr>
            <w:r w:rsidRPr="000B4550">
              <w:rPr>
                <w:rFonts w:cs="Arial"/>
                <w:color w:val="0D0D0D" w:themeColor="text1" w:themeTint="F2"/>
                <w:spacing w:val="-2"/>
                <w:sz w:val="16"/>
                <w:szCs w:val="16"/>
                <w:lang w:val="en-GB"/>
              </w:rPr>
              <w:t xml:space="preserve">Both employees and self-employed </w:t>
            </w:r>
            <w:r w:rsidR="00E00CCA" w:rsidRPr="000B4550">
              <w:rPr>
                <w:rFonts w:cs="Arial"/>
                <w:color w:val="0D0D0D" w:themeColor="text1" w:themeTint="F2"/>
                <w:spacing w:val="-2"/>
                <w:sz w:val="16"/>
                <w:szCs w:val="16"/>
                <w:lang w:val="en-GB"/>
              </w:rPr>
              <w:t xml:space="preserve">contributed to the higher employment </w:t>
            </w:r>
            <w:r w:rsidR="00E00CCA" w:rsidRPr="000B4550">
              <w:rPr>
                <w:rFonts w:cs="Arial"/>
                <w:color w:val="0D0D0D" w:themeColor="text1" w:themeTint="F2"/>
                <w:spacing w:val="-2"/>
                <w:sz w:val="16"/>
                <w:szCs w:val="16"/>
                <w:lang w:val="en-GB"/>
              </w:rPr>
              <w:lastRenderedPageBreak/>
              <w:t>last year.</w:t>
            </w:r>
          </w:p>
          <w:p w:rsidR="00FD77BB" w:rsidRPr="000B4550" w:rsidRDefault="00FD77BB" w:rsidP="00CF0826">
            <w:pPr>
              <w:spacing w:line="240" w:lineRule="auto"/>
              <w:rPr>
                <w:rFonts w:cs="Arial"/>
                <w:color w:val="0D0D0D" w:themeColor="text1" w:themeTint="F2"/>
                <w:spacing w:val="-4"/>
                <w:sz w:val="16"/>
                <w:szCs w:val="16"/>
                <w:lang w:val="en-GB"/>
              </w:rPr>
            </w:pPr>
          </w:p>
          <w:p w:rsidR="00FD77BB" w:rsidRPr="000B4550" w:rsidRDefault="00FD77BB" w:rsidP="00CF0826">
            <w:pPr>
              <w:spacing w:line="240" w:lineRule="auto"/>
              <w:rPr>
                <w:rFonts w:cs="Arial"/>
                <w:color w:val="0D0D0D" w:themeColor="text1" w:themeTint="F2"/>
                <w:spacing w:val="-4"/>
                <w:sz w:val="16"/>
                <w:szCs w:val="16"/>
                <w:lang w:val="en-GB"/>
              </w:rPr>
            </w:pPr>
          </w:p>
          <w:p w:rsidR="00FD77BB" w:rsidRPr="000B4550" w:rsidRDefault="000B4550" w:rsidP="00CF0826">
            <w:pPr>
              <w:spacing w:line="240" w:lineRule="auto"/>
              <w:rPr>
                <w:rFonts w:cs="Arial"/>
                <w:color w:val="0D0D0D" w:themeColor="text1" w:themeTint="F2"/>
                <w:spacing w:val="-4"/>
                <w:sz w:val="16"/>
                <w:szCs w:val="16"/>
                <w:lang w:val="en-GB"/>
              </w:rPr>
            </w:pPr>
            <w:r>
              <w:rPr>
                <w:rFonts w:cs="Arial"/>
                <w:color w:val="0D0D0D" w:themeColor="text1" w:themeTint="F2"/>
                <w:spacing w:val="-4"/>
                <w:sz w:val="16"/>
                <w:szCs w:val="16"/>
                <w:lang w:val="en-GB"/>
              </w:rPr>
              <w:t xml:space="preserve">Focal point of growth of new job positions moved from manufacturing to services. Construction revived, recession in mining and quarrying on the contrary continued.  </w:t>
            </w:r>
          </w:p>
        </w:tc>
        <w:tc>
          <w:tcPr>
            <w:tcW w:w="144" w:type="pct"/>
            <w:gridSpan w:val="2"/>
          </w:tcPr>
          <w:p w:rsidR="00FD77BB" w:rsidRPr="000B4550" w:rsidRDefault="00FD77BB" w:rsidP="00CF0826">
            <w:pPr>
              <w:pStyle w:val="Textpoznpodarou"/>
              <w:jc w:val="both"/>
              <w:rPr>
                <w:rFonts w:cs="Arial"/>
                <w:color w:val="0D0D0D" w:themeColor="text1" w:themeTint="F2"/>
                <w:lang w:val="en-GB"/>
              </w:rPr>
            </w:pPr>
          </w:p>
        </w:tc>
        <w:tc>
          <w:tcPr>
            <w:tcW w:w="3829" w:type="pct"/>
            <w:gridSpan w:val="3"/>
          </w:tcPr>
          <w:p w:rsidR="00FD77BB" w:rsidRPr="000B4550" w:rsidRDefault="00E00CCA" w:rsidP="0037040B">
            <w:pPr>
              <w:pStyle w:val="Textpoznpodarou"/>
              <w:jc w:val="both"/>
              <w:rPr>
                <w:rFonts w:cs="Arial"/>
                <w:color w:val="0D0D0D" w:themeColor="text1" w:themeTint="F2"/>
                <w:spacing w:val="-4"/>
                <w:lang w:val="en-GB"/>
              </w:rPr>
            </w:pPr>
            <w:r w:rsidRPr="000B4550">
              <w:rPr>
                <w:rFonts w:cs="Arial"/>
                <w:color w:val="0D0D0D" w:themeColor="text1" w:themeTint="F2"/>
                <w:spacing w:val="-4"/>
                <w:lang w:val="en-GB"/>
              </w:rPr>
              <w:t xml:space="preserve">Mostly employees contributed to the higher employment in 2017. Self-employed however also </w:t>
            </w:r>
            <w:r w:rsidR="000B4550" w:rsidRPr="000B4550">
              <w:rPr>
                <w:rFonts w:cs="Arial"/>
                <w:color w:val="0D0D0D" w:themeColor="text1" w:themeTint="F2"/>
                <w:spacing w:val="-4"/>
                <w:lang w:val="en-GB"/>
              </w:rPr>
              <w:t>participated</w:t>
            </w:r>
            <w:r w:rsidRPr="000B4550">
              <w:rPr>
                <w:rFonts w:cs="Arial"/>
                <w:color w:val="0D0D0D" w:themeColor="text1" w:themeTint="F2"/>
                <w:spacing w:val="-4"/>
                <w:lang w:val="en-GB"/>
              </w:rPr>
              <w:t xml:space="preserve"> by one sixth, their growth </w:t>
            </w:r>
            <w:r w:rsidR="000B4550" w:rsidRPr="000B4550">
              <w:rPr>
                <w:rFonts w:cs="Arial"/>
                <w:color w:val="0D0D0D" w:themeColor="text1" w:themeTint="F2"/>
                <w:spacing w:val="-4"/>
                <w:lang w:val="en-GB"/>
              </w:rPr>
              <w:t>pervaded</w:t>
            </w:r>
            <w:r w:rsidRPr="000B4550">
              <w:rPr>
                <w:rFonts w:cs="Arial"/>
                <w:color w:val="0D0D0D" w:themeColor="text1" w:themeTint="F2"/>
                <w:spacing w:val="-4"/>
                <w:lang w:val="en-GB"/>
              </w:rPr>
              <w:t xml:space="preserve"> majority of significant branches. Number of self-employed increased already second year in a row. </w:t>
            </w:r>
            <w:r w:rsidR="0026595E" w:rsidRPr="000B4550">
              <w:rPr>
                <w:rFonts w:cs="Arial"/>
                <w:color w:val="0D0D0D" w:themeColor="text1" w:themeTint="F2"/>
                <w:spacing w:val="-4"/>
                <w:lang w:val="en-GB"/>
              </w:rPr>
              <w:t xml:space="preserve"> </w:t>
            </w:r>
            <w:r w:rsidR="000B4550" w:rsidRPr="000B4550">
              <w:rPr>
                <w:rFonts w:cs="Arial"/>
                <w:color w:val="0D0D0D" w:themeColor="text1" w:themeTint="F2"/>
                <w:spacing w:val="-4"/>
                <w:lang w:val="en-GB"/>
              </w:rPr>
              <w:t xml:space="preserve">From </w:t>
            </w:r>
            <w:r w:rsidR="000B4550" w:rsidRPr="000B4550">
              <w:rPr>
                <w:rFonts w:cs="Arial"/>
                <w:color w:val="0D0D0D" w:themeColor="text1" w:themeTint="F2"/>
                <w:spacing w:val="-4"/>
                <w:lang w:val="en-GB"/>
              </w:rPr>
              <w:lastRenderedPageBreak/>
              <w:t xml:space="preserve">the point of view of branches, especially services drove the growth of the total employment in 2017. The role of manufacturing, which intensively hired employees in years 2015 and 2016, gradually weakened. </w:t>
            </w:r>
            <w:r w:rsidR="00615023">
              <w:rPr>
                <w:rFonts w:cs="Arial"/>
                <w:color w:val="0D0D0D" w:themeColor="text1" w:themeTint="F2"/>
                <w:spacing w:val="-4"/>
                <w:lang w:val="en-GB"/>
              </w:rPr>
              <w:t xml:space="preserve">By 71 thousand people more worked in the </w:t>
            </w:r>
            <w:r w:rsidR="00E42C77">
              <w:rPr>
                <w:rFonts w:cs="Arial"/>
                <w:color w:val="0D0D0D" w:themeColor="text1" w:themeTint="F2"/>
                <w:spacing w:val="-4"/>
                <w:lang w:val="en-GB"/>
              </w:rPr>
              <w:t>services</w:t>
            </w:r>
            <w:r w:rsidR="00615023">
              <w:rPr>
                <w:rFonts w:cs="Arial"/>
                <w:color w:val="0D0D0D" w:themeColor="text1" w:themeTint="F2"/>
                <w:spacing w:val="-4"/>
                <w:lang w:val="en-GB"/>
              </w:rPr>
              <w:t xml:space="preserve"> sector compared to year 2016, by 8 thousand more in manufacturing. </w:t>
            </w:r>
            <w:r w:rsidR="009C0CD4">
              <w:rPr>
                <w:rFonts w:cs="Arial"/>
                <w:color w:val="0D0D0D" w:themeColor="text1" w:themeTint="F2"/>
                <w:spacing w:val="-4"/>
                <w:lang w:val="en-GB"/>
              </w:rPr>
              <w:t>Within</w:t>
            </w:r>
            <w:r w:rsidR="00615023">
              <w:rPr>
                <w:rFonts w:cs="Arial"/>
                <w:color w:val="0D0D0D" w:themeColor="text1" w:themeTint="F2"/>
                <w:spacing w:val="-4"/>
                <w:lang w:val="en-GB"/>
              </w:rPr>
              <w:t xml:space="preserve"> </w:t>
            </w:r>
            <w:r w:rsidR="009C0CD4">
              <w:rPr>
                <w:rFonts w:cs="Arial"/>
                <w:color w:val="0D0D0D" w:themeColor="text1" w:themeTint="F2"/>
                <w:spacing w:val="-4"/>
                <w:lang w:val="en-GB"/>
              </w:rPr>
              <w:t>the services sector</w:t>
            </w:r>
            <w:r w:rsidR="00615023">
              <w:rPr>
                <w:rFonts w:cs="Arial"/>
                <w:color w:val="0D0D0D" w:themeColor="text1" w:themeTint="F2"/>
                <w:spacing w:val="-4"/>
                <w:lang w:val="en-GB"/>
              </w:rPr>
              <w:t xml:space="preserve">, the branch professional, </w:t>
            </w:r>
            <w:r w:rsidR="009C0CD4">
              <w:rPr>
                <w:rFonts w:cs="Arial"/>
                <w:color w:val="0D0D0D" w:themeColor="text1" w:themeTint="F2"/>
                <w:spacing w:val="-4"/>
                <w:lang w:val="en-GB"/>
              </w:rPr>
              <w:t>scientific</w:t>
            </w:r>
            <w:r w:rsidR="00615023">
              <w:rPr>
                <w:rFonts w:cs="Arial"/>
                <w:color w:val="0D0D0D" w:themeColor="text1" w:themeTint="F2"/>
                <w:spacing w:val="-4"/>
                <w:lang w:val="en-GB"/>
              </w:rPr>
              <w:t>, technical and administrative activities and also information and communication created</w:t>
            </w:r>
            <w:r w:rsidR="009C0CD4">
              <w:rPr>
                <w:rFonts w:cs="Arial"/>
                <w:color w:val="0D0D0D" w:themeColor="text1" w:themeTint="F2"/>
                <w:spacing w:val="-4"/>
                <w:lang w:val="en-GB"/>
              </w:rPr>
              <w:t xml:space="preserve"> </w:t>
            </w:r>
            <w:r w:rsidR="00615023">
              <w:rPr>
                <w:rFonts w:cs="Arial"/>
                <w:color w:val="0D0D0D" w:themeColor="text1" w:themeTint="F2"/>
                <w:spacing w:val="-4"/>
                <w:lang w:val="en-GB"/>
              </w:rPr>
              <w:t xml:space="preserve">relatively the </w:t>
            </w:r>
            <w:r w:rsidR="00136168">
              <w:rPr>
                <w:rFonts w:cs="Arial"/>
                <w:color w:val="0D0D0D" w:themeColor="text1" w:themeTint="F2"/>
                <w:spacing w:val="-4"/>
                <w:lang w:val="en-GB"/>
              </w:rPr>
              <w:t xml:space="preserve">most new </w:t>
            </w:r>
            <w:r w:rsidR="00615023">
              <w:rPr>
                <w:rFonts w:cs="Arial"/>
                <w:color w:val="0D0D0D" w:themeColor="text1" w:themeTint="F2"/>
                <w:spacing w:val="-4"/>
                <w:lang w:val="en-GB"/>
              </w:rPr>
              <w:t xml:space="preserve">working positions </w:t>
            </w:r>
            <w:r w:rsidR="005959ED" w:rsidRPr="000B4550">
              <w:rPr>
                <w:rFonts w:cs="Arial"/>
                <w:color w:val="000000" w:themeColor="text1"/>
                <w:spacing w:val="-4"/>
                <w:lang w:val="en-GB"/>
              </w:rPr>
              <w:t>(</w:t>
            </w:r>
            <w:r w:rsidR="009C0CD4">
              <w:rPr>
                <w:rFonts w:cs="Arial"/>
                <w:color w:val="000000" w:themeColor="text1"/>
                <w:spacing w:val="-4"/>
                <w:lang w:val="en-GB"/>
              </w:rPr>
              <w:t>by 3.8% more in both cases</w:t>
            </w:r>
            <w:r w:rsidR="005959ED" w:rsidRPr="000B4550">
              <w:rPr>
                <w:rFonts w:cs="Arial"/>
                <w:color w:val="000000" w:themeColor="text1"/>
                <w:spacing w:val="-4"/>
                <w:lang w:val="en-GB"/>
              </w:rPr>
              <w:t>).</w:t>
            </w:r>
            <w:r w:rsidR="007D3A2C" w:rsidRPr="000B4550">
              <w:rPr>
                <w:rFonts w:cs="Arial"/>
                <w:color w:val="000000" w:themeColor="text1"/>
                <w:spacing w:val="-4"/>
                <w:lang w:val="en-GB"/>
              </w:rPr>
              <w:t xml:space="preserve"> </w:t>
            </w:r>
            <w:r w:rsidR="00136168">
              <w:rPr>
                <w:rFonts w:cs="Arial"/>
                <w:color w:val="000000" w:themeColor="text1"/>
                <w:spacing w:val="-4"/>
                <w:lang w:val="en-GB"/>
              </w:rPr>
              <w:t>Mild increase of employment continued in branches with the state dominance</w:t>
            </w:r>
            <w:r w:rsidR="00FD77BB" w:rsidRPr="000B4550">
              <w:rPr>
                <w:rStyle w:val="Znakapoznpodarou"/>
                <w:color w:val="0D0D0D" w:themeColor="text1" w:themeTint="F2"/>
                <w:spacing w:val="-4"/>
                <w:lang w:val="en-GB"/>
              </w:rPr>
              <w:footnoteReference w:id="3"/>
            </w:r>
            <w:r w:rsidR="005959ED" w:rsidRPr="000B4550">
              <w:rPr>
                <w:rFonts w:cs="Arial"/>
                <w:color w:val="0D0D0D" w:themeColor="text1" w:themeTint="F2"/>
                <w:spacing w:val="-4"/>
                <w:lang w:val="en-GB"/>
              </w:rPr>
              <w:t xml:space="preserve"> –</w:t>
            </w:r>
            <w:r w:rsidR="0037040B" w:rsidRPr="000B4550">
              <w:rPr>
                <w:rFonts w:cs="Arial"/>
                <w:color w:val="0D0D0D" w:themeColor="text1" w:themeTint="F2"/>
                <w:spacing w:val="-4"/>
                <w:lang w:val="en-GB"/>
              </w:rPr>
              <w:t xml:space="preserve"> </w:t>
            </w:r>
            <w:r w:rsidR="00136168">
              <w:rPr>
                <w:rFonts w:cs="Arial"/>
                <w:color w:val="0D0D0D" w:themeColor="text1" w:themeTint="F2"/>
                <w:spacing w:val="-4"/>
                <w:lang w:val="en-GB"/>
              </w:rPr>
              <w:t>mainly in defence and education. The six years lasting reduction of employment in construction halted, exclusively due to the effect of higher number of self-employed (they benefited from the higher demand for smaller construction works, whose development was not negatively affected by the irregularities in the drawing of European funds). The number of hours worked in the whole economy increased by 1.9% last year and it showed higher rates of growth than the total employment already for the second year. One of the reasons is also the growing number as well as proportion of persons working in the second employments, as evident from the LFSS</w:t>
            </w:r>
            <w:r w:rsidR="00136168" w:rsidRPr="000B4550">
              <w:rPr>
                <w:rStyle w:val="Znakapoznpodarou"/>
                <w:color w:val="0D0D0D" w:themeColor="text1" w:themeTint="F2"/>
                <w:spacing w:val="-4"/>
                <w:lang w:val="en-GB"/>
              </w:rPr>
              <w:footnoteReference w:id="4"/>
            </w:r>
            <w:r w:rsidR="00136168">
              <w:rPr>
                <w:rFonts w:cs="Arial"/>
                <w:color w:val="0D0D0D" w:themeColor="text1" w:themeTint="F2"/>
                <w:spacing w:val="-4"/>
                <w:lang w:val="en-GB"/>
              </w:rPr>
              <w:t xml:space="preserve"> data.</w:t>
            </w:r>
          </w:p>
        </w:tc>
      </w:tr>
    </w:tbl>
    <w:p w:rsidR="00FD77BB" w:rsidRPr="00FD77BB" w:rsidRDefault="00FD77BB" w:rsidP="00FD77BB">
      <w:pPr>
        <w:rPr>
          <w:sz w:val="14"/>
          <w:szCs w:val="14"/>
          <w:lang w:eastAsia="ar-SA"/>
        </w:rPr>
      </w:pPr>
    </w:p>
    <w:tbl>
      <w:tblPr>
        <w:tblW w:w="4977" w:type="pct"/>
        <w:tblInd w:w="80" w:type="dxa"/>
        <w:tblLayout w:type="fixed"/>
        <w:tblLook w:val="00A0"/>
      </w:tblPr>
      <w:tblGrid>
        <w:gridCol w:w="2004"/>
        <w:gridCol w:w="284"/>
        <w:gridCol w:w="1122"/>
        <w:gridCol w:w="6399"/>
      </w:tblGrid>
      <w:tr w:rsidR="00FD77BB" w:rsidRPr="000117D0" w:rsidTr="00CF0826">
        <w:trPr>
          <w:trHeight w:val="145"/>
        </w:trPr>
        <w:tc>
          <w:tcPr>
            <w:tcW w:w="1018" w:type="pct"/>
            <w:shd w:val="clear" w:color="auto" w:fill="auto"/>
          </w:tcPr>
          <w:p w:rsidR="00FD77BB" w:rsidRPr="00AA4A76" w:rsidRDefault="00FD77BB" w:rsidP="00CF0826">
            <w:pPr>
              <w:spacing w:line="240" w:lineRule="auto"/>
              <w:jc w:val="center"/>
              <w:rPr>
                <w:color w:val="000000"/>
                <w:szCs w:val="20"/>
              </w:rPr>
            </w:pPr>
          </w:p>
        </w:tc>
        <w:tc>
          <w:tcPr>
            <w:tcW w:w="145" w:type="pct"/>
          </w:tcPr>
          <w:p w:rsidR="00FD77BB" w:rsidRPr="00AA4A76" w:rsidRDefault="00FD77BB" w:rsidP="00CF0826">
            <w:pPr>
              <w:pStyle w:val="Textpoznpodarou"/>
              <w:jc w:val="both"/>
              <w:rPr>
                <w:highlight w:val="yellow"/>
              </w:rPr>
            </w:pPr>
          </w:p>
        </w:tc>
        <w:tc>
          <w:tcPr>
            <w:tcW w:w="570" w:type="pct"/>
          </w:tcPr>
          <w:p w:rsidR="00FD77BB" w:rsidRPr="00AA4A76" w:rsidRDefault="000B4550" w:rsidP="00CF0826">
            <w:pPr>
              <w:pStyle w:val="Textpoznpodarou"/>
              <w:jc w:val="both"/>
              <w:rPr>
                <w:highlight w:val="yellow"/>
              </w:rPr>
            </w:pPr>
            <w:r>
              <w:rPr>
                <w:color w:val="000000"/>
              </w:rPr>
              <w:t>Chart 16</w:t>
            </w:r>
          </w:p>
        </w:tc>
        <w:tc>
          <w:tcPr>
            <w:tcW w:w="3253" w:type="pct"/>
          </w:tcPr>
          <w:p w:rsidR="00FD77BB" w:rsidRPr="00322719" w:rsidRDefault="00322719" w:rsidP="00CF0826">
            <w:pPr>
              <w:pStyle w:val="Textpoznpodarou"/>
              <w:rPr>
                <w:b/>
                <w:lang w:val="en-GB" w:eastAsia="en-US"/>
              </w:rPr>
            </w:pPr>
            <w:r w:rsidRPr="00322719">
              <w:rPr>
                <w:rFonts w:cs="Arial"/>
                <w:b/>
                <w:bCs/>
                <w:spacing w:val="-2"/>
                <w:lang w:val="en-GB"/>
              </w:rPr>
              <w:t xml:space="preserve">General unemployment rate of males and females </w:t>
            </w:r>
            <w:r w:rsidR="00FD77BB" w:rsidRPr="0076719C">
              <w:rPr>
                <w:rFonts w:cs="Arial"/>
                <w:bCs/>
                <w:spacing w:val="-2"/>
                <w:lang w:val="en-GB"/>
              </w:rPr>
              <w:t>(</w:t>
            </w:r>
            <w:r w:rsidRPr="0076719C">
              <w:rPr>
                <w:rFonts w:cs="Arial"/>
                <w:bCs/>
                <w:spacing w:val="-2"/>
                <w:lang w:val="en-GB"/>
              </w:rPr>
              <w:t>in</w:t>
            </w:r>
            <w:r w:rsidR="00FD77BB" w:rsidRPr="00322719">
              <w:rPr>
                <w:rFonts w:cs="Arial"/>
                <w:bCs/>
                <w:spacing w:val="-2"/>
                <w:lang w:val="en-GB"/>
              </w:rPr>
              <w:t xml:space="preserve"> %, s</w:t>
            </w:r>
            <w:r w:rsidRPr="00322719">
              <w:rPr>
                <w:rFonts w:cs="Arial"/>
                <w:bCs/>
                <w:spacing w:val="-2"/>
                <w:lang w:val="en-GB"/>
              </w:rPr>
              <w:t>easonally adjusted)</w:t>
            </w:r>
            <w:r w:rsidR="00FD77BB" w:rsidRPr="00322719">
              <w:rPr>
                <w:rFonts w:cs="Arial"/>
                <w:b/>
                <w:bCs/>
                <w:spacing w:val="-2"/>
                <w:lang w:val="en-GB"/>
              </w:rPr>
              <w:t xml:space="preserve"> a</w:t>
            </w:r>
            <w:r w:rsidRPr="00322719">
              <w:rPr>
                <w:rFonts w:cs="Arial"/>
                <w:b/>
                <w:bCs/>
                <w:spacing w:val="-2"/>
                <w:lang w:val="en-GB"/>
              </w:rPr>
              <w:t xml:space="preserve">nd selected groups of unemployed </w:t>
            </w:r>
            <w:r w:rsidR="00FD77BB" w:rsidRPr="00322719">
              <w:rPr>
                <w:rFonts w:cs="Arial"/>
                <w:bCs/>
                <w:spacing w:val="-2"/>
                <w:lang w:val="en-GB"/>
              </w:rPr>
              <w:t xml:space="preserve">(y/y, </w:t>
            </w:r>
            <w:r w:rsidRPr="00322719">
              <w:rPr>
                <w:rFonts w:cs="Arial"/>
                <w:bCs/>
                <w:spacing w:val="-2"/>
                <w:lang w:val="en-GB"/>
              </w:rPr>
              <w:t>in</w:t>
            </w:r>
            <w:r w:rsidR="00FD77BB" w:rsidRPr="00322719">
              <w:rPr>
                <w:rFonts w:cs="Arial"/>
                <w:bCs/>
                <w:spacing w:val="-2"/>
                <w:lang w:val="en-GB"/>
              </w:rPr>
              <w:t xml:space="preserve"> %)</w:t>
            </w:r>
          </w:p>
        </w:tc>
      </w:tr>
      <w:tr w:rsidR="00FD77BB" w:rsidRPr="00535F78" w:rsidTr="00CF0826">
        <w:trPr>
          <w:trHeight w:val="145"/>
        </w:trPr>
        <w:tc>
          <w:tcPr>
            <w:tcW w:w="1018" w:type="pct"/>
            <w:shd w:val="clear" w:color="auto" w:fill="auto"/>
          </w:tcPr>
          <w:p w:rsidR="00FD77BB" w:rsidRPr="006D3F53" w:rsidRDefault="00FD77BB" w:rsidP="00CF0826">
            <w:pPr>
              <w:spacing w:line="240" w:lineRule="auto"/>
              <w:rPr>
                <w:color w:val="000000"/>
                <w:sz w:val="16"/>
                <w:szCs w:val="16"/>
                <w:highlight w:val="yellow"/>
              </w:rPr>
            </w:pPr>
          </w:p>
        </w:tc>
        <w:tc>
          <w:tcPr>
            <w:tcW w:w="145" w:type="pct"/>
          </w:tcPr>
          <w:p w:rsidR="00FD77BB" w:rsidRPr="00A74192" w:rsidRDefault="00FD77BB" w:rsidP="00CF0826">
            <w:pPr>
              <w:pStyle w:val="Textpoznpodarou"/>
              <w:jc w:val="both"/>
            </w:pPr>
          </w:p>
        </w:tc>
        <w:tc>
          <w:tcPr>
            <w:tcW w:w="3823" w:type="pct"/>
            <w:gridSpan w:val="2"/>
          </w:tcPr>
          <w:p w:rsidR="00FD77BB" w:rsidRDefault="00C844CA" w:rsidP="00CF0826">
            <w:pPr>
              <w:pStyle w:val="Textpoznpodarou"/>
              <w:ind w:left="-124"/>
              <w:jc w:val="both"/>
              <w:rPr>
                <w:sz w:val="16"/>
                <w:szCs w:val="16"/>
              </w:rPr>
            </w:pPr>
            <w:r w:rsidRPr="00C844CA">
              <w:rPr>
                <w:noProof/>
                <w:sz w:val="16"/>
                <w:szCs w:val="16"/>
              </w:rPr>
              <w:drawing>
                <wp:inline distT="0" distB="0" distL="0" distR="0">
                  <wp:extent cx="4752000" cy="3528000"/>
                  <wp:effectExtent l="19050" t="0" r="0" b="0"/>
                  <wp:docPr id="2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2C77" w:rsidRPr="00C844CA" w:rsidRDefault="00322719" w:rsidP="00C844CA">
            <w:pPr>
              <w:pStyle w:val="Textpoznpodarou"/>
              <w:ind w:left="-124"/>
              <w:jc w:val="right"/>
              <w:rPr>
                <w:rFonts w:cs="Arial"/>
                <w:sz w:val="14"/>
                <w:szCs w:val="14"/>
              </w:rPr>
            </w:pPr>
            <w:r w:rsidRPr="00322719">
              <w:rPr>
                <w:rFonts w:cs="Arial"/>
                <w:sz w:val="14"/>
                <w:szCs w:val="14"/>
                <w:lang w:val="en-GB"/>
              </w:rPr>
              <w:t>Source</w:t>
            </w:r>
            <w:r w:rsidR="00FD77BB" w:rsidRPr="00322719">
              <w:rPr>
                <w:rFonts w:cs="Arial"/>
                <w:sz w:val="14"/>
                <w:szCs w:val="14"/>
                <w:lang w:val="en-GB"/>
              </w:rPr>
              <w:t xml:space="preserve">: </w:t>
            </w:r>
            <w:r w:rsidRPr="00322719">
              <w:rPr>
                <w:rFonts w:cs="Arial"/>
                <w:sz w:val="14"/>
                <w:szCs w:val="14"/>
                <w:lang w:val="en-GB"/>
              </w:rPr>
              <w:t>CZSO</w:t>
            </w:r>
            <w:r w:rsidR="00FD77BB" w:rsidRPr="00322719">
              <w:rPr>
                <w:rFonts w:cs="Arial"/>
                <w:sz w:val="14"/>
                <w:szCs w:val="14"/>
                <w:lang w:val="en-GB"/>
              </w:rPr>
              <w:t xml:space="preserve"> (</w:t>
            </w:r>
            <w:r w:rsidRPr="00322719">
              <w:rPr>
                <w:rFonts w:cs="Arial"/>
                <w:sz w:val="14"/>
                <w:szCs w:val="14"/>
                <w:lang w:val="en-GB"/>
              </w:rPr>
              <w:t>LFSS – Labour Force Sample Survey</w:t>
            </w:r>
            <w:r w:rsidR="00FD77BB">
              <w:rPr>
                <w:rFonts w:cs="Arial"/>
                <w:sz w:val="14"/>
                <w:szCs w:val="14"/>
              </w:rPr>
              <w:t>)</w:t>
            </w:r>
          </w:p>
        </w:tc>
      </w:tr>
    </w:tbl>
    <w:p w:rsidR="00FD77BB" w:rsidRPr="00FD77BB" w:rsidRDefault="00FD77BB" w:rsidP="00FD77BB">
      <w:pPr>
        <w:rPr>
          <w:sz w:val="14"/>
          <w:szCs w:val="14"/>
          <w:lang w:eastAsia="ar-SA"/>
        </w:rPr>
      </w:pPr>
    </w:p>
    <w:tbl>
      <w:tblPr>
        <w:tblW w:w="4995" w:type="pct"/>
        <w:tblInd w:w="108" w:type="dxa"/>
        <w:tblLayout w:type="fixed"/>
        <w:tblLook w:val="00A0"/>
      </w:tblPr>
      <w:tblGrid>
        <w:gridCol w:w="2000"/>
        <w:gridCol w:w="284"/>
        <w:gridCol w:w="7560"/>
      </w:tblGrid>
      <w:tr w:rsidR="00FD77BB" w:rsidRPr="00F06A1D" w:rsidTr="00CF0826">
        <w:trPr>
          <w:trHeight w:val="145"/>
        </w:trPr>
        <w:tc>
          <w:tcPr>
            <w:tcW w:w="1016" w:type="pct"/>
            <w:shd w:val="clear" w:color="auto" w:fill="auto"/>
          </w:tcPr>
          <w:p w:rsidR="00FD77BB" w:rsidRPr="003F7948" w:rsidRDefault="003F7948" w:rsidP="00CF0826">
            <w:pPr>
              <w:spacing w:line="240" w:lineRule="auto"/>
              <w:rPr>
                <w:rFonts w:cs="Arial"/>
                <w:color w:val="0D0D0D" w:themeColor="text1" w:themeTint="F2"/>
                <w:sz w:val="16"/>
                <w:szCs w:val="16"/>
                <w:lang w:val="en-GB"/>
              </w:rPr>
            </w:pPr>
            <w:r w:rsidRPr="003F7948">
              <w:rPr>
                <w:rFonts w:cs="Arial"/>
                <w:color w:val="0D0D0D" w:themeColor="text1" w:themeTint="F2"/>
                <w:sz w:val="16"/>
                <w:szCs w:val="16"/>
                <w:lang w:val="en-GB"/>
              </w:rPr>
              <w:t xml:space="preserve">Pace of the reduction of the unemployment rate did not slacken during 2017 thanks to the favourable development for the long-term unemployed persons, resp. </w:t>
            </w:r>
            <w:r>
              <w:rPr>
                <w:rFonts w:cs="Arial"/>
                <w:color w:val="0D0D0D" w:themeColor="text1" w:themeTint="F2"/>
                <w:sz w:val="16"/>
                <w:szCs w:val="16"/>
                <w:lang w:val="en-GB"/>
              </w:rPr>
              <w:t>p</w:t>
            </w:r>
            <w:r w:rsidRPr="003F7948">
              <w:rPr>
                <w:rFonts w:cs="Arial"/>
                <w:color w:val="0D0D0D" w:themeColor="text1" w:themeTint="F2"/>
                <w:sz w:val="16"/>
                <w:szCs w:val="16"/>
                <w:lang w:val="en-GB"/>
              </w:rPr>
              <w:t xml:space="preserve">ersons with the lowest education level.  </w:t>
            </w:r>
          </w:p>
        </w:tc>
        <w:tc>
          <w:tcPr>
            <w:tcW w:w="144" w:type="pct"/>
          </w:tcPr>
          <w:p w:rsidR="00FD77BB" w:rsidRPr="003F7948" w:rsidRDefault="00FD77BB" w:rsidP="00CF0826">
            <w:pPr>
              <w:pStyle w:val="Textpoznpodarou"/>
              <w:jc w:val="both"/>
              <w:rPr>
                <w:rFonts w:cs="Arial"/>
                <w:color w:val="0D0D0D" w:themeColor="text1" w:themeTint="F2"/>
                <w:lang w:val="en-GB"/>
              </w:rPr>
            </w:pPr>
          </w:p>
        </w:tc>
        <w:tc>
          <w:tcPr>
            <w:tcW w:w="3840" w:type="pct"/>
          </w:tcPr>
          <w:p w:rsidR="00FD77BB" w:rsidRPr="003F7948" w:rsidRDefault="009057D4" w:rsidP="00CF0826">
            <w:pPr>
              <w:pStyle w:val="Textpoznpodarou"/>
              <w:jc w:val="both"/>
              <w:rPr>
                <w:rFonts w:cs="Arial"/>
                <w:color w:val="0D0D0D" w:themeColor="text1" w:themeTint="F2"/>
                <w:spacing w:val="-3"/>
                <w:lang w:val="en-GB"/>
              </w:rPr>
            </w:pPr>
            <w:r w:rsidRPr="003F7948">
              <w:rPr>
                <w:rFonts w:cs="Arial"/>
                <w:color w:val="0D0D0D" w:themeColor="text1" w:themeTint="F2"/>
                <w:spacing w:val="-4"/>
                <w:lang w:val="en-GB"/>
              </w:rPr>
              <w:t>General unemployment rate was continuously sinking to the historical minimums in the context of the independent CR as well as its position within the EU. In December 2017, there were 2.4% of unemployed persons aged 15-64 years (based on the seasonally adjusted data)</w:t>
            </w:r>
            <w:r w:rsidR="00FD77BB" w:rsidRPr="003F7948">
              <w:rPr>
                <w:rFonts w:cs="Arial"/>
                <w:color w:val="0D0D0D" w:themeColor="text1" w:themeTint="F2"/>
                <w:spacing w:val="-4"/>
                <w:lang w:val="en-GB"/>
              </w:rPr>
              <w:t xml:space="preserve">, </w:t>
            </w:r>
            <w:r w:rsidRPr="003F7948">
              <w:rPr>
                <w:rFonts w:cs="Arial"/>
                <w:color w:val="0D0D0D" w:themeColor="text1" w:themeTint="F2"/>
                <w:spacing w:val="-4"/>
                <w:lang w:val="en-GB"/>
              </w:rPr>
              <w:t xml:space="preserve">by 1.3 </w:t>
            </w:r>
            <w:r w:rsidR="0030607B">
              <w:rPr>
                <w:rFonts w:cs="Arial"/>
                <w:color w:val="0D0D0D" w:themeColor="text1" w:themeTint="F2"/>
                <w:spacing w:val="-4"/>
                <w:lang w:val="en-GB"/>
              </w:rPr>
              <w:t>p.p.</w:t>
            </w:r>
            <w:r w:rsidRPr="003F7948">
              <w:rPr>
                <w:rFonts w:cs="Arial"/>
                <w:color w:val="0D0D0D" w:themeColor="text1" w:themeTint="F2"/>
                <w:spacing w:val="-4"/>
                <w:lang w:val="en-GB"/>
              </w:rPr>
              <w:t xml:space="preserve"> less year-on-year. The rate of growth of the unemployment reduction compared to both years 2015 and 2016 did not slacken, which was especially thanks to the favourable development in the </w:t>
            </w:r>
            <w:r w:rsidR="00593D14" w:rsidRPr="003F7948">
              <w:rPr>
                <w:rFonts w:cs="Arial"/>
                <w:color w:val="0D0D0D" w:themeColor="text1" w:themeTint="F2"/>
                <w:spacing w:val="-4"/>
                <w:lang w:val="en-GB"/>
              </w:rPr>
              <w:t xml:space="preserve">first half of year 2017. </w:t>
            </w:r>
            <w:r w:rsidR="003F7948">
              <w:rPr>
                <w:rFonts w:cs="Arial"/>
                <w:color w:val="0D0D0D" w:themeColor="text1" w:themeTint="F2"/>
                <w:spacing w:val="-4"/>
                <w:lang w:val="en-GB"/>
              </w:rPr>
              <w:t>2.0% of males and 2.9% of females were without a job at the end of the year (year-o</w:t>
            </w:r>
            <w:r w:rsidR="00FD77BB" w:rsidRPr="003F7948">
              <w:rPr>
                <w:rFonts w:cs="Arial"/>
                <w:color w:val="0D0D0D" w:themeColor="text1" w:themeTint="F2"/>
                <w:spacing w:val="-4"/>
                <w:lang w:val="en-GB"/>
              </w:rPr>
              <w:t>n</w:t>
            </w:r>
            <w:r w:rsidR="003F7948">
              <w:rPr>
                <w:rFonts w:cs="Arial"/>
                <w:color w:val="0D0D0D" w:themeColor="text1" w:themeTint="F2"/>
                <w:spacing w:val="-4"/>
                <w:lang w:val="en-GB"/>
              </w:rPr>
              <w:t xml:space="preserve">-year reduction of unemployment was comparable for both genders). Persons who were without a job for more than one year participated on the lower number of unemployed (by 63 thousand) from more than one half. The </w:t>
            </w:r>
            <w:r w:rsidR="006B1913">
              <w:rPr>
                <w:rFonts w:cs="Arial"/>
                <w:color w:val="0D0D0D" w:themeColor="text1" w:themeTint="F2"/>
                <w:spacing w:val="-4"/>
                <w:lang w:val="en-GB"/>
              </w:rPr>
              <w:t xml:space="preserve">frequency of long-term unemployed lowered to record 40 thousand in Q4. It was connected to the marked improvement in the position of persons with the lowest education level on the labour market. </w:t>
            </w:r>
            <w:r w:rsidR="00FD77BB" w:rsidRPr="003F7948">
              <w:rPr>
                <w:rFonts w:cs="Arial"/>
                <w:color w:val="0D0D0D" w:themeColor="text1" w:themeTint="F2"/>
                <w:spacing w:val="-4"/>
                <w:lang w:val="en-GB"/>
              </w:rPr>
              <w:t xml:space="preserve"> </w:t>
            </w:r>
            <w:r w:rsidR="006B1913">
              <w:rPr>
                <w:rFonts w:cs="Arial"/>
                <w:color w:val="0D0D0D" w:themeColor="text1" w:themeTint="F2"/>
                <w:spacing w:val="-4"/>
                <w:lang w:val="en-GB"/>
              </w:rPr>
              <w:t>Unemployment of persons w</w:t>
            </w:r>
            <w:r w:rsidR="00224123">
              <w:rPr>
                <w:rFonts w:cs="Arial"/>
                <w:color w:val="0D0D0D" w:themeColor="text1" w:themeTint="F2"/>
                <w:spacing w:val="-4"/>
                <w:lang w:val="en-GB"/>
              </w:rPr>
              <w:t>ith the primary education</w:t>
            </w:r>
            <w:r w:rsidR="006B1913">
              <w:rPr>
                <w:rFonts w:cs="Arial"/>
                <w:color w:val="0D0D0D" w:themeColor="text1" w:themeTint="F2"/>
                <w:spacing w:val="-4"/>
                <w:lang w:val="en-GB"/>
              </w:rPr>
              <w:t xml:space="preserve"> fell from </w:t>
            </w:r>
            <w:r w:rsidR="00FD77BB" w:rsidRPr="003F7948">
              <w:rPr>
                <w:rFonts w:cs="Arial"/>
                <w:color w:val="0D0D0D" w:themeColor="text1" w:themeTint="F2"/>
                <w:spacing w:val="-4"/>
                <w:lang w:val="en-GB"/>
              </w:rPr>
              <w:t>18</w:t>
            </w:r>
            <w:r w:rsidR="006B1913">
              <w:rPr>
                <w:rFonts w:cs="Arial"/>
                <w:color w:val="0D0D0D" w:themeColor="text1" w:themeTint="F2"/>
                <w:spacing w:val="-4"/>
                <w:lang w:val="en-GB"/>
              </w:rPr>
              <w:t>.</w:t>
            </w:r>
            <w:r w:rsidR="00FD77BB" w:rsidRPr="003F7948">
              <w:rPr>
                <w:rFonts w:cs="Arial"/>
                <w:color w:val="0D0D0D" w:themeColor="text1" w:themeTint="F2"/>
                <w:spacing w:val="-4"/>
                <w:lang w:val="en-GB"/>
              </w:rPr>
              <w:t xml:space="preserve">5% </w:t>
            </w:r>
            <w:r w:rsidR="006B1913">
              <w:rPr>
                <w:rFonts w:cs="Arial"/>
                <w:color w:val="0D0D0D" w:themeColor="text1" w:themeTint="F2"/>
                <w:spacing w:val="-4"/>
                <w:lang w:val="en-GB"/>
              </w:rPr>
              <w:t xml:space="preserve">to </w:t>
            </w:r>
            <w:r w:rsidR="00FD77BB" w:rsidRPr="003F7948">
              <w:rPr>
                <w:rFonts w:cs="Arial"/>
                <w:color w:val="0D0D0D" w:themeColor="text1" w:themeTint="F2"/>
                <w:spacing w:val="-4"/>
                <w:lang w:val="en-GB"/>
              </w:rPr>
              <w:t>10</w:t>
            </w:r>
            <w:r w:rsidR="006B1913">
              <w:rPr>
                <w:rFonts w:cs="Arial"/>
                <w:color w:val="0D0D0D" w:themeColor="text1" w:themeTint="F2"/>
                <w:spacing w:val="-4"/>
                <w:lang w:val="en-GB"/>
              </w:rPr>
              <w:t>.</w:t>
            </w:r>
            <w:r w:rsidR="00FD77BB" w:rsidRPr="003F7948">
              <w:rPr>
                <w:rFonts w:cs="Arial"/>
                <w:color w:val="0D0D0D" w:themeColor="text1" w:themeTint="F2"/>
                <w:spacing w:val="-4"/>
                <w:lang w:val="en-GB"/>
              </w:rPr>
              <w:t>1% (</w:t>
            </w:r>
            <w:r w:rsidR="006B1913">
              <w:rPr>
                <w:rFonts w:cs="Arial"/>
                <w:color w:val="0D0D0D" w:themeColor="text1" w:themeTint="F2"/>
                <w:spacing w:val="-4"/>
                <w:lang w:val="en-GB"/>
              </w:rPr>
              <w:t>the strongest year-on-year reduction in the history of the CR</w:t>
            </w:r>
            <w:r w:rsidR="00FD77BB" w:rsidRPr="003F7948">
              <w:rPr>
                <w:rFonts w:cs="Arial"/>
                <w:color w:val="0D0D0D" w:themeColor="text1" w:themeTint="F2"/>
                <w:spacing w:val="-4"/>
                <w:lang w:val="en-GB"/>
              </w:rPr>
              <w:t>).</w:t>
            </w:r>
          </w:p>
          <w:p w:rsidR="00FD77BB" w:rsidRPr="003F7948" w:rsidRDefault="00FD77BB" w:rsidP="00CF0826">
            <w:pPr>
              <w:pStyle w:val="Textpoznpodarou"/>
              <w:jc w:val="both"/>
              <w:rPr>
                <w:rFonts w:cs="Arial"/>
                <w:color w:val="0D0D0D" w:themeColor="text1" w:themeTint="F2"/>
                <w:spacing w:val="-3"/>
                <w:sz w:val="14"/>
                <w:szCs w:val="14"/>
                <w:lang w:val="en-GB"/>
              </w:rPr>
            </w:pPr>
          </w:p>
        </w:tc>
      </w:tr>
      <w:tr w:rsidR="00FD77BB" w:rsidRPr="003E1A70" w:rsidTr="00CF0826">
        <w:trPr>
          <w:trHeight w:val="145"/>
        </w:trPr>
        <w:tc>
          <w:tcPr>
            <w:tcW w:w="1016" w:type="pct"/>
            <w:shd w:val="clear" w:color="auto" w:fill="auto"/>
          </w:tcPr>
          <w:p w:rsidR="00FD77BB" w:rsidRPr="003E1A70" w:rsidRDefault="003E1A70" w:rsidP="00CF0826">
            <w:pPr>
              <w:spacing w:line="240" w:lineRule="auto"/>
              <w:rPr>
                <w:rFonts w:cs="Arial"/>
                <w:color w:val="0D0D0D" w:themeColor="text1" w:themeTint="F2"/>
                <w:sz w:val="16"/>
                <w:szCs w:val="16"/>
                <w:lang w:val="en-GB"/>
              </w:rPr>
            </w:pPr>
            <w:r>
              <w:rPr>
                <w:rFonts w:cs="Arial"/>
                <w:color w:val="0D0D0D" w:themeColor="text1" w:themeTint="F2"/>
                <w:sz w:val="16"/>
                <w:szCs w:val="16"/>
                <w:lang w:val="en-GB"/>
              </w:rPr>
              <w:lastRenderedPageBreak/>
              <w:t>Supply of vacancies at LO nearly doubled year-on-year</w:t>
            </w:r>
            <w:r w:rsidR="00092D0F">
              <w:rPr>
                <w:rFonts w:cs="Arial"/>
                <w:color w:val="0D0D0D" w:themeColor="text1" w:themeTint="F2"/>
                <w:sz w:val="16"/>
                <w:szCs w:val="16"/>
                <w:lang w:val="en-GB"/>
              </w:rPr>
              <w:t>. More than three quarters of additions however consisted of positions with minimal declared demands on qualification.</w:t>
            </w:r>
          </w:p>
        </w:tc>
        <w:tc>
          <w:tcPr>
            <w:tcW w:w="144" w:type="pct"/>
          </w:tcPr>
          <w:p w:rsidR="00FD77BB" w:rsidRPr="003E1A70" w:rsidRDefault="00FD77BB" w:rsidP="00CF0826">
            <w:pPr>
              <w:pStyle w:val="Textpoznpodarou"/>
              <w:jc w:val="both"/>
              <w:rPr>
                <w:rFonts w:cs="Arial"/>
                <w:color w:val="0D0D0D" w:themeColor="text1" w:themeTint="F2"/>
                <w:lang w:val="en-GB"/>
              </w:rPr>
            </w:pPr>
          </w:p>
        </w:tc>
        <w:tc>
          <w:tcPr>
            <w:tcW w:w="3840" w:type="pct"/>
          </w:tcPr>
          <w:p w:rsidR="00FD77BB" w:rsidRPr="003E1A70" w:rsidRDefault="00092D0F" w:rsidP="00CF0826">
            <w:pPr>
              <w:pStyle w:val="Textpoznpodarou"/>
              <w:jc w:val="both"/>
              <w:rPr>
                <w:rFonts w:cs="Arial"/>
                <w:color w:val="0D0D0D" w:themeColor="text1" w:themeTint="F2"/>
                <w:spacing w:val="-4"/>
                <w:lang w:val="en-GB"/>
              </w:rPr>
            </w:pPr>
            <w:r>
              <w:rPr>
                <w:rFonts w:cs="Arial"/>
                <w:color w:val="0D0D0D" w:themeColor="text1" w:themeTint="F2"/>
                <w:spacing w:val="-4"/>
                <w:lang w:val="en-GB"/>
              </w:rPr>
              <w:t xml:space="preserve">The supply of vacancies at labour offices (LO) accelerated in 2017. Their number overtook the 200 thousand </w:t>
            </w:r>
            <w:proofErr w:type="gramStart"/>
            <w:r>
              <w:rPr>
                <w:rFonts w:cs="Arial"/>
                <w:color w:val="0D0D0D" w:themeColor="text1" w:themeTint="F2"/>
                <w:spacing w:val="-4"/>
                <w:lang w:val="en-GB"/>
              </w:rPr>
              <w:t>boundary</w:t>
            </w:r>
            <w:proofErr w:type="gramEnd"/>
            <w:r>
              <w:rPr>
                <w:rFonts w:cs="Arial"/>
                <w:color w:val="0D0D0D" w:themeColor="text1" w:themeTint="F2"/>
                <w:spacing w:val="-4"/>
                <w:lang w:val="en-GB"/>
              </w:rPr>
              <w:t xml:space="preserve"> for the first time in history at the end of September, by the end of the year there were already 217 thousand </w:t>
            </w:r>
            <w:r w:rsidR="00443293">
              <w:rPr>
                <w:rFonts w:cs="Arial"/>
                <w:color w:val="0D0D0D" w:themeColor="text1" w:themeTint="F2"/>
                <w:spacing w:val="-4"/>
                <w:lang w:val="en-GB"/>
              </w:rPr>
              <w:t xml:space="preserve">job </w:t>
            </w:r>
            <w:r>
              <w:rPr>
                <w:rFonts w:cs="Arial"/>
                <w:color w:val="0D0D0D" w:themeColor="text1" w:themeTint="F2"/>
                <w:spacing w:val="-4"/>
                <w:lang w:val="en-GB"/>
              </w:rPr>
              <w:t>vacancies (by 84 thousand more year-on-year). Year 2</w:t>
            </w:r>
            <w:r w:rsidR="00FD77BB" w:rsidRPr="003E1A70">
              <w:rPr>
                <w:rFonts w:cs="Arial"/>
                <w:color w:val="0D0D0D" w:themeColor="text1" w:themeTint="F2"/>
                <w:spacing w:val="-4"/>
                <w:lang w:val="en-GB"/>
              </w:rPr>
              <w:t xml:space="preserve">017 </w:t>
            </w:r>
            <w:r>
              <w:rPr>
                <w:rFonts w:cs="Arial"/>
                <w:color w:val="0D0D0D" w:themeColor="text1" w:themeTint="F2"/>
                <w:spacing w:val="-4"/>
                <w:lang w:val="en-GB"/>
              </w:rPr>
              <w:t xml:space="preserve">was the first in the history of the CR, when the number of vacancies month-on-month grew (despite seasonal effects) continuously for the whole year. </w:t>
            </w:r>
            <w:r w:rsidR="00351315">
              <w:rPr>
                <w:rFonts w:cs="Arial"/>
                <w:color w:val="0D0D0D" w:themeColor="text1" w:themeTint="F2"/>
                <w:spacing w:val="-4"/>
                <w:lang w:val="en-GB"/>
              </w:rPr>
              <w:t>More than three quarters of the year-on-year addition represented positions with a minimal qualification requirement, when the primary education was sufficient. This fact together with substantial reduction of the level of long-</w:t>
            </w:r>
            <w:r w:rsidR="00971DD6">
              <w:rPr>
                <w:rFonts w:cs="Arial"/>
                <w:color w:val="0D0D0D" w:themeColor="text1" w:themeTint="F2"/>
                <w:spacing w:val="-4"/>
                <w:lang w:val="en-GB"/>
              </w:rPr>
              <w:t>term</w:t>
            </w:r>
            <w:r w:rsidR="00351315">
              <w:rPr>
                <w:rFonts w:cs="Arial"/>
                <w:color w:val="0D0D0D" w:themeColor="text1" w:themeTint="F2"/>
                <w:spacing w:val="-4"/>
                <w:lang w:val="en-GB"/>
              </w:rPr>
              <w:t xml:space="preserve"> unemployed suggests, that the </w:t>
            </w:r>
            <w:r w:rsidR="00971DD6">
              <w:rPr>
                <w:rFonts w:cs="Arial"/>
                <w:color w:val="0D0D0D" w:themeColor="text1" w:themeTint="F2"/>
                <w:spacing w:val="-4"/>
                <w:lang w:val="en-GB"/>
              </w:rPr>
              <w:t>employers</w:t>
            </w:r>
            <w:r w:rsidR="00351315">
              <w:rPr>
                <w:rFonts w:cs="Arial"/>
                <w:color w:val="0D0D0D" w:themeColor="text1" w:themeTint="F2"/>
                <w:spacing w:val="-4"/>
                <w:lang w:val="en-GB"/>
              </w:rPr>
              <w:t xml:space="preserve"> can experience </w:t>
            </w:r>
            <w:r w:rsidR="00971DD6">
              <w:rPr>
                <w:rFonts w:cs="Arial"/>
                <w:color w:val="0D0D0D" w:themeColor="text1" w:themeTint="F2"/>
                <w:spacing w:val="-4"/>
                <w:lang w:val="en-GB"/>
              </w:rPr>
              <w:t>difficulties</w:t>
            </w:r>
            <w:r w:rsidR="00351315">
              <w:rPr>
                <w:rFonts w:cs="Arial"/>
                <w:color w:val="0D0D0D" w:themeColor="text1" w:themeTint="F2"/>
                <w:spacing w:val="-4"/>
                <w:lang w:val="en-GB"/>
              </w:rPr>
              <w:t xml:space="preserve"> with covering such vacant positions by the domestic workers. From the view of branches, manufacturing majorly contributed to the expansion of the supply</w:t>
            </w:r>
            <w:r w:rsidR="00FD77BB" w:rsidRPr="003E1A70">
              <w:rPr>
                <w:rFonts w:cs="Arial"/>
                <w:color w:val="0D0D0D" w:themeColor="text1" w:themeTint="F2"/>
                <w:spacing w:val="-4"/>
                <w:lang w:val="en-GB"/>
              </w:rPr>
              <w:t xml:space="preserve">. </w:t>
            </w:r>
            <w:r w:rsidR="00971DD6">
              <w:rPr>
                <w:rFonts w:cs="Arial"/>
                <w:color w:val="0D0D0D" w:themeColor="text1" w:themeTint="F2"/>
                <w:spacing w:val="-4"/>
                <w:lang w:val="en-GB"/>
              </w:rPr>
              <w:t>There was total of 1.3 applicants per 1 vacancy at the end of the year, the least since half of the nineties. The chance for placement improved year-</w:t>
            </w:r>
            <w:r w:rsidR="00443293">
              <w:rPr>
                <w:rFonts w:cs="Arial"/>
                <w:color w:val="0D0D0D" w:themeColor="text1" w:themeTint="F2"/>
                <w:spacing w:val="-4"/>
                <w:lang w:val="en-GB"/>
              </w:rPr>
              <w:t>o</w:t>
            </w:r>
            <w:r w:rsidR="00971DD6">
              <w:rPr>
                <w:rFonts w:cs="Arial"/>
                <w:color w:val="0D0D0D" w:themeColor="text1" w:themeTint="F2"/>
                <w:spacing w:val="-4"/>
                <w:lang w:val="en-GB"/>
              </w:rPr>
              <w:t xml:space="preserve">n-year in all regions, with respect to qualification then mostly for </w:t>
            </w:r>
            <w:r w:rsidR="00971DD6" w:rsidRPr="00971DD6">
              <w:rPr>
                <w:rFonts w:cs="Arial"/>
                <w:color w:val="0D0D0D" w:themeColor="text1" w:themeTint="F2"/>
                <w:spacing w:val="-4"/>
                <w:lang w:val="en-GB"/>
              </w:rPr>
              <w:t xml:space="preserve">craft and repairmen and assemblers </w:t>
            </w:r>
            <w:r w:rsidR="00971DD6">
              <w:rPr>
                <w:rFonts w:cs="Arial"/>
                <w:color w:val="0D0D0D" w:themeColor="text1" w:themeTint="F2"/>
                <w:spacing w:val="-4"/>
                <w:lang w:val="en-GB"/>
              </w:rPr>
              <w:t xml:space="preserve">as well as the </w:t>
            </w:r>
            <w:r w:rsidR="00971DD6" w:rsidRPr="00971DD6">
              <w:rPr>
                <w:rFonts w:cs="Arial"/>
                <w:color w:val="0D0D0D" w:themeColor="text1" w:themeTint="F2"/>
                <w:spacing w:val="-4"/>
                <w:lang w:val="en-GB"/>
              </w:rPr>
              <w:t>machine and equipment</w:t>
            </w:r>
            <w:r w:rsidR="00443293">
              <w:rPr>
                <w:rFonts w:cs="Arial"/>
                <w:color w:val="0D0D0D" w:themeColor="text1" w:themeTint="F2"/>
                <w:spacing w:val="-4"/>
                <w:lang w:val="en-GB"/>
              </w:rPr>
              <w:t xml:space="preserve"> operators</w:t>
            </w:r>
            <w:r w:rsidR="00FD77BB" w:rsidRPr="003E1A70">
              <w:rPr>
                <w:rFonts w:cs="Arial"/>
                <w:color w:val="0D0D0D" w:themeColor="text1" w:themeTint="F2"/>
                <w:spacing w:val="-4"/>
                <w:lang w:val="en-GB"/>
              </w:rPr>
              <w:t xml:space="preserve">. </w:t>
            </w:r>
          </w:p>
        </w:tc>
      </w:tr>
    </w:tbl>
    <w:p w:rsidR="00C844CA" w:rsidRPr="003E1A70" w:rsidRDefault="00C844CA" w:rsidP="00FD77BB">
      <w:pPr>
        <w:pStyle w:val="Textpoznpodarou"/>
        <w:jc w:val="both"/>
        <w:rPr>
          <w:rFonts w:cs="Arial"/>
          <w:color w:val="000000"/>
          <w:spacing w:val="-2"/>
          <w:sz w:val="14"/>
          <w:szCs w:val="14"/>
          <w:lang w:val="en-GB"/>
        </w:rPr>
      </w:pPr>
    </w:p>
    <w:tbl>
      <w:tblPr>
        <w:tblW w:w="4963" w:type="pct"/>
        <w:tblInd w:w="108" w:type="dxa"/>
        <w:tblLayout w:type="fixed"/>
        <w:tblLook w:val="00A0"/>
      </w:tblPr>
      <w:tblGrid>
        <w:gridCol w:w="1997"/>
        <w:gridCol w:w="284"/>
        <w:gridCol w:w="1119"/>
        <w:gridCol w:w="6381"/>
      </w:tblGrid>
      <w:tr w:rsidR="00FD77BB" w:rsidRPr="003E1A70" w:rsidTr="00CF0826">
        <w:trPr>
          <w:trHeight w:val="145"/>
        </w:trPr>
        <w:tc>
          <w:tcPr>
            <w:tcW w:w="1021" w:type="pct"/>
            <w:shd w:val="clear" w:color="auto" w:fill="auto"/>
          </w:tcPr>
          <w:p w:rsidR="00FD77BB" w:rsidRPr="003E1A70" w:rsidRDefault="00FD77BB" w:rsidP="00CF0826">
            <w:pPr>
              <w:spacing w:line="240" w:lineRule="auto"/>
              <w:jc w:val="center"/>
              <w:rPr>
                <w:color w:val="000000"/>
                <w:szCs w:val="20"/>
                <w:lang w:val="en-GB"/>
              </w:rPr>
            </w:pPr>
          </w:p>
        </w:tc>
        <w:tc>
          <w:tcPr>
            <w:tcW w:w="145" w:type="pct"/>
          </w:tcPr>
          <w:p w:rsidR="00FD77BB" w:rsidRPr="003E1A70" w:rsidRDefault="00FD77BB" w:rsidP="00CF0826">
            <w:pPr>
              <w:pStyle w:val="Textpoznpodarou"/>
              <w:jc w:val="both"/>
              <w:rPr>
                <w:highlight w:val="yellow"/>
                <w:lang w:val="en-GB"/>
              </w:rPr>
            </w:pPr>
          </w:p>
        </w:tc>
        <w:tc>
          <w:tcPr>
            <w:tcW w:w="572" w:type="pct"/>
          </w:tcPr>
          <w:p w:rsidR="00FD77BB" w:rsidRPr="003E1A70" w:rsidRDefault="00092D0F" w:rsidP="00CF0826">
            <w:pPr>
              <w:pStyle w:val="Textpoznpodarou"/>
              <w:jc w:val="both"/>
              <w:rPr>
                <w:highlight w:val="yellow"/>
                <w:lang w:val="en-GB"/>
              </w:rPr>
            </w:pPr>
            <w:r>
              <w:rPr>
                <w:color w:val="000000"/>
                <w:lang w:val="en-GB"/>
              </w:rPr>
              <w:t>Chart</w:t>
            </w:r>
            <w:r w:rsidR="00FD77BB" w:rsidRPr="003E1A70">
              <w:rPr>
                <w:color w:val="000000"/>
                <w:lang w:val="en-GB"/>
              </w:rPr>
              <w:t xml:space="preserve"> 17</w:t>
            </w:r>
          </w:p>
        </w:tc>
        <w:tc>
          <w:tcPr>
            <w:tcW w:w="3262" w:type="pct"/>
          </w:tcPr>
          <w:p w:rsidR="00FD77BB" w:rsidRPr="003E1A70" w:rsidRDefault="00834B56" w:rsidP="00CF0826">
            <w:pPr>
              <w:spacing w:line="240" w:lineRule="auto"/>
              <w:rPr>
                <w:rFonts w:cs="Arial"/>
                <w:b/>
                <w:bCs/>
                <w:spacing w:val="-2"/>
                <w:lang w:val="en-GB"/>
              </w:rPr>
            </w:pPr>
            <w:r w:rsidRPr="009A38F8">
              <w:rPr>
                <w:b/>
                <w:spacing w:val="-2"/>
                <w:lang w:val="en-GB" w:eastAsia="en-US"/>
              </w:rPr>
              <w:t>Average gross monthly wage and wage media</w:t>
            </w:r>
            <w:r w:rsidR="00443293">
              <w:rPr>
                <w:b/>
                <w:spacing w:val="-2"/>
                <w:lang w:val="en-GB" w:eastAsia="en-US"/>
              </w:rPr>
              <w:t>n</w:t>
            </w:r>
            <w:r w:rsidRPr="003E1A70">
              <w:rPr>
                <w:rFonts w:cs="Arial"/>
                <w:bCs/>
                <w:spacing w:val="-2"/>
                <w:lang w:val="en-GB"/>
              </w:rPr>
              <w:t xml:space="preserve"> </w:t>
            </w:r>
            <w:r w:rsidR="00FD77BB" w:rsidRPr="003E1A70">
              <w:rPr>
                <w:rFonts w:cs="Arial"/>
                <w:bCs/>
                <w:spacing w:val="-2"/>
                <w:lang w:val="en-GB"/>
              </w:rPr>
              <w:t>(</w:t>
            </w:r>
            <w:r w:rsidR="00C86F39" w:rsidRPr="009A38F8">
              <w:rPr>
                <w:spacing w:val="-6"/>
                <w:lang w:val="en-GB" w:eastAsia="en-US"/>
              </w:rPr>
              <w:t>employees</w:t>
            </w:r>
            <w:r w:rsidR="00C86F39">
              <w:rPr>
                <w:spacing w:val="-6"/>
                <w:lang w:val="en-GB" w:eastAsia="en-US"/>
              </w:rPr>
              <w:t xml:space="preserve"> in full- time equivalent</w:t>
            </w:r>
            <w:r w:rsidR="00C86F39" w:rsidRPr="009A38F8">
              <w:rPr>
                <w:spacing w:val="-6"/>
                <w:lang w:val="en-GB" w:eastAsia="en-US"/>
              </w:rPr>
              <w:t xml:space="preserve">, year-on-year </w:t>
            </w:r>
            <w:r w:rsidR="00C86F39">
              <w:rPr>
                <w:spacing w:val="-6"/>
                <w:lang w:val="en-GB" w:eastAsia="en-US"/>
              </w:rPr>
              <w:t>in %</w:t>
            </w:r>
            <w:r w:rsidR="00C86F39" w:rsidRPr="009A38F8">
              <w:rPr>
                <w:bCs/>
                <w:spacing w:val="-2"/>
                <w:lang w:val="en-GB"/>
              </w:rPr>
              <w:t>)</w:t>
            </w:r>
            <w:r w:rsidR="00FD77BB" w:rsidRPr="003E1A70">
              <w:rPr>
                <w:rFonts w:cs="Arial"/>
                <w:bCs/>
                <w:spacing w:val="-2"/>
                <w:lang w:val="en-GB"/>
              </w:rPr>
              <w:t xml:space="preserve">) </w:t>
            </w:r>
            <w:r w:rsidR="00FD77BB" w:rsidRPr="003E1A70">
              <w:rPr>
                <w:rFonts w:cs="Arial"/>
                <w:b/>
                <w:bCs/>
                <w:spacing w:val="-2"/>
                <w:lang w:val="en-GB"/>
              </w:rPr>
              <w:t>a</w:t>
            </w:r>
            <w:r w:rsidR="00C86F39">
              <w:rPr>
                <w:rFonts w:cs="Arial"/>
                <w:b/>
                <w:bCs/>
                <w:spacing w:val="-2"/>
                <w:lang w:val="en-GB"/>
              </w:rPr>
              <w:t>nd labour productivity</w:t>
            </w:r>
            <w:r w:rsidR="00FD77BB" w:rsidRPr="003E1A70">
              <w:rPr>
                <w:rFonts w:cs="Arial"/>
                <w:b/>
                <w:bCs/>
                <w:spacing w:val="-2"/>
                <w:lang w:val="en-GB"/>
              </w:rPr>
              <w:t>*</w:t>
            </w:r>
          </w:p>
        </w:tc>
      </w:tr>
      <w:tr w:rsidR="00FD77BB" w:rsidRPr="00AA4A76" w:rsidTr="00CF0826">
        <w:trPr>
          <w:trHeight w:val="145"/>
        </w:trPr>
        <w:tc>
          <w:tcPr>
            <w:tcW w:w="1021" w:type="pct"/>
            <w:shd w:val="clear" w:color="auto" w:fill="auto"/>
          </w:tcPr>
          <w:p w:rsidR="00FD77BB" w:rsidRPr="006D3F53" w:rsidRDefault="00FD77BB" w:rsidP="00CF0826">
            <w:pPr>
              <w:spacing w:line="240" w:lineRule="auto"/>
              <w:rPr>
                <w:color w:val="000000"/>
                <w:sz w:val="16"/>
                <w:szCs w:val="16"/>
                <w:highlight w:val="yellow"/>
              </w:rPr>
            </w:pPr>
          </w:p>
        </w:tc>
        <w:tc>
          <w:tcPr>
            <w:tcW w:w="145" w:type="pct"/>
          </w:tcPr>
          <w:p w:rsidR="00FD77BB" w:rsidRPr="00A74192" w:rsidRDefault="00FD77BB" w:rsidP="00CF0826">
            <w:pPr>
              <w:pStyle w:val="Textpoznpodarou"/>
              <w:jc w:val="both"/>
            </w:pPr>
          </w:p>
        </w:tc>
        <w:tc>
          <w:tcPr>
            <w:tcW w:w="3833" w:type="pct"/>
            <w:gridSpan w:val="2"/>
          </w:tcPr>
          <w:p w:rsidR="00FD77BB" w:rsidRPr="007E5880" w:rsidRDefault="005412E0" w:rsidP="00CF0826">
            <w:pPr>
              <w:pStyle w:val="Textpoznpodarou"/>
              <w:rPr>
                <w:sz w:val="14"/>
                <w:szCs w:val="14"/>
              </w:rPr>
            </w:pPr>
            <w:r w:rsidRPr="005412E0">
              <w:rPr>
                <w:noProof/>
                <w:sz w:val="14"/>
                <w:szCs w:val="14"/>
              </w:rPr>
              <w:drawing>
                <wp:inline distT="0" distB="0" distL="0" distR="0">
                  <wp:extent cx="4610100" cy="3530600"/>
                  <wp:effectExtent l="19050" t="0" r="0" b="0"/>
                  <wp:docPr id="3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44A1D" w:rsidRPr="005412E0" w:rsidRDefault="00FD77BB" w:rsidP="005412E0">
            <w:pPr>
              <w:pStyle w:val="Textpoznpodarou"/>
              <w:rPr>
                <w:rFonts w:cs="Arial"/>
                <w:sz w:val="14"/>
                <w:szCs w:val="14"/>
                <w:lang w:val="en-GB"/>
              </w:rPr>
            </w:pPr>
            <w:r>
              <w:rPr>
                <w:rFonts w:cs="Arial"/>
                <w:sz w:val="14"/>
                <w:szCs w:val="14"/>
              </w:rPr>
              <w:t>*</w:t>
            </w:r>
            <w:r w:rsidR="00C86F39" w:rsidRPr="00C86F39">
              <w:rPr>
                <w:rFonts w:cs="Arial"/>
                <w:sz w:val="14"/>
                <w:szCs w:val="14"/>
                <w:lang w:val="en-GB"/>
              </w:rPr>
              <w:t xml:space="preserve">Share of seasonally non-adjusted GDP and employment </w:t>
            </w:r>
            <w:r w:rsidRPr="00C86F39">
              <w:rPr>
                <w:rFonts w:cs="Arial"/>
                <w:sz w:val="14"/>
                <w:szCs w:val="14"/>
                <w:lang w:val="en-GB"/>
              </w:rPr>
              <w:t>(</w:t>
            </w:r>
            <w:r w:rsidR="00C86F39" w:rsidRPr="00C86F39">
              <w:rPr>
                <w:rFonts w:cs="Arial"/>
                <w:sz w:val="14"/>
                <w:szCs w:val="14"/>
                <w:lang w:val="en-GB"/>
              </w:rPr>
              <w:t xml:space="preserve">in the national accounts </w:t>
            </w:r>
            <w:r w:rsidR="00654E14" w:rsidRPr="00C86F39">
              <w:rPr>
                <w:rFonts w:cs="Arial"/>
                <w:sz w:val="14"/>
                <w:szCs w:val="14"/>
                <w:lang w:val="en-GB"/>
              </w:rPr>
              <w:t xml:space="preserve">conception)  </w:t>
            </w:r>
            <w:r w:rsidRPr="00C86F39">
              <w:rPr>
                <w:rFonts w:cs="Arial"/>
                <w:sz w:val="14"/>
                <w:szCs w:val="14"/>
                <w:lang w:val="en-GB"/>
              </w:rPr>
              <w:t xml:space="preserve">    </w:t>
            </w:r>
            <w:r w:rsidR="00D44A1D">
              <w:rPr>
                <w:rFonts w:cs="Arial"/>
                <w:sz w:val="14"/>
                <w:szCs w:val="14"/>
                <w:lang w:val="en-GB"/>
              </w:rPr>
              <w:t xml:space="preserve">   </w:t>
            </w:r>
            <w:r w:rsidRPr="00C86F39">
              <w:rPr>
                <w:rFonts w:cs="Arial"/>
                <w:sz w:val="14"/>
                <w:szCs w:val="14"/>
                <w:lang w:val="en-GB"/>
              </w:rPr>
              <w:t xml:space="preserve">  </w:t>
            </w:r>
            <w:r w:rsidR="00381171" w:rsidRPr="00C86F39">
              <w:rPr>
                <w:rFonts w:cs="Arial"/>
                <w:sz w:val="14"/>
                <w:szCs w:val="14"/>
                <w:lang w:val="en-GB"/>
              </w:rPr>
              <w:t xml:space="preserve"> Source</w:t>
            </w:r>
            <w:r w:rsidRPr="00C86F39">
              <w:rPr>
                <w:rFonts w:cs="Arial"/>
                <w:sz w:val="14"/>
                <w:szCs w:val="14"/>
                <w:lang w:val="en-GB"/>
              </w:rPr>
              <w:t>:</w:t>
            </w:r>
            <w:r w:rsidR="00381171" w:rsidRPr="00C86F39">
              <w:rPr>
                <w:rFonts w:cs="Arial"/>
                <w:sz w:val="14"/>
                <w:szCs w:val="14"/>
                <w:lang w:val="en-GB"/>
              </w:rPr>
              <w:t xml:space="preserve"> CZSO</w:t>
            </w:r>
          </w:p>
        </w:tc>
      </w:tr>
    </w:tbl>
    <w:p w:rsidR="00FD77BB" w:rsidRDefault="00FD77BB" w:rsidP="00FD77BB">
      <w:pPr>
        <w:pStyle w:val="Textpoznpodarou"/>
        <w:jc w:val="both"/>
        <w:rPr>
          <w:rFonts w:cs="Arial"/>
          <w:color w:val="000000"/>
          <w:spacing w:val="-2"/>
          <w:sz w:val="14"/>
          <w:szCs w:val="14"/>
        </w:rPr>
      </w:pPr>
    </w:p>
    <w:tbl>
      <w:tblPr>
        <w:tblW w:w="4995" w:type="pct"/>
        <w:tblInd w:w="108" w:type="dxa"/>
        <w:tblLayout w:type="fixed"/>
        <w:tblLook w:val="00A0"/>
      </w:tblPr>
      <w:tblGrid>
        <w:gridCol w:w="2000"/>
        <w:gridCol w:w="284"/>
        <w:gridCol w:w="7560"/>
      </w:tblGrid>
      <w:tr w:rsidR="00FD77BB" w:rsidRPr="009113CC" w:rsidTr="00CF0826">
        <w:trPr>
          <w:trHeight w:val="145"/>
        </w:trPr>
        <w:tc>
          <w:tcPr>
            <w:tcW w:w="1016" w:type="pct"/>
            <w:shd w:val="clear" w:color="auto" w:fill="auto"/>
          </w:tcPr>
          <w:p w:rsidR="00FD77BB" w:rsidRPr="00D4538D" w:rsidRDefault="008810BB" w:rsidP="00CF0826">
            <w:pPr>
              <w:spacing w:line="240" w:lineRule="auto"/>
              <w:rPr>
                <w:rFonts w:cs="Arial"/>
                <w:color w:val="0D0D0D" w:themeColor="text1" w:themeTint="F2"/>
                <w:spacing w:val="-2"/>
                <w:sz w:val="16"/>
                <w:szCs w:val="16"/>
                <w:lang w:val="en-GB"/>
              </w:rPr>
            </w:pPr>
            <w:r w:rsidRPr="00D4538D">
              <w:rPr>
                <w:rFonts w:cs="Arial"/>
                <w:color w:val="0D0D0D" w:themeColor="text1" w:themeTint="F2"/>
                <w:spacing w:val="-2"/>
                <w:sz w:val="16"/>
                <w:szCs w:val="16"/>
                <w:lang w:val="en-GB"/>
              </w:rPr>
              <w:t>Wage growth accelerated during the year. Increasing lack of available employees on the market as well as the heightened activity of the sta</w:t>
            </w:r>
            <w:r w:rsidR="00381171" w:rsidRPr="00D4538D">
              <w:rPr>
                <w:rFonts w:cs="Arial"/>
                <w:color w:val="0D0D0D" w:themeColor="text1" w:themeTint="F2"/>
                <w:spacing w:val="-2"/>
                <w:sz w:val="16"/>
                <w:szCs w:val="16"/>
                <w:lang w:val="en-GB"/>
              </w:rPr>
              <w:t>t</w:t>
            </w:r>
            <w:r w:rsidRPr="00D4538D">
              <w:rPr>
                <w:rFonts w:cs="Arial"/>
                <w:color w:val="0D0D0D" w:themeColor="text1" w:themeTint="F2"/>
                <w:spacing w:val="-2"/>
                <w:sz w:val="16"/>
                <w:szCs w:val="16"/>
                <w:lang w:val="en-GB"/>
              </w:rPr>
              <w:t xml:space="preserve">e stood behind it. </w:t>
            </w: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r w:rsidRPr="00D4538D">
              <w:rPr>
                <w:rFonts w:cs="Arial"/>
                <w:color w:val="0D0D0D" w:themeColor="text1" w:themeTint="F2"/>
                <w:spacing w:val="-2"/>
                <w:sz w:val="16"/>
                <w:szCs w:val="16"/>
                <w:lang w:val="en-GB"/>
              </w:rPr>
              <w:t>Nomin</w:t>
            </w:r>
            <w:r w:rsidR="00E42D52">
              <w:rPr>
                <w:rFonts w:cs="Arial"/>
                <w:color w:val="0D0D0D" w:themeColor="text1" w:themeTint="F2"/>
                <w:spacing w:val="-2"/>
                <w:sz w:val="16"/>
                <w:szCs w:val="16"/>
                <w:lang w:val="en-GB"/>
              </w:rPr>
              <w:t>al growth of wages was the largest in the last nine years in 2017. Earnings in branches with low wage level still grew relatively the most.</w:t>
            </w:r>
            <w:r w:rsidRPr="00D4538D">
              <w:rPr>
                <w:rFonts w:cs="Arial"/>
                <w:color w:val="0D0D0D" w:themeColor="text1" w:themeTint="F2"/>
                <w:spacing w:val="-2"/>
                <w:sz w:val="16"/>
                <w:szCs w:val="16"/>
                <w:lang w:val="en-GB"/>
              </w:rPr>
              <w:t xml:space="preserve">  </w:t>
            </w: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r w:rsidRPr="00D4538D">
              <w:rPr>
                <w:rFonts w:cs="Arial"/>
                <w:color w:val="0D0D0D" w:themeColor="text1" w:themeTint="F2"/>
                <w:spacing w:val="-2"/>
                <w:sz w:val="16"/>
                <w:szCs w:val="16"/>
                <w:lang w:val="en-GB"/>
              </w:rPr>
              <w:lastRenderedPageBreak/>
              <w:t>Relativ</w:t>
            </w:r>
            <w:r w:rsidR="00E42D52">
              <w:rPr>
                <w:rFonts w:cs="Arial"/>
                <w:color w:val="0D0D0D" w:themeColor="text1" w:themeTint="F2"/>
                <w:spacing w:val="-2"/>
                <w:sz w:val="16"/>
                <w:szCs w:val="16"/>
                <w:lang w:val="en-GB"/>
              </w:rPr>
              <w:t xml:space="preserve">e wage differences between both branches and regions were reduced and proved prevailing strong demand for less qualified workers. </w:t>
            </w:r>
            <w:r w:rsidRPr="00D4538D">
              <w:rPr>
                <w:rFonts w:cs="Arial"/>
                <w:color w:val="0D0D0D" w:themeColor="text1" w:themeTint="F2"/>
                <w:spacing w:val="-2"/>
                <w:sz w:val="16"/>
                <w:szCs w:val="16"/>
                <w:lang w:val="en-GB"/>
              </w:rPr>
              <w:t xml:space="preserve">  </w:t>
            </w:r>
          </w:p>
        </w:tc>
        <w:tc>
          <w:tcPr>
            <w:tcW w:w="144" w:type="pct"/>
          </w:tcPr>
          <w:p w:rsidR="00FD77BB" w:rsidRPr="00D4538D" w:rsidRDefault="00FD77BB" w:rsidP="00CF0826">
            <w:pPr>
              <w:pStyle w:val="Textpoznpodarou"/>
              <w:jc w:val="both"/>
              <w:rPr>
                <w:rFonts w:cs="Arial"/>
                <w:color w:val="0D0D0D" w:themeColor="text1" w:themeTint="F2"/>
                <w:lang w:val="en-GB"/>
              </w:rPr>
            </w:pPr>
          </w:p>
        </w:tc>
        <w:tc>
          <w:tcPr>
            <w:tcW w:w="3840" w:type="pct"/>
          </w:tcPr>
          <w:p w:rsidR="00FD77BB" w:rsidRPr="00D4538D" w:rsidRDefault="00D4538D" w:rsidP="00CF0826">
            <w:pPr>
              <w:pStyle w:val="Textpoznpodarou"/>
              <w:jc w:val="both"/>
              <w:rPr>
                <w:rFonts w:cs="Arial"/>
                <w:color w:val="0D0D0D" w:themeColor="text1" w:themeTint="F2"/>
                <w:spacing w:val="-4"/>
                <w:lang w:val="en-GB"/>
              </w:rPr>
            </w:pPr>
            <w:r w:rsidRPr="00D4538D">
              <w:rPr>
                <w:rFonts w:cs="Arial"/>
                <w:color w:val="0D0D0D" w:themeColor="text1" w:themeTint="F2"/>
                <w:spacing w:val="-4"/>
                <w:lang w:val="en-GB"/>
              </w:rPr>
              <w:t>Good economic results of businesses, continuing positive expectations, but also the deepening mismatch between the supply of the labour force and demand for it led to the dynamization of the wage growth during 2017.</w:t>
            </w:r>
            <w:r>
              <w:rPr>
                <w:rFonts w:cs="Arial"/>
                <w:color w:val="0D0D0D" w:themeColor="text1" w:themeTint="F2"/>
                <w:spacing w:val="-4"/>
                <w:lang w:val="en-GB"/>
              </w:rPr>
              <w:t xml:space="preserve"> The state also played important role – by strengthening the wage tariffs of its own employees as well as the further increase of the minimal wage boundary </w:t>
            </w:r>
            <w:r w:rsidR="00FD77BB" w:rsidRPr="00D4538D">
              <w:rPr>
                <w:rFonts w:cs="Arial"/>
                <w:color w:val="0D0D0D" w:themeColor="text1" w:themeTint="F2"/>
                <w:spacing w:val="-4"/>
                <w:lang w:val="en-GB"/>
              </w:rPr>
              <w:t>(</w:t>
            </w:r>
            <w:r>
              <w:rPr>
                <w:rFonts w:cs="Arial"/>
                <w:color w:val="0D0D0D" w:themeColor="text1" w:themeTint="F2"/>
                <w:spacing w:val="-4"/>
                <w:lang w:val="en-GB"/>
              </w:rPr>
              <w:t xml:space="preserve">incl. the secondary impact on the tied guaranteed wages). The average gross monthly wage crossed the 30 thousand </w:t>
            </w:r>
            <w:proofErr w:type="gramStart"/>
            <w:r>
              <w:rPr>
                <w:rFonts w:cs="Arial"/>
                <w:color w:val="0D0D0D" w:themeColor="text1" w:themeTint="F2"/>
                <w:spacing w:val="-4"/>
                <w:lang w:val="en-GB"/>
              </w:rPr>
              <w:t>boundary</w:t>
            </w:r>
            <w:proofErr w:type="gramEnd"/>
            <w:r>
              <w:rPr>
                <w:rFonts w:cs="Arial"/>
                <w:color w:val="0D0D0D" w:themeColor="text1" w:themeTint="F2"/>
                <w:spacing w:val="-4"/>
                <w:lang w:val="en-GB"/>
              </w:rPr>
              <w:t xml:space="preserve"> for the first time in history in </w:t>
            </w:r>
            <w:r w:rsidR="00443293">
              <w:rPr>
                <w:rFonts w:cs="Arial"/>
                <w:color w:val="0D0D0D" w:themeColor="text1" w:themeTint="F2"/>
                <w:spacing w:val="-4"/>
                <w:lang w:val="en-GB"/>
              </w:rPr>
              <w:t>Q</w:t>
            </w:r>
            <w:r>
              <w:rPr>
                <w:rFonts w:cs="Arial"/>
                <w:color w:val="0D0D0D" w:themeColor="text1" w:themeTint="F2"/>
                <w:spacing w:val="-4"/>
                <w:lang w:val="en-GB"/>
              </w:rPr>
              <w:t xml:space="preserve">4 2017 and it strengthened year-on-year </w:t>
            </w:r>
            <w:r w:rsidR="001D1D45">
              <w:rPr>
                <w:rFonts w:cs="Arial"/>
                <w:color w:val="0D0D0D" w:themeColor="text1" w:themeTint="F2"/>
                <w:spacing w:val="-4"/>
                <w:lang w:val="en-GB"/>
              </w:rPr>
              <w:t>b</w:t>
            </w:r>
            <w:r>
              <w:rPr>
                <w:rFonts w:cs="Arial"/>
                <w:color w:val="0D0D0D" w:themeColor="text1" w:themeTint="F2"/>
                <w:spacing w:val="-4"/>
                <w:lang w:val="en-GB"/>
              </w:rPr>
              <w:t xml:space="preserve">y 8.0% (by 3.7% the year before). </w:t>
            </w:r>
            <w:r w:rsidR="00973A9E">
              <w:rPr>
                <w:rFonts w:cs="Arial"/>
                <w:color w:val="0D0D0D" w:themeColor="text1" w:themeTint="F2"/>
                <w:spacing w:val="-4"/>
                <w:lang w:val="en-GB"/>
              </w:rPr>
              <w:t>The growth culminated in both Q2 and 4 during the year 2017, which was also linked to the year-on-year larger volume of paid out bonuses. The wages hiked up by 7.0% in total for the whole year, which corresponds to the rates of growth from the expansion years 2007 and 2008. Employees in accommodation, food service and restauran</w:t>
            </w:r>
            <w:r w:rsidR="004C5121">
              <w:rPr>
                <w:rFonts w:cs="Arial"/>
                <w:color w:val="0D0D0D" w:themeColor="text1" w:themeTint="F2"/>
                <w:spacing w:val="-4"/>
                <w:lang w:val="en-GB"/>
              </w:rPr>
              <w:t xml:space="preserve">ts were the most better off already third year in a row by 11.9% last year). Still it presented the branch with the lowest level of wages (17.5 thousand CZK). The growth of the minimal wage also pushed the earnings in the administrative and support service activities </w:t>
            </w:r>
            <w:r w:rsidR="00FD77BB" w:rsidRPr="00D4538D">
              <w:rPr>
                <w:rFonts w:cs="Arial"/>
                <w:color w:val="0D0D0D" w:themeColor="text1" w:themeTint="F2"/>
                <w:spacing w:val="-4"/>
                <w:lang w:val="en-GB"/>
              </w:rPr>
              <w:t>(+8</w:t>
            </w:r>
            <w:r w:rsidR="004C5121">
              <w:rPr>
                <w:rFonts w:cs="Arial"/>
                <w:color w:val="0D0D0D" w:themeColor="text1" w:themeTint="F2"/>
                <w:spacing w:val="-4"/>
                <w:lang w:val="en-GB"/>
              </w:rPr>
              <w:t>.</w:t>
            </w:r>
            <w:r w:rsidR="00FD77BB" w:rsidRPr="00D4538D">
              <w:rPr>
                <w:rFonts w:cs="Arial"/>
                <w:color w:val="0D0D0D" w:themeColor="text1" w:themeTint="F2"/>
                <w:spacing w:val="-4"/>
                <w:lang w:val="en-GB"/>
              </w:rPr>
              <w:t xml:space="preserve">0%). </w:t>
            </w:r>
            <w:r w:rsidR="00E42D52">
              <w:rPr>
                <w:rFonts w:cs="Arial"/>
                <w:color w:val="0D0D0D" w:themeColor="text1" w:themeTint="F2"/>
                <w:spacing w:val="-4"/>
                <w:lang w:val="en-GB"/>
              </w:rPr>
              <w:t xml:space="preserve">In branches with the predominance of state, the cultural, entertainment and recreational activities recorded the highest rate of growth of wages </w:t>
            </w:r>
            <w:r w:rsidR="00FD77BB" w:rsidRPr="00D4538D">
              <w:rPr>
                <w:rFonts w:cs="Arial"/>
                <w:color w:val="0D0D0D" w:themeColor="text1" w:themeTint="F2"/>
                <w:spacing w:val="-4"/>
                <w:lang w:val="en-GB"/>
              </w:rPr>
              <w:t>(9</w:t>
            </w:r>
            <w:r w:rsidR="00E42D52">
              <w:rPr>
                <w:rFonts w:cs="Arial"/>
                <w:color w:val="0D0D0D" w:themeColor="text1" w:themeTint="F2"/>
                <w:spacing w:val="-4"/>
                <w:lang w:val="en-GB"/>
              </w:rPr>
              <w:t>.</w:t>
            </w:r>
            <w:r w:rsidR="00FD77BB" w:rsidRPr="00D4538D">
              <w:rPr>
                <w:rFonts w:cs="Arial"/>
                <w:color w:val="0D0D0D" w:themeColor="text1" w:themeTint="F2"/>
                <w:spacing w:val="-4"/>
                <w:lang w:val="en-GB"/>
              </w:rPr>
              <w:t xml:space="preserve">3%), </w:t>
            </w:r>
            <w:r w:rsidR="00E42D52">
              <w:rPr>
                <w:rFonts w:cs="Arial"/>
                <w:color w:val="0D0D0D" w:themeColor="text1" w:themeTint="F2"/>
                <w:spacing w:val="-4"/>
                <w:lang w:val="en-GB"/>
              </w:rPr>
              <w:t xml:space="preserve">especially due to the marked acceleration in Q4 </w:t>
            </w:r>
            <w:r w:rsidR="00FD77BB" w:rsidRPr="00D4538D">
              <w:rPr>
                <w:rFonts w:cs="Arial"/>
                <w:color w:val="0D0D0D" w:themeColor="text1" w:themeTint="F2"/>
                <w:spacing w:val="-4"/>
                <w:lang w:val="en-GB"/>
              </w:rPr>
              <w:t>(+13</w:t>
            </w:r>
            <w:r w:rsidR="00E42D52">
              <w:rPr>
                <w:rFonts w:cs="Arial"/>
                <w:color w:val="0D0D0D" w:themeColor="text1" w:themeTint="F2"/>
                <w:spacing w:val="-4"/>
                <w:lang w:val="en-GB"/>
              </w:rPr>
              <w:t>.</w:t>
            </w:r>
            <w:r w:rsidR="00FD77BB" w:rsidRPr="00D4538D">
              <w:rPr>
                <w:rFonts w:cs="Arial"/>
                <w:color w:val="0D0D0D" w:themeColor="text1" w:themeTint="F2"/>
                <w:spacing w:val="-4"/>
                <w:lang w:val="en-GB"/>
              </w:rPr>
              <w:t xml:space="preserve">4%). </w:t>
            </w:r>
            <w:r w:rsidR="00C93F0E">
              <w:rPr>
                <w:rFonts w:cs="Arial"/>
                <w:color w:val="0D0D0D" w:themeColor="text1" w:themeTint="F2"/>
                <w:spacing w:val="-4"/>
                <w:lang w:val="en-GB"/>
              </w:rPr>
              <w:t xml:space="preserve">The earnings also grew dynamically in health and social care (+9.1%) last year. In contrast, despite </w:t>
            </w:r>
            <w:r w:rsidR="00C93F0E">
              <w:rPr>
                <w:rFonts w:cs="Arial"/>
                <w:color w:val="0D0D0D" w:themeColor="text1" w:themeTint="F2"/>
                <w:spacing w:val="-4"/>
                <w:lang w:val="en-GB"/>
              </w:rPr>
              <w:lastRenderedPageBreak/>
              <w:t>improvement, the dynamics as well as the absolute size of wages in education remained below the level of the national economy towards the end of the year</w:t>
            </w:r>
            <w:r w:rsidR="00FD77BB" w:rsidRPr="00D4538D">
              <w:rPr>
                <w:rFonts w:cs="Arial"/>
                <w:color w:val="0D0D0D" w:themeColor="text1" w:themeTint="F2"/>
                <w:spacing w:val="-4"/>
                <w:lang w:val="en-GB"/>
              </w:rPr>
              <w:t xml:space="preserve">. </w:t>
            </w:r>
            <w:r w:rsidR="00C93F0E">
              <w:rPr>
                <w:rFonts w:cs="Arial"/>
                <w:color w:val="0D0D0D" w:themeColor="text1" w:themeTint="F2"/>
                <w:spacing w:val="-4"/>
                <w:lang w:val="en-GB"/>
              </w:rPr>
              <w:t>Weight dominant manufacturing copied with respect to the size of wages as well as their dynamics the values for the whole economy in the last three years.</w:t>
            </w:r>
            <w:r w:rsidR="00FD77BB" w:rsidRPr="00D4538D">
              <w:rPr>
                <w:rFonts w:cs="Arial"/>
                <w:color w:val="0D0D0D" w:themeColor="text1" w:themeTint="F2"/>
                <w:spacing w:val="-4"/>
                <w:lang w:val="en-GB"/>
              </w:rPr>
              <w:t xml:space="preserve"> </w:t>
            </w:r>
            <w:r w:rsidR="00665B35">
              <w:rPr>
                <w:rFonts w:cs="Arial"/>
                <w:color w:val="0D0D0D" w:themeColor="text1" w:themeTint="F2"/>
                <w:spacing w:val="-4"/>
                <w:lang w:val="en-GB"/>
              </w:rPr>
              <w:t xml:space="preserve">The relative growth was more modest in the majority of branches with the above average wage level, specifically in financial and insurance </w:t>
            </w:r>
            <w:r w:rsidR="00E63BFD">
              <w:rPr>
                <w:rFonts w:cs="Arial"/>
                <w:color w:val="0D0D0D" w:themeColor="text1" w:themeTint="F2"/>
                <w:spacing w:val="-4"/>
                <w:lang w:val="en-GB"/>
              </w:rPr>
              <w:t>activities (</w:t>
            </w:r>
            <w:r w:rsidR="00FD77BB" w:rsidRPr="00D4538D">
              <w:rPr>
                <w:rFonts w:cs="Arial"/>
                <w:color w:val="0D0D0D" w:themeColor="text1" w:themeTint="F2"/>
                <w:spacing w:val="-4"/>
                <w:lang w:val="en-GB"/>
              </w:rPr>
              <w:t>+3</w:t>
            </w:r>
            <w:r w:rsidR="00665B35">
              <w:rPr>
                <w:rFonts w:cs="Arial"/>
                <w:color w:val="0D0D0D" w:themeColor="text1" w:themeTint="F2"/>
                <w:spacing w:val="-4"/>
                <w:lang w:val="en-GB"/>
              </w:rPr>
              <w:t>.</w:t>
            </w:r>
            <w:r w:rsidR="00FD77BB" w:rsidRPr="00D4538D">
              <w:rPr>
                <w:rFonts w:cs="Arial"/>
                <w:color w:val="0D0D0D" w:themeColor="text1" w:themeTint="F2"/>
                <w:spacing w:val="-4"/>
                <w:lang w:val="en-GB"/>
              </w:rPr>
              <w:t>6%</w:t>
            </w:r>
            <w:r w:rsidR="00FD77BB" w:rsidRPr="00D4538D">
              <w:rPr>
                <w:rStyle w:val="Znakapoznpodarou"/>
                <w:color w:val="0D0D0D" w:themeColor="text1" w:themeTint="F2"/>
                <w:spacing w:val="-4"/>
                <w:lang w:val="en-GB"/>
              </w:rPr>
              <w:footnoteReference w:id="5"/>
            </w:r>
            <w:r w:rsidR="00FD77BB" w:rsidRPr="00D4538D">
              <w:rPr>
                <w:rFonts w:cs="Arial"/>
                <w:color w:val="0D0D0D" w:themeColor="text1" w:themeTint="F2"/>
                <w:spacing w:val="-4"/>
                <w:lang w:val="en-GB"/>
              </w:rPr>
              <w:t xml:space="preserve">). </w:t>
            </w:r>
            <w:r w:rsidR="00B034DC">
              <w:rPr>
                <w:rFonts w:cs="Arial"/>
                <w:color w:val="0D0D0D" w:themeColor="text1" w:themeTint="F2"/>
                <w:spacing w:val="-4"/>
                <w:lang w:val="en-GB"/>
              </w:rPr>
              <w:t xml:space="preserve">In most of them it was however offset by the strong growth of employment </w:t>
            </w:r>
            <w:r w:rsidR="00FD77BB" w:rsidRPr="00D4538D">
              <w:rPr>
                <w:rFonts w:cs="Arial"/>
                <w:color w:val="0D0D0D" w:themeColor="text1" w:themeTint="F2"/>
                <w:spacing w:val="-4"/>
                <w:lang w:val="en-GB"/>
              </w:rPr>
              <w:t>(informa</w:t>
            </w:r>
            <w:r w:rsidR="00B034DC">
              <w:rPr>
                <w:rFonts w:cs="Arial"/>
                <w:color w:val="0D0D0D" w:themeColor="text1" w:themeTint="F2"/>
                <w:spacing w:val="-4"/>
                <w:lang w:val="en-GB"/>
              </w:rPr>
              <w:t>tion and communication, energetics</w:t>
            </w:r>
            <w:r w:rsidR="00FD77BB" w:rsidRPr="00D4538D">
              <w:rPr>
                <w:rFonts w:cs="Arial"/>
                <w:color w:val="0D0D0D" w:themeColor="text1" w:themeTint="F2"/>
                <w:spacing w:val="-4"/>
                <w:lang w:val="en-GB"/>
              </w:rPr>
              <w:t xml:space="preserve">). </w:t>
            </w:r>
            <w:r w:rsidR="00C9730D">
              <w:rPr>
                <w:rFonts w:cs="Arial"/>
                <w:color w:val="0D0D0D" w:themeColor="text1" w:themeTint="F2"/>
                <w:spacing w:val="-4"/>
                <w:lang w:val="en-GB"/>
              </w:rPr>
              <w:t xml:space="preserve">Wage differentiation slightly reduced last year, the median wage exceeded the rates of growth of the average wage for already two and a half years. The increase of the rate of growth of the average real wage was also a positive trend </w:t>
            </w:r>
            <w:r w:rsidR="00FD77BB" w:rsidRPr="00D4538D">
              <w:rPr>
                <w:rFonts w:cs="Arial"/>
                <w:color w:val="0D0D0D" w:themeColor="text1" w:themeTint="F2"/>
                <w:spacing w:val="-4"/>
                <w:lang w:val="en-GB"/>
              </w:rPr>
              <w:t xml:space="preserve">– </w:t>
            </w:r>
            <w:r w:rsidR="00C9730D">
              <w:rPr>
                <w:rFonts w:cs="Arial"/>
                <w:color w:val="0D0D0D" w:themeColor="text1" w:themeTint="F2"/>
                <w:spacing w:val="-4"/>
                <w:lang w:val="en-GB"/>
              </w:rPr>
              <w:t xml:space="preserve">it strengthened by 4.4% in 2017, the most after year </w:t>
            </w:r>
            <w:r w:rsidR="00FD77BB" w:rsidRPr="00D4538D">
              <w:rPr>
                <w:rFonts w:cs="Arial"/>
                <w:color w:val="0D0D0D" w:themeColor="text1" w:themeTint="F2"/>
                <w:spacing w:val="-4"/>
                <w:lang w:val="en-GB"/>
              </w:rPr>
              <w:t>2003.</w:t>
            </w:r>
          </w:p>
        </w:tc>
      </w:tr>
    </w:tbl>
    <w:p w:rsidR="005C419C" w:rsidRPr="00526D50" w:rsidRDefault="005C419C" w:rsidP="005C419C">
      <w:pPr>
        <w:pStyle w:val="Textpoznpodarou"/>
        <w:jc w:val="both"/>
        <w:rPr>
          <w:rFonts w:cs="Arial"/>
          <w:color w:val="000000"/>
          <w:spacing w:val="-2"/>
          <w:sz w:val="4"/>
          <w:szCs w:val="4"/>
        </w:rPr>
      </w:pPr>
    </w:p>
    <w:p w:rsidR="0036710C" w:rsidRPr="0036710C" w:rsidRDefault="0036710C" w:rsidP="00D94859">
      <w:pPr>
        <w:rPr>
          <w:sz w:val="2"/>
          <w:szCs w:val="2"/>
          <w:lang w:eastAsia="ar-SA"/>
        </w:rPr>
      </w:pPr>
    </w:p>
    <w:sectPr w:rsidR="0036710C" w:rsidRPr="0036710C" w:rsidSect="00F51724">
      <w:headerReference w:type="even" r:id="rId14"/>
      <w:headerReference w:type="default" r:id="rId15"/>
      <w:footerReference w:type="even" r:id="rId16"/>
      <w:footerReference w:type="default" r:id="rId17"/>
      <w:type w:val="continuous"/>
      <w:pgSz w:w="11906" w:h="16838" w:code="9"/>
      <w:pgMar w:top="1134" w:right="1134" w:bottom="1418" w:left="1134" w:header="680" w:footer="680"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347" w:rsidRDefault="00B34347" w:rsidP="00E71A58">
      <w:r>
        <w:separator/>
      </w:r>
    </w:p>
  </w:endnote>
  <w:endnote w:type="continuationSeparator" w:id="0">
    <w:p w:rsidR="00B34347" w:rsidRDefault="00B34347"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Default="00224123"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00553137" w:rsidRPr="005A21E0">
      <w:rPr>
        <w:rFonts w:ascii="Arial" w:hAnsi="Arial" w:cs="Arial"/>
        <w:sz w:val="16"/>
        <w:szCs w:val="16"/>
      </w:rPr>
      <w:fldChar w:fldCharType="begin"/>
    </w:r>
    <w:r w:rsidRPr="005A21E0">
      <w:rPr>
        <w:rFonts w:ascii="Arial" w:hAnsi="Arial" w:cs="Arial"/>
        <w:sz w:val="16"/>
        <w:szCs w:val="16"/>
      </w:rPr>
      <w:instrText>PAGE   \* MERGEFORMAT</w:instrText>
    </w:r>
    <w:r w:rsidR="00553137" w:rsidRPr="005A21E0">
      <w:rPr>
        <w:rFonts w:ascii="Arial" w:hAnsi="Arial" w:cs="Arial"/>
        <w:sz w:val="16"/>
        <w:szCs w:val="16"/>
      </w:rPr>
      <w:fldChar w:fldCharType="separate"/>
    </w:r>
    <w:r w:rsidR="00F51724">
      <w:rPr>
        <w:rFonts w:ascii="Arial" w:hAnsi="Arial" w:cs="Arial"/>
        <w:noProof/>
        <w:sz w:val="16"/>
        <w:szCs w:val="16"/>
      </w:rPr>
      <w:t>22</w:t>
    </w:r>
    <w:r w:rsidR="00553137" w:rsidRPr="005A21E0">
      <w:rPr>
        <w:rFonts w:ascii="Arial" w:hAnsi="Arial" w:cs="Arial"/>
        <w:sz w:val="16"/>
        <w:szCs w:val="16"/>
      </w:rPr>
      <w:fldChar w:fldCharType="end"/>
    </w:r>
    <w:r>
      <w:rPr>
        <w:rFonts w:ascii="Arial" w:hAnsi="Arial" w:cs="Arial"/>
        <w:sz w:val="16"/>
        <w:szCs w:val="16"/>
      </w:rPr>
      <w:tab/>
      <w:t>2018</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Default="00B6349B" w:rsidP="00357449">
    <w:pPr>
      <w:pStyle w:val="Zpat"/>
      <w:tabs>
        <w:tab w:val="clear" w:pos="4536"/>
        <w:tab w:val="clear" w:pos="9072"/>
        <w:tab w:val="left" w:pos="1134"/>
        <w:tab w:val="left" w:pos="1920"/>
        <w:tab w:val="center" w:pos="4820"/>
        <w:tab w:val="right" w:pos="9639"/>
      </w:tabs>
    </w:pPr>
    <w:r w:rsidRPr="00B6349B">
      <w:rPr>
        <w:noProof/>
        <w:lang w:eastAsia="cs-CZ"/>
      </w:rPr>
      <w:drawing>
        <wp:anchor distT="0" distB="0" distL="114300" distR="114300" simplePos="0" relativeHeight="251662848" behindDoc="0" locked="0" layoutInCell="1" allowOverlap="1">
          <wp:simplePos x="0" y="0"/>
          <wp:positionH relativeFrom="column">
            <wp:posOffset>-100538</wp:posOffset>
          </wp:positionH>
          <wp:positionV relativeFrom="paragraph">
            <wp:posOffset>183818</wp:posOffset>
          </wp:positionV>
          <wp:extent cx="690633" cy="204716"/>
          <wp:effectExtent l="19050" t="0" r="0" b="0"/>
          <wp:wrapNone/>
          <wp:docPr id="5"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0633" cy="204716"/>
                  </a:xfrm>
                  <a:prstGeom prst="rect">
                    <a:avLst/>
                  </a:prstGeom>
                  <a:noFill/>
                  <a:ln w="9525">
                    <a:noFill/>
                    <a:miter lim="800000"/>
                    <a:headEnd/>
                    <a:tailEnd/>
                  </a:ln>
                </pic:spPr>
              </pic:pic>
            </a:graphicData>
          </a:graphic>
        </wp:anchor>
      </w:drawing>
    </w:r>
    <w:r w:rsidR="00224123">
      <w:tab/>
    </w:r>
    <w:r w:rsidR="00224123">
      <w:tab/>
    </w:r>
    <w:r w:rsidR="00224123" w:rsidRPr="00DC5B3B">
      <w:t xml:space="preserve">                              </w:t>
    </w:r>
  </w:p>
  <w:p w:rsidR="00224123" w:rsidRPr="00223E00" w:rsidRDefault="00224123"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2018</w:t>
    </w:r>
    <w:r>
      <w:rPr>
        <w:rFonts w:ascii="Arial" w:hAnsi="Arial" w:cs="Arial"/>
        <w:sz w:val="16"/>
        <w:szCs w:val="16"/>
      </w:rPr>
      <w:tab/>
    </w:r>
    <w:r w:rsidR="00553137"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553137" w:rsidRPr="00223E00">
      <w:rPr>
        <w:rFonts w:ascii="Arial" w:hAnsi="Arial" w:cs="Arial"/>
        <w:sz w:val="16"/>
        <w:szCs w:val="16"/>
      </w:rPr>
      <w:fldChar w:fldCharType="separate"/>
    </w:r>
    <w:r w:rsidR="00F51724">
      <w:rPr>
        <w:rFonts w:ascii="Arial" w:hAnsi="Arial" w:cs="Arial"/>
        <w:noProof/>
        <w:sz w:val="16"/>
        <w:szCs w:val="16"/>
      </w:rPr>
      <w:t>23</w:t>
    </w:r>
    <w:r w:rsidR="00553137"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347" w:rsidRDefault="00B34347" w:rsidP="00E71A58">
      <w:r>
        <w:separator/>
      </w:r>
    </w:p>
  </w:footnote>
  <w:footnote w:type="continuationSeparator" w:id="0">
    <w:p w:rsidR="00B34347" w:rsidRDefault="00B34347" w:rsidP="00E71A58">
      <w:r>
        <w:continuationSeparator/>
      </w:r>
    </w:p>
  </w:footnote>
  <w:footnote w:id="1">
    <w:p w:rsidR="00224123" w:rsidRPr="002B725B" w:rsidRDefault="00224123" w:rsidP="002B725B">
      <w:pPr>
        <w:pStyle w:val="Textpoznpodarou"/>
        <w:jc w:val="both"/>
        <w:rPr>
          <w:sz w:val="16"/>
          <w:szCs w:val="16"/>
          <w:lang w:val="en-GB"/>
        </w:rPr>
      </w:pPr>
      <w:r w:rsidRPr="00B4223A">
        <w:rPr>
          <w:rStyle w:val="Znakapoznpodarou"/>
          <w:sz w:val="16"/>
          <w:szCs w:val="16"/>
        </w:rPr>
        <w:footnoteRef/>
      </w:r>
      <w:r w:rsidRPr="00B4223A">
        <w:rPr>
          <w:sz w:val="16"/>
          <w:szCs w:val="16"/>
        </w:rPr>
        <w:t xml:space="preserve"> </w:t>
      </w:r>
      <w:r w:rsidRPr="002B725B">
        <w:rPr>
          <w:sz w:val="16"/>
          <w:szCs w:val="16"/>
          <w:lang w:val="en-GB"/>
        </w:rPr>
        <w:t>Unless stated otherwise, data regarding employment are in the conception of the national accounts adjusted for seasonal effects in this chapter.</w:t>
      </w:r>
    </w:p>
  </w:footnote>
  <w:footnote w:id="2">
    <w:p w:rsidR="00224123" w:rsidRPr="002B725B" w:rsidRDefault="00224123" w:rsidP="002B725B">
      <w:pPr>
        <w:pStyle w:val="Textpoznpodarou"/>
        <w:jc w:val="both"/>
        <w:rPr>
          <w:sz w:val="16"/>
          <w:szCs w:val="16"/>
          <w:lang w:val="en-GB"/>
        </w:rPr>
      </w:pPr>
      <w:r w:rsidRPr="002B725B">
        <w:rPr>
          <w:rStyle w:val="Znakapoznpodarou"/>
          <w:sz w:val="16"/>
          <w:szCs w:val="16"/>
          <w:lang w:val="en-GB"/>
        </w:rPr>
        <w:footnoteRef/>
      </w:r>
      <w:r w:rsidRPr="002B725B">
        <w:rPr>
          <w:sz w:val="16"/>
          <w:szCs w:val="16"/>
          <w:lang w:val="en-GB"/>
        </w:rPr>
        <w:t xml:space="preserve"> </w:t>
      </w:r>
      <w:r>
        <w:rPr>
          <w:sz w:val="16"/>
          <w:szCs w:val="16"/>
          <w:lang w:val="en-GB"/>
        </w:rPr>
        <w:t>Similar situation also occurred in both Q3 2015 and 2016. In both cases it represents only a one-off deviation from the longer-term growth trend.</w:t>
      </w:r>
    </w:p>
  </w:footnote>
  <w:footnote w:id="3">
    <w:p w:rsidR="00224123" w:rsidRPr="00D77D68" w:rsidRDefault="00224123" w:rsidP="00D77D68">
      <w:pPr>
        <w:pStyle w:val="Textpoznpodarou"/>
        <w:jc w:val="both"/>
        <w:rPr>
          <w:spacing w:val="-3"/>
          <w:sz w:val="16"/>
          <w:szCs w:val="16"/>
          <w:lang w:val="en-GB"/>
        </w:rPr>
      </w:pPr>
      <w:r w:rsidRPr="003161CA">
        <w:rPr>
          <w:rStyle w:val="Znakapoznpodarou"/>
          <w:spacing w:val="-3"/>
          <w:sz w:val="16"/>
          <w:szCs w:val="16"/>
        </w:rPr>
        <w:footnoteRef/>
      </w:r>
      <w:r>
        <w:rPr>
          <w:spacing w:val="-3"/>
          <w:sz w:val="16"/>
          <w:szCs w:val="16"/>
        </w:rPr>
        <w:t xml:space="preserve"> </w:t>
      </w:r>
      <w:r w:rsidRPr="00D77D68">
        <w:rPr>
          <w:spacing w:val="-3"/>
          <w:sz w:val="16"/>
          <w:szCs w:val="16"/>
          <w:lang w:val="en-GB"/>
        </w:rPr>
        <w:t>Includes branches: Public administration and defence, education, health and social care.</w:t>
      </w:r>
    </w:p>
  </w:footnote>
  <w:footnote w:id="4">
    <w:p w:rsidR="00224123" w:rsidRPr="00D77D68" w:rsidRDefault="00224123" w:rsidP="00D77D68">
      <w:pPr>
        <w:pStyle w:val="Textpoznpodarou"/>
        <w:jc w:val="both"/>
        <w:rPr>
          <w:sz w:val="16"/>
          <w:szCs w:val="16"/>
          <w:lang w:val="en-GB"/>
        </w:rPr>
      </w:pPr>
      <w:r w:rsidRPr="00D77D68">
        <w:rPr>
          <w:rStyle w:val="Znakapoznpodarou"/>
          <w:sz w:val="16"/>
          <w:szCs w:val="16"/>
          <w:lang w:val="en-GB"/>
        </w:rPr>
        <w:footnoteRef/>
      </w:r>
      <w:r w:rsidRPr="00D77D68">
        <w:rPr>
          <w:sz w:val="16"/>
          <w:szCs w:val="16"/>
          <w:lang w:val="en-GB"/>
        </w:rPr>
        <w:t xml:space="preserve"> </w:t>
      </w:r>
      <w:r>
        <w:rPr>
          <w:sz w:val="16"/>
          <w:szCs w:val="16"/>
          <w:lang w:val="en-GB"/>
        </w:rPr>
        <w:t xml:space="preserve">139 thousand persons worked this way in Q3 2017, 114 thousand two years ago. </w:t>
      </w:r>
      <w:r w:rsidRPr="00D77D68">
        <w:rPr>
          <w:sz w:val="16"/>
          <w:szCs w:val="16"/>
          <w:lang w:val="en-GB"/>
        </w:rPr>
        <w:t xml:space="preserve"> </w:t>
      </w:r>
    </w:p>
  </w:footnote>
  <w:footnote w:id="5">
    <w:p w:rsidR="00224123" w:rsidRPr="001A68CA" w:rsidRDefault="00224123" w:rsidP="001A68CA">
      <w:pPr>
        <w:pStyle w:val="Textpoznpodarou"/>
        <w:jc w:val="both"/>
        <w:rPr>
          <w:b/>
          <w:sz w:val="16"/>
          <w:szCs w:val="16"/>
          <w:lang w:val="en-GB"/>
        </w:rPr>
      </w:pPr>
      <w:r w:rsidRPr="001A68CA">
        <w:rPr>
          <w:rStyle w:val="Znakapoznpodarou"/>
          <w:sz w:val="16"/>
          <w:szCs w:val="16"/>
          <w:lang w:val="en-GB"/>
        </w:rPr>
        <w:footnoteRef/>
      </w:r>
      <w:r w:rsidRPr="001A68CA">
        <w:rPr>
          <w:sz w:val="16"/>
          <w:szCs w:val="16"/>
          <w:lang w:val="en-GB"/>
        </w:rPr>
        <w:t xml:space="preserve"> It represented the only from the 19 main branches, wher</w:t>
      </w:r>
      <w:r>
        <w:rPr>
          <w:sz w:val="16"/>
          <w:szCs w:val="16"/>
          <w:lang w:val="en-GB"/>
        </w:rPr>
        <w:t>e</w:t>
      </w:r>
      <w:r w:rsidRPr="001A68CA">
        <w:rPr>
          <w:sz w:val="16"/>
          <w:szCs w:val="16"/>
          <w:lang w:val="en-GB"/>
        </w:rPr>
        <w:t xml:space="preserve"> the last year´s rate of growth did not significantly rise compared to year 2016 </w:t>
      </w:r>
      <w:r w:rsidRPr="001A68CA">
        <w:rPr>
          <w:rFonts w:cs="Arial"/>
          <w:color w:val="0D0D0D" w:themeColor="text1" w:themeTint="F2"/>
          <w:spacing w:val="-4"/>
          <w:sz w:val="16"/>
          <w:szCs w:val="16"/>
          <w:lang w:val="en-GB"/>
        </w:rPr>
        <w:t xml:space="preserve">(+3.3%). </w:t>
      </w:r>
      <w:r>
        <w:rPr>
          <w:rFonts w:cs="Arial"/>
          <w:color w:val="0D0D0D" w:themeColor="text1" w:themeTint="F2"/>
          <w:spacing w:val="-4"/>
          <w:sz w:val="16"/>
          <w:szCs w:val="16"/>
          <w:lang w:val="en-GB"/>
        </w:rPr>
        <w:t>In absolute terms however, the addition to wages (+1819 CZK) was here comparable to the branch accommodation, food service and restaurants or the whole economy last year.</w:t>
      </w:r>
      <w:r w:rsidRPr="001A68CA">
        <w:rPr>
          <w:rFonts w:cs="Arial"/>
          <w:color w:val="0D0D0D" w:themeColor="text1" w:themeTint="F2"/>
          <w:spacing w:val="-4"/>
          <w:sz w:val="16"/>
          <w:szCs w:val="16"/>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Pr="002473CA" w:rsidRDefault="00224123" w:rsidP="00D766EF">
    <w:pPr>
      <w:pStyle w:val="Zhlav"/>
      <w:tabs>
        <w:tab w:val="clear" w:pos="4536"/>
        <w:tab w:val="clear" w:pos="9072"/>
        <w:tab w:val="left" w:pos="-6379"/>
        <w:tab w:val="center" w:pos="4820"/>
        <w:tab w:val="right" w:pos="9639"/>
      </w:tabs>
      <w:rPr>
        <w:rFonts w:ascii="Arial" w:hAnsi="Arial" w:cs="Arial"/>
        <w:sz w:val="16"/>
        <w:szCs w:val="16"/>
        <w:lang w:val="en-US"/>
      </w:rPr>
    </w:pPr>
    <w:r w:rsidRPr="002473CA">
      <w:rPr>
        <w:rFonts w:ascii="Arial" w:hAnsi="Arial" w:cs="Arial"/>
        <w:sz w:val="16"/>
        <w:szCs w:val="16"/>
        <w:lang w:val="en-US"/>
      </w:rPr>
      <w:t>The Czech Economy Development in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Pr="00ED0C9B" w:rsidRDefault="00224123" w:rsidP="0030768C">
    <w:pPr>
      <w:pStyle w:val="Zhlav"/>
      <w:tabs>
        <w:tab w:val="clear" w:pos="4536"/>
        <w:tab w:val="clear" w:pos="9072"/>
        <w:tab w:val="left" w:pos="-6379"/>
        <w:tab w:val="center" w:pos="4820"/>
        <w:tab w:val="right" w:pos="9639"/>
      </w:tabs>
      <w:rPr>
        <w:rFonts w:ascii="Arial" w:hAnsi="Arial" w:cs="Arial"/>
        <w:sz w:val="16"/>
        <w:szCs w:val="16"/>
        <w:lang w:val="en-GB"/>
      </w:rPr>
    </w:pPr>
    <w:r w:rsidRPr="00ED0C9B">
      <w:rPr>
        <w:rFonts w:ascii="Arial" w:hAnsi="Arial" w:cs="Arial"/>
        <w:sz w:val="16"/>
        <w:szCs w:val="16"/>
        <w:lang w:val="en-GB"/>
      </w:rPr>
      <w:t>The Czech Economy Development in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6FB457C"/>
    <w:multiLevelType w:val="hybridMultilevel"/>
    <w:tmpl w:val="5A2A4F0E"/>
    <w:lvl w:ilvl="0" w:tplc="AFDC31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86057FE"/>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6">
    <w:nsid w:val="1A48046E"/>
    <w:multiLevelType w:val="hybridMultilevel"/>
    <w:tmpl w:val="5A2A4F0E"/>
    <w:lvl w:ilvl="0" w:tplc="AFDC31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2E20C48"/>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760513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F94006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3BC66D6"/>
    <w:multiLevelType w:val="hybridMultilevel"/>
    <w:tmpl w:val="DCDEAFB4"/>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ABC47DB"/>
    <w:multiLevelType w:val="hybridMultilevel"/>
    <w:tmpl w:val="AA506508"/>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8"/>
  </w:num>
  <w:num w:numId="2">
    <w:abstractNumId w:val="24"/>
  </w:num>
  <w:num w:numId="3">
    <w:abstractNumId w:val="13"/>
  </w:num>
  <w:num w:numId="4">
    <w:abstractNumId w:val="22"/>
  </w:num>
  <w:num w:numId="5">
    <w:abstractNumId w:val="15"/>
  </w:num>
  <w:num w:numId="6">
    <w:abstractNumId w:val="19"/>
  </w:num>
  <w:num w:numId="7">
    <w:abstractNumId w:val="5"/>
  </w:num>
  <w:num w:numId="8">
    <w:abstractNumId w:val="11"/>
  </w:num>
  <w:num w:numId="9">
    <w:abstractNumId w:val="21"/>
  </w:num>
  <w:num w:numId="10">
    <w:abstractNumId w:val="4"/>
  </w:num>
  <w:num w:numId="11">
    <w:abstractNumId w:val="9"/>
  </w:num>
  <w:num w:numId="12">
    <w:abstractNumId w:val="2"/>
  </w:num>
  <w:num w:numId="13">
    <w:abstractNumId w:val="8"/>
  </w:num>
  <w:num w:numId="14">
    <w:abstractNumId w:val="0"/>
  </w:num>
  <w:num w:numId="15">
    <w:abstractNumId w:val="20"/>
  </w:num>
  <w:num w:numId="16">
    <w:abstractNumId w:val="16"/>
  </w:num>
  <w:num w:numId="17">
    <w:abstractNumId w:val="7"/>
  </w:num>
  <w:num w:numId="18">
    <w:abstractNumId w:val="23"/>
  </w:num>
  <w:num w:numId="19">
    <w:abstractNumId w:val="10"/>
  </w:num>
  <w:num w:numId="20">
    <w:abstractNumId w:val="1"/>
  </w:num>
  <w:num w:numId="21">
    <w:abstractNumId w:val="12"/>
  </w:num>
  <w:num w:numId="22">
    <w:abstractNumId w:val="14"/>
  </w:num>
  <w:num w:numId="23">
    <w:abstractNumId w:val="3"/>
  </w:num>
  <w:num w:numId="24">
    <w:abstractNumId w:val="6"/>
  </w:num>
  <w:num w:numId="25">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9B70BD"/>
    <w:rsid w:val="00000C43"/>
    <w:rsid w:val="00000FA7"/>
    <w:rsid w:val="00001EFF"/>
    <w:rsid w:val="00002F5C"/>
    <w:rsid w:val="00003687"/>
    <w:rsid w:val="00003C43"/>
    <w:rsid w:val="00004C5D"/>
    <w:rsid w:val="00004EB0"/>
    <w:rsid w:val="00004FF9"/>
    <w:rsid w:val="00006AAD"/>
    <w:rsid w:val="00007498"/>
    <w:rsid w:val="0000767A"/>
    <w:rsid w:val="000101F5"/>
    <w:rsid w:val="000104B9"/>
    <w:rsid w:val="00010702"/>
    <w:rsid w:val="00010770"/>
    <w:rsid w:val="00010982"/>
    <w:rsid w:val="00011191"/>
    <w:rsid w:val="0001159B"/>
    <w:rsid w:val="000117CA"/>
    <w:rsid w:val="00012986"/>
    <w:rsid w:val="000129CF"/>
    <w:rsid w:val="00013C75"/>
    <w:rsid w:val="00014028"/>
    <w:rsid w:val="00014690"/>
    <w:rsid w:val="00015195"/>
    <w:rsid w:val="0001519F"/>
    <w:rsid w:val="0001572B"/>
    <w:rsid w:val="0001573E"/>
    <w:rsid w:val="000157DA"/>
    <w:rsid w:val="0001589D"/>
    <w:rsid w:val="00016033"/>
    <w:rsid w:val="000162DB"/>
    <w:rsid w:val="00017F05"/>
    <w:rsid w:val="000202C6"/>
    <w:rsid w:val="00020315"/>
    <w:rsid w:val="000208B1"/>
    <w:rsid w:val="00020946"/>
    <w:rsid w:val="00021B1D"/>
    <w:rsid w:val="00022081"/>
    <w:rsid w:val="0002292C"/>
    <w:rsid w:val="00022983"/>
    <w:rsid w:val="00022B41"/>
    <w:rsid w:val="00022D8D"/>
    <w:rsid w:val="00023FB5"/>
    <w:rsid w:val="0002434F"/>
    <w:rsid w:val="00024887"/>
    <w:rsid w:val="00024CBA"/>
    <w:rsid w:val="00025501"/>
    <w:rsid w:val="00026998"/>
    <w:rsid w:val="00026B06"/>
    <w:rsid w:val="000304C4"/>
    <w:rsid w:val="0003066A"/>
    <w:rsid w:val="00030F14"/>
    <w:rsid w:val="000311C5"/>
    <w:rsid w:val="00032838"/>
    <w:rsid w:val="00032C12"/>
    <w:rsid w:val="00032E0C"/>
    <w:rsid w:val="000341F6"/>
    <w:rsid w:val="00034D3F"/>
    <w:rsid w:val="00035CCF"/>
    <w:rsid w:val="00035FC6"/>
    <w:rsid w:val="0003705E"/>
    <w:rsid w:val="00037667"/>
    <w:rsid w:val="0003780E"/>
    <w:rsid w:val="0004075D"/>
    <w:rsid w:val="000411E1"/>
    <w:rsid w:val="00041E9C"/>
    <w:rsid w:val="00042EC6"/>
    <w:rsid w:val="00043C68"/>
    <w:rsid w:val="00043E05"/>
    <w:rsid w:val="0004442E"/>
    <w:rsid w:val="00044913"/>
    <w:rsid w:val="00045681"/>
    <w:rsid w:val="0004694F"/>
    <w:rsid w:val="00046E43"/>
    <w:rsid w:val="000500DC"/>
    <w:rsid w:val="000509FD"/>
    <w:rsid w:val="000516F5"/>
    <w:rsid w:val="00051ADE"/>
    <w:rsid w:val="00052052"/>
    <w:rsid w:val="00052172"/>
    <w:rsid w:val="0005235A"/>
    <w:rsid w:val="000534FD"/>
    <w:rsid w:val="00053CBA"/>
    <w:rsid w:val="00054E43"/>
    <w:rsid w:val="00055059"/>
    <w:rsid w:val="000553E4"/>
    <w:rsid w:val="00055CE3"/>
    <w:rsid w:val="0005619C"/>
    <w:rsid w:val="000567FA"/>
    <w:rsid w:val="00056B26"/>
    <w:rsid w:val="00057C16"/>
    <w:rsid w:val="00060F26"/>
    <w:rsid w:val="00062D43"/>
    <w:rsid w:val="00062E1E"/>
    <w:rsid w:val="00062EC5"/>
    <w:rsid w:val="00063AF0"/>
    <w:rsid w:val="00064256"/>
    <w:rsid w:val="00065425"/>
    <w:rsid w:val="0006638F"/>
    <w:rsid w:val="00066B7B"/>
    <w:rsid w:val="000673F8"/>
    <w:rsid w:val="00070314"/>
    <w:rsid w:val="000706A4"/>
    <w:rsid w:val="00070A0C"/>
    <w:rsid w:val="00071F80"/>
    <w:rsid w:val="00072118"/>
    <w:rsid w:val="00073173"/>
    <w:rsid w:val="0007324C"/>
    <w:rsid w:val="00073655"/>
    <w:rsid w:val="000777FF"/>
    <w:rsid w:val="000779AC"/>
    <w:rsid w:val="00077C8D"/>
    <w:rsid w:val="000807ED"/>
    <w:rsid w:val="00080A41"/>
    <w:rsid w:val="00080AA8"/>
    <w:rsid w:val="00081851"/>
    <w:rsid w:val="0008376A"/>
    <w:rsid w:val="00083803"/>
    <w:rsid w:val="00083D7F"/>
    <w:rsid w:val="00083FE5"/>
    <w:rsid w:val="00084393"/>
    <w:rsid w:val="00084771"/>
    <w:rsid w:val="00085094"/>
    <w:rsid w:val="0008716A"/>
    <w:rsid w:val="00087634"/>
    <w:rsid w:val="0008769B"/>
    <w:rsid w:val="00091237"/>
    <w:rsid w:val="000916B1"/>
    <w:rsid w:val="0009191B"/>
    <w:rsid w:val="000920EC"/>
    <w:rsid w:val="000921B6"/>
    <w:rsid w:val="00092208"/>
    <w:rsid w:val="00092505"/>
    <w:rsid w:val="000927EB"/>
    <w:rsid w:val="00092832"/>
    <w:rsid w:val="00092C9A"/>
    <w:rsid w:val="00092D0F"/>
    <w:rsid w:val="00093F4B"/>
    <w:rsid w:val="00093FF2"/>
    <w:rsid w:val="0009437C"/>
    <w:rsid w:val="00096747"/>
    <w:rsid w:val="000973B6"/>
    <w:rsid w:val="000977F5"/>
    <w:rsid w:val="00097BFC"/>
    <w:rsid w:val="00097D02"/>
    <w:rsid w:val="000A1183"/>
    <w:rsid w:val="000A1A47"/>
    <w:rsid w:val="000A1B31"/>
    <w:rsid w:val="000A2121"/>
    <w:rsid w:val="000A2484"/>
    <w:rsid w:val="000A2929"/>
    <w:rsid w:val="000A36CE"/>
    <w:rsid w:val="000A4FFD"/>
    <w:rsid w:val="000A59BF"/>
    <w:rsid w:val="000A66C2"/>
    <w:rsid w:val="000A68A7"/>
    <w:rsid w:val="000A6F68"/>
    <w:rsid w:val="000B1CFE"/>
    <w:rsid w:val="000B210A"/>
    <w:rsid w:val="000B2324"/>
    <w:rsid w:val="000B249B"/>
    <w:rsid w:val="000B2729"/>
    <w:rsid w:val="000B27B2"/>
    <w:rsid w:val="000B2ADE"/>
    <w:rsid w:val="000B3B01"/>
    <w:rsid w:val="000B3C13"/>
    <w:rsid w:val="000B3DB9"/>
    <w:rsid w:val="000B3F02"/>
    <w:rsid w:val="000B4550"/>
    <w:rsid w:val="000B48A2"/>
    <w:rsid w:val="000B48E7"/>
    <w:rsid w:val="000B4E9F"/>
    <w:rsid w:val="000B4F41"/>
    <w:rsid w:val="000B5746"/>
    <w:rsid w:val="000B7663"/>
    <w:rsid w:val="000B7A90"/>
    <w:rsid w:val="000C1106"/>
    <w:rsid w:val="000C11D3"/>
    <w:rsid w:val="000C12F5"/>
    <w:rsid w:val="000C2F62"/>
    <w:rsid w:val="000C3408"/>
    <w:rsid w:val="000C4253"/>
    <w:rsid w:val="000C54AF"/>
    <w:rsid w:val="000C57C5"/>
    <w:rsid w:val="000C5C0F"/>
    <w:rsid w:val="000C5D56"/>
    <w:rsid w:val="000C60D8"/>
    <w:rsid w:val="000C6498"/>
    <w:rsid w:val="000C6F88"/>
    <w:rsid w:val="000C70D9"/>
    <w:rsid w:val="000D0B22"/>
    <w:rsid w:val="000D0D51"/>
    <w:rsid w:val="000D14B3"/>
    <w:rsid w:val="000D1BFB"/>
    <w:rsid w:val="000D1F52"/>
    <w:rsid w:val="000D208B"/>
    <w:rsid w:val="000D263E"/>
    <w:rsid w:val="000D2B8D"/>
    <w:rsid w:val="000D2BD3"/>
    <w:rsid w:val="000D2E41"/>
    <w:rsid w:val="000D342A"/>
    <w:rsid w:val="000D434D"/>
    <w:rsid w:val="000D43CB"/>
    <w:rsid w:val="000D5E7A"/>
    <w:rsid w:val="000D5FAA"/>
    <w:rsid w:val="000D65A4"/>
    <w:rsid w:val="000D6AEF"/>
    <w:rsid w:val="000D7414"/>
    <w:rsid w:val="000E025B"/>
    <w:rsid w:val="000E055F"/>
    <w:rsid w:val="000E0ECB"/>
    <w:rsid w:val="000E153A"/>
    <w:rsid w:val="000E19A8"/>
    <w:rsid w:val="000E1EEA"/>
    <w:rsid w:val="000E4241"/>
    <w:rsid w:val="000E4A42"/>
    <w:rsid w:val="000E5549"/>
    <w:rsid w:val="000E6184"/>
    <w:rsid w:val="000E6476"/>
    <w:rsid w:val="000E78D2"/>
    <w:rsid w:val="000F3332"/>
    <w:rsid w:val="000F33EE"/>
    <w:rsid w:val="000F3511"/>
    <w:rsid w:val="000F401E"/>
    <w:rsid w:val="000F45F0"/>
    <w:rsid w:val="000F5445"/>
    <w:rsid w:val="000F5598"/>
    <w:rsid w:val="000F5673"/>
    <w:rsid w:val="000F67B2"/>
    <w:rsid w:val="000F6CFB"/>
    <w:rsid w:val="000F7121"/>
    <w:rsid w:val="000F74B6"/>
    <w:rsid w:val="000F790F"/>
    <w:rsid w:val="000F7C25"/>
    <w:rsid w:val="000F7E1B"/>
    <w:rsid w:val="000F7F49"/>
    <w:rsid w:val="00100014"/>
    <w:rsid w:val="00100224"/>
    <w:rsid w:val="0010039A"/>
    <w:rsid w:val="001012BD"/>
    <w:rsid w:val="0010177A"/>
    <w:rsid w:val="00101E94"/>
    <w:rsid w:val="00101FB2"/>
    <w:rsid w:val="001028CF"/>
    <w:rsid w:val="00102CB8"/>
    <w:rsid w:val="00102F02"/>
    <w:rsid w:val="0010385D"/>
    <w:rsid w:val="00103E41"/>
    <w:rsid w:val="001041B6"/>
    <w:rsid w:val="00104F55"/>
    <w:rsid w:val="001070EA"/>
    <w:rsid w:val="001076CA"/>
    <w:rsid w:val="00107FF4"/>
    <w:rsid w:val="0011002A"/>
    <w:rsid w:val="001107CE"/>
    <w:rsid w:val="001109F0"/>
    <w:rsid w:val="0011110A"/>
    <w:rsid w:val="001118AF"/>
    <w:rsid w:val="00111CA5"/>
    <w:rsid w:val="0011256E"/>
    <w:rsid w:val="0011352E"/>
    <w:rsid w:val="0011365A"/>
    <w:rsid w:val="00114FC0"/>
    <w:rsid w:val="00115496"/>
    <w:rsid w:val="00115BDB"/>
    <w:rsid w:val="00116DB9"/>
    <w:rsid w:val="00116F28"/>
    <w:rsid w:val="00117597"/>
    <w:rsid w:val="00117CE8"/>
    <w:rsid w:val="00117F28"/>
    <w:rsid w:val="001201F0"/>
    <w:rsid w:val="00121961"/>
    <w:rsid w:val="00121C39"/>
    <w:rsid w:val="00123255"/>
    <w:rsid w:val="0012394A"/>
    <w:rsid w:val="00124D2D"/>
    <w:rsid w:val="00124DA1"/>
    <w:rsid w:val="00125326"/>
    <w:rsid w:val="00125CB5"/>
    <w:rsid w:val="001261B3"/>
    <w:rsid w:val="001264C1"/>
    <w:rsid w:val="00127535"/>
    <w:rsid w:val="001305B2"/>
    <w:rsid w:val="001307BE"/>
    <w:rsid w:val="00130C8F"/>
    <w:rsid w:val="001314F2"/>
    <w:rsid w:val="001317DA"/>
    <w:rsid w:val="00131FFA"/>
    <w:rsid w:val="001323BA"/>
    <w:rsid w:val="0013254D"/>
    <w:rsid w:val="00133643"/>
    <w:rsid w:val="00133AAC"/>
    <w:rsid w:val="00133FBD"/>
    <w:rsid w:val="00134DFD"/>
    <w:rsid w:val="001350B3"/>
    <w:rsid w:val="00136168"/>
    <w:rsid w:val="00136561"/>
    <w:rsid w:val="00136AE8"/>
    <w:rsid w:val="00136B6B"/>
    <w:rsid w:val="001400E1"/>
    <w:rsid w:val="001405FA"/>
    <w:rsid w:val="001408DD"/>
    <w:rsid w:val="001413B3"/>
    <w:rsid w:val="00142533"/>
    <w:rsid w:val="001425C3"/>
    <w:rsid w:val="00142F16"/>
    <w:rsid w:val="001432C1"/>
    <w:rsid w:val="00143E03"/>
    <w:rsid w:val="00143E93"/>
    <w:rsid w:val="00143FA3"/>
    <w:rsid w:val="0014428D"/>
    <w:rsid w:val="0014514D"/>
    <w:rsid w:val="00145AF9"/>
    <w:rsid w:val="00146FE4"/>
    <w:rsid w:val="0014731B"/>
    <w:rsid w:val="00147E55"/>
    <w:rsid w:val="00150040"/>
    <w:rsid w:val="001500FC"/>
    <w:rsid w:val="00150CEC"/>
    <w:rsid w:val="00151AC0"/>
    <w:rsid w:val="00151B27"/>
    <w:rsid w:val="00152046"/>
    <w:rsid w:val="001520AF"/>
    <w:rsid w:val="00152488"/>
    <w:rsid w:val="00152E53"/>
    <w:rsid w:val="00152FDD"/>
    <w:rsid w:val="0015323B"/>
    <w:rsid w:val="00153FED"/>
    <w:rsid w:val="00154147"/>
    <w:rsid w:val="001550F3"/>
    <w:rsid w:val="00155746"/>
    <w:rsid w:val="00156318"/>
    <w:rsid w:val="0015639A"/>
    <w:rsid w:val="0016081D"/>
    <w:rsid w:val="00160CF3"/>
    <w:rsid w:val="00160DCA"/>
    <w:rsid w:val="00160E61"/>
    <w:rsid w:val="00161300"/>
    <w:rsid w:val="00161DB6"/>
    <w:rsid w:val="001620FA"/>
    <w:rsid w:val="00162853"/>
    <w:rsid w:val="00162C62"/>
    <w:rsid w:val="00163793"/>
    <w:rsid w:val="00163841"/>
    <w:rsid w:val="00163F4D"/>
    <w:rsid w:val="00164978"/>
    <w:rsid w:val="001663DE"/>
    <w:rsid w:val="00167FB2"/>
    <w:rsid w:val="001707DE"/>
    <w:rsid w:val="00170B04"/>
    <w:rsid w:val="00170F47"/>
    <w:rsid w:val="001711F2"/>
    <w:rsid w:val="001714F2"/>
    <w:rsid w:val="001718C2"/>
    <w:rsid w:val="00171E6C"/>
    <w:rsid w:val="00172B64"/>
    <w:rsid w:val="00173583"/>
    <w:rsid w:val="00173642"/>
    <w:rsid w:val="001736BB"/>
    <w:rsid w:val="00173AF4"/>
    <w:rsid w:val="00173CB0"/>
    <w:rsid w:val="00174CE8"/>
    <w:rsid w:val="00174E7D"/>
    <w:rsid w:val="001752CB"/>
    <w:rsid w:val="00175351"/>
    <w:rsid w:val="00175F60"/>
    <w:rsid w:val="00176050"/>
    <w:rsid w:val="001764D8"/>
    <w:rsid w:val="00176A8F"/>
    <w:rsid w:val="00180D58"/>
    <w:rsid w:val="00181410"/>
    <w:rsid w:val="001814AE"/>
    <w:rsid w:val="00181938"/>
    <w:rsid w:val="001827CE"/>
    <w:rsid w:val="00182981"/>
    <w:rsid w:val="001833E9"/>
    <w:rsid w:val="00184CF9"/>
    <w:rsid w:val="00184DE8"/>
    <w:rsid w:val="00185010"/>
    <w:rsid w:val="001852EC"/>
    <w:rsid w:val="00185D56"/>
    <w:rsid w:val="00186447"/>
    <w:rsid w:val="001874CF"/>
    <w:rsid w:val="00187F91"/>
    <w:rsid w:val="00190214"/>
    <w:rsid w:val="00190D9B"/>
    <w:rsid w:val="0019161A"/>
    <w:rsid w:val="00191BAE"/>
    <w:rsid w:val="001921B5"/>
    <w:rsid w:val="00193432"/>
    <w:rsid w:val="0019346C"/>
    <w:rsid w:val="0019357D"/>
    <w:rsid w:val="00194096"/>
    <w:rsid w:val="0019431C"/>
    <w:rsid w:val="00194AE3"/>
    <w:rsid w:val="00195335"/>
    <w:rsid w:val="00195444"/>
    <w:rsid w:val="0019579E"/>
    <w:rsid w:val="00197806"/>
    <w:rsid w:val="001A1087"/>
    <w:rsid w:val="001A199D"/>
    <w:rsid w:val="001A2855"/>
    <w:rsid w:val="001A2BDB"/>
    <w:rsid w:val="001A30F4"/>
    <w:rsid w:val="001A47AB"/>
    <w:rsid w:val="001A4C0D"/>
    <w:rsid w:val="001A552F"/>
    <w:rsid w:val="001A56F3"/>
    <w:rsid w:val="001A5A2F"/>
    <w:rsid w:val="001A68CA"/>
    <w:rsid w:val="001A737B"/>
    <w:rsid w:val="001A750C"/>
    <w:rsid w:val="001B008E"/>
    <w:rsid w:val="001B05FE"/>
    <w:rsid w:val="001B1D89"/>
    <w:rsid w:val="001B1EFA"/>
    <w:rsid w:val="001B1FE2"/>
    <w:rsid w:val="001B2143"/>
    <w:rsid w:val="001B3110"/>
    <w:rsid w:val="001B4198"/>
    <w:rsid w:val="001B44BC"/>
    <w:rsid w:val="001B5215"/>
    <w:rsid w:val="001B5888"/>
    <w:rsid w:val="001B5A75"/>
    <w:rsid w:val="001B618F"/>
    <w:rsid w:val="001B6277"/>
    <w:rsid w:val="001B6545"/>
    <w:rsid w:val="001B681B"/>
    <w:rsid w:val="001B6A49"/>
    <w:rsid w:val="001B7231"/>
    <w:rsid w:val="001B74FB"/>
    <w:rsid w:val="001B77A1"/>
    <w:rsid w:val="001C0422"/>
    <w:rsid w:val="001C0B1E"/>
    <w:rsid w:val="001C0E0E"/>
    <w:rsid w:val="001C0E66"/>
    <w:rsid w:val="001C0EB9"/>
    <w:rsid w:val="001C1219"/>
    <w:rsid w:val="001C357A"/>
    <w:rsid w:val="001C3657"/>
    <w:rsid w:val="001C3961"/>
    <w:rsid w:val="001C3A37"/>
    <w:rsid w:val="001C4384"/>
    <w:rsid w:val="001C55F5"/>
    <w:rsid w:val="001C65FF"/>
    <w:rsid w:val="001C6747"/>
    <w:rsid w:val="001C677A"/>
    <w:rsid w:val="001D05E6"/>
    <w:rsid w:val="001D12FB"/>
    <w:rsid w:val="001D1383"/>
    <w:rsid w:val="001D1D45"/>
    <w:rsid w:val="001D1E7C"/>
    <w:rsid w:val="001D2583"/>
    <w:rsid w:val="001D3787"/>
    <w:rsid w:val="001D3A7A"/>
    <w:rsid w:val="001D47E5"/>
    <w:rsid w:val="001D4EEB"/>
    <w:rsid w:val="001D53CB"/>
    <w:rsid w:val="001D584C"/>
    <w:rsid w:val="001D5E1B"/>
    <w:rsid w:val="001D66C1"/>
    <w:rsid w:val="001D6EF6"/>
    <w:rsid w:val="001D7C6F"/>
    <w:rsid w:val="001E0024"/>
    <w:rsid w:val="001E0241"/>
    <w:rsid w:val="001E0735"/>
    <w:rsid w:val="001E0C65"/>
    <w:rsid w:val="001E23E3"/>
    <w:rsid w:val="001E29AF"/>
    <w:rsid w:val="001E3731"/>
    <w:rsid w:val="001E387A"/>
    <w:rsid w:val="001E3DA4"/>
    <w:rsid w:val="001E5469"/>
    <w:rsid w:val="001E5830"/>
    <w:rsid w:val="001E5F62"/>
    <w:rsid w:val="001E684C"/>
    <w:rsid w:val="001E701C"/>
    <w:rsid w:val="001E7552"/>
    <w:rsid w:val="001E7C03"/>
    <w:rsid w:val="001F02AF"/>
    <w:rsid w:val="001F0649"/>
    <w:rsid w:val="001F28F4"/>
    <w:rsid w:val="001F2902"/>
    <w:rsid w:val="001F2CC6"/>
    <w:rsid w:val="001F3055"/>
    <w:rsid w:val="001F31BC"/>
    <w:rsid w:val="001F378E"/>
    <w:rsid w:val="001F3C79"/>
    <w:rsid w:val="001F3D52"/>
    <w:rsid w:val="001F3E68"/>
    <w:rsid w:val="001F4597"/>
    <w:rsid w:val="001F56A9"/>
    <w:rsid w:val="001F5C6A"/>
    <w:rsid w:val="001F63A7"/>
    <w:rsid w:val="001F670A"/>
    <w:rsid w:val="001F7C2A"/>
    <w:rsid w:val="00200D15"/>
    <w:rsid w:val="00200D2A"/>
    <w:rsid w:val="00201E7B"/>
    <w:rsid w:val="0020223B"/>
    <w:rsid w:val="0020294A"/>
    <w:rsid w:val="00203074"/>
    <w:rsid w:val="0020340C"/>
    <w:rsid w:val="00203B09"/>
    <w:rsid w:val="00203B46"/>
    <w:rsid w:val="00203FCB"/>
    <w:rsid w:val="002047DA"/>
    <w:rsid w:val="002048E1"/>
    <w:rsid w:val="00205711"/>
    <w:rsid w:val="002070AB"/>
    <w:rsid w:val="00207DB6"/>
    <w:rsid w:val="00210278"/>
    <w:rsid w:val="00210CC2"/>
    <w:rsid w:val="00210F5B"/>
    <w:rsid w:val="00210FFA"/>
    <w:rsid w:val="00211262"/>
    <w:rsid w:val="0021139C"/>
    <w:rsid w:val="002115F5"/>
    <w:rsid w:val="00211AC9"/>
    <w:rsid w:val="00212491"/>
    <w:rsid w:val="0021329E"/>
    <w:rsid w:val="002133D5"/>
    <w:rsid w:val="0021355B"/>
    <w:rsid w:val="002137A1"/>
    <w:rsid w:val="0021396F"/>
    <w:rsid w:val="00215061"/>
    <w:rsid w:val="0021507A"/>
    <w:rsid w:val="0021552C"/>
    <w:rsid w:val="00215A2C"/>
    <w:rsid w:val="00217980"/>
    <w:rsid w:val="002179F9"/>
    <w:rsid w:val="002205F2"/>
    <w:rsid w:val="0022080E"/>
    <w:rsid w:val="00220895"/>
    <w:rsid w:val="00220B20"/>
    <w:rsid w:val="0022139E"/>
    <w:rsid w:val="002224C1"/>
    <w:rsid w:val="0022272B"/>
    <w:rsid w:val="00222A99"/>
    <w:rsid w:val="00223678"/>
    <w:rsid w:val="002236F7"/>
    <w:rsid w:val="00223E00"/>
    <w:rsid w:val="00224048"/>
    <w:rsid w:val="00224123"/>
    <w:rsid w:val="002244CE"/>
    <w:rsid w:val="002250AD"/>
    <w:rsid w:val="002252E0"/>
    <w:rsid w:val="002255F6"/>
    <w:rsid w:val="00225F36"/>
    <w:rsid w:val="00226466"/>
    <w:rsid w:val="002266D0"/>
    <w:rsid w:val="00226887"/>
    <w:rsid w:val="00227991"/>
    <w:rsid w:val="00227A27"/>
    <w:rsid w:val="00230574"/>
    <w:rsid w:val="00230CA7"/>
    <w:rsid w:val="00230DAD"/>
    <w:rsid w:val="0023229C"/>
    <w:rsid w:val="00232A3C"/>
    <w:rsid w:val="0023301B"/>
    <w:rsid w:val="002334DF"/>
    <w:rsid w:val="0023355C"/>
    <w:rsid w:val="00234280"/>
    <w:rsid w:val="00234DD5"/>
    <w:rsid w:val="00235000"/>
    <w:rsid w:val="002350E3"/>
    <w:rsid w:val="00235330"/>
    <w:rsid w:val="00236443"/>
    <w:rsid w:val="00240773"/>
    <w:rsid w:val="00240815"/>
    <w:rsid w:val="00240924"/>
    <w:rsid w:val="00240A5B"/>
    <w:rsid w:val="00240C76"/>
    <w:rsid w:val="002411EF"/>
    <w:rsid w:val="00241446"/>
    <w:rsid w:val="00241FC7"/>
    <w:rsid w:val="00242730"/>
    <w:rsid w:val="002436BA"/>
    <w:rsid w:val="002439C3"/>
    <w:rsid w:val="002444ED"/>
    <w:rsid w:val="00244A15"/>
    <w:rsid w:val="00244D40"/>
    <w:rsid w:val="002452E5"/>
    <w:rsid w:val="0024644F"/>
    <w:rsid w:val="00246AE9"/>
    <w:rsid w:val="002473CA"/>
    <w:rsid w:val="0024799E"/>
    <w:rsid w:val="00250C59"/>
    <w:rsid w:val="00250E0D"/>
    <w:rsid w:val="002518F6"/>
    <w:rsid w:val="00251D59"/>
    <w:rsid w:val="00252602"/>
    <w:rsid w:val="00252609"/>
    <w:rsid w:val="00252FDC"/>
    <w:rsid w:val="002532E2"/>
    <w:rsid w:val="00253E11"/>
    <w:rsid w:val="00254069"/>
    <w:rsid w:val="00254B3B"/>
    <w:rsid w:val="00254C4B"/>
    <w:rsid w:val="002550D8"/>
    <w:rsid w:val="00255A44"/>
    <w:rsid w:val="00257083"/>
    <w:rsid w:val="00257613"/>
    <w:rsid w:val="002609C2"/>
    <w:rsid w:val="00261A0F"/>
    <w:rsid w:val="00261E5B"/>
    <w:rsid w:val="00262EB9"/>
    <w:rsid w:val="00262F34"/>
    <w:rsid w:val="002633E5"/>
    <w:rsid w:val="00263470"/>
    <w:rsid w:val="00263733"/>
    <w:rsid w:val="00264676"/>
    <w:rsid w:val="00264A46"/>
    <w:rsid w:val="00265536"/>
    <w:rsid w:val="0026595E"/>
    <w:rsid w:val="00265E54"/>
    <w:rsid w:val="00266306"/>
    <w:rsid w:val="002664A1"/>
    <w:rsid w:val="00266534"/>
    <w:rsid w:val="00266F3E"/>
    <w:rsid w:val="00270785"/>
    <w:rsid w:val="00271B9B"/>
    <w:rsid w:val="0027224A"/>
    <w:rsid w:val="00272464"/>
    <w:rsid w:val="00272B0B"/>
    <w:rsid w:val="00272CC5"/>
    <w:rsid w:val="00273C60"/>
    <w:rsid w:val="00273DCD"/>
    <w:rsid w:val="00274291"/>
    <w:rsid w:val="00276C09"/>
    <w:rsid w:val="00276CFE"/>
    <w:rsid w:val="00277071"/>
    <w:rsid w:val="002776A5"/>
    <w:rsid w:val="0027786C"/>
    <w:rsid w:val="00277BF7"/>
    <w:rsid w:val="0028019B"/>
    <w:rsid w:val="00280A72"/>
    <w:rsid w:val="00281416"/>
    <w:rsid w:val="00282084"/>
    <w:rsid w:val="00283720"/>
    <w:rsid w:val="00283C61"/>
    <w:rsid w:val="00283D6A"/>
    <w:rsid w:val="00284C6F"/>
    <w:rsid w:val="00285CD3"/>
    <w:rsid w:val="0028633E"/>
    <w:rsid w:val="0028686A"/>
    <w:rsid w:val="00286E66"/>
    <w:rsid w:val="002870B7"/>
    <w:rsid w:val="002919B5"/>
    <w:rsid w:val="002920F5"/>
    <w:rsid w:val="00292D0B"/>
    <w:rsid w:val="00293441"/>
    <w:rsid w:val="00293553"/>
    <w:rsid w:val="00294238"/>
    <w:rsid w:val="00294776"/>
    <w:rsid w:val="0029493E"/>
    <w:rsid w:val="002962E0"/>
    <w:rsid w:val="00296C2E"/>
    <w:rsid w:val="002A04C7"/>
    <w:rsid w:val="002A1B05"/>
    <w:rsid w:val="002A267F"/>
    <w:rsid w:val="002A3354"/>
    <w:rsid w:val="002A35EA"/>
    <w:rsid w:val="002A37B6"/>
    <w:rsid w:val="002A3BD5"/>
    <w:rsid w:val="002A43A2"/>
    <w:rsid w:val="002A44ED"/>
    <w:rsid w:val="002A4612"/>
    <w:rsid w:val="002A4F70"/>
    <w:rsid w:val="002A5263"/>
    <w:rsid w:val="002A5D3F"/>
    <w:rsid w:val="002A5DF2"/>
    <w:rsid w:val="002A63B9"/>
    <w:rsid w:val="002A6821"/>
    <w:rsid w:val="002A6F67"/>
    <w:rsid w:val="002A74D2"/>
    <w:rsid w:val="002A7A78"/>
    <w:rsid w:val="002A7CDA"/>
    <w:rsid w:val="002A7F47"/>
    <w:rsid w:val="002B1544"/>
    <w:rsid w:val="002B1DC1"/>
    <w:rsid w:val="002B36C8"/>
    <w:rsid w:val="002B385B"/>
    <w:rsid w:val="002B4ADE"/>
    <w:rsid w:val="002B6B7A"/>
    <w:rsid w:val="002B71B4"/>
    <w:rsid w:val="002B7240"/>
    <w:rsid w:val="002B725B"/>
    <w:rsid w:val="002B7323"/>
    <w:rsid w:val="002B7937"/>
    <w:rsid w:val="002C0FF4"/>
    <w:rsid w:val="002C125A"/>
    <w:rsid w:val="002C2668"/>
    <w:rsid w:val="002C43BD"/>
    <w:rsid w:val="002C493D"/>
    <w:rsid w:val="002C5261"/>
    <w:rsid w:val="002C5CB7"/>
    <w:rsid w:val="002C6091"/>
    <w:rsid w:val="002C63C1"/>
    <w:rsid w:val="002C6A6E"/>
    <w:rsid w:val="002D0562"/>
    <w:rsid w:val="002D1B5A"/>
    <w:rsid w:val="002D2500"/>
    <w:rsid w:val="002D338A"/>
    <w:rsid w:val="002D3E4C"/>
    <w:rsid w:val="002D3F00"/>
    <w:rsid w:val="002D4A1E"/>
    <w:rsid w:val="002D4D59"/>
    <w:rsid w:val="002D50CF"/>
    <w:rsid w:val="002D54BF"/>
    <w:rsid w:val="002D5C3D"/>
    <w:rsid w:val="002D5E94"/>
    <w:rsid w:val="002D632D"/>
    <w:rsid w:val="002D6B01"/>
    <w:rsid w:val="002D6B11"/>
    <w:rsid w:val="002D6FC7"/>
    <w:rsid w:val="002D778C"/>
    <w:rsid w:val="002D7EF4"/>
    <w:rsid w:val="002E02A1"/>
    <w:rsid w:val="002E0982"/>
    <w:rsid w:val="002E0DB9"/>
    <w:rsid w:val="002E10D3"/>
    <w:rsid w:val="002E1BFA"/>
    <w:rsid w:val="002E1C23"/>
    <w:rsid w:val="002E2CE4"/>
    <w:rsid w:val="002E31A0"/>
    <w:rsid w:val="002E34F3"/>
    <w:rsid w:val="002E4217"/>
    <w:rsid w:val="002E435E"/>
    <w:rsid w:val="002E4C1C"/>
    <w:rsid w:val="002E6DB8"/>
    <w:rsid w:val="002E73F2"/>
    <w:rsid w:val="002F0709"/>
    <w:rsid w:val="002F0FDB"/>
    <w:rsid w:val="002F149A"/>
    <w:rsid w:val="002F19CC"/>
    <w:rsid w:val="002F33FB"/>
    <w:rsid w:val="002F36D0"/>
    <w:rsid w:val="002F663A"/>
    <w:rsid w:val="002F68A4"/>
    <w:rsid w:val="002F7594"/>
    <w:rsid w:val="002F7902"/>
    <w:rsid w:val="003003E7"/>
    <w:rsid w:val="003004EB"/>
    <w:rsid w:val="00300D6F"/>
    <w:rsid w:val="00301357"/>
    <w:rsid w:val="0030192C"/>
    <w:rsid w:val="00301D04"/>
    <w:rsid w:val="003035D4"/>
    <w:rsid w:val="00303A3C"/>
    <w:rsid w:val="00303DCB"/>
    <w:rsid w:val="0030464E"/>
    <w:rsid w:val="00304771"/>
    <w:rsid w:val="00304E6C"/>
    <w:rsid w:val="00305736"/>
    <w:rsid w:val="00305C33"/>
    <w:rsid w:val="0030607B"/>
    <w:rsid w:val="00306C5B"/>
    <w:rsid w:val="00306E3B"/>
    <w:rsid w:val="0030768C"/>
    <w:rsid w:val="00310ADB"/>
    <w:rsid w:val="003119B6"/>
    <w:rsid w:val="003124EF"/>
    <w:rsid w:val="00312A00"/>
    <w:rsid w:val="00312C3D"/>
    <w:rsid w:val="003131A6"/>
    <w:rsid w:val="00313F7F"/>
    <w:rsid w:val="00314331"/>
    <w:rsid w:val="003151D4"/>
    <w:rsid w:val="00317E31"/>
    <w:rsid w:val="00320214"/>
    <w:rsid w:val="003209D6"/>
    <w:rsid w:val="0032109A"/>
    <w:rsid w:val="0032214F"/>
    <w:rsid w:val="00322164"/>
    <w:rsid w:val="00322719"/>
    <w:rsid w:val="0032330F"/>
    <w:rsid w:val="00323486"/>
    <w:rsid w:val="00323A13"/>
    <w:rsid w:val="00323CF7"/>
    <w:rsid w:val="00323E61"/>
    <w:rsid w:val="00324055"/>
    <w:rsid w:val="0032513D"/>
    <w:rsid w:val="00326251"/>
    <w:rsid w:val="0032739C"/>
    <w:rsid w:val="003273BB"/>
    <w:rsid w:val="00327602"/>
    <w:rsid w:val="003276D1"/>
    <w:rsid w:val="00327DEE"/>
    <w:rsid w:val="003301FD"/>
    <w:rsid w:val="003302DA"/>
    <w:rsid w:val="00330EB0"/>
    <w:rsid w:val="00331574"/>
    <w:rsid w:val="0033229B"/>
    <w:rsid w:val="003329F3"/>
    <w:rsid w:val="00333134"/>
    <w:rsid w:val="0033352E"/>
    <w:rsid w:val="00333690"/>
    <w:rsid w:val="00333D20"/>
    <w:rsid w:val="00333F53"/>
    <w:rsid w:val="003340EF"/>
    <w:rsid w:val="00334A49"/>
    <w:rsid w:val="0033536F"/>
    <w:rsid w:val="00335BB0"/>
    <w:rsid w:val="00335BE6"/>
    <w:rsid w:val="00335E99"/>
    <w:rsid w:val="0033627B"/>
    <w:rsid w:val="003406BD"/>
    <w:rsid w:val="00343474"/>
    <w:rsid w:val="00343F84"/>
    <w:rsid w:val="00344135"/>
    <w:rsid w:val="003450E2"/>
    <w:rsid w:val="00351315"/>
    <w:rsid w:val="00351B63"/>
    <w:rsid w:val="00352482"/>
    <w:rsid w:val="00352E57"/>
    <w:rsid w:val="00352FC0"/>
    <w:rsid w:val="003541B0"/>
    <w:rsid w:val="0035457E"/>
    <w:rsid w:val="00355885"/>
    <w:rsid w:val="00355CAA"/>
    <w:rsid w:val="0035605E"/>
    <w:rsid w:val="00356244"/>
    <w:rsid w:val="00356CAE"/>
    <w:rsid w:val="00356FED"/>
    <w:rsid w:val="00357449"/>
    <w:rsid w:val="00357C28"/>
    <w:rsid w:val="00361F76"/>
    <w:rsid w:val="0036238B"/>
    <w:rsid w:val="00362408"/>
    <w:rsid w:val="003630B0"/>
    <w:rsid w:val="00364087"/>
    <w:rsid w:val="003649FC"/>
    <w:rsid w:val="00364C0E"/>
    <w:rsid w:val="00364EAD"/>
    <w:rsid w:val="003651A4"/>
    <w:rsid w:val="00365680"/>
    <w:rsid w:val="003657F3"/>
    <w:rsid w:val="00366D4D"/>
    <w:rsid w:val="00366F77"/>
    <w:rsid w:val="00367038"/>
    <w:rsid w:val="003670FE"/>
    <w:rsid w:val="0036710C"/>
    <w:rsid w:val="0037040B"/>
    <w:rsid w:val="00370963"/>
    <w:rsid w:val="0037144E"/>
    <w:rsid w:val="00372272"/>
    <w:rsid w:val="0037290D"/>
    <w:rsid w:val="00372B1D"/>
    <w:rsid w:val="003736B5"/>
    <w:rsid w:val="00374546"/>
    <w:rsid w:val="00374DB6"/>
    <w:rsid w:val="00374F1E"/>
    <w:rsid w:val="003750CF"/>
    <w:rsid w:val="003769F0"/>
    <w:rsid w:val="00376DEC"/>
    <w:rsid w:val="00377200"/>
    <w:rsid w:val="00377666"/>
    <w:rsid w:val="00377E93"/>
    <w:rsid w:val="0038034A"/>
    <w:rsid w:val="00380E04"/>
    <w:rsid w:val="00380E6C"/>
    <w:rsid w:val="00381171"/>
    <w:rsid w:val="0038187C"/>
    <w:rsid w:val="00383227"/>
    <w:rsid w:val="003839C9"/>
    <w:rsid w:val="00383FD2"/>
    <w:rsid w:val="0038422D"/>
    <w:rsid w:val="003843B1"/>
    <w:rsid w:val="00384D8F"/>
    <w:rsid w:val="003857A2"/>
    <w:rsid w:val="00385D71"/>
    <w:rsid w:val="00385D98"/>
    <w:rsid w:val="00385EC5"/>
    <w:rsid w:val="0038658E"/>
    <w:rsid w:val="003875C2"/>
    <w:rsid w:val="0039066E"/>
    <w:rsid w:val="00391C95"/>
    <w:rsid w:val="00392110"/>
    <w:rsid w:val="00392B64"/>
    <w:rsid w:val="00392B9E"/>
    <w:rsid w:val="00393D74"/>
    <w:rsid w:val="003948D7"/>
    <w:rsid w:val="00394D49"/>
    <w:rsid w:val="00396DAC"/>
    <w:rsid w:val="003971D0"/>
    <w:rsid w:val="003A0214"/>
    <w:rsid w:val="003A027D"/>
    <w:rsid w:val="003A1D74"/>
    <w:rsid w:val="003A2B4D"/>
    <w:rsid w:val="003A2D2B"/>
    <w:rsid w:val="003A2DD4"/>
    <w:rsid w:val="003A3982"/>
    <w:rsid w:val="003A3B1C"/>
    <w:rsid w:val="003A4088"/>
    <w:rsid w:val="003A478C"/>
    <w:rsid w:val="003A4F82"/>
    <w:rsid w:val="003A5525"/>
    <w:rsid w:val="003A61F5"/>
    <w:rsid w:val="003A6B38"/>
    <w:rsid w:val="003B2142"/>
    <w:rsid w:val="003B2580"/>
    <w:rsid w:val="003B2721"/>
    <w:rsid w:val="003B293F"/>
    <w:rsid w:val="003B2D28"/>
    <w:rsid w:val="003B2E63"/>
    <w:rsid w:val="003B3189"/>
    <w:rsid w:val="003B3A9D"/>
    <w:rsid w:val="003B3DDD"/>
    <w:rsid w:val="003B5031"/>
    <w:rsid w:val="003B5A32"/>
    <w:rsid w:val="003B6105"/>
    <w:rsid w:val="003B769D"/>
    <w:rsid w:val="003B7F20"/>
    <w:rsid w:val="003C03CC"/>
    <w:rsid w:val="003C04C4"/>
    <w:rsid w:val="003C08E2"/>
    <w:rsid w:val="003C0B96"/>
    <w:rsid w:val="003C0CB5"/>
    <w:rsid w:val="003C26F4"/>
    <w:rsid w:val="003C3686"/>
    <w:rsid w:val="003C3E2C"/>
    <w:rsid w:val="003C4852"/>
    <w:rsid w:val="003C5BC7"/>
    <w:rsid w:val="003C5F05"/>
    <w:rsid w:val="003C601E"/>
    <w:rsid w:val="003C66C4"/>
    <w:rsid w:val="003C6DB9"/>
    <w:rsid w:val="003D1FA0"/>
    <w:rsid w:val="003D2393"/>
    <w:rsid w:val="003D2519"/>
    <w:rsid w:val="003D2C4E"/>
    <w:rsid w:val="003D3600"/>
    <w:rsid w:val="003D3825"/>
    <w:rsid w:val="003D3EC4"/>
    <w:rsid w:val="003D3FB2"/>
    <w:rsid w:val="003D44E2"/>
    <w:rsid w:val="003D4760"/>
    <w:rsid w:val="003D49DC"/>
    <w:rsid w:val="003D49E0"/>
    <w:rsid w:val="003D4DD9"/>
    <w:rsid w:val="003D4FB5"/>
    <w:rsid w:val="003D59BE"/>
    <w:rsid w:val="003D5D7A"/>
    <w:rsid w:val="003D5E4B"/>
    <w:rsid w:val="003D653F"/>
    <w:rsid w:val="003D6B55"/>
    <w:rsid w:val="003E0261"/>
    <w:rsid w:val="003E0663"/>
    <w:rsid w:val="003E133F"/>
    <w:rsid w:val="003E1A70"/>
    <w:rsid w:val="003E2469"/>
    <w:rsid w:val="003E49F6"/>
    <w:rsid w:val="003E699C"/>
    <w:rsid w:val="003E69F3"/>
    <w:rsid w:val="003E782E"/>
    <w:rsid w:val="003E7A0B"/>
    <w:rsid w:val="003E7B2B"/>
    <w:rsid w:val="003E7F69"/>
    <w:rsid w:val="003F01D7"/>
    <w:rsid w:val="003F0293"/>
    <w:rsid w:val="003F116D"/>
    <w:rsid w:val="003F181F"/>
    <w:rsid w:val="003F1A48"/>
    <w:rsid w:val="003F1E23"/>
    <w:rsid w:val="003F22F6"/>
    <w:rsid w:val="003F2B0A"/>
    <w:rsid w:val="003F313C"/>
    <w:rsid w:val="003F32AB"/>
    <w:rsid w:val="003F341B"/>
    <w:rsid w:val="003F37FC"/>
    <w:rsid w:val="003F3A26"/>
    <w:rsid w:val="003F49A6"/>
    <w:rsid w:val="003F5047"/>
    <w:rsid w:val="003F5098"/>
    <w:rsid w:val="003F5568"/>
    <w:rsid w:val="003F5A95"/>
    <w:rsid w:val="003F6D19"/>
    <w:rsid w:val="003F7631"/>
    <w:rsid w:val="003F7948"/>
    <w:rsid w:val="004000D5"/>
    <w:rsid w:val="00400244"/>
    <w:rsid w:val="004005C1"/>
    <w:rsid w:val="00400BBD"/>
    <w:rsid w:val="00401716"/>
    <w:rsid w:val="004018F7"/>
    <w:rsid w:val="00401A09"/>
    <w:rsid w:val="0040273A"/>
    <w:rsid w:val="00402C25"/>
    <w:rsid w:val="004036FB"/>
    <w:rsid w:val="00403D65"/>
    <w:rsid w:val="0040501E"/>
    <w:rsid w:val="004050D7"/>
    <w:rsid w:val="004076EE"/>
    <w:rsid w:val="004078BD"/>
    <w:rsid w:val="00407C32"/>
    <w:rsid w:val="00410132"/>
    <w:rsid w:val="004104E4"/>
    <w:rsid w:val="00410A97"/>
    <w:rsid w:val="00410BCD"/>
    <w:rsid w:val="00410DE5"/>
    <w:rsid w:val="0041175D"/>
    <w:rsid w:val="004117CE"/>
    <w:rsid w:val="00412044"/>
    <w:rsid w:val="004120DE"/>
    <w:rsid w:val="004121D6"/>
    <w:rsid w:val="004123BE"/>
    <w:rsid w:val="0041329F"/>
    <w:rsid w:val="00414CE5"/>
    <w:rsid w:val="00416618"/>
    <w:rsid w:val="00416673"/>
    <w:rsid w:val="0041677D"/>
    <w:rsid w:val="00420D92"/>
    <w:rsid w:val="0042160D"/>
    <w:rsid w:val="0042254E"/>
    <w:rsid w:val="00423A3C"/>
    <w:rsid w:val="00423C04"/>
    <w:rsid w:val="00424D9B"/>
    <w:rsid w:val="00424F18"/>
    <w:rsid w:val="00425612"/>
    <w:rsid w:val="0042681B"/>
    <w:rsid w:val="00426B7F"/>
    <w:rsid w:val="00426E44"/>
    <w:rsid w:val="00427193"/>
    <w:rsid w:val="00427332"/>
    <w:rsid w:val="0043068A"/>
    <w:rsid w:val="004306E0"/>
    <w:rsid w:val="00430BD6"/>
    <w:rsid w:val="00431D54"/>
    <w:rsid w:val="00431F98"/>
    <w:rsid w:val="004325CC"/>
    <w:rsid w:val="004329BE"/>
    <w:rsid w:val="00432C38"/>
    <w:rsid w:val="004333B9"/>
    <w:rsid w:val="004342EC"/>
    <w:rsid w:val="00434D5A"/>
    <w:rsid w:val="00435874"/>
    <w:rsid w:val="00436EDB"/>
    <w:rsid w:val="00437C76"/>
    <w:rsid w:val="00437F4A"/>
    <w:rsid w:val="0044105C"/>
    <w:rsid w:val="00441306"/>
    <w:rsid w:val="00442197"/>
    <w:rsid w:val="00442BD1"/>
    <w:rsid w:val="00443293"/>
    <w:rsid w:val="00443CC7"/>
    <w:rsid w:val="00443E95"/>
    <w:rsid w:val="004441A0"/>
    <w:rsid w:val="00444268"/>
    <w:rsid w:val="00444326"/>
    <w:rsid w:val="004443BF"/>
    <w:rsid w:val="00444C19"/>
    <w:rsid w:val="00444EC5"/>
    <w:rsid w:val="00445218"/>
    <w:rsid w:val="00445CDD"/>
    <w:rsid w:val="0044683E"/>
    <w:rsid w:val="00446892"/>
    <w:rsid w:val="00447267"/>
    <w:rsid w:val="004475C7"/>
    <w:rsid w:val="00447E36"/>
    <w:rsid w:val="00450700"/>
    <w:rsid w:val="00450C30"/>
    <w:rsid w:val="004514C2"/>
    <w:rsid w:val="004522AE"/>
    <w:rsid w:val="004529C7"/>
    <w:rsid w:val="004540FF"/>
    <w:rsid w:val="004541F1"/>
    <w:rsid w:val="00454921"/>
    <w:rsid w:val="00454D31"/>
    <w:rsid w:val="00455BB8"/>
    <w:rsid w:val="00455ECA"/>
    <w:rsid w:val="00456EA3"/>
    <w:rsid w:val="0045707D"/>
    <w:rsid w:val="004570DE"/>
    <w:rsid w:val="00457296"/>
    <w:rsid w:val="00457320"/>
    <w:rsid w:val="00457D0F"/>
    <w:rsid w:val="00460164"/>
    <w:rsid w:val="0046039A"/>
    <w:rsid w:val="00460A6B"/>
    <w:rsid w:val="00460F61"/>
    <w:rsid w:val="004616F1"/>
    <w:rsid w:val="00461977"/>
    <w:rsid w:val="00461A3F"/>
    <w:rsid w:val="00461C4C"/>
    <w:rsid w:val="004620C7"/>
    <w:rsid w:val="004629FD"/>
    <w:rsid w:val="00462AD2"/>
    <w:rsid w:val="00463B4B"/>
    <w:rsid w:val="00463F4D"/>
    <w:rsid w:val="00464658"/>
    <w:rsid w:val="0046471F"/>
    <w:rsid w:val="00464BE8"/>
    <w:rsid w:val="00465019"/>
    <w:rsid w:val="00465317"/>
    <w:rsid w:val="00465FA4"/>
    <w:rsid w:val="0046613F"/>
    <w:rsid w:val="0046655D"/>
    <w:rsid w:val="00466808"/>
    <w:rsid w:val="00466AAE"/>
    <w:rsid w:val="0046765E"/>
    <w:rsid w:val="004676E2"/>
    <w:rsid w:val="004703E3"/>
    <w:rsid w:val="00471B64"/>
    <w:rsid w:val="00471EDD"/>
    <w:rsid w:val="00473E94"/>
    <w:rsid w:val="0047400C"/>
    <w:rsid w:val="00474471"/>
    <w:rsid w:val="004745D9"/>
    <w:rsid w:val="00474619"/>
    <w:rsid w:val="0047494A"/>
    <w:rsid w:val="00474B94"/>
    <w:rsid w:val="00475076"/>
    <w:rsid w:val="004761D2"/>
    <w:rsid w:val="004762D8"/>
    <w:rsid w:val="004765B3"/>
    <w:rsid w:val="00476D29"/>
    <w:rsid w:val="00477241"/>
    <w:rsid w:val="0047728F"/>
    <w:rsid w:val="004774F5"/>
    <w:rsid w:val="00477EAF"/>
    <w:rsid w:val="00477EE0"/>
    <w:rsid w:val="00480AB8"/>
    <w:rsid w:val="0048139F"/>
    <w:rsid w:val="00481C00"/>
    <w:rsid w:val="00483053"/>
    <w:rsid w:val="00484874"/>
    <w:rsid w:val="00485230"/>
    <w:rsid w:val="00487127"/>
    <w:rsid w:val="004879E9"/>
    <w:rsid w:val="00487F81"/>
    <w:rsid w:val="00490082"/>
    <w:rsid w:val="00490247"/>
    <w:rsid w:val="00490524"/>
    <w:rsid w:val="00490B20"/>
    <w:rsid w:val="0049104F"/>
    <w:rsid w:val="00491218"/>
    <w:rsid w:val="00491CFD"/>
    <w:rsid w:val="00492991"/>
    <w:rsid w:val="00493362"/>
    <w:rsid w:val="00493F5F"/>
    <w:rsid w:val="00494343"/>
    <w:rsid w:val="00494AAB"/>
    <w:rsid w:val="00494FB8"/>
    <w:rsid w:val="0049548B"/>
    <w:rsid w:val="00496C2F"/>
    <w:rsid w:val="0049740D"/>
    <w:rsid w:val="004978D3"/>
    <w:rsid w:val="004A06A6"/>
    <w:rsid w:val="004A1160"/>
    <w:rsid w:val="004A11F8"/>
    <w:rsid w:val="004A22BD"/>
    <w:rsid w:val="004A22FA"/>
    <w:rsid w:val="004A25E2"/>
    <w:rsid w:val="004A269A"/>
    <w:rsid w:val="004A26AF"/>
    <w:rsid w:val="004A26DB"/>
    <w:rsid w:val="004A30FB"/>
    <w:rsid w:val="004A35DD"/>
    <w:rsid w:val="004A37D3"/>
    <w:rsid w:val="004A3AD6"/>
    <w:rsid w:val="004A3BCE"/>
    <w:rsid w:val="004A4A6D"/>
    <w:rsid w:val="004A4D61"/>
    <w:rsid w:val="004A5155"/>
    <w:rsid w:val="004A56EB"/>
    <w:rsid w:val="004A5865"/>
    <w:rsid w:val="004A7670"/>
    <w:rsid w:val="004A77DF"/>
    <w:rsid w:val="004B0295"/>
    <w:rsid w:val="004B0803"/>
    <w:rsid w:val="004B10A8"/>
    <w:rsid w:val="004B1F58"/>
    <w:rsid w:val="004B1F9D"/>
    <w:rsid w:val="004B2093"/>
    <w:rsid w:val="004B22DA"/>
    <w:rsid w:val="004B314A"/>
    <w:rsid w:val="004B3CB7"/>
    <w:rsid w:val="004B3D55"/>
    <w:rsid w:val="004B41DC"/>
    <w:rsid w:val="004B55B7"/>
    <w:rsid w:val="004B5836"/>
    <w:rsid w:val="004B5E1F"/>
    <w:rsid w:val="004B5F05"/>
    <w:rsid w:val="004C0009"/>
    <w:rsid w:val="004C00A6"/>
    <w:rsid w:val="004C0243"/>
    <w:rsid w:val="004C08F1"/>
    <w:rsid w:val="004C0B46"/>
    <w:rsid w:val="004C0BBB"/>
    <w:rsid w:val="004C1AD6"/>
    <w:rsid w:val="004C1B86"/>
    <w:rsid w:val="004C1DEE"/>
    <w:rsid w:val="004C3382"/>
    <w:rsid w:val="004C3867"/>
    <w:rsid w:val="004C4AB7"/>
    <w:rsid w:val="004C4B88"/>
    <w:rsid w:val="004C4CD0"/>
    <w:rsid w:val="004C5121"/>
    <w:rsid w:val="004C57B5"/>
    <w:rsid w:val="004C5C25"/>
    <w:rsid w:val="004C6717"/>
    <w:rsid w:val="004C6CFF"/>
    <w:rsid w:val="004C7065"/>
    <w:rsid w:val="004C70DC"/>
    <w:rsid w:val="004C7268"/>
    <w:rsid w:val="004C77A8"/>
    <w:rsid w:val="004C7C50"/>
    <w:rsid w:val="004D0211"/>
    <w:rsid w:val="004D1C9C"/>
    <w:rsid w:val="004D2A0E"/>
    <w:rsid w:val="004D2D7A"/>
    <w:rsid w:val="004D3B7D"/>
    <w:rsid w:val="004D458D"/>
    <w:rsid w:val="004D474F"/>
    <w:rsid w:val="004D4F13"/>
    <w:rsid w:val="004D504B"/>
    <w:rsid w:val="004D536E"/>
    <w:rsid w:val="004D58CE"/>
    <w:rsid w:val="004D6307"/>
    <w:rsid w:val="004D70B1"/>
    <w:rsid w:val="004D745A"/>
    <w:rsid w:val="004D76CC"/>
    <w:rsid w:val="004E1415"/>
    <w:rsid w:val="004E1839"/>
    <w:rsid w:val="004E38D2"/>
    <w:rsid w:val="004E4A75"/>
    <w:rsid w:val="004E541A"/>
    <w:rsid w:val="004E5A5C"/>
    <w:rsid w:val="004E7007"/>
    <w:rsid w:val="004E70ED"/>
    <w:rsid w:val="004E76D6"/>
    <w:rsid w:val="004E7F57"/>
    <w:rsid w:val="004F06F5"/>
    <w:rsid w:val="004F0B25"/>
    <w:rsid w:val="004F191F"/>
    <w:rsid w:val="004F2A4D"/>
    <w:rsid w:val="004F2A73"/>
    <w:rsid w:val="004F33A0"/>
    <w:rsid w:val="004F353A"/>
    <w:rsid w:val="004F3B06"/>
    <w:rsid w:val="004F4353"/>
    <w:rsid w:val="004F447D"/>
    <w:rsid w:val="004F4C28"/>
    <w:rsid w:val="004F4E82"/>
    <w:rsid w:val="004F5470"/>
    <w:rsid w:val="004F5950"/>
    <w:rsid w:val="004F5CC5"/>
    <w:rsid w:val="004F5DCC"/>
    <w:rsid w:val="004F6350"/>
    <w:rsid w:val="004F7170"/>
    <w:rsid w:val="00501BFD"/>
    <w:rsid w:val="005028E1"/>
    <w:rsid w:val="00503955"/>
    <w:rsid w:val="005041D8"/>
    <w:rsid w:val="00505989"/>
    <w:rsid w:val="00506309"/>
    <w:rsid w:val="0050692E"/>
    <w:rsid w:val="00507040"/>
    <w:rsid w:val="00507638"/>
    <w:rsid w:val="005079F8"/>
    <w:rsid w:val="00507A87"/>
    <w:rsid w:val="00510189"/>
    <w:rsid w:val="00510428"/>
    <w:rsid w:val="005108C0"/>
    <w:rsid w:val="00510C81"/>
    <w:rsid w:val="00511873"/>
    <w:rsid w:val="00512495"/>
    <w:rsid w:val="00512603"/>
    <w:rsid w:val="00512B54"/>
    <w:rsid w:val="00512CC5"/>
    <w:rsid w:val="0051367B"/>
    <w:rsid w:val="00513A89"/>
    <w:rsid w:val="00513B7E"/>
    <w:rsid w:val="005140DE"/>
    <w:rsid w:val="00514474"/>
    <w:rsid w:val="005147E9"/>
    <w:rsid w:val="0051507D"/>
    <w:rsid w:val="0051593C"/>
    <w:rsid w:val="0051668A"/>
    <w:rsid w:val="00516CF6"/>
    <w:rsid w:val="00516F2B"/>
    <w:rsid w:val="00517567"/>
    <w:rsid w:val="0051778E"/>
    <w:rsid w:val="005177BB"/>
    <w:rsid w:val="005215EF"/>
    <w:rsid w:val="00521CFC"/>
    <w:rsid w:val="00522795"/>
    <w:rsid w:val="00522F36"/>
    <w:rsid w:val="00524637"/>
    <w:rsid w:val="0052495F"/>
    <w:rsid w:val="00524FDD"/>
    <w:rsid w:val="00525137"/>
    <w:rsid w:val="005251DD"/>
    <w:rsid w:val="005257A8"/>
    <w:rsid w:val="00526A54"/>
    <w:rsid w:val="00526D50"/>
    <w:rsid w:val="00526DB6"/>
    <w:rsid w:val="00527F5A"/>
    <w:rsid w:val="005300CB"/>
    <w:rsid w:val="0053017A"/>
    <w:rsid w:val="0053030C"/>
    <w:rsid w:val="00530492"/>
    <w:rsid w:val="005308E4"/>
    <w:rsid w:val="005325A8"/>
    <w:rsid w:val="00532854"/>
    <w:rsid w:val="005350F2"/>
    <w:rsid w:val="00535152"/>
    <w:rsid w:val="00535359"/>
    <w:rsid w:val="005357A2"/>
    <w:rsid w:val="005359E3"/>
    <w:rsid w:val="00535D87"/>
    <w:rsid w:val="00535EF0"/>
    <w:rsid w:val="00535F78"/>
    <w:rsid w:val="005363DF"/>
    <w:rsid w:val="005369CF"/>
    <w:rsid w:val="0053734B"/>
    <w:rsid w:val="005375B1"/>
    <w:rsid w:val="00537AFD"/>
    <w:rsid w:val="00537CB4"/>
    <w:rsid w:val="00540CB3"/>
    <w:rsid w:val="00540D25"/>
    <w:rsid w:val="005412E0"/>
    <w:rsid w:val="00541822"/>
    <w:rsid w:val="00542D19"/>
    <w:rsid w:val="00543989"/>
    <w:rsid w:val="005440E1"/>
    <w:rsid w:val="0054516B"/>
    <w:rsid w:val="0054531C"/>
    <w:rsid w:val="0054559E"/>
    <w:rsid w:val="005459BD"/>
    <w:rsid w:val="00546833"/>
    <w:rsid w:val="0054787A"/>
    <w:rsid w:val="00551147"/>
    <w:rsid w:val="00551259"/>
    <w:rsid w:val="005513D5"/>
    <w:rsid w:val="00551A4F"/>
    <w:rsid w:val="00552112"/>
    <w:rsid w:val="005523B9"/>
    <w:rsid w:val="00553137"/>
    <w:rsid w:val="005538E2"/>
    <w:rsid w:val="00553C88"/>
    <w:rsid w:val="005545E0"/>
    <w:rsid w:val="00554865"/>
    <w:rsid w:val="00554E57"/>
    <w:rsid w:val="00556C12"/>
    <w:rsid w:val="00557E6A"/>
    <w:rsid w:val="00562749"/>
    <w:rsid w:val="00562DE9"/>
    <w:rsid w:val="0056303C"/>
    <w:rsid w:val="00563270"/>
    <w:rsid w:val="005638A5"/>
    <w:rsid w:val="00564137"/>
    <w:rsid w:val="00566381"/>
    <w:rsid w:val="00566A03"/>
    <w:rsid w:val="00571932"/>
    <w:rsid w:val="00573A00"/>
    <w:rsid w:val="00573C97"/>
    <w:rsid w:val="00574240"/>
    <w:rsid w:val="005743B4"/>
    <w:rsid w:val="0057454C"/>
    <w:rsid w:val="005752BD"/>
    <w:rsid w:val="005752EB"/>
    <w:rsid w:val="005755FE"/>
    <w:rsid w:val="0057569E"/>
    <w:rsid w:val="00575CDC"/>
    <w:rsid w:val="005765D5"/>
    <w:rsid w:val="00576A3E"/>
    <w:rsid w:val="0057703D"/>
    <w:rsid w:val="005807D6"/>
    <w:rsid w:val="00581892"/>
    <w:rsid w:val="0058366F"/>
    <w:rsid w:val="00583D5B"/>
    <w:rsid w:val="00583FFD"/>
    <w:rsid w:val="00585EFE"/>
    <w:rsid w:val="00587CCD"/>
    <w:rsid w:val="005908AE"/>
    <w:rsid w:val="00590CDE"/>
    <w:rsid w:val="0059176E"/>
    <w:rsid w:val="00592854"/>
    <w:rsid w:val="00593152"/>
    <w:rsid w:val="005934CE"/>
    <w:rsid w:val="00593CA3"/>
    <w:rsid w:val="00593D14"/>
    <w:rsid w:val="00593ECE"/>
    <w:rsid w:val="00594161"/>
    <w:rsid w:val="00594969"/>
    <w:rsid w:val="00594B91"/>
    <w:rsid w:val="00595035"/>
    <w:rsid w:val="005959ED"/>
    <w:rsid w:val="00595C7C"/>
    <w:rsid w:val="0059649D"/>
    <w:rsid w:val="00596601"/>
    <w:rsid w:val="00596C5E"/>
    <w:rsid w:val="005A038A"/>
    <w:rsid w:val="005A198E"/>
    <w:rsid w:val="005A1FEE"/>
    <w:rsid w:val="005A20D8"/>
    <w:rsid w:val="005A2194"/>
    <w:rsid w:val="005A21E0"/>
    <w:rsid w:val="005A3210"/>
    <w:rsid w:val="005A33A1"/>
    <w:rsid w:val="005A3687"/>
    <w:rsid w:val="005A54EE"/>
    <w:rsid w:val="005A563B"/>
    <w:rsid w:val="005A5F82"/>
    <w:rsid w:val="005A61D1"/>
    <w:rsid w:val="005A6CD0"/>
    <w:rsid w:val="005A6E85"/>
    <w:rsid w:val="005A7500"/>
    <w:rsid w:val="005A77E4"/>
    <w:rsid w:val="005A77F6"/>
    <w:rsid w:val="005A7896"/>
    <w:rsid w:val="005B0262"/>
    <w:rsid w:val="005B0B4C"/>
    <w:rsid w:val="005B0B8F"/>
    <w:rsid w:val="005B1BDB"/>
    <w:rsid w:val="005B22A7"/>
    <w:rsid w:val="005B2BAA"/>
    <w:rsid w:val="005B2D53"/>
    <w:rsid w:val="005B3247"/>
    <w:rsid w:val="005B3409"/>
    <w:rsid w:val="005B498A"/>
    <w:rsid w:val="005B513A"/>
    <w:rsid w:val="005B52AE"/>
    <w:rsid w:val="005B6E77"/>
    <w:rsid w:val="005B75C7"/>
    <w:rsid w:val="005B7B12"/>
    <w:rsid w:val="005C16CB"/>
    <w:rsid w:val="005C21D6"/>
    <w:rsid w:val="005C27C5"/>
    <w:rsid w:val="005C3F9F"/>
    <w:rsid w:val="005C406F"/>
    <w:rsid w:val="005C40BA"/>
    <w:rsid w:val="005C419C"/>
    <w:rsid w:val="005C4A23"/>
    <w:rsid w:val="005C562C"/>
    <w:rsid w:val="005C571E"/>
    <w:rsid w:val="005C5812"/>
    <w:rsid w:val="005C5885"/>
    <w:rsid w:val="005C6400"/>
    <w:rsid w:val="005C76F1"/>
    <w:rsid w:val="005C7F1E"/>
    <w:rsid w:val="005D0341"/>
    <w:rsid w:val="005D073B"/>
    <w:rsid w:val="005D11D2"/>
    <w:rsid w:val="005D1E78"/>
    <w:rsid w:val="005D1EDA"/>
    <w:rsid w:val="005D25B4"/>
    <w:rsid w:val="005D374F"/>
    <w:rsid w:val="005D5802"/>
    <w:rsid w:val="005D6CFC"/>
    <w:rsid w:val="005D73E2"/>
    <w:rsid w:val="005D7503"/>
    <w:rsid w:val="005D757A"/>
    <w:rsid w:val="005D76AE"/>
    <w:rsid w:val="005D7C4B"/>
    <w:rsid w:val="005E1871"/>
    <w:rsid w:val="005E1E4B"/>
    <w:rsid w:val="005E362D"/>
    <w:rsid w:val="005E3A0C"/>
    <w:rsid w:val="005E3FAC"/>
    <w:rsid w:val="005E4483"/>
    <w:rsid w:val="005E492C"/>
    <w:rsid w:val="005E4BAA"/>
    <w:rsid w:val="005E52EF"/>
    <w:rsid w:val="005E5B56"/>
    <w:rsid w:val="005E6088"/>
    <w:rsid w:val="005E61DF"/>
    <w:rsid w:val="005E6AB8"/>
    <w:rsid w:val="005E6B65"/>
    <w:rsid w:val="005E6B78"/>
    <w:rsid w:val="005E7506"/>
    <w:rsid w:val="005E75B8"/>
    <w:rsid w:val="005F0976"/>
    <w:rsid w:val="005F26CE"/>
    <w:rsid w:val="005F38D3"/>
    <w:rsid w:val="005F393C"/>
    <w:rsid w:val="005F3F04"/>
    <w:rsid w:val="005F4057"/>
    <w:rsid w:val="005F4088"/>
    <w:rsid w:val="005F42F4"/>
    <w:rsid w:val="005F49ED"/>
    <w:rsid w:val="005F4C83"/>
    <w:rsid w:val="005F5628"/>
    <w:rsid w:val="005F5916"/>
    <w:rsid w:val="005F5A4E"/>
    <w:rsid w:val="005F5F61"/>
    <w:rsid w:val="005F601D"/>
    <w:rsid w:val="005F6119"/>
    <w:rsid w:val="005F7940"/>
    <w:rsid w:val="00600712"/>
    <w:rsid w:val="0060091A"/>
    <w:rsid w:val="0060107A"/>
    <w:rsid w:val="00601AFF"/>
    <w:rsid w:val="00602D1D"/>
    <w:rsid w:val="00603A13"/>
    <w:rsid w:val="00604307"/>
    <w:rsid w:val="0060487F"/>
    <w:rsid w:val="00604CF7"/>
    <w:rsid w:val="00605419"/>
    <w:rsid w:val="00605814"/>
    <w:rsid w:val="00606B93"/>
    <w:rsid w:val="00607727"/>
    <w:rsid w:val="00607934"/>
    <w:rsid w:val="00610BD5"/>
    <w:rsid w:val="00611363"/>
    <w:rsid w:val="00611531"/>
    <w:rsid w:val="006118AA"/>
    <w:rsid w:val="0061196F"/>
    <w:rsid w:val="00611C28"/>
    <w:rsid w:val="006122F3"/>
    <w:rsid w:val="00612E84"/>
    <w:rsid w:val="006139C7"/>
    <w:rsid w:val="00615023"/>
    <w:rsid w:val="006150EA"/>
    <w:rsid w:val="006153E3"/>
    <w:rsid w:val="006155F1"/>
    <w:rsid w:val="006167AB"/>
    <w:rsid w:val="0061718A"/>
    <w:rsid w:val="00617D2D"/>
    <w:rsid w:val="00617D83"/>
    <w:rsid w:val="00620430"/>
    <w:rsid w:val="00620AC5"/>
    <w:rsid w:val="00621575"/>
    <w:rsid w:val="006215FC"/>
    <w:rsid w:val="00624093"/>
    <w:rsid w:val="006260B8"/>
    <w:rsid w:val="00626576"/>
    <w:rsid w:val="00627F1F"/>
    <w:rsid w:val="0063030A"/>
    <w:rsid w:val="006305C4"/>
    <w:rsid w:val="00630E82"/>
    <w:rsid w:val="00630F66"/>
    <w:rsid w:val="00631FC2"/>
    <w:rsid w:val="00632171"/>
    <w:rsid w:val="0063332A"/>
    <w:rsid w:val="00633729"/>
    <w:rsid w:val="00633C64"/>
    <w:rsid w:val="006347F9"/>
    <w:rsid w:val="0063494E"/>
    <w:rsid w:val="00634C90"/>
    <w:rsid w:val="00635818"/>
    <w:rsid w:val="00635E79"/>
    <w:rsid w:val="006365E8"/>
    <w:rsid w:val="00636A55"/>
    <w:rsid w:val="00636A84"/>
    <w:rsid w:val="00636E26"/>
    <w:rsid w:val="00636E5E"/>
    <w:rsid w:val="00637211"/>
    <w:rsid w:val="006379E0"/>
    <w:rsid w:val="00637D0E"/>
    <w:rsid w:val="006404A7"/>
    <w:rsid w:val="006407F3"/>
    <w:rsid w:val="006408EC"/>
    <w:rsid w:val="0064129B"/>
    <w:rsid w:val="00641DF7"/>
    <w:rsid w:val="00643497"/>
    <w:rsid w:val="00643735"/>
    <w:rsid w:val="00643A80"/>
    <w:rsid w:val="00644DFC"/>
    <w:rsid w:val="006451E4"/>
    <w:rsid w:val="006454B4"/>
    <w:rsid w:val="0064574A"/>
    <w:rsid w:val="00645A9C"/>
    <w:rsid w:val="006460B8"/>
    <w:rsid w:val="00646448"/>
    <w:rsid w:val="006467D0"/>
    <w:rsid w:val="00646B41"/>
    <w:rsid w:val="006504A0"/>
    <w:rsid w:val="00650784"/>
    <w:rsid w:val="00650C83"/>
    <w:rsid w:val="006520C7"/>
    <w:rsid w:val="006520D5"/>
    <w:rsid w:val="00652179"/>
    <w:rsid w:val="00652CBB"/>
    <w:rsid w:val="00652CF0"/>
    <w:rsid w:val="006530B8"/>
    <w:rsid w:val="006535D6"/>
    <w:rsid w:val="00654093"/>
    <w:rsid w:val="00654E14"/>
    <w:rsid w:val="006564FB"/>
    <w:rsid w:val="00656716"/>
    <w:rsid w:val="006572ED"/>
    <w:rsid w:val="00657E87"/>
    <w:rsid w:val="0066026B"/>
    <w:rsid w:val="00660457"/>
    <w:rsid w:val="00660CB4"/>
    <w:rsid w:val="00660E1E"/>
    <w:rsid w:val="006637B1"/>
    <w:rsid w:val="00663CFD"/>
    <w:rsid w:val="006647AD"/>
    <w:rsid w:val="00664B64"/>
    <w:rsid w:val="00665691"/>
    <w:rsid w:val="00665B35"/>
    <w:rsid w:val="00665D67"/>
    <w:rsid w:val="00665D77"/>
    <w:rsid w:val="006660CD"/>
    <w:rsid w:val="00666883"/>
    <w:rsid w:val="00666B1D"/>
    <w:rsid w:val="00666EC8"/>
    <w:rsid w:val="00666F4B"/>
    <w:rsid w:val="006676D0"/>
    <w:rsid w:val="0066796E"/>
    <w:rsid w:val="00670FAC"/>
    <w:rsid w:val="006710C9"/>
    <w:rsid w:val="006716A5"/>
    <w:rsid w:val="006717CC"/>
    <w:rsid w:val="006743E8"/>
    <w:rsid w:val="00675E37"/>
    <w:rsid w:val="00675E9B"/>
    <w:rsid w:val="00675F0F"/>
    <w:rsid w:val="006764ED"/>
    <w:rsid w:val="00676AFC"/>
    <w:rsid w:val="00676F11"/>
    <w:rsid w:val="00680079"/>
    <w:rsid w:val="00680ECC"/>
    <w:rsid w:val="00680F68"/>
    <w:rsid w:val="0068260E"/>
    <w:rsid w:val="0068373D"/>
    <w:rsid w:val="00683BFE"/>
    <w:rsid w:val="00683EAB"/>
    <w:rsid w:val="00683EC9"/>
    <w:rsid w:val="0068437D"/>
    <w:rsid w:val="006847C5"/>
    <w:rsid w:val="006857DF"/>
    <w:rsid w:val="00685E66"/>
    <w:rsid w:val="00686B72"/>
    <w:rsid w:val="00686BF1"/>
    <w:rsid w:val="006873E5"/>
    <w:rsid w:val="00687AE5"/>
    <w:rsid w:val="00690A09"/>
    <w:rsid w:val="00690A25"/>
    <w:rsid w:val="00691748"/>
    <w:rsid w:val="00691E14"/>
    <w:rsid w:val="0069340D"/>
    <w:rsid w:val="006936AD"/>
    <w:rsid w:val="00693EA1"/>
    <w:rsid w:val="00693FEA"/>
    <w:rsid w:val="00694930"/>
    <w:rsid w:val="00695170"/>
    <w:rsid w:val="00695BEF"/>
    <w:rsid w:val="006960D6"/>
    <w:rsid w:val="006963FB"/>
    <w:rsid w:val="00696AA5"/>
    <w:rsid w:val="006977F6"/>
    <w:rsid w:val="0069789D"/>
    <w:rsid w:val="00697A13"/>
    <w:rsid w:val="006A109C"/>
    <w:rsid w:val="006A14D5"/>
    <w:rsid w:val="006A1582"/>
    <w:rsid w:val="006A18AE"/>
    <w:rsid w:val="006A23E5"/>
    <w:rsid w:val="006A288C"/>
    <w:rsid w:val="006A2EE8"/>
    <w:rsid w:val="006A3CF3"/>
    <w:rsid w:val="006A4522"/>
    <w:rsid w:val="006A568F"/>
    <w:rsid w:val="006A5B57"/>
    <w:rsid w:val="006A65EF"/>
    <w:rsid w:val="006A672B"/>
    <w:rsid w:val="006A683F"/>
    <w:rsid w:val="006A7257"/>
    <w:rsid w:val="006B1781"/>
    <w:rsid w:val="006B1913"/>
    <w:rsid w:val="006B23A9"/>
    <w:rsid w:val="006B23D8"/>
    <w:rsid w:val="006B281D"/>
    <w:rsid w:val="006B3F8A"/>
    <w:rsid w:val="006B5152"/>
    <w:rsid w:val="006B59D7"/>
    <w:rsid w:val="006B5CA3"/>
    <w:rsid w:val="006B6171"/>
    <w:rsid w:val="006B6B3B"/>
    <w:rsid w:val="006B7248"/>
    <w:rsid w:val="006B7714"/>
    <w:rsid w:val="006B78D8"/>
    <w:rsid w:val="006B797F"/>
    <w:rsid w:val="006B7CCE"/>
    <w:rsid w:val="006C090F"/>
    <w:rsid w:val="006C0935"/>
    <w:rsid w:val="006C0BCE"/>
    <w:rsid w:val="006C0E9E"/>
    <w:rsid w:val="006C113F"/>
    <w:rsid w:val="006C1AA9"/>
    <w:rsid w:val="006C1CE7"/>
    <w:rsid w:val="006C20A0"/>
    <w:rsid w:val="006C2927"/>
    <w:rsid w:val="006C2AED"/>
    <w:rsid w:val="006C38DD"/>
    <w:rsid w:val="006C3DC1"/>
    <w:rsid w:val="006C457F"/>
    <w:rsid w:val="006C53C7"/>
    <w:rsid w:val="006C5577"/>
    <w:rsid w:val="006C559A"/>
    <w:rsid w:val="006C586D"/>
    <w:rsid w:val="006C58FA"/>
    <w:rsid w:val="006C6197"/>
    <w:rsid w:val="006C7A7B"/>
    <w:rsid w:val="006C7D09"/>
    <w:rsid w:val="006D004F"/>
    <w:rsid w:val="006D042D"/>
    <w:rsid w:val="006D06EF"/>
    <w:rsid w:val="006D07EC"/>
    <w:rsid w:val="006D1418"/>
    <w:rsid w:val="006D142E"/>
    <w:rsid w:val="006D231B"/>
    <w:rsid w:val="006D3976"/>
    <w:rsid w:val="006D3B87"/>
    <w:rsid w:val="006D4497"/>
    <w:rsid w:val="006D4E6F"/>
    <w:rsid w:val="006D61F6"/>
    <w:rsid w:val="006D710C"/>
    <w:rsid w:val="006D7297"/>
    <w:rsid w:val="006E0EB0"/>
    <w:rsid w:val="006E182C"/>
    <w:rsid w:val="006E1F4C"/>
    <w:rsid w:val="006E22C8"/>
    <w:rsid w:val="006E279A"/>
    <w:rsid w:val="006E2C28"/>
    <w:rsid w:val="006E2F3F"/>
    <w:rsid w:val="006E2F44"/>
    <w:rsid w:val="006E313B"/>
    <w:rsid w:val="006E394C"/>
    <w:rsid w:val="006E4368"/>
    <w:rsid w:val="006E442A"/>
    <w:rsid w:val="006E4434"/>
    <w:rsid w:val="006E4A1B"/>
    <w:rsid w:val="006E59FC"/>
    <w:rsid w:val="006E5CFD"/>
    <w:rsid w:val="006E5FC4"/>
    <w:rsid w:val="006E635B"/>
    <w:rsid w:val="006E642F"/>
    <w:rsid w:val="006E76BE"/>
    <w:rsid w:val="006E7E2C"/>
    <w:rsid w:val="006F0D32"/>
    <w:rsid w:val="006F0E00"/>
    <w:rsid w:val="006F1326"/>
    <w:rsid w:val="006F1553"/>
    <w:rsid w:val="006F1DDD"/>
    <w:rsid w:val="006F2280"/>
    <w:rsid w:val="006F2BEE"/>
    <w:rsid w:val="006F32FF"/>
    <w:rsid w:val="006F3708"/>
    <w:rsid w:val="006F376C"/>
    <w:rsid w:val="006F3A90"/>
    <w:rsid w:val="006F3E6B"/>
    <w:rsid w:val="006F440D"/>
    <w:rsid w:val="006F4619"/>
    <w:rsid w:val="006F4A59"/>
    <w:rsid w:val="006F5693"/>
    <w:rsid w:val="006F6968"/>
    <w:rsid w:val="00700232"/>
    <w:rsid w:val="00701382"/>
    <w:rsid w:val="007014C7"/>
    <w:rsid w:val="00702100"/>
    <w:rsid w:val="00702358"/>
    <w:rsid w:val="00702D6F"/>
    <w:rsid w:val="007031C6"/>
    <w:rsid w:val="00703B6C"/>
    <w:rsid w:val="00703C6B"/>
    <w:rsid w:val="00703CFE"/>
    <w:rsid w:val="007047D5"/>
    <w:rsid w:val="00705A91"/>
    <w:rsid w:val="00705D98"/>
    <w:rsid w:val="00707891"/>
    <w:rsid w:val="00707D43"/>
    <w:rsid w:val="00710F7C"/>
    <w:rsid w:val="00711398"/>
    <w:rsid w:val="00711970"/>
    <w:rsid w:val="00711EF1"/>
    <w:rsid w:val="0071229A"/>
    <w:rsid w:val="00712572"/>
    <w:rsid w:val="00712691"/>
    <w:rsid w:val="00713495"/>
    <w:rsid w:val="00713EEB"/>
    <w:rsid w:val="007142C1"/>
    <w:rsid w:val="0071479D"/>
    <w:rsid w:val="00715487"/>
    <w:rsid w:val="00715504"/>
    <w:rsid w:val="007159D2"/>
    <w:rsid w:val="00716DCC"/>
    <w:rsid w:val="00717726"/>
    <w:rsid w:val="0072050E"/>
    <w:rsid w:val="00720958"/>
    <w:rsid w:val="00720FA2"/>
    <w:rsid w:val="007211F5"/>
    <w:rsid w:val="00722985"/>
    <w:rsid w:val="007240C5"/>
    <w:rsid w:val="00724666"/>
    <w:rsid w:val="00724E80"/>
    <w:rsid w:val="00725492"/>
    <w:rsid w:val="007256B7"/>
    <w:rsid w:val="00726043"/>
    <w:rsid w:val="007260C3"/>
    <w:rsid w:val="007265C6"/>
    <w:rsid w:val="0072671B"/>
    <w:rsid w:val="0072704A"/>
    <w:rsid w:val="007273DC"/>
    <w:rsid w:val="007279B9"/>
    <w:rsid w:val="00727F9F"/>
    <w:rsid w:val="00730AE8"/>
    <w:rsid w:val="00730BBC"/>
    <w:rsid w:val="007315DA"/>
    <w:rsid w:val="00731963"/>
    <w:rsid w:val="00732706"/>
    <w:rsid w:val="0073325D"/>
    <w:rsid w:val="00733C96"/>
    <w:rsid w:val="0073402C"/>
    <w:rsid w:val="00734321"/>
    <w:rsid w:val="00734597"/>
    <w:rsid w:val="00735044"/>
    <w:rsid w:val="0073532E"/>
    <w:rsid w:val="00735B01"/>
    <w:rsid w:val="007367F6"/>
    <w:rsid w:val="00740310"/>
    <w:rsid w:val="00740652"/>
    <w:rsid w:val="00740F02"/>
    <w:rsid w:val="00740FEC"/>
    <w:rsid w:val="0074132E"/>
    <w:rsid w:val="00741493"/>
    <w:rsid w:val="0074240C"/>
    <w:rsid w:val="007426B3"/>
    <w:rsid w:val="007426FD"/>
    <w:rsid w:val="007430AB"/>
    <w:rsid w:val="007430BF"/>
    <w:rsid w:val="0074329D"/>
    <w:rsid w:val="00744376"/>
    <w:rsid w:val="007449EA"/>
    <w:rsid w:val="00744D00"/>
    <w:rsid w:val="00744D2B"/>
    <w:rsid w:val="00745273"/>
    <w:rsid w:val="00745650"/>
    <w:rsid w:val="00745F3C"/>
    <w:rsid w:val="00746DD9"/>
    <w:rsid w:val="00747459"/>
    <w:rsid w:val="0075057A"/>
    <w:rsid w:val="00751771"/>
    <w:rsid w:val="00751C1C"/>
    <w:rsid w:val="00752180"/>
    <w:rsid w:val="007521A1"/>
    <w:rsid w:val="0075274D"/>
    <w:rsid w:val="00752BC3"/>
    <w:rsid w:val="0075315D"/>
    <w:rsid w:val="007538F9"/>
    <w:rsid w:val="00753AFD"/>
    <w:rsid w:val="00754253"/>
    <w:rsid w:val="007552BB"/>
    <w:rsid w:val="007558D3"/>
    <w:rsid w:val="007559D7"/>
    <w:rsid w:val="00755D3A"/>
    <w:rsid w:val="00755EA0"/>
    <w:rsid w:val="00760141"/>
    <w:rsid w:val="007609C6"/>
    <w:rsid w:val="00760C01"/>
    <w:rsid w:val="007610A0"/>
    <w:rsid w:val="00762036"/>
    <w:rsid w:val="007620F2"/>
    <w:rsid w:val="0076290D"/>
    <w:rsid w:val="00762EBA"/>
    <w:rsid w:val="0076359D"/>
    <w:rsid w:val="00763A13"/>
    <w:rsid w:val="00763D86"/>
    <w:rsid w:val="00766109"/>
    <w:rsid w:val="00766F78"/>
    <w:rsid w:val="0076719C"/>
    <w:rsid w:val="0077058D"/>
    <w:rsid w:val="00770931"/>
    <w:rsid w:val="00770FA7"/>
    <w:rsid w:val="00772536"/>
    <w:rsid w:val="00773613"/>
    <w:rsid w:val="0077430F"/>
    <w:rsid w:val="00774782"/>
    <w:rsid w:val="00776476"/>
    <w:rsid w:val="00776527"/>
    <w:rsid w:val="00777DB1"/>
    <w:rsid w:val="007805E1"/>
    <w:rsid w:val="00780DDF"/>
    <w:rsid w:val="0078113E"/>
    <w:rsid w:val="00781834"/>
    <w:rsid w:val="00781EBB"/>
    <w:rsid w:val="007821DB"/>
    <w:rsid w:val="00782235"/>
    <w:rsid w:val="00782818"/>
    <w:rsid w:val="007838F1"/>
    <w:rsid w:val="007841BB"/>
    <w:rsid w:val="00784C4A"/>
    <w:rsid w:val="00784DCA"/>
    <w:rsid w:val="00785C7A"/>
    <w:rsid w:val="00787432"/>
    <w:rsid w:val="00787507"/>
    <w:rsid w:val="0078778C"/>
    <w:rsid w:val="007879F2"/>
    <w:rsid w:val="00790164"/>
    <w:rsid w:val="00790393"/>
    <w:rsid w:val="007904B2"/>
    <w:rsid w:val="00790C15"/>
    <w:rsid w:val="00791804"/>
    <w:rsid w:val="0079197F"/>
    <w:rsid w:val="00791CF8"/>
    <w:rsid w:val="00791EF9"/>
    <w:rsid w:val="00792262"/>
    <w:rsid w:val="00793387"/>
    <w:rsid w:val="00793BAE"/>
    <w:rsid w:val="007941C3"/>
    <w:rsid w:val="00794870"/>
    <w:rsid w:val="00794E0A"/>
    <w:rsid w:val="00795B04"/>
    <w:rsid w:val="0079638B"/>
    <w:rsid w:val="00796642"/>
    <w:rsid w:val="00797354"/>
    <w:rsid w:val="007A11D9"/>
    <w:rsid w:val="007A327B"/>
    <w:rsid w:val="007A36DE"/>
    <w:rsid w:val="007A4048"/>
    <w:rsid w:val="007A45B1"/>
    <w:rsid w:val="007A4606"/>
    <w:rsid w:val="007A4D58"/>
    <w:rsid w:val="007A5039"/>
    <w:rsid w:val="007A6772"/>
    <w:rsid w:val="007A684C"/>
    <w:rsid w:val="007A74B4"/>
    <w:rsid w:val="007A796D"/>
    <w:rsid w:val="007B04E8"/>
    <w:rsid w:val="007B0920"/>
    <w:rsid w:val="007B0D67"/>
    <w:rsid w:val="007B0F90"/>
    <w:rsid w:val="007B1966"/>
    <w:rsid w:val="007B2257"/>
    <w:rsid w:val="007B22E6"/>
    <w:rsid w:val="007B2779"/>
    <w:rsid w:val="007B2AF7"/>
    <w:rsid w:val="007B2F37"/>
    <w:rsid w:val="007B3DCC"/>
    <w:rsid w:val="007B4518"/>
    <w:rsid w:val="007B4EEC"/>
    <w:rsid w:val="007B5031"/>
    <w:rsid w:val="007B573F"/>
    <w:rsid w:val="007B70B8"/>
    <w:rsid w:val="007B72AC"/>
    <w:rsid w:val="007B78F8"/>
    <w:rsid w:val="007C0065"/>
    <w:rsid w:val="007C010B"/>
    <w:rsid w:val="007C29B0"/>
    <w:rsid w:val="007C3289"/>
    <w:rsid w:val="007C32B6"/>
    <w:rsid w:val="007C3AE3"/>
    <w:rsid w:val="007C3C8E"/>
    <w:rsid w:val="007C5363"/>
    <w:rsid w:val="007C5E52"/>
    <w:rsid w:val="007C605B"/>
    <w:rsid w:val="007C6557"/>
    <w:rsid w:val="007C6EA2"/>
    <w:rsid w:val="007C6EBA"/>
    <w:rsid w:val="007C75CA"/>
    <w:rsid w:val="007C7BAC"/>
    <w:rsid w:val="007C7CC5"/>
    <w:rsid w:val="007D0ACF"/>
    <w:rsid w:val="007D2749"/>
    <w:rsid w:val="007D2A5A"/>
    <w:rsid w:val="007D2AD8"/>
    <w:rsid w:val="007D2C47"/>
    <w:rsid w:val="007D2C61"/>
    <w:rsid w:val="007D2DA3"/>
    <w:rsid w:val="007D2F81"/>
    <w:rsid w:val="007D3167"/>
    <w:rsid w:val="007D329F"/>
    <w:rsid w:val="007D3A2C"/>
    <w:rsid w:val="007D3CF7"/>
    <w:rsid w:val="007D4128"/>
    <w:rsid w:val="007D4281"/>
    <w:rsid w:val="007D42F5"/>
    <w:rsid w:val="007D44C3"/>
    <w:rsid w:val="007D5947"/>
    <w:rsid w:val="007D65C1"/>
    <w:rsid w:val="007D7936"/>
    <w:rsid w:val="007E030F"/>
    <w:rsid w:val="007E0D49"/>
    <w:rsid w:val="007E0E59"/>
    <w:rsid w:val="007E0F4B"/>
    <w:rsid w:val="007E12C1"/>
    <w:rsid w:val="007E15E9"/>
    <w:rsid w:val="007E1EF7"/>
    <w:rsid w:val="007E20C0"/>
    <w:rsid w:val="007E34F7"/>
    <w:rsid w:val="007E3715"/>
    <w:rsid w:val="007E4996"/>
    <w:rsid w:val="007E5036"/>
    <w:rsid w:val="007E5880"/>
    <w:rsid w:val="007E5F3D"/>
    <w:rsid w:val="007E61FF"/>
    <w:rsid w:val="007E6588"/>
    <w:rsid w:val="007E7063"/>
    <w:rsid w:val="007E7E61"/>
    <w:rsid w:val="007F0316"/>
    <w:rsid w:val="007F0845"/>
    <w:rsid w:val="007F0DF6"/>
    <w:rsid w:val="007F1092"/>
    <w:rsid w:val="007F16F9"/>
    <w:rsid w:val="007F2801"/>
    <w:rsid w:val="007F2BF6"/>
    <w:rsid w:val="007F3E3E"/>
    <w:rsid w:val="007F42E0"/>
    <w:rsid w:val="007F45FF"/>
    <w:rsid w:val="007F500D"/>
    <w:rsid w:val="007F5F14"/>
    <w:rsid w:val="007F61D3"/>
    <w:rsid w:val="007F646D"/>
    <w:rsid w:val="007F69EE"/>
    <w:rsid w:val="007F7B54"/>
    <w:rsid w:val="007F7C60"/>
    <w:rsid w:val="00800073"/>
    <w:rsid w:val="008001F0"/>
    <w:rsid w:val="008005D7"/>
    <w:rsid w:val="00801547"/>
    <w:rsid w:val="00801D15"/>
    <w:rsid w:val="00801FDD"/>
    <w:rsid w:val="008020C2"/>
    <w:rsid w:val="00802386"/>
    <w:rsid w:val="0080255C"/>
    <w:rsid w:val="008054FB"/>
    <w:rsid w:val="0080585A"/>
    <w:rsid w:val="00806088"/>
    <w:rsid w:val="00806D07"/>
    <w:rsid w:val="0081019B"/>
    <w:rsid w:val="00810971"/>
    <w:rsid w:val="0081187C"/>
    <w:rsid w:val="00811E24"/>
    <w:rsid w:val="008120C5"/>
    <w:rsid w:val="00812386"/>
    <w:rsid w:val="00812E2B"/>
    <w:rsid w:val="00813A70"/>
    <w:rsid w:val="00813CB4"/>
    <w:rsid w:val="00813DB0"/>
    <w:rsid w:val="00813FE6"/>
    <w:rsid w:val="00814833"/>
    <w:rsid w:val="00814965"/>
    <w:rsid w:val="00815B82"/>
    <w:rsid w:val="00815C6E"/>
    <w:rsid w:val="00815DD0"/>
    <w:rsid w:val="00815F10"/>
    <w:rsid w:val="0081645F"/>
    <w:rsid w:val="00816A28"/>
    <w:rsid w:val="00816DDF"/>
    <w:rsid w:val="008174A3"/>
    <w:rsid w:val="00817755"/>
    <w:rsid w:val="00817865"/>
    <w:rsid w:val="008178C2"/>
    <w:rsid w:val="008178CF"/>
    <w:rsid w:val="00817BBE"/>
    <w:rsid w:val="00817C98"/>
    <w:rsid w:val="00820C9F"/>
    <w:rsid w:val="00821AAE"/>
    <w:rsid w:val="00821C4A"/>
    <w:rsid w:val="00821CEB"/>
    <w:rsid w:val="00821FF6"/>
    <w:rsid w:val="00823AAF"/>
    <w:rsid w:val="00824081"/>
    <w:rsid w:val="0082409A"/>
    <w:rsid w:val="00824626"/>
    <w:rsid w:val="008252D7"/>
    <w:rsid w:val="008259CC"/>
    <w:rsid w:val="00825C0F"/>
    <w:rsid w:val="00826376"/>
    <w:rsid w:val="00826ED1"/>
    <w:rsid w:val="00827181"/>
    <w:rsid w:val="0082733C"/>
    <w:rsid w:val="00827746"/>
    <w:rsid w:val="00827D56"/>
    <w:rsid w:val="0083102D"/>
    <w:rsid w:val="0083143E"/>
    <w:rsid w:val="0083159D"/>
    <w:rsid w:val="008318FF"/>
    <w:rsid w:val="00831E95"/>
    <w:rsid w:val="00832187"/>
    <w:rsid w:val="00832493"/>
    <w:rsid w:val="008328C9"/>
    <w:rsid w:val="008329BD"/>
    <w:rsid w:val="008334C3"/>
    <w:rsid w:val="008336D8"/>
    <w:rsid w:val="008339C4"/>
    <w:rsid w:val="00834B56"/>
    <w:rsid w:val="00834F0A"/>
    <w:rsid w:val="00834FAA"/>
    <w:rsid w:val="00835181"/>
    <w:rsid w:val="00835991"/>
    <w:rsid w:val="00836086"/>
    <w:rsid w:val="00837566"/>
    <w:rsid w:val="00837871"/>
    <w:rsid w:val="0084002E"/>
    <w:rsid w:val="00840458"/>
    <w:rsid w:val="00840699"/>
    <w:rsid w:val="00841D9F"/>
    <w:rsid w:val="00842078"/>
    <w:rsid w:val="00842604"/>
    <w:rsid w:val="008434B0"/>
    <w:rsid w:val="00843ECF"/>
    <w:rsid w:val="0084535E"/>
    <w:rsid w:val="00845A11"/>
    <w:rsid w:val="00845AB1"/>
    <w:rsid w:val="00846673"/>
    <w:rsid w:val="00846891"/>
    <w:rsid w:val="008508A9"/>
    <w:rsid w:val="00851087"/>
    <w:rsid w:val="0085188D"/>
    <w:rsid w:val="008518D8"/>
    <w:rsid w:val="0085220C"/>
    <w:rsid w:val="008525F9"/>
    <w:rsid w:val="0085281A"/>
    <w:rsid w:val="00853C0F"/>
    <w:rsid w:val="00853F33"/>
    <w:rsid w:val="008548EA"/>
    <w:rsid w:val="008550EA"/>
    <w:rsid w:val="008559FE"/>
    <w:rsid w:val="0085686D"/>
    <w:rsid w:val="00857339"/>
    <w:rsid w:val="00860706"/>
    <w:rsid w:val="00861C98"/>
    <w:rsid w:val="00862A7A"/>
    <w:rsid w:val="00862FBD"/>
    <w:rsid w:val="00863104"/>
    <w:rsid w:val="008636CD"/>
    <w:rsid w:val="00863702"/>
    <w:rsid w:val="00863D9E"/>
    <w:rsid w:val="00863FDC"/>
    <w:rsid w:val="008642AF"/>
    <w:rsid w:val="00864B5A"/>
    <w:rsid w:val="00864F00"/>
    <w:rsid w:val="00865286"/>
    <w:rsid w:val="00865729"/>
    <w:rsid w:val="0086590D"/>
    <w:rsid w:val="00865EA8"/>
    <w:rsid w:val="00865ED4"/>
    <w:rsid w:val="008669A7"/>
    <w:rsid w:val="00867464"/>
    <w:rsid w:val="00867B8F"/>
    <w:rsid w:val="00867D15"/>
    <w:rsid w:val="00867E29"/>
    <w:rsid w:val="00870F2B"/>
    <w:rsid w:val="00873B2E"/>
    <w:rsid w:val="00874097"/>
    <w:rsid w:val="008746E6"/>
    <w:rsid w:val="0087515D"/>
    <w:rsid w:val="00875740"/>
    <w:rsid w:val="0087594C"/>
    <w:rsid w:val="00876086"/>
    <w:rsid w:val="008765FA"/>
    <w:rsid w:val="008768D6"/>
    <w:rsid w:val="008775D1"/>
    <w:rsid w:val="008777BB"/>
    <w:rsid w:val="00877D68"/>
    <w:rsid w:val="00877E5D"/>
    <w:rsid w:val="00880150"/>
    <w:rsid w:val="00880ABA"/>
    <w:rsid w:val="00880F23"/>
    <w:rsid w:val="008810BB"/>
    <w:rsid w:val="00883A67"/>
    <w:rsid w:val="00883D45"/>
    <w:rsid w:val="00884519"/>
    <w:rsid w:val="00884D69"/>
    <w:rsid w:val="0088503D"/>
    <w:rsid w:val="00885620"/>
    <w:rsid w:val="00885EC6"/>
    <w:rsid w:val="008869D2"/>
    <w:rsid w:val="00886A8F"/>
    <w:rsid w:val="0088733A"/>
    <w:rsid w:val="008901CC"/>
    <w:rsid w:val="0089061C"/>
    <w:rsid w:val="00891251"/>
    <w:rsid w:val="00891BE0"/>
    <w:rsid w:val="008929A0"/>
    <w:rsid w:val="00893269"/>
    <w:rsid w:val="00893302"/>
    <w:rsid w:val="00893648"/>
    <w:rsid w:val="00893D05"/>
    <w:rsid w:val="00893D83"/>
    <w:rsid w:val="00893F0C"/>
    <w:rsid w:val="00893F3C"/>
    <w:rsid w:val="008945A1"/>
    <w:rsid w:val="00894A63"/>
    <w:rsid w:val="00894F71"/>
    <w:rsid w:val="00895A54"/>
    <w:rsid w:val="008963A7"/>
    <w:rsid w:val="00896776"/>
    <w:rsid w:val="00896874"/>
    <w:rsid w:val="00896916"/>
    <w:rsid w:val="00896BDE"/>
    <w:rsid w:val="0089763E"/>
    <w:rsid w:val="008A03DE"/>
    <w:rsid w:val="008A0861"/>
    <w:rsid w:val="008A0BB2"/>
    <w:rsid w:val="008A1AB3"/>
    <w:rsid w:val="008A1D5C"/>
    <w:rsid w:val="008A2890"/>
    <w:rsid w:val="008A3292"/>
    <w:rsid w:val="008A3A85"/>
    <w:rsid w:val="008A43E9"/>
    <w:rsid w:val="008A4CB1"/>
    <w:rsid w:val="008A5F34"/>
    <w:rsid w:val="008A615E"/>
    <w:rsid w:val="008A632B"/>
    <w:rsid w:val="008A6720"/>
    <w:rsid w:val="008A6BFE"/>
    <w:rsid w:val="008A6F21"/>
    <w:rsid w:val="008A6F3F"/>
    <w:rsid w:val="008A6F67"/>
    <w:rsid w:val="008A73DA"/>
    <w:rsid w:val="008B00C2"/>
    <w:rsid w:val="008B04A0"/>
    <w:rsid w:val="008B05E8"/>
    <w:rsid w:val="008B07EF"/>
    <w:rsid w:val="008B16DE"/>
    <w:rsid w:val="008B190E"/>
    <w:rsid w:val="008B1A8A"/>
    <w:rsid w:val="008B1FC9"/>
    <w:rsid w:val="008B4EEA"/>
    <w:rsid w:val="008B531F"/>
    <w:rsid w:val="008B54A3"/>
    <w:rsid w:val="008B5F41"/>
    <w:rsid w:val="008B634C"/>
    <w:rsid w:val="008B6B67"/>
    <w:rsid w:val="008B7306"/>
    <w:rsid w:val="008B775F"/>
    <w:rsid w:val="008B77D1"/>
    <w:rsid w:val="008B7C02"/>
    <w:rsid w:val="008B7D13"/>
    <w:rsid w:val="008B7F9E"/>
    <w:rsid w:val="008C034E"/>
    <w:rsid w:val="008C0E88"/>
    <w:rsid w:val="008C1399"/>
    <w:rsid w:val="008C18A5"/>
    <w:rsid w:val="008C1AA8"/>
    <w:rsid w:val="008C22A8"/>
    <w:rsid w:val="008C4DBA"/>
    <w:rsid w:val="008C5B43"/>
    <w:rsid w:val="008C63FD"/>
    <w:rsid w:val="008C6CB8"/>
    <w:rsid w:val="008C6D92"/>
    <w:rsid w:val="008C777A"/>
    <w:rsid w:val="008C7815"/>
    <w:rsid w:val="008C7A07"/>
    <w:rsid w:val="008C7E90"/>
    <w:rsid w:val="008C7EB3"/>
    <w:rsid w:val="008D0171"/>
    <w:rsid w:val="008D0632"/>
    <w:rsid w:val="008D0A23"/>
    <w:rsid w:val="008D0E3B"/>
    <w:rsid w:val="008D13EA"/>
    <w:rsid w:val="008D21DE"/>
    <w:rsid w:val="008D2671"/>
    <w:rsid w:val="008D2A16"/>
    <w:rsid w:val="008D2ECF"/>
    <w:rsid w:val="008D347D"/>
    <w:rsid w:val="008D3F3D"/>
    <w:rsid w:val="008D4376"/>
    <w:rsid w:val="008D4F04"/>
    <w:rsid w:val="008D51E9"/>
    <w:rsid w:val="008D5BAD"/>
    <w:rsid w:val="008D699D"/>
    <w:rsid w:val="008E0367"/>
    <w:rsid w:val="008E2DCD"/>
    <w:rsid w:val="008E308D"/>
    <w:rsid w:val="008E31FF"/>
    <w:rsid w:val="008E3B0F"/>
    <w:rsid w:val="008E46A3"/>
    <w:rsid w:val="008E5DE6"/>
    <w:rsid w:val="008E5E90"/>
    <w:rsid w:val="008E6113"/>
    <w:rsid w:val="008E6AB3"/>
    <w:rsid w:val="008E6AD3"/>
    <w:rsid w:val="008E6EBD"/>
    <w:rsid w:val="008E71A6"/>
    <w:rsid w:val="008E77B6"/>
    <w:rsid w:val="008E7C55"/>
    <w:rsid w:val="008F032E"/>
    <w:rsid w:val="008F062F"/>
    <w:rsid w:val="008F0F14"/>
    <w:rsid w:val="008F1638"/>
    <w:rsid w:val="008F1723"/>
    <w:rsid w:val="008F2097"/>
    <w:rsid w:val="008F2F44"/>
    <w:rsid w:val="008F352D"/>
    <w:rsid w:val="008F3F1C"/>
    <w:rsid w:val="008F4FCE"/>
    <w:rsid w:val="008F5301"/>
    <w:rsid w:val="008F6967"/>
    <w:rsid w:val="008F6A0C"/>
    <w:rsid w:val="008F6F38"/>
    <w:rsid w:val="008F7721"/>
    <w:rsid w:val="008F7D28"/>
    <w:rsid w:val="009003A8"/>
    <w:rsid w:val="009010A7"/>
    <w:rsid w:val="009010E3"/>
    <w:rsid w:val="00901703"/>
    <w:rsid w:val="00901AF3"/>
    <w:rsid w:val="0090229C"/>
    <w:rsid w:val="00902CBE"/>
    <w:rsid w:val="00902D74"/>
    <w:rsid w:val="00902EFF"/>
    <w:rsid w:val="00902FAC"/>
    <w:rsid w:val="00903E06"/>
    <w:rsid w:val="009045D1"/>
    <w:rsid w:val="00904B9D"/>
    <w:rsid w:val="009057D4"/>
    <w:rsid w:val="00905A11"/>
    <w:rsid w:val="00905FE8"/>
    <w:rsid w:val="009066E1"/>
    <w:rsid w:val="00906F67"/>
    <w:rsid w:val="00907A41"/>
    <w:rsid w:val="00910098"/>
    <w:rsid w:val="009102BD"/>
    <w:rsid w:val="00910F93"/>
    <w:rsid w:val="00910FBC"/>
    <w:rsid w:val="00911E3B"/>
    <w:rsid w:val="0091255A"/>
    <w:rsid w:val="00914426"/>
    <w:rsid w:val="0091561A"/>
    <w:rsid w:val="0091675F"/>
    <w:rsid w:val="00917709"/>
    <w:rsid w:val="00917918"/>
    <w:rsid w:val="00920874"/>
    <w:rsid w:val="00921F14"/>
    <w:rsid w:val="009227C6"/>
    <w:rsid w:val="0092347C"/>
    <w:rsid w:val="00923750"/>
    <w:rsid w:val="009243A5"/>
    <w:rsid w:val="0092465F"/>
    <w:rsid w:val="0092500F"/>
    <w:rsid w:val="009250D2"/>
    <w:rsid w:val="0092519D"/>
    <w:rsid w:val="0092540B"/>
    <w:rsid w:val="009256C5"/>
    <w:rsid w:val="00925A21"/>
    <w:rsid w:val="00926283"/>
    <w:rsid w:val="009306BE"/>
    <w:rsid w:val="00930CD7"/>
    <w:rsid w:val="0093161F"/>
    <w:rsid w:val="009339FD"/>
    <w:rsid w:val="00934836"/>
    <w:rsid w:val="00934963"/>
    <w:rsid w:val="00936ECA"/>
    <w:rsid w:val="00937320"/>
    <w:rsid w:val="00937B11"/>
    <w:rsid w:val="00940F1F"/>
    <w:rsid w:val="00941250"/>
    <w:rsid w:val="00941339"/>
    <w:rsid w:val="0094396E"/>
    <w:rsid w:val="0094427A"/>
    <w:rsid w:val="00944380"/>
    <w:rsid w:val="00945904"/>
    <w:rsid w:val="009459C5"/>
    <w:rsid w:val="009459DE"/>
    <w:rsid w:val="00945E5E"/>
    <w:rsid w:val="0094626C"/>
    <w:rsid w:val="00946552"/>
    <w:rsid w:val="0095013A"/>
    <w:rsid w:val="00953AEF"/>
    <w:rsid w:val="00954FC3"/>
    <w:rsid w:val="009551E2"/>
    <w:rsid w:val="00955783"/>
    <w:rsid w:val="009558A6"/>
    <w:rsid w:val="00955E5F"/>
    <w:rsid w:val="009560B0"/>
    <w:rsid w:val="009564B2"/>
    <w:rsid w:val="00956F23"/>
    <w:rsid w:val="009576AC"/>
    <w:rsid w:val="00957871"/>
    <w:rsid w:val="00960077"/>
    <w:rsid w:val="00960769"/>
    <w:rsid w:val="00960D56"/>
    <w:rsid w:val="00962D2E"/>
    <w:rsid w:val="00963724"/>
    <w:rsid w:val="00963D22"/>
    <w:rsid w:val="00964498"/>
    <w:rsid w:val="0096504D"/>
    <w:rsid w:val="00965795"/>
    <w:rsid w:val="00965A2D"/>
    <w:rsid w:val="009663EB"/>
    <w:rsid w:val="0096650F"/>
    <w:rsid w:val="00967801"/>
    <w:rsid w:val="00967AD2"/>
    <w:rsid w:val="00967AE9"/>
    <w:rsid w:val="009700DB"/>
    <w:rsid w:val="0097040B"/>
    <w:rsid w:val="00971DC6"/>
    <w:rsid w:val="00971DD6"/>
    <w:rsid w:val="00972263"/>
    <w:rsid w:val="0097242E"/>
    <w:rsid w:val="00972502"/>
    <w:rsid w:val="00972D8D"/>
    <w:rsid w:val="00973A9E"/>
    <w:rsid w:val="00973AAE"/>
    <w:rsid w:val="00974236"/>
    <w:rsid w:val="009742F7"/>
    <w:rsid w:val="0097476C"/>
    <w:rsid w:val="00974923"/>
    <w:rsid w:val="00974D48"/>
    <w:rsid w:val="00974D5F"/>
    <w:rsid w:val="00975017"/>
    <w:rsid w:val="009759DF"/>
    <w:rsid w:val="009777B3"/>
    <w:rsid w:val="00977A4D"/>
    <w:rsid w:val="00980373"/>
    <w:rsid w:val="00980621"/>
    <w:rsid w:val="0098095B"/>
    <w:rsid w:val="00982072"/>
    <w:rsid w:val="009821FE"/>
    <w:rsid w:val="009833FA"/>
    <w:rsid w:val="00983ACF"/>
    <w:rsid w:val="00983DBB"/>
    <w:rsid w:val="00983ECF"/>
    <w:rsid w:val="00985157"/>
    <w:rsid w:val="00986208"/>
    <w:rsid w:val="00986745"/>
    <w:rsid w:val="00986746"/>
    <w:rsid w:val="009867BC"/>
    <w:rsid w:val="009869C4"/>
    <w:rsid w:val="009870EF"/>
    <w:rsid w:val="00987109"/>
    <w:rsid w:val="00987309"/>
    <w:rsid w:val="00987351"/>
    <w:rsid w:val="0099012D"/>
    <w:rsid w:val="00990363"/>
    <w:rsid w:val="00991266"/>
    <w:rsid w:val="00991952"/>
    <w:rsid w:val="009928AE"/>
    <w:rsid w:val="00993BE6"/>
    <w:rsid w:val="00993D9C"/>
    <w:rsid w:val="00993F56"/>
    <w:rsid w:val="00994835"/>
    <w:rsid w:val="0099483E"/>
    <w:rsid w:val="009954FF"/>
    <w:rsid w:val="0099571E"/>
    <w:rsid w:val="00995E2F"/>
    <w:rsid w:val="009961BC"/>
    <w:rsid w:val="00996355"/>
    <w:rsid w:val="00997301"/>
    <w:rsid w:val="0099788F"/>
    <w:rsid w:val="00997ADD"/>
    <w:rsid w:val="00997CDD"/>
    <w:rsid w:val="009A05A2"/>
    <w:rsid w:val="009A1374"/>
    <w:rsid w:val="009A13FA"/>
    <w:rsid w:val="009A1EA4"/>
    <w:rsid w:val="009A2014"/>
    <w:rsid w:val="009A2030"/>
    <w:rsid w:val="009A3A87"/>
    <w:rsid w:val="009A4E12"/>
    <w:rsid w:val="009A5003"/>
    <w:rsid w:val="009A5C68"/>
    <w:rsid w:val="009A5DE2"/>
    <w:rsid w:val="009A6EF7"/>
    <w:rsid w:val="009B04D0"/>
    <w:rsid w:val="009B052C"/>
    <w:rsid w:val="009B0676"/>
    <w:rsid w:val="009B0975"/>
    <w:rsid w:val="009B0EF2"/>
    <w:rsid w:val="009B19B8"/>
    <w:rsid w:val="009B23A3"/>
    <w:rsid w:val="009B25CE"/>
    <w:rsid w:val="009B2C0E"/>
    <w:rsid w:val="009B4925"/>
    <w:rsid w:val="009B4B4B"/>
    <w:rsid w:val="009B4BD4"/>
    <w:rsid w:val="009B4CE3"/>
    <w:rsid w:val="009B6342"/>
    <w:rsid w:val="009B6FD3"/>
    <w:rsid w:val="009B70BD"/>
    <w:rsid w:val="009C07A5"/>
    <w:rsid w:val="009C0CD4"/>
    <w:rsid w:val="009C24A3"/>
    <w:rsid w:val="009C3705"/>
    <w:rsid w:val="009C6215"/>
    <w:rsid w:val="009C7388"/>
    <w:rsid w:val="009C74C2"/>
    <w:rsid w:val="009D0CFF"/>
    <w:rsid w:val="009D1551"/>
    <w:rsid w:val="009D2859"/>
    <w:rsid w:val="009D36EC"/>
    <w:rsid w:val="009D3757"/>
    <w:rsid w:val="009D3CD0"/>
    <w:rsid w:val="009D3E88"/>
    <w:rsid w:val="009D4076"/>
    <w:rsid w:val="009D4173"/>
    <w:rsid w:val="009D51CA"/>
    <w:rsid w:val="009D6095"/>
    <w:rsid w:val="009D6306"/>
    <w:rsid w:val="009D6727"/>
    <w:rsid w:val="009E048A"/>
    <w:rsid w:val="009E1124"/>
    <w:rsid w:val="009E1FBA"/>
    <w:rsid w:val="009E2C54"/>
    <w:rsid w:val="009E3710"/>
    <w:rsid w:val="009E6F65"/>
    <w:rsid w:val="009E72A1"/>
    <w:rsid w:val="009E7340"/>
    <w:rsid w:val="009E7B1F"/>
    <w:rsid w:val="009F07B5"/>
    <w:rsid w:val="009F346F"/>
    <w:rsid w:val="009F371A"/>
    <w:rsid w:val="009F3F25"/>
    <w:rsid w:val="009F3FC3"/>
    <w:rsid w:val="009F41C4"/>
    <w:rsid w:val="009F5846"/>
    <w:rsid w:val="009F63D2"/>
    <w:rsid w:val="009F777A"/>
    <w:rsid w:val="009F7B52"/>
    <w:rsid w:val="009F7D77"/>
    <w:rsid w:val="00A004D2"/>
    <w:rsid w:val="00A015EA"/>
    <w:rsid w:val="00A0172C"/>
    <w:rsid w:val="00A02610"/>
    <w:rsid w:val="00A03343"/>
    <w:rsid w:val="00A03965"/>
    <w:rsid w:val="00A03B8A"/>
    <w:rsid w:val="00A05B91"/>
    <w:rsid w:val="00A06B3D"/>
    <w:rsid w:val="00A07BB0"/>
    <w:rsid w:val="00A10D66"/>
    <w:rsid w:val="00A12BA8"/>
    <w:rsid w:val="00A133F2"/>
    <w:rsid w:val="00A138D7"/>
    <w:rsid w:val="00A13993"/>
    <w:rsid w:val="00A14081"/>
    <w:rsid w:val="00A1420C"/>
    <w:rsid w:val="00A1456C"/>
    <w:rsid w:val="00A14821"/>
    <w:rsid w:val="00A14C9D"/>
    <w:rsid w:val="00A15B39"/>
    <w:rsid w:val="00A17754"/>
    <w:rsid w:val="00A2055B"/>
    <w:rsid w:val="00A20E22"/>
    <w:rsid w:val="00A219FE"/>
    <w:rsid w:val="00A22210"/>
    <w:rsid w:val="00A2253C"/>
    <w:rsid w:val="00A23545"/>
    <w:rsid w:val="00A23A55"/>
    <w:rsid w:val="00A23E43"/>
    <w:rsid w:val="00A23EF0"/>
    <w:rsid w:val="00A243A3"/>
    <w:rsid w:val="00A24F8C"/>
    <w:rsid w:val="00A262BF"/>
    <w:rsid w:val="00A264F5"/>
    <w:rsid w:val="00A271AD"/>
    <w:rsid w:val="00A276D5"/>
    <w:rsid w:val="00A27D2E"/>
    <w:rsid w:val="00A301C5"/>
    <w:rsid w:val="00A30336"/>
    <w:rsid w:val="00A30BB5"/>
    <w:rsid w:val="00A3128F"/>
    <w:rsid w:val="00A326D0"/>
    <w:rsid w:val="00A33C9A"/>
    <w:rsid w:val="00A348DC"/>
    <w:rsid w:val="00A35287"/>
    <w:rsid w:val="00A355F2"/>
    <w:rsid w:val="00A35CB2"/>
    <w:rsid w:val="00A37201"/>
    <w:rsid w:val="00A37229"/>
    <w:rsid w:val="00A375DE"/>
    <w:rsid w:val="00A378F8"/>
    <w:rsid w:val="00A40965"/>
    <w:rsid w:val="00A40B19"/>
    <w:rsid w:val="00A40F56"/>
    <w:rsid w:val="00A41D07"/>
    <w:rsid w:val="00A424F8"/>
    <w:rsid w:val="00A42883"/>
    <w:rsid w:val="00A437B7"/>
    <w:rsid w:val="00A43EA2"/>
    <w:rsid w:val="00A45E2F"/>
    <w:rsid w:val="00A46C70"/>
    <w:rsid w:val="00A46D48"/>
    <w:rsid w:val="00A46DE0"/>
    <w:rsid w:val="00A4778A"/>
    <w:rsid w:val="00A47C94"/>
    <w:rsid w:val="00A504C0"/>
    <w:rsid w:val="00A5067F"/>
    <w:rsid w:val="00A517C1"/>
    <w:rsid w:val="00A518E0"/>
    <w:rsid w:val="00A529C8"/>
    <w:rsid w:val="00A5408A"/>
    <w:rsid w:val="00A5421F"/>
    <w:rsid w:val="00A5430D"/>
    <w:rsid w:val="00A55301"/>
    <w:rsid w:val="00A572FB"/>
    <w:rsid w:val="00A57B3C"/>
    <w:rsid w:val="00A57E77"/>
    <w:rsid w:val="00A57F1B"/>
    <w:rsid w:val="00A600D2"/>
    <w:rsid w:val="00A60383"/>
    <w:rsid w:val="00A6128E"/>
    <w:rsid w:val="00A614EB"/>
    <w:rsid w:val="00A62CE1"/>
    <w:rsid w:val="00A631FA"/>
    <w:rsid w:val="00A63517"/>
    <w:rsid w:val="00A64203"/>
    <w:rsid w:val="00A64348"/>
    <w:rsid w:val="00A644E1"/>
    <w:rsid w:val="00A65A2B"/>
    <w:rsid w:val="00A67641"/>
    <w:rsid w:val="00A6766C"/>
    <w:rsid w:val="00A70765"/>
    <w:rsid w:val="00A711B0"/>
    <w:rsid w:val="00A71279"/>
    <w:rsid w:val="00A721FB"/>
    <w:rsid w:val="00A727BA"/>
    <w:rsid w:val="00A72CA4"/>
    <w:rsid w:val="00A72D4B"/>
    <w:rsid w:val="00A732AE"/>
    <w:rsid w:val="00A738E8"/>
    <w:rsid w:val="00A74192"/>
    <w:rsid w:val="00A750EB"/>
    <w:rsid w:val="00A75837"/>
    <w:rsid w:val="00A75E40"/>
    <w:rsid w:val="00A76B12"/>
    <w:rsid w:val="00A76EF2"/>
    <w:rsid w:val="00A7727E"/>
    <w:rsid w:val="00A77EB2"/>
    <w:rsid w:val="00A803A1"/>
    <w:rsid w:val="00A81094"/>
    <w:rsid w:val="00A827B4"/>
    <w:rsid w:val="00A82B66"/>
    <w:rsid w:val="00A82C52"/>
    <w:rsid w:val="00A83798"/>
    <w:rsid w:val="00A83914"/>
    <w:rsid w:val="00A83B58"/>
    <w:rsid w:val="00A84D59"/>
    <w:rsid w:val="00A84D7D"/>
    <w:rsid w:val="00A84FAF"/>
    <w:rsid w:val="00A85100"/>
    <w:rsid w:val="00A851B6"/>
    <w:rsid w:val="00A851ED"/>
    <w:rsid w:val="00A85729"/>
    <w:rsid w:val="00A8574B"/>
    <w:rsid w:val="00A857C0"/>
    <w:rsid w:val="00A85F5E"/>
    <w:rsid w:val="00A90343"/>
    <w:rsid w:val="00A90B8B"/>
    <w:rsid w:val="00A91336"/>
    <w:rsid w:val="00A9221C"/>
    <w:rsid w:val="00A92277"/>
    <w:rsid w:val="00A92916"/>
    <w:rsid w:val="00A929D1"/>
    <w:rsid w:val="00A92B4C"/>
    <w:rsid w:val="00A9334B"/>
    <w:rsid w:val="00A94628"/>
    <w:rsid w:val="00A94954"/>
    <w:rsid w:val="00A9497A"/>
    <w:rsid w:val="00A949A6"/>
    <w:rsid w:val="00A95545"/>
    <w:rsid w:val="00A95AAE"/>
    <w:rsid w:val="00A95AF3"/>
    <w:rsid w:val="00A96241"/>
    <w:rsid w:val="00A96463"/>
    <w:rsid w:val="00A96F21"/>
    <w:rsid w:val="00A97E3F"/>
    <w:rsid w:val="00A97EC0"/>
    <w:rsid w:val="00AA09D3"/>
    <w:rsid w:val="00AA0CDE"/>
    <w:rsid w:val="00AA1034"/>
    <w:rsid w:val="00AA1356"/>
    <w:rsid w:val="00AA220F"/>
    <w:rsid w:val="00AA23FB"/>
    <w:rsid w:val="00AA34FE"/>
    <w:rsid w:val="00AA42AB"/>
    <w:rsid w:val="00AA4A76"/>
    <w:rsid w:val="00AA50E5"/>
    <w:rsid w:val="00AA559A"/>
    <w:rsid w:val="00AA57A4"/>
    <w:rsid w:val="00AA5F10"/>
    <w:rsid w:val="00AA6FA8"/>
    <w:rsid w:val="00AA7C35"/>
    <w:rsid w:val="00AB0BB9"/>
    <w:rsid w:val="00AB104D"/>
    <w:rsid w:val="00AB1441"/>
    <w:rsid w:val="00AB1653"/>
    <w:rsid w:val="00AB2AF1"/>
    <w:rsid w:val="00AB440B"/>
    <w:rsid w:val="00AB47E3"/>
    <w:rsid w:val="00AB74C5"/>
    <w:rsid w:val="00AB75A7"/>
    <w:rsid w:val="00AB7BEE"/>
    <w:rsid w:val="00AB7DF2"/>
    <w:rsid w:val="00AC0725"/>
    <w:rsid w:val="00AC0B14"/>
    <w:rsid w:val="00AC1E3F"/>
    <w:rsid w:val="00AC20EB"/>
    <w:rsid w:val="00AC219A"/>
    <w:rsid w:val="00AC2CE1"/>
    <w:rsid w:val="00AC3D02"/>
    <w:rsid w:val="00AC49B5"/>
    <w:rsid w:val="00AC4F18"/>
    <w:rsid w:val="00AC5F5B"/>
    <w:rsid w:val="00AC69CA"/>
    <w:rsid w:val="00AC7501"/>
    <w:rsid w:val="00AC79F3"/>
    <w:rsid w:val="00AD0B46"/>
    <w:rsid w:val="00AD1094"/>
    <w:rsid w:val="00AD2565"/>
    <w:rsid w:val="00AD2862"/>
    <w:rsid w:val="00AD306C"/>
    <w:rsid w:val="00AD3111"/>
    <w:rsid w:val="00AD31B8"/>
    <w:rsid w:val="00AD3424"/>
    <w:rsid w:val="00AD3E3F"/>
    <w:rsid w:val="00AD4FEF"/>
    <w:rsid w:val="00AD50D1"/>
    <w:rsid w:val="00AD5414"/>
    <w:rsid w:val="00AD59BB"/>
    <w:rsid w:val="00AD5D68"/>
    <w:rsid w:val="00AD5D71"/>
    <w:rsid w:val="00AD6483"/>
    <w:rsid w:val="00AD675A"/>
    <w:rsid w:val="00AD6A63"/>
    <w:rsid w:val="00AD6BE5"/>
    <w:rsid w:val="00AD6C73"/>
    <w:rsid w:val="00AD7D49"/>
    <w:rsid w:val="00AE06D0"/>
    <w:rsid w:val="00AE1B8A"/>
    <w:rsid w:val="00AE20DF"/>
    <w:rsid w:val="00AE26E1"/>
    <w:rsid w:val="00AE39DC"/>
    <w:rsid w:val="00AE3CDA"/>
    <w:rsid w:val="00AE481D"/>
    <w:rsid w:val="00AE5270"/>
    <w:rsid w:val="00AE608F"/>
    <w:rsid w:val="00AE6734"/>
    <w:rsid w:val="00AE684E"/>
    <w:rsid w:val="00AE7968"/>
    <w:rsid w:val="00AE7B2B"/>
    <w:rsid w:val="00AE7DFF"/>
    <w:rsid w:val="00AF128B"/>
    <w:rsid w:val="00AF13A0"/>
    <w:rsid w:val="00AF1AEA"/>
    <w:rsid w:val="00AF2536"/>
    <w:rsid w:val="00AF2852"/>
    <w:rsid w:val="00AF3225"/>
    <w:rsid w:val="00AF398B"/>
    <w:rsid w:val="00AF4983"/>
    <w:rsid w:val="00AF4A95"/>
    <w:rsid w:val="00AF4B98"/>
    <w:rsid w:val="00AF4CA7"/>
    <w:rsid w:val="00AF518B"/>
    <w:rsid w:val="00AF5275"/>
    <w:rsid w:val="00AF5D62"/>
    <w:rsid w:val="00AF6367"/>
    <w:rsid w:val="00AF6A79"/>
    <w:rsid w:val="00AF6B7C"/>
    <w:rsid w:val="00AF724E"/>
    <w:rsid w:val="00AF73A9"/>
    <w:rsid w:val="00AF7C9B"/>
    <w:rsid w:val="00B013C0"/>
    <w:rsid w:val="00B01436"/>
    <w:rsid w:val="00B0178A"/>
    <w:rsid w:val="00B01C2C"/>
    <w:rsid w:val="00B0231C"/>
    <w:rsid w:val="00B034DC"/>
    <w:rsid w:val="00B05A37"/>
    <w:rsid w:val="00B07372"/>
    <w:rsid w:val="00B079BC"/>
    <w:rsid w:val="00B07C2A"/>
    <w:rsid w:val="00B10100"/>
    <w:rsid w:val="00B1076A"/>
    <w:rsid w:val="00B111CA"/>
    <w:rsid w:val="00B128E5"/>
    <w:rsid w:val="00B13681"/>
    <w:rsid w:val="00B13BCE"/>
    <w:rsid w:val="00B15C1D"/>
    <w:rsid w:val="00B15DCD"/>
    <w:rsid w:val="00B16201"/>
    <w:rsid w:val="00B16796"/>
    <w:rsid w:val="00B17335"/>
    <w:rsid w:val="00B17E71"/>
    <w:rsid w:val="00B17FDE"/>
    <w:rsid w:val="00B208FC"/>
    <w:rsid w:val="00B20C65"/>
    <w:rsid w:val="00B20DF8"/>
    <w:rsid w:val="00B2153E"/>
    <w:rsid w:val="00B21953"/>
    <w:rsid w:val="00B22E17"/>
    <w:rsid w:val="00B2419B"/>
    <w:rsid w:val="00B25567"/>
    <w:rsid w:val="00B25E31"/>
    <w:rsid w:val="00B266C5"/>
    <w:rsid w:val="00B26CDA"/>
    <w:rsid w:val="00B27293"/>
    <w:rsid w:val="00B300E8"/>
    <w:rsid w:val="00B301BB"/>
    <w:rsid w:val="00B30737"/>
    <w:rsid w:val="00B3216D"/>
    <w:rsid w:val="00B321E3"/>
    <w:rsid w:val="00B3229E"/>
    <w:rsid w:val="00B32DDB"/>
    <w:rsid w:val="00B340AD"/>
    <w:rsid w:val="00B34347"/>
    <w:rsid w:val="00B3447A"/>
    <w:rsid w:val="00B3448C"/>
    <w:rsid w:val="00B34931"/>
    <w:rsid w:val="00B34FC6"/>
    <w:rsid w:val="00B35174"/>
    <w:rsid w:val="00B35BEA"/>
    <w:rsid w:val="00B365CB"/>
    <w:rsid w:val="00B37915"/>
    <w:rsid w:val="00B3793D"/>
    <w:rsid w:val="00B40879"/>
    <w:rsid w:val="00B41BE6"/>
    <w:rsid w:val="00B42831"/>
    <w:rsid w:val="00B428A4"/>
    <w:rsid w:val="00B428EA"/>
    <w:rsid w:val="00B454B4"/>
    <w:rsid w:val="00B457E7"/>
    <w:rsid w:val="00B45D1B"/>
    <w:rsid w:val="00B45DE5"/>
    <w:rsid w:val="00B461D6"/>
    <w:rsid w:val="00B46248"/>
    <w:rsid w:val="00B46D25"/>
    <w:rsid w:val="00B47430"/>
    <w:rsid w:val="00B4795A"/>
    <w:rsid w:val="00B47AC6"/>
    <w:rsid w:val="00B52D2D"/>
    <w:rsid w:val="00B534EF"/>
    <w:rsid w:val="00B548DA"/>
    <w:rsid w:val="00B54B85"/>
    <w:rsid w:val="00B55BA8"/>
    <w:rsid w:val="00B55F15"/>
    <w:rsid w:val="00B561A6"/>
    <w:rsid w:val="00B56645"/>
    <w:rsid w:val="00B57CC4"/>
    <w:rsid w:val="00B60062"/>
    <w:rsid w:val="00B606B9"/>
    <w:rsid w:val="00B6136C"/>
    <w:rsid w:val="00B62960"/>
    <w:rsid w:val="00B6349B"/>
    <w:rsid w:val="00B63A11"/>
    <w:rsid w:val="00B63FD0"/>
    <w:rsid w:val="00B643EC"/>
    <w:rsid w:val="00B6449F"/>
    <w:rsid w:val="00B6493D"/>
    <w:rsid w:val="00B6553E"/>
    <w:rsid w:val="00B65C84"/>
    <w:rsid w:val="00B6608F"/>
    <w:rsid w:val="00B661F6"/>
    <w:rsid w:val="00B6724D"/>
    <w:rsid w:val="00B67E42"/>
    <w:rsid w:val="00B73180"/>
    <w:rsid w:val="00B74317"/>
    <w:rsid w:val="00B74D75"/>
    <w:rsid w:val="00B75700"/>
    <w:rsid w:val="00B75AAD"/>
    <w:rsid w:val="00B760C1"/>
    <w:rsid w:val="00B76D1E"/>
    <w:rsid w:val="00B77ABC"/>
    <w:rsid w:val="00B77BC8"/>
    <w:rsid w:val="00B77DC3"/>
    <w:rsid w:val="00B77FB7"/>
    <w:rsid w:val="00B800EB"/>
    <w:rsid w:val="00B822D2"/>
    <w:rsid w:val="00B823F1"/>
    <w:rsid w:val="00B831B4"/>
    <w:rsid w:val="00B83CFE"/>
    <w:rsid w:val="00B83D46"/>
    <w:rsid w:val="00B848B8"/>
    <w:rsid w:val="00B84A41"/>
    <w:rsid w:val="00B84D57"/>
    <w:rsid w:val="00B8504B"/>
    <w:rsid w:val="00B853C2"/>
    <w:rsid w:val="00B85689"/>
    <w:rsid w:val="00B8672A"/>
    <w:rsid w:val="00B86748"/>
    <w:rsid w:val="00B86B70"/>
    <w:rsid w:val="00B907EA"/>
    <w:rsid w:val="00B91EC9"/>
    <w:rsid w:val="00B924CA"/>
    <w:rsid w:val="00B92A4B"/>
    <w:rsid w:val="00B92C9D"/>
    <w:rsid w:val="00B93384"/>
    <w:rsid w:val="00B93530"/>
    <w:rsid w:val="00B93616"/>
    <w:rsid w:val="00B94417"/>
    <w:rsid w:val="00B945B0"/>
    <w:rsid w:val="00B945C1"/>
    <w:rsid w:val="00B94DE2"/>
    <w:rsid w:val="00B95566"/>
    <w:rsid w:val="00B95940"/>
    <w:rsid w:val="00B95EF8"/>
    <w:rsid w:val="00B95F50"/>
    <w:rsid w:val="00B96BD9"/>
    <w:rsid w:val="00B979A0"/>
    <w:rsid w:val="00BA094F"/>
    <w:rsid w:val="00BA0DED"/>
    <w:rsid w:val="00BA0F99"/>
    <w:rsid w:val="00BA1EC9"/>
    <w:rsid w:val="00BA622C"/>
    <w:rsid w:val="00BA6D2C"/>
    <w:rsid w:val="00BB0274"/>
    <w:rsid w:val="00BB0B13"/>
    <w:rsid w:val="00BB12AC"/>
    <w:rsid w:val="00BB16AD"/>
    <w:rsid w:val="00BB1CFD"/>
    <w:rsid w:val="00BB2C53"/>
    <w:rsid w:val="00BB32DA"/>
    <w:rsid w:val="00BB3A54"/>
    <w:rsid w:val="00BB4286"/>
    <w:rsid w:val="00BB462A"/>
    <w:rsid w:val="00BB4D26"/>
    <w:rsid w:val="00BB4E21"/>
    <w:rsid w:val="00BB51AF"/>
    <w:rsid w:val="00BB6F86"/>
    <w:rsid w:val="00BB7746"/>
    <w:rsid w:val="00BC10DE"/>
    <w:rsid w:val="00BC22EB"/>
    <w:rsid w:val="00BC26CA"/>
    <w:rsid w:val="00BC6556"/>
    <w:rsid w:val="00BC682B"/>
    <w:rsid w:val="00BC68BA"/>
    <w:rsid w:val="00BC6B04"/>
    <w:rsid w:val="00BC6D27"/>
    <w:rsid w:val="00BD059A"/>
    <w:rsid w:val="00BD08A0"/>
    <w:rsid w:val="00BD0CBB"/>
    <w:rsid w:val="00BD186B"/>
    <w:rsid w:val="00BD1EAC"/>
    <w:rsid w:val="00BD254C"/>
    <w:rsid w:val="00BD3428"/>
    <w:rsid w:val="00BD345F"/>
    <w:rsid w:val="00BD366B"/>
    <w:rsid w:val="00BD5298"/>
    <w:rsid w:val="00BD534C"/>
    <w:rsid w:val="00BD557B"/>
    <w:rsid w:val="00BD55A9"/>
    <w:rsid w:val="00BD56BC"/>
    <w:rsid w:val="00BD5D91"/>
    <w:rsid w:val="00BD6445"/>
    <w:rsid w:val="00BD6526"/>
    <w:rsid w:val="00BD6615"/>
    <w:rsid w:val="00BD6D50"/>
    <w:rsid w:val="00BE0D79"/>
    <w:rsid w:val="00BE0DB0"/>
    <w:rsid w:val="00BE15B9"/>
    <w:rsid w:val="00BE2C15"/>
    <w:rsid w:val="00BE3381"/>
    <w:rsid w:val="00BE3F09"/>
    <w:rsid w:val="00BE670A"/>
    <w:rsid w:val="00BE6906"/>
    <w:rsid w:val="00BE6CA9"/>
    <w:rsid w:val="00BF18F4"/>
    <w:rsid w:val="00BF1907"/>
    <w:rsid w:val="00BF1A69"/>
    <w:rsid w:val="00BF2C67"/>
    <w:rsid w:val="00BF3BC8"/>
    <w:rsid w:val="00BF3DF1"/>
    <w:rsid w:val="00BF3FE5"/>
    <w:rsid w:val="00BF4C31"/>
    <w:rsid w:val="00BF4E57"/>
    <w:rsid w:val="00BF53B8"/>
    <w:rsid w:val="00BF71D5"/>
    <w:rsid w:val="00BF786A"/>
    <w:rsid w:val="00BF7CB8"/>
    <w:rsid w:val="00BF7F08"/>
    <w:rsid w:val="00BF7F28"/>
    <w:rsid w:val="00C00831"/>
    <w:rsid w:val="00C00F20"/>
    <w:rsid w:val="00C01354"/>
    <w:rsid w:val="00C01700"/>
    <w:rsid w:val="00C01B84"/>
    <w:rsid w:val="00C027C8"/>
    <w:rsid w:val="00C034E6"/>
    <w:rsid w:val="00C05715"/>
    <w:rsid w:val="00C05926"/>
    <w:rsid w:val="00C06370"/>
    <w:rsid w:val="00C0784A"/>
    <w:rsid w:val="00C10B28"/>
    <w:rsid w:val="00C10B3B"/>
    <w:rsid w:val="00C10D62"/>
    <w:rsid w:val="00C10FAE"/>
    <w:rsid w:val="00C1135D"/>
    <w:rsid w:val="00C11DAF"/>
    <w:rsid w:val="00C11E1F"/>
    <w:rsid w:val="00C123B4"/>
    <w:rsid w:val="00C12A69"/>
    <w:rsid w:val="00C13150"/>
    <w:rsid w:val="00C13737"/>
    <w:rsid w:val="00C150BE"/>
    <w:rsid w:val="00C158B0"/>
    <w:rsid w:val="00C15A0C"/>
    <w:rsid w:val="00C15CEB"/>
    <w:rsid w:val="00C15DCB"/>
    <w:rsid w:val="00C16208"/>
    <w:rsid w:val="00C1711F"/>
    <w:rsid w:val="00C17AB1"/>
    <w:rsid w:val="00C17BF1"/>
    <w:rsid w:val="00C17E38"/>
    <w:rsid w:val="00C20027"/>
    <w:rsid w:val="00C2038A"/>
    <w:rsid w:val="00C205BF"/>
    <w:rsid w:val="00C20744"/>
    <w:rsid w:val="00C20B1C"/>
    <w:rsid w:val="00C20C4D"/>
    <w:rsid w:val="00C21D46"/>
    <w:rsid w:val="00C21F94"/>
    <w:rsid w:val="00C222A1"/>
    <w:rsid w:val="00C22C59"/>
    <w:rsid w:val="00C23371"/>
    <w:rsid w:val="00C23CBD"/>
    <w:rsid w:val="00C23D22"/>
    <w:rsid w:val="00C2412D"/>
    <w:rsid w:val="00C2463B"/>
    <w:rsid w:val="00C24E77"/>
    <w:rsid w:val="00C2613A"/>
    <w:rsid w:val="00C268AD"/>
    <w:rsid w:val="00C2732D"/>
    <w:rsid w:val="00C273C6"/>
    <w:rsid w:val="00C27913"/>
    <w:rsid w:val="00C3004E"/>
    <w:rsid w:val="00C300C6"/>
    <w:rsid w:val="00C30828"/>
    <w:rsid w:val="00C30924"/>
    <w:rsid w:val="00C31D16"/>
    <w:rsid w:val="00C31DD8"/>
    <w:rsid w:val="00C3271C"/>
    <w:rsid w:val="00C32A35"/>
    <w:rsid w:val="00C336DD"/>
    <w:rsid w:val="00C339DE"/>
    <w:rsid w:val="00C34D57"/>
    <w:rsid w:val="00C34FDE"/>
    <w:rsid w:val="00C35C16"/>
    <w:rsid w:val="00C36EC3"/>
    <w:rsid w:val="00C40E09"/>
    <w:rsid w:val="00C40F81"/>
    <w:rsid w:val="00C41463"/>
    <w:rsid w:val="00C41A06"/>
    <w:rsid w:val="00C41A72"/>
    <w:rsid w:val="00C42D45"/>
    <w:rsid w:val="00C43CB1"/>
    <w:rsid w:val="00C4422D"/>
    <w:rsid w:val="00C44EBB"/>
    <w:rsid w:val="00C466D1"/>
    <w:rsid w:val="00C476C5"/>
    <w:rsid w:val="00C47D7C"/>
    <w:rsid w:val="00C47EB6"/>
    <w:rsid w:val="00C503B0"/>
    <w:rsid w:val="00C511C2"/>
    <w:rsid w:val="00C51D4B"/>
    <w:rsid w:val="00C527C6"/>
    <w:rsid w:val="00C538FC"/>
    <w:rsid w:val="00C53CDB"/>
    <w:rsid w:val="00C53D7B"/>
    <w:rsid w:val="00C53D82"/>
    <w:rsid w:val="00C54748"/>
    <w:rsid w:val="00C553E8"/>
    <w:rsid w:val="00C574CF"/>
    <w:rsid w:val="00C575FB"/>
    <w:rsid w:val="00C60696"/>
    <w:rsid w:val="00C60943"/>
    <w:rsid w:val="00C60EEF"/>
    <w:rsid w:val="00C610C5"/>
    <w:rsid w:val="00C6121D"/>
    <w:rsid w:val="00C615F1"/>
    <w:rsid w:val="00C61627"/>
    <w:rsid w:val="00C6369F"/>
    <w:rsid w:val="00C636C0"/>
    <w:rsid w:val="00C63B1A"/>
    <w:rsid w:val="00C64E60"/>
    <w:rsid w:val="00C6517A"/>
    <w:rsid w:val="00C657A4"/>
    <w:rsid w:val="00C65B84"/>
    <w:rsid w:val="00C66589"/>
    <w:rsid w:val="00C6736C"/>
    <w:rsid w:val="00C7179C"/>
    <w:rsid w:val="00C71A1D"/>
    <w:rsid w:val="00C71EC4"/>
    <w:rsid w:val="00C73ED2"/>
    <w:rsid w:val="00C7410A"/>
    <w:rsid w:val="00C74735"/>
    <w:rsid w:val="00C74791"/>
    <w:rsid w:val="00C7591E"/>
    <w:rsid w:val="00C75C7E"/>
    <w:rsid w:val="00C75C9B"/>
    <w:rsid w:val="00C76425"/>
    <w:rsid w:val="00C76D8E"/>
    <w:rsid w:val="00C77833"/>
    <w:rsid w:val="00C80953"/>
    <w:rsid w:val="00C80C9B"/>
    <w:rsid w:val="00C8180B"/>
    <w:rsid w:val="00C8335E"/>
    <w:rsid w:val="00C83F9C"/>
    <w:rsid w:val="00C844CA"/>
    <w:rsid w:val="00C84CE3"/>
    <w:rsid w:val="00C85614"/>
    <w:rsid w:val="00C86127"/>
    <w:rsid w:val="00C864FB"/>
    <w:rsid w:val="00C86509"/>
    <w:rsid w:val="00C86F39"/>
    <w:rsid w:val="00C9003C"/>
    <w:rsid w:val="00C905B2"/>
    <w:rsid w:val="00C90CF4"/>
    <w:rsid w:val="00C91C19"/>
    <w:rsid w:val="00C92988"/>
    <w:rsid w:val="00C929A0"/>
    <w:rsid w:val="00C930FB"/>
    <w:rsid w:val="00C93389"/>
    <w:rsid w:val="00C937DB"/>
    <w:rsid w:val="00C93F0E"/>
    <w:rsid w:val="00C94519"/>
    <w:rsid w:val="00C94E11"/>
    <w:rsid w:val="00C94E83"/>
    <w:rsid w:val="00C9567E"/>
    <w:rsid w:val="00C9613F"/>
    <w:rsid w:val="00C97038"/>
    <w:rsid w:val="00C9730D"/>
    <w:rsid w:val="00C97D46"/>
    <w:rsid w:val="00CA02B2"/>
    <w:rsid w:val="00CA0883"/>
    <w:rsid w:val="00CA1085"/>
    <w:rsid w:val="00CA140F"/>
    <w:rsid w:val="00CA25C2"/>
    <w:rsid w:val="00CA2BF5"/>
    <w:rsid w:val="00CA37BB"/>
    <w:rsid w:val="00CA37CA"/>
    <w:rsid w:val="00CA39E1"/>
    <w:rsid w:val="00CA5016"/>
    <w:rsid w:val="00CA5724"/>
    <w:rsid w:val="00CA6508"/>
    <w:rsid w:val="00CA6B87"/>
    <w:rsid w:val="00CA6BA1"/>
    <w:rsid w:val="00CA6CD5"/>
    <w:rsid w:val="00CA6D0B"/>
    <w:rsid w:val="00CB158C"/>
    <w:rsid w:val="00CB1910"/>
    <w:rsid w:val="00CB2150"/>
    <w:rsid w:val="00CB289A"/>
    <w:rsid w:val="00CB28EE"/>
    <w:rsid w:val="00CB2B15"/>
    <w:rsid w:val="00CB2EEA"/>
    <w:rsid w:val="00CB39FE"/>
    <w:rsid w:val="00CB43A7"/>
    <w:rsid w:val="00CB49F6"/>
    <w:rsid w:val="00CB4DF1"/>
    <w:rsid w:val="00CB5996"/>
    <w:rsid w:val="00CB6809"/>
    <w:rsid w:val="00CB7452"/>
    <w:rsid w:val="00CC0E10"/>
    <w:rsid w:val="00CC0F96"/>
    <w:rsid w:val="00CC1DAF"/>
    <w:rsid w:val="00CC212E"/>
    <w:rsid w:val="00CC2642"/>
    <w:rsid w:val="00CC2967"/>
    <w:rsid w:val="00CC2A1E"/>
    <w:rsid w:val="00CC2A36"/>
    <w:rsid w:val="00CC2E15"/>
    <w:rsid w:val="00CC30E2"/>
    <w:rsid w:val="00CC3440"/>
    <w:rsid w:val="00CC351B"/>
    <w:rsid w:val="00CC3908"/>
    <w:rsid w:val="00CC4F3D"/>
    <w:rsid w:val="00CC575E"/>
    <w:rsid w:val="00CC62AD"/>
    <w:rsid w:val="00CC6CA2"/>
    <w:rsid w:val="00CC7086"/>
    <w:rsid w:val="00CC7B80"/>
    <w:rsid w:val="00CD0080"/>
    <w:rsid w:val="00CD0779"/>
    <w:rsid w:val="00CD1A5C"/>
    <w:rsid w:val="00CD2B3C"/>
    <w:rsid w:val="00CD2DA6"/>
    <w:rsid w:val="00CD30F6"/>
    <w:rsid w:val="00CD4907"/>
    <w:rsid w:val="00CD4B29"/>
    <w:rsid w:val="00CD5493"/>
    <w:rsid w:val="00CD5FE3"/>
    <w:rsid w:val="00CD6339"/>
    <w:rsid w:val="00CD6607"/>
    <w:rsid w:val="00CD67CA"/>
    <w:rsid w:val="00CD6954"/>
    <w:rsid w:val="00CD6DA3"/>
    <w:rsid w:val="00CD6EF1"/>
    <w:rsid w:val="00CD6FE1"/>
    <w:rsid w:val="00CD7E35"/>
    <w:rsid w:val="00CE0ABC"/>
    <w:rsid w:val="00CE0B0C"/>
    <w:rsid w:val="00CE0CD6"/>
    <w:rsid w:val="00CE1313"/>
    <w:rsid w:val="00CE21C7"/>
    <w:rsid w:val="00CE2682"/>
    <w:rsid w:val="00CE2756"/>
    <w:rsid w:val="00CE29D6"/>
    <w:rsid w:val="00CE31D8"/>
    <w:rsid w:val="00CE442A"/>
    <w:rsid w:val="00CE44CE"/>
    <w:rsid w:val="00CE4DEB"/>
    <w:rsid w:val="00CE57D8"/>
    <w:rsid w:val="00CE5F03"/>
    <w:rsid w:val="00CE617A"/>
    <w:rsid w:val="00CE6E3C"/>
    <w:rsid w:val="00CE7158"/>
    <w:rsid w:val="00CE797F"/>
    <w:rsid w:val="00CF0826"/>
    <w:rsid w:val="00CF107E"/>
    <w:rsid w:val="00CF15BF"/>
    <w:rsid w:val="00CF243E"/>
    <w:rsid w:val="00CF25D2"/>
    <w:rsid w:val="00CF28C2"/>
    <w:rsid w:val="00CF3D3A"/>
    <w:rsid w:val="00CF42BD"/>
    <w:rsid w:val="00CF51EC"/>
    <w:rsid w:val="00CF56A8"/>
    <w:rsid w:val="00CF5BD8"/>
    <w:rsid w:val="00CF6A9D"/>
    <w:rsid w:val="00CF6CD7"/>
    <w:rsid w:val="00CF7276"/>
    <w:rsid w:val="00CF75EC"/>
    <w:rsid w:val="00D002DF"/>
    <w:rsid w:val="00D0037A"/>
    <w:rsid w:val="00D0061E"/>
    <w:rsid w:val="00D00DAF"/>
    <w:rsid w:val="00D017EC"/>
    <w:rsid w:val="00D01CDA"/>
    <w:rsid w:val="00D020FC"/>
    <w:rsid w:val="00D024A1"/>
    <w:rsid w:val="00D03866"/>
    <w:rsid w:val="00D040DD"/>
    <w:rsid w:val="00D04E1B"/>
    <w:rsid w:val="00D0547B"/>
    <w:rsid w:val="00D076DB"/>
    <w:rsid w:val="00D07EFF"/>
    <w:rsid w:val="00D1067C"/>
    <w:rsid w:val="00D110AB"/>
    <w:rsid w:val="00D11102"/>
    <w:rsid w:val="00D11CBB"/>
    <w:rsid w:val="00D132AD"/>
    <w:rsid w:val="00D136D4"/>
    <w:rsid w:val="00D13830"/>
    <w:rsid w:val="00D13ECF"/>
    <w:rsid w:val="00D142E5"/>
    <w:rsid w:val="00D148CD"/>
    <w:rsid w:val="00D14AFA"/>
    <w:rsid w:val="00D155E4"/>
    <w:rsid w:val="00D1611E"/>
    <w:rsid w:val="00D163CC"/>
    <w:rsid w:val="00D16E69"/>
    <w:rsid w:val="00D17F4A"/>
    <w:rsid w:val="00D205A9"/>
    <w:rsid w:val="00D217EE"/>
    <w:rsid w:val="00D24299"/>
    <w:rsid w:val="00D245BA"/>
    <w:rsid w:val="00D248FE"/>
    <w:rsid w:val="00D250C2"/>
    <w:rsid w:val="00D252D6"/>
    <w:rsid w:val="00D2689E"/>
    <w:rsid w:val="00D26923"/>
    <w:rsid w:val="00D26E27"/>
    <w:rsid w:val="00D277FF"/>
    <w:rsid w:val="00D27856"/>
    <w:rsid w:val="00D27D34"/>
    <w:rsid w:val="00D3006B"/>
    <w:rsid w:val="00D301CA"/>
    <w:rsid w:val="00D30740"/>
    <w:rsid w:val="00D309C0"/>
    <w:rsid w:val="00D30DC4"/>
    <w:rsid w:val="00D31075"/>
    <w:rsid w:val="00D31445"/>
    <w:rsid w:val="00D31932"/>
    <w:rsid w:val="00D32AE0"/>
    <w:rsid w:val="00D360DA"/>
    <w:rsid w:val="00D3614A"/>
    <w:rsid w:val="00D369AD"/>
    <w:rsid w:val="00D374B3"/>
    <w:rsid w:val="00D37689"/>
    <w:rsid w:val="00D378CC"/>
    <w:rsid w:val="00D37E80"/>
    <w:rsid w:val="00D4042C"/>
    <w:rsid w:val="00D40B9E"/>
    <w:rsid w:val="00D41281"/>
    <w:rsid w:val="00D41320"/>
    <w:rsid w:val="00D42312"/>
    <w:rsid w:val="00D433F5"/>
    <w:rsid w:val="00D43998"/>
    <w:rsid w:val="00D439C2"/>
    <w:rsid w:val="00D44A1D"/>
    <w:rsid w:val="00D451E0"/>
    <w:rsid w:val="00D4538D"/>
    <w:rsid w:val="00D455F9"/>
    <w:rsid w:val="00D45A1D"/>
    <w:rsid w:val="00D45B52"/>
    <w:rsid w:val="00D4615E"/>
    <w:rsid w:val="00D4651F"/>
    <w:rsid w:val="00D478E2"/>
    <w:rsid w:val="00D51739"/>
    <w:rsid w:val="00D5264C"/>
    <w:rsid w:val="00D53794"/>
    <w:rsid w:val="00D53B5F"/>
    <w:rsid w:val="00D547BA"/>
    <w:rsid w:val="00D55626"/>
    <w:rsid w:val="00D556BC"/>
    <w:rsid w:val="00D5626D"/>
    <w:rsid w:val="00D56631"/>
    <w:rsid w:val="00D56D85"/>
    <w:rsid w:val="00D5759D"/>
    <w:rsid w:val="00D577A4"/>
    <w:rsid w:val="00D57E4B"/>
    <w:rsid w:val="00D60277"/>
    <w:rsid w:val="00D60336"/>
    <w:rsid w:val="00D61B06"/>
    <w:rsid w:val="00D61F88"/>
    <w:rsid w:val="00D623F7"/>
    <w:rsid w:val="00D62688"/>
    <w:rsid w:val="00D62901"/>
    <w:rsid w:val="00D6345E"/>
    <w:rsid w:val="00D6470C"/>
    <w:rsid w:val="00D64853"/>
    <w:rsid w:val="00D64CB5"/>
    <w:rsid w:val="00D66D48"/>
    <w:rsid w:val="00D7162F"/>
    <w:rsid w:val="00D72897"/>
    <w:rsid w:val="00D7305B"/>
    <w:rsid w:val="00D73256"/>
    <w:rsid w:val="00D7383E"/>
    <w:rsid w:val="00D73A30"/>
    <w:rsid w:val="00D73E6F"/>
    <w:rsid w:val="00D73FB6"/>
    <w:rsid w:val="00D74278"/>
    <w:rsid w:val="00D74ABF"/>
    <w:rsid w:val="00D74C65"/>
    <w:rsid w:val="00D74E97"/>
    <w:rsid w:val="00D74F21"/>
    <w:rsid w:val="00D754CE"/>
    <w:rsid w:val="00D758D0"/>
    <w:rsid w:val="00D75DC2"/>
    <w:rsid w:val="00D75DC3"/>
    <w:rsid w:val="00D766EF"/>
    <w:rsid w:val="00D76C03"/>
    <w:rsid w:val="00D77D68"/>
    <w:rsid w:val="00D77E0D"/>
    <w:rsid w:val="00D77F8D"/>
    <w:rsid w:val="00D80A6A"/>
    <w:rsid w:val="00D80E07"/>
    <w:rsid w:val="00D8118B"/>
    <w:rsid w:val="00D8119B"/>
    <w:rsid w:val="00D81B44"/>
    <w:rsid w:val="00D82462"/>
    <w:rsid w:val="00D831C6"/>
    <w:rsid w:val="00D83EF3"/>
    <w:rsid w:val="00D84BD1"/>
    <w:rsid w:val="00D85773"/>
    <w:rsid w:val="00D85886"/>
    <w:rsid w:val="00D85D55"/>
    <w:rsid w:val="00D867A7"/>
    <w:rsid w:val="00D868CE"/>
    <w:rsid w:val="00D86DAE"/>
    <w:rsid w:val="00D875C9"/>
    <w:rsid w:val="00D8776A"/>
    <w:rsid w:val="00D90116"/>
    <w:rsid w:val="00D90C1E"/>
    <w:rsid w:val="00D91BDF"/>
    <w:rsid w:val="00D91F2C"/>
    <w:rsid w:val="00D9266B"/>
    <w:rsid w:val="00D93F09"/>
    <w:rsid w:val="00D94859"/>
    <w:rsid w:val="00D954C2"/>
    <w:rsid w:val="00D95D83"/>
    <w:rsid w:val="00D96368"/>
    <w:rsid w:val="00D9640A"/>
    <w:rsid w:val="00D97AAD"/>
    <w:rsid w:val="00D97BB8"/>
    <w:rsid w:val="00DA1318"/>
    <w:rsid w:val="00DA1382"/>
    <w:rsid w:val="00DA28B7"/>
    <w:rsid w:val="00DA2FE8"/>
    <w:rsid w:val="00DA3F70"/>
    <w:rsid w:val="00DA4AF6"/>
    <w:rsid w:val="00DA649A"/>
    <w:rsid w:val="00DA7AB2"/>
    <w:rsid w:val="00DB016E"/>
    <w:rsid w:val="00DB06E9"/>
    <w:rsid w:val="00DB0870"/>
    <w:rsid w:val="00DB0BF3"/>
    <w:rsid w:val="00DB19BD"/>
    <w:rsid w:val="00DB1D55"/>
    <w:rsid w:val="00DB378E"/>
    <w:rsid w:val="00DB3C0D"/>
    <w:rsid w:val="00DB3E9D"/>
    <w:rsid w:val="00DB47B9"/>
    <w:rsid w:val="00DB4FB8"/>
    <w:rsid w:val="00DB53CE"/>
    <w:rsid w:val="00DB549D"/>
    <w:rsid w:val="00DB5792"/>
    <w:rsid w:val="00DB6A88"/>
    <w:rsid w:val="00DB7BA4"/>
    <w:rsid w:val="00DB7D77"/>
    <w:rsid w:val="00DC08D7"/>
    <w:rsid w:val="00DC08E4"/>
    <w:rsid w:val="00DC176E"/>
    <w:rsid w:val="00DC226A"/>
    <w:rsid w:val="00DC257F"/>
    <w:rsid w:val="00DC2A9F"/>
    <w:rsid w:val="00DC2FA9"/>
    <w:rsid w:val="00DC350B"/>
    <w:rsid w:val="00DC3790"/>
    <w:rsid w:val="00DC408A"/>
    <w:rsid w:val="00DC436D"/>
    <w:rsid w:val="00DC519B"/>
    <w:rsid w:val="00DC53D9"/>
    <w:rsid w:val="00DC5B3B"/>
    <w:rsid w:val="00DC60C2"/>
    <w:rsid w:val="00DC6796"/>
    <w:rsid w:val="00DC68E7"/>
    <w:rsid w:val="00DC6CC6"/>
    <w:rsid w:val="00DC78DF"/>
    <w:rsid w:val="00DC7D4C"/>
    <w:rsid w:val="00DD0726"/>
    <w:rsid w:val="00DD0821"/>
    <w:rsid w:val="00DD0E32"/>
    <w:rsid w:val="00DD1878"/>
    <w:rsid w:val="00DD1DC1"/>
    <w:rsid w:val="00DD20FA"/>
    <w:rsid w:val="00DD21F1"/>
    <w:rsid w:val="00DD2670"/>
    <w:rsid w:val="00DD2872"/>
    <w:rsid w:val="00DD2A62"/>
    <w:rsid w:val="00DD2BB1"/>
    <w:rsid w:val="00DD2BD0"/>
    <w:rsid w:val="00DD2BFE"/>
    <w:rsid w:val="00DD36E7"/>
    <w:rsid w:val="00DD373E"/>
    <w:rsid w:val="00DD3867"/>
    <w:rsid w:val="00DD57AD"/>
    <w:rsid w:val="00DD7435"/>
    <w:rsid w:val="00DD7C6D"/>
    <w:rsid w:val="00DE009B"/>
    <w:rsid w:val="00DE08F8"/>
    <w:rsid w:val="00DE0C31"/>
    <w:rsid w:val="00DE0E40"/>
    <w:rsid w:val="00DE1460"/>
    <w:rsid w:val="00DE2ED9"/>
    <w:rsid w:val="00DE319A"/>
    <w:rsid w:val="00DE5AD3"/>
    <w:rsid w:val="00DE6EAC"/>
    <w:rsid w:val="00DE74A8"/>
    <w:rsid w:val="00DE7B69"/>
    <w:rsid w:val="00DF0615"/>
    <w:rsid w:val="00DF0DC3"/>
    <w:rsid w:val="00DF1328"/>
    <w:rsid w:val="00DF18C6"/>
    <w:rsid w:val="00DF1A2F"/>
    <w:rsid w:val="00DF204C"/>
    <w:rsid w:val="00DF2078"/>
    <w:rsid w:val="00DF21FD"/>
    <w:rsid w:val="00DF2873"/>
    <w:rsid w:val="00DF293C"/>
    <w:rsid w:val="00DF330C"/>
    <w:rsid w:val="00DF34B2"/>
    <w:rsid w:val="00DF3A10"/>
    <w:rsid w:val="00DF4C74"/>
    <w:rsid w:val="00DF52AE"/>
    <w:rsid w:val="00DF5578"/>
    <w:rsid w:val="00DF594F"/>
    <w:rsid w:val="00DF6CF8"/>
    <w:rsid w:val="00DF6F6E"/>
    <w:rsid w:val="00DF78DD"/>
    <w:rsid w:val="00DF7FEC"/>
    <w:rsid w:val="00E00CCA"/>
    <w:rsid w:val="00E01B16"/>
    <w:rsid w:val="00E01B6E"/>
    <w:rsid w:val="00E01C0E"/>
    <w:rsid w:val="00E02086"/>
    <w:rsid w:val="00E023BE"/>
    <w:rsid w:val="00E02740"/>
    <w:rsid w:val="00E03B27"/>
    <w:rsid w:val="00E03B58"/>
    <w:rsid w:val="00E04694"/>
    <w:rsid w:val="00E049F6"/>
    <w:rsid w:val="00E04CA9"/>
    <w:rsid w:val="00E05B2B"/>
    <w:rsid w:val="00E05EAD"/>
    <w:rsid w:val="00E065FC"/>
    <w:rsid w:val="00E06A2A"/>
    <w:rsid w:val="00E07F05"/>
    <w:rsid w:val="00E106A2"/>
    <w:rsid w:val="00E127E1"/>
    <w:rsid w:val="00E12BCE"/>
    <w:rsid w:val="00E1409E"/>
    <w:rsid w:val="00E144D2"/>
    <w:rsid w:val="00E144D6"/>
    <w:rsid w:val="00E14A98"/>
    <w:rsid w:val="00E15346"/>
    <w:rsid w:val="00E15B7D"/>
    <w:rsid w:val="00E16157"/>
    <w:rsid w:val="00E17C5F"/>
    <w:rsid w:val="00E2097E"/>
    <w:rsid w:val="00E215EA"/>
    <w:rsid w:val="00E21CAB"/>
    <w:rsid w:val="00E221FC"/>
    <w:rsid w:val="00E222BB"/>
    <w:rsid w:val="00E22782"/>
    <w:rsid w:val="00E22E78"/>
    <w:rsid w:val="00E24619"/>
    <w:rsid w:val="00E24871"/>
    <w:rsid w:val="00E25223"/>
    <w:rsid w:val="00E25999"/>
    <w:rsid w:val="00E26123"/>
    <w:rsid w:val="00E263A8"/>
    <w:rsid w:val="00E30BEA"/>
    <w:rsid w:val="00E31764"/>
    <w:rsid w:val="00E3288A"/>
    <w:rsid w:val="00E329AB"/>
    <w:rsid w:val="00E32BC2"/>
    <w:rsid w:val="00E32DFC"/>
    <w:rsid w:val="00E33313"/>
    <w:rsid w:val="00E3405E"/>
    <w:rsid w:val="00E34985"/>
    <w:rsid w:val="00E34E4A"/>
    <w:rsid w:val="00E365B3"/>
    <w:rsid w:val="00E366BB"/>
    <w:rsid w:val="00E372FD"/>
    <w:rsid w:val="00E37C45"/>
    <w:rsid w:val="00E40844"/>
    <w:rsid w:val="00E40AAA"/>
    <w:rsid w:val="00E4164E"/>
    <w:rsid w:val="00E41A59"/>
    <w:rsid w:val="00E42444"/>
    <w:rsid w:val="00E427EA"/>
    <w:rsid w:val="00E42C77"/>
    <w:rsid w:val="00E42D52"/>
    <w:rsid w:val="00E438CF"/>
    <w:rsid w:val="00E43B06"/>
    <w:rsid w:val="00E43C41"/>
    <w:rsid w:val="00E4500E"/>
    <w:rsid w:val="00E450CE"/>
    <w:rsid w:val="00E45703"/>
    <w:rsid w:val="00E45A00"/>
    <w:rsid w:val="00E45CE7"/>
    <w:rsid w:val="00E4631F"/>
    <w:rsid w:val="00E46735"/>
    <w:rsid w:val="00E46A4A"/>
    <w:rsid w:val="00E46E03"/>
    <w:rsid w:val="00E46F78"/>
    <w:rsid w:val="00E4793B"/>
    <w:rsid w:val="00E479D8"/>
    <w:rsid w:val="00E47B32"/>
    <w:rsid w:val="00E47CB8"/>
    <w:rsid w:val="00E47FCD"/>
    <w:rsid w:val="00E522BB"/>
    <w:rsid w:val="00E52A3D"/>
    <w:rsid w:val="00E533B7"/>
    <w:rsid w:val="00E539E4"/>
    <w:rsid w:val="00E53C14"/>
    <w:rsid w:val="00E549C7"/>
    <w:rsid w:val="00E569C7"/>
    <w:rsid w:val="00E569D7"/>
    <w:rsid w:val="00E571F2"/>
    <w:rsid w:val="00E57429"/>
    <w:rsid w:val="00E60FCE"/>
    <w:rsid w:val="00E61EA8"/>
    <w:rsid w:val="00E62A33"/>
    <w:rsid w:val="00E63200"/>
    <w:rsid w:val="00E63221"/>
    <w:rsid w:val="00E63960"/>
    <w:rsid w:val="00E63BFD"/>
    <w:rsid w:val="00E63EC6"/>
    <w:rsid w:val="00E64AE4"/>
    <w:rsid w:val="00E64CFF"/>
    <w:rsid w:val="00E64EA1"/>
    <w:rsid w:val="00E6582D"/>
    <w:rsid w:val="00E669C7"/>
    <w:rsid w:val="00E67611"/>
    <w:rsid w:val="00E67859"/>
    <w:rsid w:val="00E70510"/>
    <w:rsid w:val="00E705CD"/>
    <w:rsid w:val="00E71262"/>
    <w:rsid w:val="00E71A58"/>
    <w:rsid w:val="00E71C3A"/>
    <w:rsid w:val="00E72BA7"/>
    <w:rsid w:val="00E737F6"/>
    <w:rsid w:val="00E7568F"/>
    <w:rsid w:val="00E764AE"/>
    <w:rsid w:val="00E76733"/>
    <w:rsid w:val="00E76F80"/>
    <w:rsid w:val="00E7724B"/>
    <w:rsid w:val="00E776DE"/>
    <w:rsid w:val="00E80E31"/>
    <w:rsid w:val="00E81130"/>
    <w:rsid w:val="00E813EF"/>
    <w:rsid w:val="00E81556"/>
    <w:rsid w:val="00E83DAB"/>
    <w:rsid w:val="00E841E3"/>
    <w:rsid w:val="00E84F21"/>
    <w:rsid w:val="00E85720"/>
    <w:rsid w:val="00E8618A"/>
    <w:rsid w:val="00E90A4B"/>
    <w:rsid w:val="00E90D67"/>
    <w:rsid w:val="00E90F73"/>
    <w:rsid w:val="00E910A7"/>
    <w:rsid w:val="00E91607"/>
    <w:rsid w:val="00E921C7"/>
    <w:rsid w:val="00E92995"/>
    <w:rsid w:val="00E92A8C"/>
    <w:rsid w:val="00E93035"/>
    <w:rsid w:val="00E932EA"/>
    <w:rsid w:val="00E9446C"/>
    <w:rsid w:val="00E94612"/>
    <w:rsid w:val="00E94ADB"/>
    <w:rsid w:val="00E95797"/>
    <w:rsid w:val="00E9682F"/>
    <w:rsid w:val="00E96A8D"/>
    <w:rsid w:val="00E96FC2"/>
    <w:rsid w:val="00E970D9"/>
    <w:rsid w:val="00E972BA"/>
    <w:rsid w:val="00E97FA2"/>
    <w:rsid w:val="00EA06CB"/>
    <w:rsid w:val="00EA0AF3"/>
    <w:rsid w:val="00EA0C68"/>
    <w:rsid w:val="00EA19E2"/>
    <w:rsid w:val="00EA1CFB"/>
    <w:rsid w:val="00EA2169"/>
    <w:rsid w:val="00EA3BF6"/>
    <w:rsid w:val="00EA3EBE"/>
    <w:rsid w:val="00EA3FAC"/>
    <w:rsid w:val="00EA4153"/>
    <w:rsid w:val="00EA421A"/>
    <w:rsid w:val="00EA5CD6"/>
    <w:rsid w:val="00EA76FD"/>
    <w:rsid w:val="00EA77CA"/>
    <w:rsid w:val="00EA78FE"/>
    <w:rsid w:val="00EB03D4"/>
    <w:rsid w:val="00EB0555"/>
    <w:rsid w:val="00EB0938"/>
    <w:rsid w:val="00EB0FCC"/>
    <w:rsid w:val="00EB1298"/>
    <w:rsid w:val="00EB20A0"/>
    <w:rsid w:val="00EB29CA"/>
    <w:rsid w:val="00EB2CE9"/>
    <w:rsid w:val="00EB30B6"/>
    <w:rsid w:val="00EB4335"/>
    <w:rsid w:val="00EB4FA4"/>
    <w:rsid w:val="00EB5146"/>
    <w:rsid w:val="00EB514B"/>
    <w:rsid w:val="00EB522B"/>
    <w:rsid w:val="00EB5410"/>
    <w:rsid w:val="00EB55E9"/>
    <w:rsid w:val="00EB5641"/>
    <w:rsid w:val="00EB592C"/>
    <w:rsid w:val="00EB599D"/>
    <w:rsid w:val="00EB5CA9"/>
    <w:rsid w:val="00EB5ED4"/>
    <w:rsid w:val="00EB6537"/>
    <w:rsid w:val="00EB70E1"/>
    <w:rsid w:val="00EB7EB5"/>
    <w:rsid w:val="00EC0860"/>
    <w:rsid w:val="00EC0EC1"/>
    <w:rsid w:val="00EC424C"/>
    <w:rsid w:val="00EC454B"/>
    <w:rsid w:val="00EC4941"/>
    <w:rsid w:val="00EC4D9C"/>
    <w:rsid w:val="00EC6153"/>
    <w:rsid w:val="00EC7F92"/>
    <w:rsid w:val="00ED00A8"/>
    <w:rsid w:val="00ED0A79"/>
    <w:rsid w:val="00ED0C9B"/>
    <w:rsid w:val="00ED2989"/>
    <w:rsid w:val="00ED2B0B"/>
    <w:rsid w:val="00ED2CA5"/>
    <w:rsid w:val="00ED336F"/>
    <w:rsid w:val="00ED390A"/>
    <w:rsid w:val="00ED3A94"/>
    <w:rsid w:val="00ED40F0"/>
    <w:rsid w:val="00ED4AC0"/>
    <w:rsid w:val="00ED54D6"/>
    <w:rsid w:val="00ED5726"/>
    <w:rsid w:val="00ED7AA7"/>
    <w:rsid w:val="00ED7C3C"/>
    <w:rsid w:val="00EE0113"/>
    <w:rsid w:val="00EE0298"/>
    <w:rsid w:val="00EE0384"/>
    <w:rsid w:val="00EE043A"/>
    <w:rsid w:val="00EE0473"/>
    <w:rsid w:val="00EE07DE"/>
    <w:rsid w:val="00EE1057"/>
    <w:rsid w:val="00EE10AA"/>
    <w:rsid w:val="00EE1637"/>
    <w:rsid w:val="00EE208C"/>
    <w:rsid w:val="00EE3547"/>
    <w:rsid w:val="00EE3B7A"/>
    <w:rsid w:val="00EE3CA2"/>
    <w:rsid w:val="00EE3E78"/>
    <w:rsid w:val="00EE450E"/>
    <w:rsid w:val="00EE4534"/>
    <w:rsid w:val="00EE495A"/>
    <w:rsid w:val="00EE5E02"/>
    <w:rsid w:val="00EE617D"/>
    <w:rsid w:val="00EE61BF"/>
    <w:rsid w:val="00EE6538"/>
    <w:rsid w:val="00EE6748"/>
    <w:rsid w:val="00EE6C6B"/>
    <w:rsid w:val="00EF0E75"/>
    <w:rsid w:val="00EF1D92"/>
    <w:rsid w:val="00EF1ED5"/>
    <w:rsid w:val="00EF1F5A"/>
    <w:rsid w:val="00EF303D"/>
    <w:rsid w:val="00EF3486"/>
    <w:rsid w:val="00EF35CA"/>
    <w:rsid w:val="00EF3CF0"/>
    <w:rsid w:val="00EF4685"/>
    <w:rsid w:val="00EF51FE"/>
    <w:rsid w:val="00EF5397"/>
    <w:rsid w:val="00EF63CC"/>
    <w:rsid w:val="00EF6B4F"/>
    <w:rsid w:val="00EF6BE3"/>
    <w:rsid w:val="00F00D0E"/>
    <w:rsid w:val="00F00D3C"/>
    <w:rsid w:val="00F020EA"/>
    <w:rsid w:val="00F02A72"/>
    <w:rsid w:val="00F032C4"/>
    <w:rsid w:val="00F0356B"/>
    <w:rsid w:val="00F04811"/>
    <w:rsid w:val="00F0488C"/>
    <w:rsid w:val="00F0496E"/>
    <w:rsid w:val="00F04D10"/>
    <w:rsid w:val="00F04FAE"/>
    <w:rsid w:val="00F053EA"/>
    <w:rsid w:val="00F0540C"/>
    <w:rsid w:val="00F06158"/>
    <w:rsid w:val="00F0625B"/>
    <w:rsid w:val="00F068A8"/>
    <w:rsid w:val="00F06944"/>
    <w:rsid w:val="00F069AC"/>
    <w:rsid w:val="00F06C6F"/>
    <w:rsid w:val="00F0732D"/>
    <w:rsid w:val="00F101FF"/>
    <w:rsid w:val="00F104DF"/>
    <w:rsid w:val="00F10A33"/>
    <w:rsid w:val="00F10B64"/>
    <w:rsid w:val="00F1186C"/>
    <w:rsid w:val="00F11AD5"/>
    <w:rsid w:val="00F126D0"/>
    <w:rsid w:val="00F12A83"/>
    <w:rsid w:val="00F14ACD"/>
    <w:rsid w:val="00F15309"/>
    <w:rsid w:val="00F15BEF"/>
    <w:rsid w:val="00F160EC"/>
    <w:rsid w:val="00F172BE"/>
    <w:rsid w:val="00F1776C"/>
    <w:rsid w:val="00F2037E"/>
    <w:rsid w:val="00F20D17"/>
    <w:rsid w:val="00F2103E"/>
    <w:rsid w:val="00F214FC"/>
    <w:rsid w:val="00F21837"/>
    <w:rsid w:val="00F21C31"/>
    <w:rsid w:val="00F23825"/>
    <w:rsid w:val="00F2389A"/>
    <w:rsid w:val="00F23F6C"/>
    <w:rsid w:val="00F23FFF"/>
    <w:rsid w:val="00F24115"/>
    <w:rsid w:val="00F243F6"/>
    <w:rsid w:val="00F2441D"/>
    <w:rsid w:val="00F2490D"/>
    <w:rsid w:val="00F24FAA"/>
    <w:rsid w:val="00F25226"/>
    <w:rsid w:val="00F25860"/>
    <w:rsid w:val="00F26197"/>
    <w:rsid w:val="00F273D4"/>
    <w:rsid w:val="00F307DD"/>
    <w:rsid w:val="00F30C2E"/>
    <w:rsid w:val="00F30CB4"/>
    <w:rsid w:val="00F30EBF"/>
    <w:rsid w:val="00F318FC"/>
    <w:rsid w:val="00F31D53"/>
    <w:rsid w:val="00F31F76"/>
    <w:rsid w:val="00F325A3"/>
    <w:rsid w:val="00F3267A"/>
    <w:rsid w:val="00F3364D"/>
    <w:rsid w:val="00F339D0"/>
    <w:rsid w:val="00F353AE"/>
    <w:rsid w:val="00F35ACD"/>
    <w:rsid w:val="00F365BF"/>
    <w:rsid w:val="00F36BB9"/>
    <w:rsid w:val="00F36BF8"/>
    <w:rsid w:val="00F36FC0"/>
    <w:rsid w:val="00F375BA"/>
    <w:rsid w:val="00F37760"/>
    <w:rsid w:val="00F37F3C"/>
    <w:rsid w:val="00F403D1"/>
    <w:rsid w:val="00F40562"/>
    <w:rsid w:val="00F4170B"/>
    <w:rsid w:val="00F43292"/>
    <w:rsid w:val="00F43921"/>
    <w:rsid w:val="00F44E1B"/>
    <w:rsid w:val="00F45222"/>
    <w:rsid w:val="00F4524F"/>
    <w:rsid w:val="00F45530"/>
    <w:rsid w:val="00F4591F"/>
    <w:rsid w:val="00F47321"/>
    <w:rsid w:val="00F4736B"/>
    <w:rsid w:val="00F47804"/>
    <w:rsid w:val="00F47997"/>
    <w:rsid w:val="00F47D05"/>
    <w:rsid w:val="00F50030"/>
    <w:rsid w:val="00F502F5"/>
    <w:rsid w:val="00F50B9D"/>
    <w:rsid w:val="00F51724"/>
    <w:rsid w:val="00F51FC9"/>
    <w:rsid w:val="00F529EE"/>
    <w:rsid w:val="00F52AE1"/>
    <w:rsid w:val="00F53243"/>
    <w:rsid w:val="00F541ED"/>
    <w:rsid w:val="00F54B31"/>
    <w:rsid w:val="00F54C70"/>
    <w:rsid w:val="00F54FD3"/>
    <w:rsid w:val="00F554F9"/>
    <w:rsid w:val="00F55605"/>
    <w:rsid w:val="00F56375"/>
    <w:rsid w:val="00F56E04"/>
    <w:rsid w:val="00F57CAD"/>
    <w:rsid w:val="00F57CD7"/>
    <w:rsid w:val="00F6080A"/>
    <w:rsid w:val="00F61BFE"/>
    <w:rsid w:val="00F62F02"/>
    <w:rsid w:val="00F6339F"/>
    <w:rsid w:val="00F638E6"/>
    <w:rsid w:val="00F63DDE"/>
    <w:rsid w:val="00F63FB7"/>
    <w:rsid w:val="00F64726"/>
    <w:rsid w:val="00F64C5B"/>
    <w:rsid w:val="00F64F44"/>
    <w:rsid w:val="00F6561A"/>
    <w:rsid w:val="00F66243"/>
    <w:rsid w:val="00F66CA8"/>
    <w:rsid w:val="00F67BDA"/>
    <w:rsid w:val="00F70309"/>
    <w:rsid w:val="00F7078A"/>
    <w:rsid w:val="00F70C8E"/>
    <w:rsid w:val="00F70E45"/>
    <w:rsid w:val="00F727D5"/>
    <w:rsid w:val="00F72F44"/>
    <w:rsid w:val="00F73150"/>
    <w:rsid w:val="00F73A0C"/>
    <w:rsid w:val="00F7593A"/>
    <w:rsid w:val="00F7593B"/>
    <w:rsid w:val="00F759DC"/>
    <w:rsid w:val="00F76309"/>
    <w:rsid w:val="00F76563"/>
    <w:rsid w:val="00F76F35"/>
    <w:rsid w:val="00F7717C"/>
    <w:rsid w:val="00F771A5"/>
    <w:rsid w:val="00F77387"/>
    <w:rsid w:val="00F80021"/>
    <w:rsid w:val="00F804FA"/>
    <w:rsid w:val="00F80D1E"/>
    <w:rsid w:val="00F817A4"/>
    <w:rsid w:val="00F81C3A"/>
    <w:rsid w:val="00F83573"/>
    <w:rsid w:val="00F835E1"/>
    <w:rsid w:val="00F835FC"/>
    <w:rsid w:val="00F8373A"/>
    <w:rsid w:val="00F83E21"/>
    <w:rsid w:val="00F83FA4"/>
    <w:rsid w:val="00F8410C"/>
    <w:rsid w:val="00F84E18"/>
    <w:rsid w:val="00F852E5"/>
    <w:rsid w:val="00F853A5"/>
    <w:rsid w:val="00F8630A"/>
    <w:rsid w:val="00F86F2E"/>
    <w:rsid w:val="00F90350"/>
    <w:rsid w:val="00F916FB"/>
    <w:rsid w:val="00F91EAF"/>
    <w:rsid w:val="00F9310A"/>
    <w:rsid w:val="00F94681"/>
    <w:rsid w:val="00F95117"/>
    <w:rsid w:val="00F951D6"/>
    <w:rsid w:val="00F96E38"/>
    <w:rsid w:val="00F97ED2"/>
    <w:rsid w:val="00FA05D7"/>
    <w:rsid w:val="00FA16BD"/>
    <w:rsid w:val="00FA1992"/>
    <w:rsid w:val="00FA1C6C"/>
    <w:rsid w:val="00FA23C1"/>
    <w:rsid w:val="00FA2447"/>
    <w:rsid w:val="00FA2A4A"/>
    <w:rsid w:val="00FA2BDE"/>
    <w:rsid w:val="00FA2C2A"/>
    <w:rsid w:val="00FA309A"/>
    <w:rsid w:val="00FA6B3F"/>
    <w:rsid w:val="00FA7644"/>
    <w:rsid w:val="00FA76E1"/>
    <w:rsid w:val="00FB0A9A"/>
    <w:rsid w:val="00FB16AD"/>
    <w:rsid w:val="00FB1BC4"/>
    <w:rsid w:val="00FB1F21"/>
    <w:rsid w:val="00FB332E"/>
    <w:rsid w:val="00FB3763"/>
    <w:rsid w:val="00FB483B"/>
    <w:rsid w:val="00FB56F1"/>
    <w:rsid w:val="00FB5A54"/>
    <w:rsid w:val="00FB5FD4"/>
    <w:rsid w:val="00FB6398"/>
    <w:rsid w:val="00FB67F3"/>
    <w:rsid w:val="00FB6AF4"/>
    <w:rsid w:val="00FB7710"/>
    <w:rsid w:val="00FC0D8A"/>
    <w:rsid w:val="00FC0E5F"/>
    <w:rsid w:val="00FC135D"/>
    <w:rsid w:val="00FC26FB"/>
    <w:rsid w:val="00FC2CF4"/>
    <w:rsid w:val="00FC3C84"/>
    <w:rsid w:val="00FC3EED"/>
    <w:rsid w:val="00FC428D"/>
    <w:rsid w:val="00FC4660"/>
    <w:rsid w:val="00FC56DE"/>
    <w:rsid w:val="00FC5E01"/>
    <w:rsid w:val="00FC6140"/>
    <w:rsid w:val="00FC6DB5"/>
    <w:rsid w:val="00FC740A"/>
    <w:rsid w:val="00FD1261"/>
    <w:rsid w:val="00FD1627"/>
    <w:rsid w:val="00FD1BBD"/>
    <w:rsid w:val="00FD33E5"/>
    <w:rsid w:val="00FD38B2"/>
    <w:rsid w:val="00FD38F7"/>
    <w:rsid w:val="00FD4262"/>
    <w:rsid w:val="00FD43A0"/>
    <w:rsid w:val="00FD473D"/>
    <w:rsid w:val="00FD55BA"/>
    <w:rsid w:val="00FD61C8"/>
    <w:rsid w:val="00FD63CE"/>
    <w:rsid w:val="00FD77BB"/>
    <w:rsid w:val="00FD7D49"/>
    <w:rsid w:val="00FE1251"/>
    <w:rsid w:val="00FE16E6"/>
    <w:rsid w:val="00FE2F3B"/>
    <w:rsid w:val="00FE2F78"/>
    <w:rsid w:val="00FE3510"/>
    <w:rsid w:val="00FE371D"/>
    <w:rsid w:val="00FE375F"/>
    <w:rsid w:val="00FE3D8B"/>
    <w:rsid w:val="00FE4FCB"/>
    <w:rsid w:val="00FE60A8"/>
    <w:rsid w:val="00FE688F"/>
    <w:rsid w:val="00FE6920"/>
    <w:rsid w:val="00FE705E"/>
    <w:rsid w:val="00FF02EB"/>
    <w:rsid w:val="00FF288B"/>
    <w:rsid w:val="00FF28E0"/>
    <w:rsid w:val="00FF2FB4"/>
    <w:rsid w:val="00FF30B3"/>
    <w:rsid w:val="00FF3DF3"/>
    <w:rsid w:val="00FF4027"/>
    <w:rsid w:val="00FF45A2"/>
    <w:rsid w:val="00FF4BD5"/>
    <w:rsid w:val="00FF55B1"/>
    <w:rsid w:val="00FF5A33"/>
    <w:rsid w:val="00FF65DF"/>
    <w:rsid w:val="00FF6B00"/>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 w:type="paragraph" w:styleId="Pedmtkomente">
    <w:name w:val="annotation subject"/>
    <w:basedOn w:val="Textkomente"/>
    <w:next w:val="Textkomente"/>
    <w:link w:val="PedmtkomenteChar"/>
    <w:uiPriority w:val="99"/>
    <w:semiHidden/>
    <w:unhideWhenUsed/>
    <w:locked/>
    <w:rsid w:val="009E72A1"/>
    <w:rPr>
      <w:b/>
      <w:bCs/>
    </w:rPr>
  </w:style>
  <w:style w:type="character" w:customStyle="1" w:styleId="PedmtkomenteChar">
    <w:name w:val="Předmět komentáře Char"/>
    <w:basedOn w:val="TextkomenteChar"/>
    <w:link w:val="Pedmtkomente"/>
    <w:uiPriority w:val="99"/>
    <w:semiHidden/>
    <w:rsid w:val="009E72A1"/>
    <w:rPr>
      <w:rFonts w:ascii="Arial" w:hAnsi="Arial"/>
      <w:b/>
      <w:bCs/>
    </w:rPr>
  </w:style>
  <w:style w:type="character" w:styleId="Zvraznn">
    <w:name w:val="Emphasis"/>
    <w:basedOn w:val="Standardnpsmoodstavce"/>
    <w:uiPriority w:val="20"/>
    <w:qFormat/>
    <w:locked/>
    <w:rsid w:val="005D7503"/>
    <w:rPr>
      <w:i/>
      <w:iCs/>
    </w:rPr>
  </w:style>
  <w:style w:type="paragraph" w:styleId="Revize">
    <w:name w:val="Revision"/>
    <w:hidden/>
    <w:uiPriority w:val="99"/>
    <w:semiHidden/>
    <w:rsid w:val="0079638B"/>
    <w:rPr>
      <w:rFonts w:ascii="Arial" w:hAnsi="Arial"/>
      <w:szCs w:val="24"/>
    </w:rPr>
  </w:style>
  <w:style w:type="character" w:customStyle="1" w:styleId="shorttext">
    <w:name w:val="short_text"/>
    <w:basedOn w:val="Standardnpsmoodstavce"/>
    <w:rsid w:val="00F96E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 w:type="paragraph" w:styleId="Pedmtkomente">
    <w:name w:val="annotation subject"/>
    <w:basedOn w:val="Textkomente"/>
    <w:next w:val="Textkomente"/>
    <w:link w:val="PedmtkomenteChar"/>
    <w:uiPriority w:val="99"/>
    <w:semiHidden/>
    <w:unhideWhenUsed/>
    <w:locked/>
    <w:rsid w:val="009E72A1"/>
    <w:rPr>
      <w:b/>
      <w:bCs/>
    </w:rPr>
  </w:style>
  <w:style w:type="character" w:customStyle="1" w:styleId="PedmtkomenteChar">
    <w:name w:val="Předmět komentáře Char"/>
    <w:basedOn w:val="TextkomenteChar"/>
    <w:link w:val="Pedmtkomente"/>
    <w:uiPriority w:val="99"/>
    <w:semiHidden/>
    <w:rsid w:val="009E72A1"/>
    <w:rPr>
      <w:rFonts w:ascii="Arial" w:hAnsi="Arial"/>
      <w:b/>
      <w:bCs/>
    </w:rPr>
  </w:style>
  <w:style w:type="character" w:styleId="Zvraznn">
    <w:name w:val="Emphasis"/>
    <w:basedOn w:val="Standardnpsmoodstavce"/>
    <w:uiPriority w:val="20"/>
    <w:qFormat/>
    <w:locked/>
    <w:rsid w:val="005D7503"/>
    <w:rPr>
      <w:i/>
      <w:iCs/>
    </w:rPr>
  </w:style>
  <w:style w:type="paragraph" w:styleId="Revize">
    <w:name w:val="Revision"/>
    <w:hidden/>
    <w:uiPriority w:val="99"/>
    <w:semiHidden/>
    <w:rsid w:val="0079638B"/>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82268191">
      <w:bodyDiv w:val="1"/>
      <w:marLeft w:val="0"/>
      <w:marRight w:val="0"/>
      <w:marTop w:val="0"/>
      <w:marBottom w:val="0"/>
      <w:divBdr>
        <w:top w:val="none" w:sz="0" w:space="0" w:color="auto"/>
        <w:left w:val="none" w:sz="0" w:space="0" w:color="auto"/>
        <w:bottom w:val="none" w:sz="0" w:space="0" w:color="auto"/>
        <w:right w:val="none" w:sz="0" w:space="0" w:color="auto"/>
      </w:divBdr>
    </w:div>
    <w:div w:id="858011097">
      <w:bodyDiv w:val="1"/>
      <w:marLeft w:val="50"/>
      <w:marRight w:val="50"/>
      <w:marTop w:val="50"/>
      <w:marBottom w:val="13"/>
      <w:divBdr>
        <w:top w:val="none" w:sz="0" w:space="0" w:color="auto"/>
        <w:left w:val="none" w:sz="0" w:space="0" w:color="auto"/>
        <w:bottom w:val="none" w:sz="0" w:space="0" w:color="auto"/>
        <w:right w:val="none" w:sz="0" w:space="0" w:color="auto"/>
      </w:divBdr>
      <w:divsChild>
        <w:div w:id="727414442">
          <w:marLeft w:val="0"/>
          <w:marRight w:val="0"/>
          <w:marTop w:val="0"/>
          <w:marBottom w:val="0"/>
          <w:divBdr>
            <w:top w:val="none" w:sz="0" w:space="0" w:color="auto"/>
            <w:left w:val="none" w:sz="0" w:space="0" w:color="auto"/>
            <w:bottom w:val="none" w:sz="0" w:space="0" w:color="auto"/>
            <w:right w:val="none" w:sz="0" w:space="0" w:color="auto"/>
          </w:divBdr>
        </w:div>
        <w:div w:id="1946301921">
          <w:marLeft w:val="0"/>
          <w:marRight w:val="0"/>
          <w:marTop w:val="0"/>
          <w:marBottom w:val="0"/>
          <w:divBdr>
            <w:top w:val="none" w:sz="0" w:space="0" w:color="auto"/>
            <w:left w:val="none" w:sz="0" w:space="0" w:color="auto"/>
            <w:bottom w:val="none" w:sz="0" w:space="0" w:color="auto"/>
            <w:right w:val="none" w:sz="0" w:space="0" w:color="auto"/>
          </w:divBdr>
        </w:div>
        <w:div w:id="1820540680">
          <w:marLeft w:val="0"/>
          <w:marRight w:val="0"/>
          <w:marTop w:val="0"/>
          <w:marBottom w:val="0"/>
          <w:divBdr>
            <w:top w:val="none" w:sz="0" w:space="0" w:color="auto"/>
            <w:left w:val="none" w:sz="0" w:space="0" w:color="auto"/>
            <w:bottom w:val="none" w:sz="0" w:space="0" w:color="auto"/>
            <w:right w:val="none" w:sz="0" w:space="0" w:color="auto"/>
          </w:divBdr>
          <w:divsChild>
            <w:div w:id="2134322281">
              <w:marLeft w:val="0"/>
              <w:marRight w:val="0"/>
              <w:marTop w:val="0"/>
              <w:marBottom w:val="0"/>
              <w:divBdr>
                <w:top w:val="none" w:sz="0" w:space="0" w:color="auto"/>
                <w:left w:val="none" w:sz="0" w:space="0" w:color="auto"/>
                <w:bottom w:val="none" w:sz="0" w:space="0" w:color="auto"/>
                <w:right w:val="none" w:sz="0" w:space="0" w:color="auto"/>
              </w:divBdr>
            </w:div>
            <w:div w:id="523054529">
              <w:marLeft w:val="0"/>
              <w:marRight w:val="0"/>
              <w:marTop w:val="0"/>
              <w:marBottom w:val="0"/>
              <w:divBdr>
                <w:top w:val="none" w:sz="0" w:space="0" w:color="auto"/>
                <w:left w:val="none" w:sz="0" w:space="0" w:color="auto"/>
                <w:bottom w:val="none" w:sz="0" w:space="0" w:color="auto"/>
                <w:right w:val="none" w:sz="0" w:space="0" w:color="auto"/>
              </w:divBdr>
              <w:divsChild>
                <w:div w:id="1558934058">
                  <w:marLeft w:val="0"/>
                  <w:marRight w:val="0"/>
                  <w:marTop w:val="0"/>
                  <w:marBottom w:val="0"/>
                  <w:divBdr>
                    <w:top w:val="none" w:sz="0" w:space="0" w:color="auto"/>
                    <w:left w:val="none" w:sz="0" w:space="0" w:color="auto"/>
                    <w:bottom w:val="none" w:sz="0" w:space="0" w:color="auto"/>
                    <w:right w:val="none" w:sz="0" w:space="0" w:color="auto"/>
                  </w:divBdr>
                </w:div>
                <w:div w:id="1850876401">
                  <w:marLeft w:val="0"/>
                  <w:marRight w:val="0"/>
                  <w:marTop w:val="0"/>
                  <w:marBottom w:val="0"/>
                  <w:divBdr>
                    <w:top w:val="none" w:sz="0" w:space="0" w:color="auto"/>
                    <w:left w:val="none" w:sz="0" w:space="0" w:color="auto"/>
                    <w:bottom w:val="none" w:sz="0" w:space="0" w:color="auto"/>
                    <w:right w:val="none" w:sz="0" w:space="0" w:color="auto"/>
                  </w:divBdr>
                </w:div>
                <w:div w:id="797725160">
                  <w:marLeft w:val="0"/>
                  <w:marRight w:val="0"/>
                  <w:marTop w:val="0"/>
                  <w:marBottom w:val="0"/>
                  <w:divBdr>
                    <w:top w:val="none" w:sz="0" w:space="0" w:color="auto"/>
                    <w:left w:val="none" w:sz="0" w:space="0" w:color="auto"/>
                    <w:bottom w:val="none" w:sz="0" w:space="0" w:color="auto"/>
                    <w:right w:val="none" w:sz="0" w:space="0" w:color="auto"/>
                  </w:divBdr>
                </w:div>
                <w:div w:id="14808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847">
          <w:marLeft w:val="0"/>
          <w:marRight w:val="0"/>
          <w:marTop w:val="0"/>
          <w:marBottom w:val="0"/>
          <w:divBdr>
            <w:top w:val="none" w:sz="0" w:space="0" w:color="auto"/>
            <w:left w:val="none" w:sz="0" w:space="0" w:color="auto"/>
            <w:bottom w:val="none" w:sz="0" w:space="0" w:color="auto"/>
            <w:right w:val="none" w:sz="0" w:space="0" w:color="auto"/>
          </w:divBdr>
        </w:div>
      </w:divsChild>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1328634465">
      <w:bodyDiv w:val="1"/>
      <w:marLeft w:val="0"/>
      <w:marRight w:val="0"/>
      <w:marTop w:val="0"/>
      <w:marBottom w:val="0"/>
      <w:divBdr>
        <w:top w:val="none" w:sz="0" w:space="0" w:color="auto"/>
        <w:left w:val="none" w:sz="0" w:space="0" w:color="auto"/>
        <w:bottom w:val="none" w:sz="0" w:space="0" w:color="auto"/>
        <w:right w:val="none" w:sz="0" w:space="0" w:color="auto"/>
      </w:divBdr>
    </w:div>
    <w:div w:id="1644196240">
      <w:bodyDiv w:val="1"/>
      <w:marLeft w:val="40"/>
      <w:marRight w:val="40"/>
      <w:marTop w:val="40"/>
      <w:marBottom w:val="10"/>
      <w:divBdr>
        <w:top w:val="none" w:sz="0" w:space="0" w:color="auto"/>
        <w:left w:val="none" w:sz="0" w:space="0" w:color="auto"/>
        <w:bottom w:val="none" w:sz="0" w:space="0" w:color="auto"/>
        <w:right w:val="none" w:sz="0" w:space="0" w:color="auto"/>
      </w:divBdr>
      <w:divsChild>
        <w:div w:id="808862537">
          <w:marLeft w:val="0"/>
          <w:marRight w:val="0"/>
          <w:marTop w:val="0"/>
          <w:marBottom w:val="0"/>
          <w:divBdr>
            <w:top w:val="none" w:sz="0" w:space="0" w:color="auto"/>
            <w:left w:val="none" w:sz="0" w:space="0" w:color="auto"/>
            <w:bottom w:val="none" w:sz="0" w:space="0" w:color="auto"/>
            <w:right w:val="none" w:sz="0" w:space="0" w:color="auto"/>
          </w:divBdr>
        </w:div>
      </w:divsChild>
    </w:div>
    <w:div w:id="1749158053">
      <w:bodyDiv w:val="1"/>
      <w:marLeft w:val="0"/>
      <w:marRight w:val="0"/>
      <w:marTop w:val="0"/>
      <w:marBottom w:val="0"/>
      <w:divBdr>
        <w:top w:val="none" w:sz="0" w:space="0" w:color="auto"/>
        <w:left w:val="none" w:sz="0" w:space="0" w:color="auto"/>
        <w:bottom w:val="none" w:sz="0" w:space="0" w:color="auto"/>
        <w:right w:val="none" w:sz="0" w:space="0" w:color="auto"/>
      </w:divBdr>
    </w:div>
    <w:div w:id="2084790664">
      <w:bodyDiv w:val="1"/>
      <w:marLeft w:val="0"/>
      <w:marRight w:val="0"/>
      <w:marTop w:val="0"/>
      <w:marBottom w:val="0"/>
      <w:divBdr>
        <w:top w:val="none" w:sz="0" w:space="0" w:color="auto"/>
        <w:left w:val="none" w:sz="0" w:space="0" w:color="auto"/>
        <w:bottom w:val="none" w:sz="0" w:space="0" w:color="auto"/>
        <w:right w:val="none" w:sz="0" w:space="0" w:color="auto"/>
      </w:divBdr>
    </w:div>
    <w:div w:id="21453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JKAM%20CSU\PUBLIKACE\PUBLIKACE\2017\QMakro\Celorok\ENGL\ENGL-Grafy-trh%20pr&#225;ce-2017.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JKAM%20CSU\PUBLIKACE\PUBLIKACE\2017\QMakro\Celorok\ENGL\ENGL-Grafy-trh%20pr&#225;ce-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JKAM%20CSU\PUBLIKACE\PUBLIKACE\2017\QMakro\Celorok\ENGL\ENGL-Grafy-trh%20pr&#225;ce-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3306663279993532E-2"/>
          <c:y val="1.6549886621315305E-2"/>
          <c:w val="0.92698007507126057"/>
          <c:h val="0.68478905645878341"/>
        </c:manualLayout>
      </c:layout>
      <c:barChart>
        <c:barDir val="col"/>
        <c:grouping val="clustered"/>
        <c:ser>
          <c:idx val="0"/>
          <c:order val="0"/>
          <c:tx>
            <c:strRef>
              <c:f>'Trh práce 1'!$C$7</c:f>
              <c:strCache>
                <c:ptCount val="1"/>
                <c:pt idx="0">
                  <c:v>Total employment </c:v>
                </c:pt>
              </c:strCache>
            </c:strRef>
          </c:tx>
          <c:spPr>
            <a:solidFill>
              <a:schemeClr val="bg1">
                <a:lumMod val="50000"/>
              </a:schemeClr>
            </a:solidFill>
          </c:spP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1'!$C$8:$C$39</c:f>
              <c:numCache>
                <c:formatCode>#,##0.0</c:formatCode>
                <c:ptCount val="32"/>
                <c:pt idx="0" formatCode="0.0">
                  <c:v>-2.7493629357650775</c:v>
                </c:pt>
                <c:pt idx="1">
                  <c:v>-1.231355670101081</c:v>
                </c:pt>
                <c:pt idx="2">
                  <c:v>-0.18766026442571621</c:v>
                </c:pt>
                <c:pt idx="3">
                  <c:v>6.7316120287756687E-2</c:v>
                </c:pt>
                <c:pt idx="4" formatCode="0.0">
                  <c:v>0.10338579028356776</c:v>
                </c:pt>
                <c:pt idx="5">
                  <c:v>2.018958815014571E-3</c:v>
                </c:pt>
                <c:pt idx="6">
                  <c:v>-0.44357673893365801</c:v>
                </c:pt>
                <c:pt idx="7">
                  <c:v>-0.74967660526091662</c:v>
                </c:pt>
                <c:pt idx="8" formatCode="0.0">
                  <c:v>-6.4487376943205416E-2</c:v>
                </c:pt>
                <c:pt idx="9">
                  <c:v>0.15991018585724309</c:v>
                </c:pt>
                <c:pt idx="10">
                  <c:v>0.67126249823633088</c:v>
                </c:pt>
                <c:pt idx="11">
                  <c:v>0.91419179797142669</c:v>
                </c:pt>
                <c:pt idx="12" formatCode="0.0">
                  <c:v>0.4434233641801768</c:v>
                </c:pt>
                <c:pt idx="13">
                  <c:v>0.67770819458962817</c:v>
                </c:pt>
                <c:pt idx="14">
                  <c:v>0.12895197144355544</c:v>
                </c:pt>
                <c:pt idx="15">
                  <c:v>4.0322580645167319E-2</c:v>
                </c:pt>
                <c:pt idx="16" formatCode="0.0">
                  <c:v>0.57697146908898922</c:v>
                </c:pt>
                <c:pt idx="17">
                  <c:v>8.0399106188068045E-2</c:v>
                </c:pt>
                <c:pt idx="18">
                  <c:v>0.61322218939174811</c:v>
                </c:pt>
                <c:pt idx="19">
                  <c:v>0.93792373035557974</c:v>
                </c:pt>
                <c:pt idx="20" formatCode="0.0">
                  <c:v>1.265699387403769</c:v>
                </c:pt>
                <c:pt idx="21">
                  <c:v>1.7613382287180173</c:v>
                </c:pt>
                <c:pt idx="22">
                  <c:v>1.3482013235820041</c:v>
                </c:pt>
                <c:pt idx="23">
                  <c:v>1.3363413079349578</c:v>
                </c:pt>
                <c:pt idx="24" formatCode="0.0">
                  <c:v>1.25558572910262</c:v>
                </c:pt>
                <c:pt idx="25">
                  <c:v>1.1507983544329499</c:v>
                </c:pt>
                <c:pt idx="26">
                  <c:v>1.2387481612437363</c:v>
                </c:pt>
                <c:pt idx="27">
                  <c:v>1.4978787727267502</c:v>
                </c:pt>
                <c:pt idx="28" formatCode="0.0">
                  <c:v>1.4614799115755517</c:v>
                </c:pt>
                <c:pt idx="29">
                  <c:v>1.2931305511953326</c:v>
                </c:pt>
                <c:pt idx="30">
                  <c:v>2.0275621702766813</c:v>
                </c:pt>
                <c:pt idx="31">
                  <c:v>1.4810788094147682</c:v>
                </c:pt>
              </c:numCache>
            </c:numRef>
          </c:val>
        </c:ser>
        <c:ser>
          <c:idx val="1"/>
          <c:order val="1"/>
          <c:tx>
            <c:strRef>
              <c:f>'Trh práce 1'!$D$7</c:f>
              <c:strCache>
                <c:ptCount val="1"/>
                <c:pt idx="0">
                  <c:v>In that employees</c:v>
                </c:pt>
              </c:strCache>
            </c:strRef>
          </c:tx>
          <c:spPr>
            <a:solidFill>
              <a:srgbClr val="B4B4B4"/>
            </a:solidFill>
          </c:spP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1'!$D$8:$D$39</c:f>
              <c:numCache>
                <c:formatCode>#,##0.0</c:formatCode>
                <c:ptCount val="32"/>
                <c:pt idx="0" formatCode="0.0">
                  <c:v>-3.7183457539311604</c:v>
                </c:pt>
                <c:pt idx="1">
                  <c:v>-2.2037535918506852</c:v>
                </c:pt>
                <c:pt idx="2">
                  <c:v>-0.95031718324349868</c:v>
                </c:pt>
                <c:pt idx="3">
                  <c:v>-0.89602372013739251</c:v>
                </c:pt>
                <c:pt idx="4" formatCode="0.0">
                  <c:v>-0.12541420529301206</c:v>
                </c:pt>
                <c:pt idx="5">
                  <c:v>-0.18074186061507191</c:v>
                </c:pt>
                <c:pt idx="6">
                  <c:v>-0.68532067485385562</c:v>
                </c:pt>
                <c:pt idx="7">
                  <c:v>-1.0055124180924493</c:v>
                </c:pt>
                <c:pt idx="8" formatCode="0.0">
                  <c:v>-0.30649126299194102</c:v>
                </c:pt>
                <c:pt idx="9">
                  <c:v>8.2306292576589668E-2</c:v>
                </c:pt>
                <c:pt idx="10">
                  <c:v>1.1363397269730215</c:v>
                </c:pt>
                <c:pt idx="11">
                  <c:v>1.4752985788288413</c:v>
                </c:pt>
                <c:pt idx="12" formatCode="0.0">
                  <c:v>1.3546733566221858</c:v>
                </c:pt>
                <c:pt idx="13">
                  <c:v>1.6154432368700355</c:v>
                </c:pt>
                <c:pt idx="14">
                  <c:v>0.36949059992726152</c:v>
                </c:pt>
                <c:pt idx="15">
                  <c:v>0.47903550287971086</c:v>
                </c:pt>
                <c:pt idx="16" formatCode="0.0">
                  <c:v>0.66378516215239458</c:v>
                </c:pt>
                <c:pt idx="17">
                  <c:v>0.18975134112584194</c:v>
                </c:pt>
                <c:pt idx="18">
                  <c:v>1.2672516726795198</c:v>
                </c:pt>
                <c:pt idx="19">
                  <c:v>1.4210854345550401</c:v>
                </c:pt>
                <c:pt idx="20" formatCode="0.0">
                  <c:v>1.790279667503242</c:v>
                </c:pt>
                <c:pt idx="21">
                  <c:v>2.2018522696376976</c:v>
                </c:pt>
                <c:pt idx="22">
                  <c:v>1.782914734194476</c:v>
                </c:pt>
                <c:pt idx="23">
                  <c:v>2.023636901433207</c:v>
                </c:pt>
                <c:pt idx="24" formatCode="0.0">
                  <c:v>1.7634904453369258</c:v>
                </c:pt>
                <c:pt idx="25">
                  <c:v>1.2273587505034556</c:v>
                </c:pt>
                <c:pt idx="26">
                  <c:v>1.1016541871874335</c:v>
                </c:pt>
                <c:pt idx="27">
                  <c:v>0.89889101162970186</c:v>
                </c:pt>
                <c:pt idx="28" formatCode="0.0">
                  <c:v>0.87734573109716563</c:v>
                </c:pt>
                <c:pt idx="29">
                  <c:v>1.2188739489708951</c:v>
                </c:pt>
                <c:pt idx="30">
                  <c:v>2.0480467782725249</c:v>
                </c:pt>
                <c:pt idx="31" formatCode="0.0">
                  <c:v>1.9000000000000001</c:v>
                </c:pt>
              </c:numCache>
            </c:numRef>
          </c:val>
        </c:ser>
        <c:gapWidth val="39"/>
        <c:axId val="179279360"/>
        <c:axId val="179289088"/>
      </c:barChart>
      <c:lineChart>
        <c:grouping val="standard"/>
        <c:ser>
          <c:idx val="2"/>
          <c:order val="2"/>
          <c:tx>
            <c:strRef>
              <c:f>'Trh práce 1'!$E$7</c:f>
              <c:strCache>
                <c:ptCount val="1"/>
                <c:pt idx="0">
                  <c:v>Manufacturing</c:v>
                </c:pt>
              </c:strCache>
            </c:strRef>
          </c:tx>
          <c:spPr>
            <a:ln w="19050">
              <a:solidFill>
                <a:srgbClr val="0071BC"/>
              </a:solidFill>
            </a:ln>
          </c:spPr>
          <c:marker>
            <c:symbol val="none"/>
          </c:marke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1'!$E$8:$E$39</c:f>
              <c:numCache>
                <c:formatCode>#,##0.0</c:formatCode>
                <c:ptCount val="32"/>
                <c:pt idx="0" formatCode="0.0">
                  <c:v>-7.1328240218293359</c:v>
                </c:pt>
                <c:pt idx="1">
                  <c:v>-3.3483416585653796</c:v>
                </c:pt>
                <c:pt idx="2">
                  <c:v>-1.2053324012494908</c:v>
                </c:pt>
                <c:pt idx="3">
                  <c:v>-0.57131663484786011</c:v>
                </c:pt>
                <c:pt idx="4" formatCode="0.0">
                  <c:v>3.959401388273843</c:v>
                </c:pt>
                <c:pt idx="5">
                  <c:v>4.29177691707892</c:v>
                </c:pt>
                <c:pt idx="6">
                  <c:v>3.8641041434753762</c:v>
                </c:pt>
                <c:pt idx="7">
                  <c:v>2.3282676220815119</c:v>
                </c:pt>
                <c:pt idx="8" formatCode="0.0">
                  <c:v>0.60345793922903113</c:v>
                </c:pt>
                <c:pt idx="9">
                  <c:v>0.50872672006472897</c:v>
                </c:pt>
                <c:pt idx="10">
                  <c:v>1.203264557092165</c:v>
                </c:pt>
                <c:pt idx="11">
                  <c:v>1.6438966600367309</c:v>
                </c:pt>
                <c:pt idx="12" formatCode="0.0">
                  <c:v>-0.17866048437355175</c:v>
                </c:pt>
                <c:pt idx="13">
                  <c:v>0.16028267064615417</c:v>
                </c:pt>
                <c:pt idx="14">
                  <c:v>-0.40170171733359439</c:v>
                </c:pt>
                <c:pt idx="15">
                  <c:v>-0.21424103300076108</c:v>
                </c:pt>
                <c:pt idx="16" formatCode="0.0">
                  <c:v>0.79613495033972015</c:v>
                </c:pt>
                <c:pt idx="17">
                  <c:v>0.76079016253729148</c:v>
                </c:pt>
                <c:pt idx="18">
                  <c:v>1.537859661648028</c:v>
                </c:pt>
                <c:pt idx="19">
                  <c:v>2.0804183493204675</c:v>
                </c:pt>
                <c:pt idx="20" formatCode="0.0">
                  <c:v>3.4953504286037127</c:v>
                </c:pt>
                <c:pt idx="21">
                  <c:v>3.6840014560195882</c:v>
                </c:pt>
                <c:pt idx="22">
                  <c:v>3.1112916815337428</c:v>
                </c:pt>
                <c:pt idx="23">
                  <c:v>3.7794080596979152</c:v>
                </c:pt>
                <c:pt idx="24" formatCode="0.0">
                  <c:v>2.431344478594383</c:v>
                </c:pt>
                <c:pt idx="25">
                  <c:v>1.5761795854152467</c:v>
                </c:pt>
                <c:pt idx="26">
                  <c:v>1.831630983970058</c:v>
                </c:pt>
                <c:pt idx="27">
                  <c:v>1.3319586258319731</c:v>
                </c:pt>
                <c:pt idx="28" formatCode="0.0">
                  <c:v>1.0374019421035999E-2</c:v>
                </c:pt>
                <c:pt idx="29">
                  <c:v>0.44522365156534249</c:v>
                </c:pt>
                <c:pt idx="30">
                  <c:v>0.98933067760368965</c:v>
                </c:pt>
                <c:pt idx="31">
                  <c:v>0.99466162609706998</c:v>
                </c:pt>
              </c:numCache>
            </c:numRef>
          </c:val>
        </c:ser>
        <c:ser>
          <c:idx val="3"/>
          <c:order val="3"/>
          <c:tx>
            <c:strRef>
              <c:f>'Trh práce 1'!$F$7</c:f>
              <c:strCache>
                <c:ptCount val="1"/>
                <c:pt idx="0">
                  <c:v>Construction</c:v>
                </c:pt>
              </c:strCache>
            </c:strRef>
          </c:tx>
          <c:spPr>
            <a:ln w="19050">
              <a:solidFill>
                <a:srgbClr val="BD1B21"/>
              </a:solidFill>
            </a:ln>
          </c:spPr>
          <c:marker>
            <c:symbol val="none"/>
          </c:marke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1'!$F$8:$F$39</c:f>
              <c:numCache>
                <c:formatCode>#,##0.0</c:formatCode>
                <c:ptCount val="32"/>
                <c:pt idx="0" formatCode="0.0">
                  <c:v>0.96973743053816153</c:v>
                </c:pt>
                <c:pt idx="1">
                  <c:v>1.5766212487064575</c:v>
                </c:pt>
                <c:pt idx="2">
                  <c:v>2.0505826231116777</c:v>
                </c:pt>
                <c:pt idx="3">
                  <c:v>2.0975017349063059</c:v>
                </c:pt>
                <c:pt idx="4" formatCode="0.0">
                  <c:v>-5.0057748344370765</c:v>
                </c:pt>
                <c:pt idx="5">
                  <c:v>-4.9400088718526733</c:v>
                </c:pt>
                <c:pt idx="6">
                  <c:v>-5.3825592625853389</c:v>
                </c:pt>
                <c:pt idx="7">
                  <c:v>-5.2114309503984755</c:v>
                </c:pt>
                <c:pt idx="8" formatCode="0.0">
                  <c:v>-1.0125955373515865</c:v>
                </c:pt>
                <c:pt idx="9">
                  <c:v>-0.65129343258655747</c:v>
                </c:pt>
                <c:pt idx="10">
                  <c:v>-1.6486726674023942</c:v>
                </c:pt>
                <c:pt idx="11">
                  <c:v>-1.8238369370116339</c:v>
                </c:pt>
                <c:pt idx="12" formatCode="0.0">
                  <c:v>-2.4231770393157888</c:v>
                </c:pt>
                <c:pt idx="13">
                  <c:v>-3.6906605297992421</c:v>
                </c:pt>
                <c:pt idx="14">
                  <c:v>-2.201849061585321</c:v>
                </c:pt>
                <c:pt idx="15">
                  <c:v>-1.0882912822572859</c:v>
                </c:pt>
                <c:pt idx="16" formatCode="0.0">
                  <c:v>-5.0648669747761375</c:v>
                </c:pt>
                <c:pt idx="17">
                  <c:v>-3.6538098049419152</c:v>
                </c:pt>
                <c:pt idx="18">
                  <c:v>-4.2712784278679123</c:v>
                </c:pt>
                <c:pt idx="19">
                  <c:v>-5.2428752740279156</c:v>
                </c:pt>
                <c:pt idx="20" formatCode="0.0">
                  <c:v>-0.17200523557662031</c:v>
                </c:pt>
                <c:pt idx="21">
                  <c:v>-9.2520605210694579E-2</c:v>
                </c:pt>
                <c:pt idx="22">
                  <c:v>-0.60778302632186865</c:v>
                </c:pt>
                <c:pt idx="23">
                  <c:v>-0.98361054964323058</c:v>
                </c:pt>
                <c:pt idx="24" formatCode="0.0">
                  <c:v>-0.86955038298722709</c:v>
                </c:pt>
                <c:pt idx="25">
                  <c:v>-1.2632757897594884</c:v>
                </c:pt>
                <c:pt idx="26">
                  <c:v>0.19494607796374908</c:v>
                </c:pt>
                <c:pt idx="27">
                  <c:v>0.47566227486591162</c:v>
                </c:pt>
                <c:pt idx="28" formatCode="0.0">
                  <c:v>0.87939049904241562</c:v>
                </c:pt>
                <c:pt idx="29">
                  <c:v>0.58337098073108851</c:v>
                </c:pt>
                <c:pt idx="30">
                  <c:v>1.6505219369769721</c:v>
                </c:pt>
                <c:pt idx="31">
                  <c:v>-6.511229422923763E-2</c:v>
                </c:pt>
              </c:numCache>
            </c:numRef>
          </c:val>
        </c:ser>
        <c:ser>
          <c:idx val="4"/>
          <c:order val="4"/>
          <c:tx>
            <c:strRef>
              <c:f>'Trh práce 1'!$G$7</c:f>
              <c:strCache>
                <c:ptCount val="1"/>
                <c:pt idx="0">
                  <c:v>Trade, transport, accommodation and food service activities</c:v>
                </c:pt>
              </c:strCache>
            </c:strRef>
          </c:tx>
          <c:spPr>
            <a:ln w="19050">
              <a:solidFill>
                <a:srgbClr val="7DBB2D"/>
              </a:solidFill>
            </a:ln>
          </c:spPr>
          <c:marker>
            <c:symbol val="none"/>
          </c:marke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1'!$G$8:$G$39</c:f>
              <c:numCache>
                <c:formatCode>#,##0.0</c:formatCode>
                <c:ptCount val="32"/>
                <c:pt idx="0" formatCode="0.0">
                  <c:v>-1.4811264631436956</c:v>
                </c:pt>
                <c:pt idx="1">
                  <c:v>-0.55415302001367195</c:v>
                </c:pt>
                <c:pt idx="2">
                  <c:v>0.60230497012719364</c:v>
                </c:pt>
                <c:pt idx="3">
                  <c:v>1.1873384060302081</c:v>
                </c:pt>
                <c:pt idx="4" formatCode="0.0">
                  <c:v>-0.26525714239460285</c:v>
                </c:pt>
                <c:pt idx="5">
                  <c:v>-0.33716708681508617</c:v>
                </c:pt>
                <c:pt idx="6">
                  <c:v>-0.36196666950499518</c:v>
                </c:pt>
                <c:pt idx="7">
                  <c:v>-0.6159301049051038</c:v>
                </c:pt>
                <c:pt idx="8" formatCode="0.0">
                  <c:v>-0.54434279555370324</c:v>
                </c:pt>
                <c:pt idx="9">
                  <c:v>-0.40514396083042931</c:v>
                </c:pt>
                <c:pt idx="10">
                  <c:v>-0.37311748202134282</c:v>
                </c:pt>
                <c:pt idx="11">
                  <c:v>-0.76815794371515267</c:v>
                </c:pt>
                <c:pt idx="12" formatCode="0.0">
                  <c:v>0.77369328581768571</c:v>
                </c:pt>
                <c:pt idx="13">
                  <c:v>0.60429784295405464</c:v>
                </c:pt>
                <c:pt idx="14">
                  <c:v>7.7201205439365581E-2</c:v>
                </c:pt>
                <c:pt idx="15">
                  <c:v>0.17659710770475101</c:v>
                </c:pt>
                <c:pt idx="16" formatCode="0.0">
                  <c:v>-0.27532549141551532</c:v>
                </c:pt>
                <c:pt idx="17">
                  <c:v>-1.0247212280180378</c:v>
                </c:pt>
                <c:pt idx="18">
                  <c:v>-0.43357812735003237</c:v>
                </c:pt>
                <c:pt idx="19">
                  <c:v>0.64735384894699166</c:v>
                </c:pt>
                <c:pt idx="20" formatCode="0.0">
                  <c:v>0.50702313110330977</c:v>
                </c:pt>
                <c:pt idx="21">
                  <c:v>1.5961990830606112</c:v>
                </c:pt>
                <c:pt idx="22">
                  <c:v>0.93704012916178669</c:v>
                </c:pt>
                <c:pt idx="23">
                  <c:v>0.33427848272518235</c:v>
                </c:pt>
                <c:pt idx="24" formatCode="0.0">
                  <c:v>1.0009323399146552</c:v>
                </c:pt>
                <c:pt idx="25">
                  <c:v>1.7066855557750671</c:v>
                </c:pt>
                <c:pt idx="26">
                  <c:v>0.78520382793907162</c:v>
                </c:pt>
                <c:pt idx="27">
                  <c:v>1.1320860722512567</c:v>
                </c:pt>
                <c:pt idx="28" formatCode="0.0">
                  <c:v>2.236638443048145</c:v>
                </c:pt>
                <c:pt idx="29">
                  <c:v>1.5235156303670294</c:v>
                </c:pt>
                <c:pt idx="30">
                  <c:v>3.2730570539692248</c:v>
                </c:pt>
                <c:pt idx="31">
                  <c:v>2.6959568583412352</c:v>
                </c:pt>
              </c:numCache>
            </c:numRef>
          </c:val>
        </c:ser>
        <c:ser>
          <c:idx val="5"/>
          <c:order val="5"/>
          <c:tx>
            <c:strRef>
              <c:f>'Trh práce 1'!$H$7</c:f>
              <c:strCache>
                <c:ptCount val="1"/>
                <c:pt idx="0">
                  <c:v>Public administration, defence, education, health and social work </c:v>
                </c:pt>
              </c:strCache>
            </c:strRef>
          </c:tx>
          <c:spPr>
            <a:ln w="19050">
              <a:solidFill>
                <a:srgbClr val="F8A124"/>
              </a:solidFill>
            </a:ln>
          </c:spPr>
          <c:marker>
            <c:symbol val="none"/>
          </c:marke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1'!$H$8:$H$39</c:f>
              <c:numCache>
                <c:formatCode>#,##0.0</c:formatCode>
                <c:ptCount val="32"/>
                <c:pt idx="0" formatCode="0.0">
                  <c:v>-1.855806077102784E-2</c:v>
                </c:pt>
                <c:pt idx="1">
                  <c:v>-0.22689757528192445</c:v>
                </c:pt>
                <c:pt idx="2">
                  <c:v>-0.29433275456824531</c:v>
                </c:pt>
                <c:pt idx="3">
                  <c:v>-0.22704563055179997</c:v>
                </c:pt>
                <c:pt idx="4" formatCode="0.0">
                  <c:v>-0.47110868534822775</c:v>
                </c:pt>
                <c:pt idx="5">
                  <c:v>-0.763348586953982</c:v>
                </c:pt>
                <c:pt idx="6">
                  <c:v>-1.0474282405826025</c:v>
                </c:pt>
                <c:pt idx="7">
                  <c:v>-0.76086919786541785</c:v>
                </c:pt>
                <c:pt idx="8" formatCode="0.0">
                  <c:v>-2.5354254663728679</c:v>
                </c:pt>
                <c:pt idx="9">
                  <c:v>-1.902141619073888</c:v>
                </c:pt>
                <c:pt idx="10">
                  <c:v>-0.31903720704937688</c:v>
                </c:pt>
                <c:pt idx="11">
                  <c:v>0.36291810220055326</c:v>
                </c:pt>
                <c:pt idx="12" formatCode="0.0">
                  <c:v>0.82471995854189228</c:v>
                </c:pt>
                <c:pt idx="13">
                  <c:v>2.1008576235233787</c:v>
                </c:pt>
                <c:pt idx="14">
                  <c:v>1.1395620003701339</c:v>
                </c:pt>
                <c:pt idx="15">
                  <c:v>0.93291347702553662</c:v>
                </c:pt>
                <c:pt idx="16" formatCode="0.0">
                  <c:v>1.5775454229154633</c:v>
                </c:pt>
                <c:pt idx="17">
                  <c:v>0.97071946520878882</c:v>
                </c:pt>
                <c:pt idx="18">
                  <c:v>2.0062549533348144</c:v>
                </c:pt>
                <c:pt idx="19">
                  <c:v>1.9094311712761822</c:v>
                </c:pt>
                <c:pt idx="20" formatCode="0.0">
                  <c:v>1.5186815850960897</c:v>
                </c:pt>
                <c:pt idx="21">
                  <c:v>1.3439686041484278</c:v>
                </c:pt>
                <c:pt idx="22">
                  <c:v>0.5825994898127631</c:v>
                </c:pt>
                <c:pt idx="23">
                  <c:v>0.49868099701011276</c:v>
                </c:pt>
                <c:pt idx="24" formatCode="0.0">
                  <c:v>0.63503922301082238</c:v>
                </c:pt>
                <c:pt idx="25">
                  <c:v>0.46250463543849207</c:v>
                </c:pt>
                <c:pt idx="26">
                  <c:v>0.92616906278036026</c:v>
                </c:pt>
                <c:pt idx="27">
                  <c:v>1.4567791547310804</c:v>
                </c:pt>
                <c:pt idx="28" formatCode="0.0">
                  <c:v>0.682846860733207</c:v>
                </c:pt>
                <c:pt idx="29">
                  <c:v>0.93708384646460274</c:v>
                </c:pt>
                <c:pt idx="30">
                  <c:v>1.5259446362655906</c:v>
                </c:pt>
                <c:pt idx="31">
                  <c:v>1.67085828171105</c:v>
                </c:pt>
              </c:numCache>
            </c:numRef>
          </c:val>
        </c:ser>
        <c:ser>
          <c:idx val="6"/>
          <c:order val="6"/>
          <c:tx>
            <c:strRef>
              <c:f>'Trh práce 1'!$I$7</c:f>
              <c:strCache>
                <c:ptCount val="1"/>
                <c:pt idx="0">
                  <c:v>Professional, scientific, technical and administrative activities </c:v>
                </c:pt>
              </c:strCache>
            </c:strRef>
          </c:tx>
          <c:spPr>
            <a:ln>
              <a:noFill/>
            </a:ln>
          </c:spPr>
          <c:marker>
            <c:symbol val="diamond"/>
            <c:size val="5"/>
            <c:spPr>
              <a:solidFill>
                <a:srgbClr val="FFFF00"/>
              </a:solidFill>
              <a:ln>
                <a:solidFill>
                  <a:schemeClr val="tx1">
                    <a:lumMod val="95000"/>
                    <a:lumOff val="5000"/>
                  </a:schemeClr>
                </a:solidFill>
              </a:ln>
            </c:spPr>
          </c:marke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1'!$I$8:$I$39</c:f>
              <c:numCache>
                <c:formatCode>#,##0.0</c:formatCode>
                <c:ptCount val="32"/>
                <c:pt idx="0" formatCode="0.0">
                  <c:v>-1.736190097057926</c:v>
                </c:pt>
                <c:pt idx="1">
                  <c:v>-0.71964829861366431</c:v>
                </c:pt>
                <c:pt idx="2">
                  <c:v>-0.11701441372717625</c:v>
                </c:pt>
                <c:pt idx="3">
                  <c:v>-0.63412618780617469</c:v>
                </c:pt>
                <c:pt idx="4" formatCode="0.0">
                  <c:v>-2.4230206250949493</c:v>
                </c:pt>
                <c:pt idx="5">
                  <c:v>-2.8585508924448937</c:v>
                </c:pt>
                <c:pt idx="6">
                  <c:v>-4.6837027416279096</c:v>
                </c:pt>
                <c:pt idx="7">
                  <c:v>-3.5802788858820236</c:v>
                </c:pt>
                <c:pt idx="8" formatCode="0.0">
                  <c:v>1.6068564480613787</c:v>
                </c:pt>
                <c:pt idx="9">
                  <c:v>1.6977786534009738</c:v>
                </c:pt>
                <c:pt idx="10">
                  <c:v>2.5449653408908119</c:v>
                </c:pt>
                <c:pt idx="11">
                  <c:v>2.9858065152037874</c:v>
                </c:pt>
                <c:pt idx="12" formatCode="0.0">
                  <c:v>0.663029651483799</c:v>
                </c:pt>
                <c:pt idx="13">
                  <c:v>1.9421049317841721</c:v>
                </c:pt>
                <c:pt idx="14">
                  <c:v>2.632289742390117</c:v>
                </c:pt>
                <c:pt idx="15">
                  <c:v>2.3513113220413575</c:v>
                </c:pt>
                <c:pt idx="16" formatCode="0.0">
                  <c:v>4.0126223515170238</c:v>
                </c:pt>
                <c:pt idx="17">
                  <c:v>2.8253526346044961</c:v>
                </c:pt>
                <c:pt idx="18">
                  <c:v>1.4570943175436324</c:v>
                </c:pt>
                <c:pt idx="19">
                  <c:v>0.92527655436174427</c:v>
                </c:pt>
                <c:pt idx="20" formatCode="0.0">
                  <c:v>1.3229541252009369</c:v>
                </c:pt>
                <c:pt idx="21">
                  <c:v>1.2904626814640918</c:v>
                </c:pt>
                <c:pt idx="22">
                  <c:v>2.6152570557745487</c:v>
                </c:pt>
                <c:pt idx="23">
                  <c:v>4.1302041591579695</c:v>
                </c:pt>
                <c:pt idx="24" formatCode="0.0">
                  <c:v>3.3963743577633636</c:v>
                </c:pt>
                <c:pt idx="25">
                  <c:v>2.995069038029083</c:v>
                </c:pt>
                <c:pt idx="26">
                  <c:v>3.0320539152180519</c:v>
                </c:pt>
                <c:pt idx="27">
                  <c:v>3.0136602358342621</c:v>
                </c:pt>
                <c:pt idx="28" formatCode="0.0">
                  <c:v>5.6372163153985042</c:v>
                </c:pt>
                <c:pt idx="29">
                  <c:v>4.4779953320076373</c:v>
                </c:pt>
                <c:pt idx="30">
                  <c:v>3.6201533406352842</c:v>
                </c:pt>
                <c:pt idx="31">
                  <c:v>1.7309399029585393</c:v>
                </c:pt>
              </c:numCache>
            </c:numRef>
          </c:val>
        </c:ser>
        <c:marker val="1"/>
        <c:axId val="179279360"/>
        <c:axId val="179289088"/>
      </c:lineChart>
      <c:catAx>
        <c:axId val="179279360"/>
        <c:scaling>
          <c:orientation val="minMax"/>
        </c:scaling>
        <c:axPos val="b"/>
        <c:tickLblPos val="low"/>
        <c:spPr>
          <a:ln>
            <a:solidFill>
              <a:schemeClr val="tx1"/>
            </a:solidFill>
          </a:ln>
        </c:spPr>
        <c:crossAx val="179289088"/>
        <c:crosses val="autoZero"/>
        <c:auto val="1"/>
        <c:lblAlgn val="ctr"/>
        <c:lblOffset val="10"/>
      </c:catAx>
      <c:valAx>
        <c:axId val="179289088"/>
        <c:scaling>
          <c:orientation val="minMax"/>
          <c:max val="5"/>
          <c:min val="-7"/>
        </c:scaling>
        <c:axPos val="l"/>
        <c:majorGridlines>
          <c:spPr>
            <a:ln w="6350">
              <a:solidFill>
                <a:schemeClr val="bg1">
                  <a:lumMod val="75000"/>
                </a:schemeClr>
              </a:solidFill>
            </a:ln>
          </c:spPr>
        </c:majorGridlines>
        <c:numFmt formatCode="0" sourceLinked="0"/>
        <c:tickLblPos val="nextTo"/>
        <c:spPr>
          <a:ln>
            <a:solidFill>
              <a:schemeClr val="tx1"/>
            </a:solidFill>
          </a:ln>
        </c:spPr>
        <c:crossAx val="179279360"/>
        <c:crosses val="autoZero"/>
        <c:crossBetween val="between"/>
        <c:majorUnit val="1"/>
      </c:valAx>
      <c:spPr>
        <a:ln>
          <a:solidFill>
            <a:schemeClr val="tx1"/>
          </a:solidFill>
        </a:ln>
      </c:spPr>
    </c:plotArea>
    <c:legend>
      <c:legendPos val="b"/>
      <c:layout>
        <c:manualLayout>
          <c:xMode val="edge"/>
          <c:yMode val="edge"/>
          <c:x val="5.2714458167939814E-2"/>
          <c:y val="0.78784033986771906"/>
          <c:w val="0.92505743233709248"/>
          <c:h val="0.20494449316156163"/>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5.3364838092894683E-2"/>
          <c:y val="1.643251153889452E-2"/>
          <c:w val="0.89785037878787877"/>
          <c:h val="0.72882908163265303"/>
        </c:manualLayout>
      </c:layout>
      <c:barChart>
        <c:barDir val="col"/>
        <c:grouping val="clustered"/>
        <c:ser>
          <c:idx val="0"/>
          <c:order val="0"/>
          <c:tx>
            <c:strRef>
              <c:f>'Trh práce-2'!$A$32</c:f>
              <c:strCache>
                <c:ptCount val="1"/>
                <c:pt idx="0">
                  <c:v>Unemployment rate of males (right axis)</c:v>
                </c:pt>
              </c:strCache>
            </c:strRef>
          </c:tx>
          <c:spPr>
            <a:solidFill>
              <a:srgbClr val="BCBCBC"/>
            </a:solidFill>
          </c:spPr>
          <c:cat>
            <c:multiLvlStrRef>
              <c:f>'Trh práce-2'!$B$30:$AG$31</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práce-2'!$B$32:$AG$32</c:f>
              <c:numCache>
                <c:formatCode>#,##0.0</c:formatCode>
                <c:ptCount val="32"/>
                <c:pt idx="0">
                  <c:v>7.0897881060467505</c:v>
                </c:pt>
                <c:pt idx="1">
                  <c:v>6.4948830463203056</c:v>
                </c:pt>
                <c:pt idx="2">
                  <c:v>6.1954847565769064</c:v>
                </c:pt>
                <c:pt idx="3">
                  <c:v>6.0903971133860804</c:v>
                </c:pt>
                <c:pt idx="4">
                  <c:v>6.041331222528683</c:v>
                </c:pt>
                <c:pt idx="5">
                  <c:v>5.9797736823398733</c:v>
                </c:pt>
                <c:pt idx="6">
                  <c:v>5.7763516385054068</c:v>
                </c:pt>
                <c:pt idx="7">
                  <c:v>5.6844611004242012</c:v>
                </c:pt>
                <c:pt idx="8">
                  <c:v>5.9883995297741484</c:v>
                </c:pt>
                <c:pt idx="9">
                  <c:v>5.9715792201718889</c:v>
                </c:pt>
                <c:pt idx="10">
                  <c:v>6.0696872416346181</c:v>
                </c:pt>
                <c:pt idx="11">
                  <c:v>6.2558722127091864</c:v>
                </c:pt>
                <c:pt idx="12">
                  <c:v>6.2468670143094398</c:v>
                </c:pt>
                <c:pt idx="13">
                  <c:v>5.8774201799185946</c:v>
                </c:pt>
                <c:pt idx="14">
                  <c:v>5.9702328204790414</c:v>
                </c:pt>
                <c:pt idx="15">
                  <c:v>5.7539033345695074</c:v>
                </c:pt>
                <c:pt idx="16">
                  <c:v>5.5314098675456309</c:v>
                </c:pt>
                <c:pt idx="17">
                  <c:v>5.1944592597644377</c:v>
                </c:pt>
                <c:pt idx="18">
                  <c:v>4.9552609605886291</c:v>
                </c:pt>
                <c:pt idx="19">
                  <c:v>5.0219461606500095</c:v>
                </c:pt>
                <c:pt idx="20">
                  <c:v>4.9802638859508832</c:v>
                </c:pt>
                <c:pt idx="21">
                  <c:v>4.3377301537829673</c:v>
                </c:pt>
                <c:pt idx="22">
                  <c:v>4.1064091035501082</c:v>
                </c:pt>
                <c:pt idx="23">
                  <c:v>3.7835162959394664</c:v>
                </c:pt>
                <c:pt idx="24">
                  <c:v>3.6028853211579648</c:v>
                </c:pt>
                <c:pt idx="25">
                  <c:v>3.5569765931747757</c:v>
                </c:pt>
                <c:pt idx="26">
                  <c:v>3.4175494614706357</c:v>
                </c:pt>
                <c:pt idx="27">
                  <c:v>3.1711261476998871</c:v>
                </c:pt>
                <c:pt idx="28">
                  <c:v>2.6541432499060202</c:v>
                </c:pt>
                <c:pt idx="29">
                  <c:v>2.4424632254730057</c:v>
                </c:pt>
                <c:pt idx="30">
                  <c:v>2.3092666517038567</c:v>
                </c:pt>
                <c:pt idx="31">
                  <c:v>2.0570351103222153</c:v>
                </c:pt>
              </c:numCache>
            </c:numRef>
          </c:val>
        </c:ser>
        <c:ser>
          <c:idx val="1"/>
          <c:order val="1"/>
          <c:tx>
            <c:strRef>
              <c:f>'Trh práce-2'!$A$33</c:f>
              <c:strCache>
                <c:ptCount val="1"/>
                <c:pt idx="0">
                  <c:v>Unemployment rate of females (right axis)</c:v>
                </c:pt>
              </c:strCache>
            </c:strRef>
          </c:tx>
          <c:spPr>
            <a:solidFill>
              <a:srgbClr val="DBDBDB"/>
            </a:solidFill>
          </c:spPr>
          <c:cat>
            <c:multiLvlStrRef>
              <c:f>'Trh práce-2'!$B$30:$AG$31</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práce-2'!$B$33:$AG$33</c:f>
              <c:numCache>
                <c:formatCode>#,##0.0</c:formatCode>
                <c:ptCount val="32"/>
                <c:pt idx="0">
                  <c:v>8.8070482028071009</c:v>
                </c:pt>
                <c:pt idx="1">
                  <c:v>8.5515005079088748</c:v>
                </c:pt>
                <c:pt idx="2">
                  <c:v>8.4779561429475887</c:v>
                </c:pt>
                <c:pt idx="3">
                  <c:v>8.307946834892272</c:v>
                </c:pt>
                <c:pt idx="4">
                  <c:v>8.1997599950744782</c:v>
                </c:pt>
                <c:pt idx="5">
                  <c:v>8.1112451223312192</c:v>
                </c:pt>
                <c:pt idx="6">
                  <c:v>7.8152073780504843</c:v>
                </c:pt>
                <c:pt idx="7">
                  <c:v>7.7322289409197333</c:v>
                </c:pt>
                <c:pt idx="8">
                  <c:v>8.0964981327617718</c:v>
                </c:pt>
                <c:pt idx="9">
                  <c:v>8.1792420680415532</c:v>
                </c:pt>
                <c:pt idx="10">
                  <c:v>8.2857121491612205</c:v>
                </c:pt>
                <c:pt idx="11">
                  <c:v>8.499260910915007</c:v>
                </c:pt>
                <c:pt idx="12">
                  <c:v>8.5100993111767327</c:v>
                </c:pt>
                <c:pt idx="13">
                  <c:v>8.4201009610948159</c:v>
                </c:pt>
                <c:pt idx="14">
                  <c:v>8.371570015267114</c:v>
                </c:pt>
                <c:pt idx="15">
                  <c:v>8.1811283788845319</c:v>
                </c:pt>
                <c:pt idx="16">
                  <c:v>8.0110940581855861</c:v>
                </c:pt>
                <c:pt idx="17">
                  <c:v>7.7071054713087932</c:v>
                </c:pt>
                <c:pt idx="18">
                  <c:v>7.3443982956592828</c:v>
                </c:pt>
                <c:pt idx="19">
                  <c:v>6.9497064701645526</c:v>
                </c:pt>
                <c:pt idx="20">
                  <c:v>6.8326094254126533</c:v>
                </c:pt>
                <c:pt idx="21">
                  <c:v>6.2564575741642772</c:v>
                </c:pt>
                <c:pt idx="22">
                  <c:v>5.9676720404272219</c:v>
                </c:pt>
                <c:pt idx="23">
                  <c:v>5.5995399968117043</c:v>
                </c:pt>
                <c:pt idx="24">
                  <c:v>5.1465821561752296</c:v>
                </c:pt>
                <c:pt idx="25">
                  <c:v>4.8217365886656962</c:v>
                </c:pt>
                <c:pt idx="26">
                  <c:v>4.7352348719843995</c:v>
                </c:pt>
                <c:pt idx="27">
                  <c:v>4.3799747506870785</c:v>
                </c:pt>
                <c:pt idx="28">
                  <c:v>4.4178013166761998</c:v>
                </c:pt>
                <c:pt idx="29">
                  <c:v>3.8370291427455516</c:v>
                </c:pt>
                <c:pt idx="30">
                  <c:v>3.2958892787255842</c:v>
                </c:pt>
                <c:pt idx="31">
                  <c:v>2.9680398079305066</c:v>
                </c:pt>
              </c:numCache>
            </c:numRef>
          </c:val>
        </c:ser>
        <c:gapWidth val="68"/>
        <c:axId val="189187200"/>
        <c:axId val="189132160"/>
      </c:barChart>
      <c:lineChart>
        <c:grouping val="standard"/>
        <c:ser>
          <c:idx val="2"/>
          <c:order val="2"/>
          <c:tx>
            <c:strRef>
              <c:f>'Trh práce-2'!$A$34</c:f>
              <c:strCache>
                <c:ptCount val="1"/>
                <c:pt idx="0">
                  <c:v>Unemployed with primary education</c:v>
                </c:pt>
              </c:strCache>
            </c:strRef>
          </c:tx>
          <c:spPr>
            <a:ln w="19050">
              <a:solidFill>
                <a:srgbClr val="0071BC"/>
              </a:solidFill>
              <a:prstDash val="solid"/>
            </a:ln>
          </c:spPr>
          <c:marker>
            <c:symbol val="none"/>
          </c:marker>
          <c:cat>
            <c:multiLvlStrRef>
              <c:f>'Trh práce-2'!$B$30:$AG$31</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práce-2'!$B$34:$AG$34</c:f>
              <c:numCache>
                <c:formatCode>0</c:formatCode>
                <c:ptCount val="32"/>
                <c:pt idx="0">
                  <c:v>21.714768670214291</c:v>
                </c:pt>
                <c:pt idx="1">
                  <c:v>-1.21634331078873</c:v>
                </c:pt>
                <c:pt idx="2">
                  <c:v>-16.17582875054989</c:v>
                </c:pt>
                <c:pt idx="3">
                  <c:v>-17.326849096450193</c:v>
                </c:pt>
                <c:pt idx="4">
                  <c:v>-20.685159269353587</c:v>
                </c:pt>
                <c:pt idx="5">
                  <c:v>-13.109667018498909</c:v>
                </c:pt>
                <c:pt idx="6">
                  <c:v>-3.4347558981075395</c:v>
                </c:pt>
                <c:pt idx="7">
                  <c:v>-1.2914192636035153</c:v>
                </c:pt>
                <c:pt idx="8">
                  <c:v>15.116142329292568</c:v>
                </c:pt>
                <c:pt idx="9">
                  <c:v>20.564252208332153</c:v>
                </c:pt>
                <c:pt idx="10">
                  <c:v>17.300096375591366</c:v>
                </c:pt>
                <c:pt idx="11">
                  <c:v>21.054278842458295</c:v>
                </c:pt>
                <c:pt idx="12">
                  <c:v>1.5586037838760241</c:v>
                </c:pt>
                <c:pt idx="13">
                  <c:v>-14.506006075302304</c:v>
                </c:pt>
                <c:pt idx="14">
                  <c:v>-19.243419598176963</c:v>
                </c:pt>
                <c:pt idx="15">
                  <c:v>-25.15092950490784</c:v>
                </c:pt>
                <c:pt idx="16">
                  <c:v>-25.77535118359669</c:v>
                </c:pt>
                <c:pt idx="17">
                  <c:v>-22.260631131502937</c:v>
                </c:pt>
                <c:pt idx="18">
                  <c:v>-14.590196785136953</c:v>
                </c:pt>
                <c:pt idx="19">
                  <c:v>-9.444471544328108</c:v>
                </c:pt>
                <c:pt idx="20">
                  <c:v>-1.188370832677478</c:v>
                </c:pt>
                <c:pt idx="21">
                  <c:v>2.1795435785889632</c:v>
                </c:pt>
                <c:pt idx="22">
                  <c:v>-0.63856381013110364</c:v>
                </c:pt>
                <c:pt idx="23">
                  <c:v>4.3365931482174886</c:v>
                </c:pt>
                <c:pt idx="24">
                  <c:v>-7.7096667806764927</c:v>
                </c:pt>
                <c:pt idx="25">
                  <c:v>-3.419288831345237</c:v>
                </c:pt>
                <c:pt idx="26">
                  <c:v>-5.2224150656790078</c:v>
                </c:pt>
                <c:pt idx="27">
                  <c:v>-15.506068308866634</c:v>
                </c:pt>
                <c:pt idx="28">
                  <c:v>-27.918696562118033</c:v>
                </c:pt>
                <c:pt idx="29">
                  <c:v>-33.500879210484243</c:v>
                </c:pt>
                <c:pt idx="30">
                  <c:v>-44.757409352166299</c:v>
                </c:pt>
                <c:pt idx="31">
                  <c:v>-45.405405405405396</c:v>
                </c:pt>
              </c:numCache>
            </c:numRef>
          </c:val>
        </c:ser>
        <c:ser>
          <c:idx val="3"/>
          <c:order val="3"/>
          <c:tx>
            <c:strRef>
              <c:f>'Trh práce-2'!$A$35</c:f>
              <c:strCache>
                <c:ptCount val="1"/>
                <c:pt idx="0">
                  <c:v>Unemployed with secondary education without A-level examination</c:v>
                </c:pt>
              </c:strCache>
            </c:strRef>
          </c:tx>
          <c:spPr>
            <a:ln w="19050">
              <a:solidFill>
                <a:srgbClr val="BD1B21"/>
              </a:solidFill>
              <a:prstDash val="solid"/>
            </a:ln>
          </c:spPr>
          <c:marker>
            <c:symbol val="none"/>
          </c:marker>
          <c:cat>
            <c:multiLvlStrRef>
              <c:f>'Trh práce-2'!$B$30:$AG$31</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práce-2'!$B$35:$AG$35</c:f>
              <c:numCache>
                <c:formatCode>0</c:formatCode>
                <c:ptCount val="32"/>
                <c:pt idx="0">
                  <c:v>49.784188022706395</c:v>
                </c:pt>
                <c:pt idx="1">
                  <c:v>13.867544627418566</c:v>
                </c:pt>
                <c:pt idx="2">
                  <c:v>-3.4814801600927581</c:v>
                </c:pt>
                <c:pt idx="3">
                  <c:v>-3.5322380372063265</c:v>
                </c:pt>
                <c:pt idx="4">
                  <c:v>-11.579352488945252</c:v>
                </c:pt>
                <c:pt idx="5">
                  <c:v>-8.4345228185388521</c:v>
                </c:pt>
                <c:pt idx="6">
                  <c:v>-7.4278516415523796</c:v>
                </c:pt>
                <c:pt idx="7">
                  <c:v>-11.39844334476407</c:v>
                </c:pt>
                <c:pt idx="8">
                  <c:v>-6.9967808393978146</c:v>
                </c:pt>
                <c:pt idx="9">
                  <c:v>-4.6316506832057804</c:v>
                </c:pt>
                <c:pt idx="10">
                  <c:v>1.5130013110978651</c:v>
                </c:pt>
                <c:pt idx="11">
                  <c:v>15.444727754266269</c:v>
                </c:pt>
                <c:pt idx="12">
                  <c:v>11.295553399301227</c:v>
                </c:pt>
                <c:pt idx="13">
                  <c:v>11.135950773644549</c:v>
                </c:pt>
                <c:pt idx="14">
                  <c:v>2.1227982768583051</c:v>
                </c:pt>
                <c:pt idx="15">
                  <c:v>-8.1974891991531127</c:v>
                </c:pt>
                <c:pt idx="16">
                  <c:v>-9.6245134843654512</c:v>
                </c:pt>
                <c:pt idx="17">
                  <c:v>-16.231929719850747</c:v>
                </c:pt>
                <c:pt idx="18">
                  <c:v>-19.827481877336286</c:v>
                </c:pt>
                <c:pt idx="19">
                  <c:v>-16.693209567708788</c:v>
                </c:pt>
                <c:pt idx="20">
                  <c:v>-16.454778753218971</c:v>
                </c:pt>
                <c:pt idx="21">
                  <c:v>-22.216756280012163</c:v>
                </c:pt>
                <c:pt idx="22">
                  <c:v>-16.999907523882399</c:v>
                </c:pt>
                <c:pt idx="23">
                  <c:v>-31.514681784052964</c:v>
                </c:pt>
                <c:pt idx="24">
                  <c:v>-32.064032560839479</c:v>
                </c:pt>
                <c:pt idx="25">
                  <c:v>-26.106419495499964</c:v>
                </c:pt>
                <c:pt idx="26">
                  <c:v>-25.857804572569627</c:v>
                </c:pt>
                <c:pt idx="27">
                  <c:v>-16.010888695992396</c:v>
                </c:pt>
                <c:pt idx="28">
                  <c:v>-18.906457523972289</c:v>
                </c:pt>
                <c:pt idx="29">
                  <c:v>-22.991543113790527</c:v>
                </c:pt>
                <c:pt idx="30">
                  <c:v>-24.844081230829687</c:v>
                </c:pt>
                <c:pt idx="31">
                  <c:v>-23.076923076923027</c:v>
                </c:pt>
              </c:numCache>
            </c:numRef>
          </c:val>
        </c:ser>
        <c:ser>
          <c:idx val="5"/>
          <c:order val="4"/>
          <c:tx>
            <c:strRef>
              <c:f>'Trh práce-2'!$A$37</c:f>
              <c:strCache>
                <c:ptCount val="1"/>
                <c:pt idx="0">
                  <c:v>Long term unemployed (duration more than 12 months)</c:v>
                </c:pt>
              </c:strCache>
            </c:strRef>
          </c:tx>
          <c:spPr>
            <a:ln w="19050">
              <a:solidFill>
                <a:srgbClr val="7DBB2D"/>
              </a:solidFill>
              <a:prstDash val="solid"/>
            </a:ln>
          </c:spPr>
          <c:marker>
            <c:symbol val="none"/>
          </c:marker>
          <c:cat>
            <c:multiLvlStrRef>
              <c:f>'Trh práce-2'!$B$30:$AG$31</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práce-2'!$B$37:$AG$37</c:f>
              <c:numCache>
                <c:formatCode>0</c:formatCode>
                <c:ptCount val="32"/>
                <c:pt idx="0">
                  <c:v>44.412607449856701</c:v>
                </c:pt>
                <c:pt idx="1">
                  <c:v>60</c:v>
                </c:pt>
                <c:pt idx="2">
                  <c:v>47.702205882352963</c:v>
                </c:pt>
                <c:pt idx="3">
                  <c:v>40.757042253521149</c:v>
                </c:pt>
                <c:pt idx="4">
                  <c:v>-1.4550264550264671</c:v>
                </c:pt>
                <c:pt idx="5">
                  <c:v>-11.63987138263664</c:v>
                </c:pt>
                <c:pt idx="6">
                  <c:v>-14.18792781580585</c:v>
                </c:pt>
                <c:pt idx="7">
                  <c:v>-10.318949343339597</c:v>
                </c:pt>
                <c:pt idx="8">
                  <c:v>6.3758389261745085</c:v>
                </c:pt>
                <c:pt idx="9">
                  <c:v>12.590975254730694</c:v>
                </c:pt>
                <c:pt idx="10">
                  <c:v>15.155910079767972</c:v>
                </c:pt>
                <c:pt idx="11">
                  <c:v>12.482566248256656</c:v>
                </c:pt>
                <c:pt idx="12">
                  <c:v>6.6876971608832889</c:v>
                </c:pt>
                <c:pt idx="13">
                  <c:v>2.2624434389140187</c:v>
                </c:pt>
                <c:pt idx="14">
                  <c:v>1.4483627204030121</c:v>
                </c:pt>
                <c:pt idx="15">
                  <c:v>-7.1915685058896699</c:v>
                </c:pt>
                <c:pt idx="16">
                  <c:v>-13.18746303962152</c:v>
                </c:pt>
                <c:pt idx="17">
                  <c:v>-13.2111251580278</c:v>
                </c:pt>
                <c:pt idx="18">
                  <c:v>-14.959652389820011</c:v>
                </c:pt>
                <c:pt idx="19">
                  <c:v>-5.8116232464929851</c:v>
                </c:pt>
                <c:pt idx="20">
                  <c:v>-1.8392370572207284</c:v>
                </c:pt>
                <c:pt idx="21">
                  <c:v>-11.070648215586324</c:v>
                </c:pt>
                <c:pt idx="22">
                  <c:v>-9.1240875912408779</c:v>
                </c:pt>
                <c:pt idx="23">
                  <c:v>-18.581560283687921</c:v>
                </c:pt>
                <c:pt idx="24">
                  <c:v>-26.578764746703669</c:v>
                </c:pt>
                <c:pt idx="25">
                  <c:v>-25.389025389025367</c:v>
                </c:pt>
                <c:pt idx="26">
                  <c:v>-33.092369477911646</c:v>
                </c:pt>
                <c:pt idx="27">
                  <c:v>-35.017421602787358</c:v>
                </c:pt>
                <c:pt idx="28">
                  <c:v>-35.727788279773165</c:v>
                </c:pt>
                <c:pt idx="29">
                  <c:v>-35.016465422612391</c:v>
                </c:pt>
                <c:pt idx="30">
                  <c:v>-41.288782816229173</c:v>
                </c:pt>
                <c:pt idx="31">
                  <c:v>-45.783132530120568</c:v>
                </c:pt>
              </c:numCache>
            </c:numRef>
          </c:val>
        </c:ser>
        <c:marker val="1"/>
        <c:axId val="189098624"/>
        <c:axId val="189130624"/>
      </c:lineChart>
      <c:catAx>
        <c:axId val="189098624"/>
        <c:scaling>
          <c:orientation val="minMax"/>
        </c:scaling>
        <c:axPos val="b"/>
        <c:tickLblPos val="low"/>
        <c:spPr>
          <a:ln>
            <a:solidFill>
              <a:schemeClr val="tx1"/>
            </a:solidFill>
          </a:ln>
        </c:spPr>
        <c:crossAx val="189130624"/>
        <c:crossesAt val="-50"/>
        <c:auto val="1"/>
        <c:lblAlgn val="ctr"/>
        <c:lblOffset val="0"/>
      </c:catAx>
      <c:valAx>
        <c:axId val="189130624"/>
        <c:scaling>
          <c:orientation val="minMax"/>
          <c:max val="60"/>
          <c:min val="-50"/>
        </c:scaling>
        <c:axPos val="l"/>
        <c:majorGridlines>
          <c:spPr>
            <a:ln w="6350">
              <a:solidFill>
                <a:schemeClr val="bg1">
                  <a:lumMod val="75000"/>
                </a:schemeClr>
              </a:solidFill>
            </a:ln>
          </c:spPr>
        </c:majorGridlines>
        <c:numFmt formatCode="0" sourceLinked="0"/>
        <c:tickLblPos val="nextTo"/>
        <c:spPr>
          <a:ln>
            <a:solidFill>
              <a:schemeClr val="tx1"/>
            </a:solidFill>
          </a:ln>
        </c:spPr>
        <c:crossAx val="189098624"/>
        <c:crosses val="autoZero"/>
        <c:crossBetween val="between"/>
        <c:majorUnit val="10"/>
      </c:valAx>
      <c:valAx>
        <c:axId val="189132160"/>
        <c:scaling>
          <c:orientation val="minMax"/>
          <c:max val="11"/>
          <c:min val="0"/>
        </c:scaling>
        <c:axPos val="r"/>
        <c:numFmt formatCode="#,##0" sourceLinked="0"/>
        <c:tickLblPos val="nextTo"/>
        <c:crossAx val="189187200"/>
        <c:crosses val="max"/>
        <c:crossBetween val="between"/>
        <c:majorUnit val="1"/>
      </c:valAx>
      <c:catAx>
        <c:axId val="189187200"/>
        <c:scaling>
          <c:orientation val="minMax"/>
        </c:scaling>
        <c:delete val="1"/>
        <c:axPos val="b"/>
        <c:tickLblPos val="none"/>
        <c:crossAx val="189132160"/>
        <c:crosses val="autoZero"/>
        <c:auto val="1"/>
        <c:lblAlgn val="ctr"/>
        <c:lblOffset val="100"/>
      </c:catAx>
      <c:spPr>
        <a:ln>
          <a:solidFill>
            <a:schemeClr val="tx1"/>
          </a:solidFill>
        </a:ln>
      </c:spPr>
    </c:plotArea>
    <c:legend>
      <c:legendPos val="b"/>
      <c:layout>
        <c:manualLayout>
          <c:xMode val="edge"/>
          <c:yMode val="edge"/>
          <c:x val="4.9958333333333466E-2"/>
          <c:y val="0.84119019274376461"/>
          <c:w val="0.8975965909090905"/>
          <c:h val="0.15533758503401371"/>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4.0091348527306885E-2"/>
          <c:y val="2.4094443232317627E-2"/>
          <c:w val="0.94100987714831408"/>
          <c:h val="0.76395209750566895"/>
        </c:manualLayout>
      </c:layout>
      <c:barChart>
        <c:barDir val="col"/>
        <c:grouping val="clustered"/>
        <c:ser>
          <c:idx val="2"/>
          <c:order val="2"/>
          <c:tx>
            <c:strRef>
              <c:f>'Trh práce 3'!$E$8</c:f>
              <c:strCache>
                <c:ptCount val="1"/>
                <c:pt idx="0">
                  <c:v>Average wage (real)</c:v>
                </c:pt>
              </c:strCache>
            </c:strRef>
          </c:tx>
          <c:spPr>
            <a:solidFill>
              <a:srgbClr val="A6A6A6"/>
            </a:solidFill>
            <a:ln w="19050">
              <a:noFill/>
            </a:ln>
          </c:spPr>
          <c:cat>
            <c:multiLvlStrRef>
              <c:f>'Trh práce 3'!$A$9:$B$40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3'!$E$9:$E$40</c:f>
              <c:numCache>
                <c:formatCode>#,##0.0</c:formatCode>
                <c:ptCount val="32"/>
                <c:pt idx="0">
                  <c:v>2.0999999999999943</c:v>
                </c:pt>
                <c:pt idx="1">
                  <c:v>1.9000000000000061</c:v>
                </c:pt>
                <c:pt idx="2">
                  <c:v>0.29999999999999788</c:v>
                </c:pt>
                <c:pt idx="3">
                  <c:v>-1.4000000000000057</c:v>
                </c:pt>
                <c:pt idx="4">
                  <c:v>1.0999999999999925</c:v>
                </c:pt>
                <c:pt idx="5">
                  <c:v>0.7999999999999976</c:v>
                </c:pt>
                <c:pt idx="6">
                  <c:v>0.29999999999999788</c:v>
                </c:pt>
                <c:pt idx="7">
                  <c:v>0</c:v>
                </c:pt>
                <c:pt idx="8">
                  <c:v>-0.5</c:v>
                </c:pt>
                <c:pt idx="9">
                  <c:v>-1.2999999999999949</c:v>
                </c:pt>
                <c:pt idx="10">
                  <c:v>-1.7999999999999949</c:v>
                </c:pt>
                <c:pt idx="11">
                  <c:v>0.40000000000000568</c:v>
                </c:pt>
                <c:pt idx="12">
                  <c:v>-2.4000000000000057</c:v>
                </c:pt>
                <c:pt idx="13">
                  <c:v>-0.5</c:v>
                </c:pt>
                <c:pt idx="14">
                  <c:v>0</c:v>
                </c:pt>
                <c:pt idx="15">
                  <c:v>-3.0999999999999943</c:v>
                </c:pt>
                <c:pt idx="16">
                  <c:v>3.7000000000000042</c:v>
                </c:pt>
                <c:pt idx="17">
                  <c:v>2.5999999999999943</c:v>
                </c:pt>
                <c:pt idx="18">
                  <c:v>1.5999999999999925</c:v>
                </c:pt>
                <c:pt idx="19">
                  <c:v>2.2999999999999972</c:v>
                </c:pt>
                <c:pt idx="20">
                  <c:v>2.2000000000000042</c:v>
                </c:pt>
                <c:pt idx="21">
                  <c:v>2.5999999999999943</c:v>
                </c:pt>
                <c:pt idx="22">
                  <c:v>3.0999999999999943</c:v>
                </c:pt>
                <c:pt idx="23">
                  <c:v>3.5999999999999943</c:v>
                </c:pt>
                <c:pt idx="24">
                  <c:v>3.2999999999999972</c:v>
                </c:pt>
                <c:pt idx="25">
                  <c:v>3.0999999999999943</c:v>
                </c:pt>
                <c:pt idx="26">
                  <c:v>3.5</c:v>
                </c:pt>
                <c:pt idx="27">
                  <c:v>2.2999999999999972</c:v>
                </c:pt>
                <c:pt idx="28">
                  <c:v>2.9000000000000057</c:v>
                </c:pt>
                <c:pt idx="29">
                  <c:v>5.2999999999999972</c:v>
                </c:pt>
                <c:pt idx="30">
                  <c:v>4.2000000000000028</c:v>
                </c:pt>
                <c:pt idx="31">
                  <c:v>5.2999999999999972</c:v>
                </c:pt>
              </c:numCache>
            </c:numRef>
          </c:val>
        </c:ser>
        <c:gapWidth val="78"/>
        <c:axId val="196602112"/>
        <c:axId val="196666880"/>
      </c:barChart>
      <c:lineChart>
        <c:grouping val="standard"/>
        <c:ser>
          <c:idx val="0"/>
          <c:order val="0"/>
          <c:tx>
            <c:strRef>
              <c:f>'Trh práce 3'!$C$8</c:f>
              <c:strCache>
                <c:ptCount val="1"/>
                <c:pt idx="0">
                  <c:v>Average wage (nominal)</c:v>
                </c:pt>
              </c:strCache>
            </c:strRef>
          </c:tx>
          <c:spPr>
            <a:ln w="19050">
              <a:solidFill>
                <a:srgbClr val="0071BC"/>
              </a:solidFill>
            </a:ln>
          </c:spPr>
          <c:marker>
            <c:symbol val="none"/>
          </c:marker>
          <c:cat>
            <c:multiLvlStrRef>
              <c:f>'Trh práce 3'!$A$9:$B$40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3'!$C$9:$C$40</c:f>
              <c:numCache>
                <c:formatCode>0.0</c:formatCode>
                <c:ptCount val="32"/>
                <c:pt idx="0">
                  <c:v>2.7999999999999972</c:v>
                </c:pt>
                <c:pt idx="1">
                  <c:v>3.0999999999999943</c:v>
                </c:pt>
                <c:pt idx="2">
                  <c:v>2.2000000000000042</c:v>
                </c:pt>
                <c:pt idx="3">
                  <c:v>0.70000000000000284</c:v>
                </c:pt>
                <c:pt idx="4">
                  <c:v>2.7999999999999972</c:v>
                </c:pt>
                <c:pt idx="5">
                  <c:v>2.5999999999999943</c:v>
                </c:pt>
                <c:pt idx="6">
                  <c:v>2.0999999999999943</c:v>
                </c:pt>
                <c:pt idx="7">
                  <c:v>2.4000000000000057</c:v>
                </c:pt>
                <c:pt idx="8">
                  <c:v>3.2000000000000042</c:v>
                </c:pt>
                <c:pt idx="9">
                  <c:v>2.0999999999999943</c:v>
                </c:pt>
                <c:pt idx="10">
                  <c:v>1.4000000000000057</c:v>
                </c:pt>
                <c:pt idx="11">
                  <c:v>3.2000000000000042</c:v>
                </c:pt>
                <c:pt idx="12">
                  <c:v>-0.59999999999999432</c:v>
                </c:pt>
                <c:pt idx="13">
                  <c:v>1</c:v>
                </c:pt>
                <c:pt idx="14">
                  <c:v>1.2000000000000028</c:v>
                </c:pt>
                <c:pt idx="15">
                  <c:v>-2</c:v>
                </c:pt>
                <c:pt idx="16">
                  <c:v>3.9000000000000057</c:v>
                </c:pt>
                <c:pt idx="17">
                  <c:v>2.7999999999999972</c:v>
                </c:pt>
                <c:pt idx="18">
                  <c:v>2.2000000000000042</c:v>
                </c:pt>
                <c:pt idx="19">
                  <c:v>2.7999999999999972</c:v>
                </c:pt>
                <c:pt idx="20">
                  <c:v>2.2999999999999972</c:v>
                </c:pt>
                <c:pt idx="21">
                  <c:v>3.2999999999999972</c:v>
                </c:pt>
                <c:pt idx="22">
                  <c:v>3.5</c:v>
                </c:pt>
                <c:pt idx="23">
                  <c:v>3.7000000000000042</c:v>
                </c:pt>
                <c:pt idx="24">
                  <c:v>3.7999999999999972</c:v>
                </c:pt>
                <c:pt idx="25">
                  <c:v>3.2999999999999972</c:v>
                </c:pt>
                <c:pt idx="26">
                  <c:v>4</c:v>
                </c:pt>
                <c:pt idx="27">
                  <c:v>3.7000000000000042</c:v>
                </c:pt>
                <c:pt idx="28">
                  <c:v>5.4000000000000083</c:v>
                </c:pt>
                <c:pt idx="29">
                  <c:v>7.5999999999999943</c:v>
                </c:pt>
                <c:pt idx="30">
                  <c:v>6.7999999999999972</c:v>
                </c:pt>
                <c:pt idx="31">
                  <c:v>8</c:v>
                </c:pt>
              </c:numCache>
            </c:numRef>
          </c:val>
        </c:ser>
        <c:ser>
          <c:idx val="1"/>
          <c:order val="1"/>
          <c:tx>
            <c:strRef>
              <c:f>'Trh práce 3'!$D$8</c:f>
              <c:strCache>
                <c:ptCount val="1"/>
                <c:pt idx="0">
                  <c:v>Median wage (nominal)</c:v>
                </c:pt>
              </c:strCache>
            </c:strRef>
          </c:tx>
          <c:spPr>
            <a:ln w="19050">
              <a:solidFill>
                <a:srgbClr val="BD1B21"/>
              </a:solidFill>
              <a:prstDash val="solid"/>
            </a:ln>
          </c:spPr>
          <c:marker>
            <c:symbol val="none"/>
          </c:marker>
          <c:cat>
            <c:multiLvlStrRef>
              <c:f>'Trh práce 3'!$A$9:$B$40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3'!$D$9:$D$40</c:f>
              <c:numCache>
                <c:formatCode>0.0</c:formatCode>
                <c:ptCount val="32"/>
                <c:pt idx="0">
                  <c:v>3.2000000000000042</c:v>
                </c:pt>
                <c:pt idx="1">
                  <c:v>2.5999999999999943</c:v>
                </c:pt>
                <c:pt idx="2">
                  <c:v>2.7999999999999972</c:v>
                </c:pt>
                <c:pt idx="3">
                  <c:v>1.7999999999999949</c:v>
                </c:pt>
                <c:pt idx="4">
                  <c:v>2.7999999999999972</c:v>
                </c:pt>
                <c:pt idx="5">
                  <c:v>2.2000000000000042</c:v>
                </c:pt>
                <c:pt idx="6">
                  <c:v>1.7000000000000028</c:v>
                </c:pt>
                <c:pt idx="7">
                  <c:v>2.2000000000000042</c:v>
                </c:pt>
                <c:pt idx="8">
                  <c:v>1.4000000000000057</c:v>
                </c:pt>
                <c:pt idx="9">
                  <c:v>1.2999999999999949</c:v>
                </c:pt>
                <c:pt idx="10">
                  <c:v>-0.40000000000000568</c:v>
                </c:pt>
                <c:pt idx="11">
                  <c:v>-0.59999999999999432</c:v>
                </c:pt>
                <c:pt idx="12">
                  <c:v>0.59999999999999432</c:v>
                </c:pt>
                <c:pt idx="13">
                  <c:v>1.4000000000000057</c:v>
                </c:pt>
                <c:pt idx="14">
                  <c:v>2.2999999999999972</c:v>
                </c:pt>
                <c:pt idx="15">
                  <c:v>1.2000000000000028</c:v>
                </c:pt>
                <c:pt idx="16">
                  <c:v>4.7000000000000028</c:v>
                </c:pt>
                <c:pt idx="17">
                  <c:v>3.2999999999999972</c:v>
                </c:pt>
                <c:pt idx="18">
                  <c:v>2.5999999999999943</c:v>
                </c:pt>
                <c:pt idx="19">
                  <c:v>2.2999999999999972</c:v>
                </c:pt>
                <c:pt idx="20">
                  <c:v>0.70000000000000284</c:v>
                </c:pt>
                <c:pt idx="21">
                  <c:v>2.2999999999999972</c:v>
                </c:pt>
                <c:pt idx="22">
                  <c:v>3.7999999999999972</c:v>
                </c:pt>
                <c:pt idx="23">
                  <c:v>4.7000000000000028</c:v>
                </c:pt>
                <c:pt idx="24">
                  <c:v>5.7999999999999972</c:v>
                </c:pt>
                <c:pt idx="25">
                  <c:v>3.7999999999999972</c:v>
                </c:pt>
                <c:pt idx="26">
                  <c:v>4.5999999999999943</c:v>
                </c:pt>
                <c:pt idx="27">
                  <c:v>5.7000000000000028</c:v>
                </c:pt>
                <c:pt idx="28">
                  <c:v>5.2999999999999972</c:v>
                </c:pt>
                <c:pt idx="29">
                  <c:v>8.2000000000000011</c:v>
                </c:pt>
                <c:pt idx="30">
                  <c:v>7.2000000000000028</c:v>
                </c:pt>
                <c:pt idx="31">
                  <c:v>8.9000000000000057</c:v>
                </c:pt>
              </c:numCache>
            </c:numRef>
          </c:val>
        </c:ser>
        <c:ser>
          <c:idx val="3"/>
          <c:order val="3"/>
          <c:tx>
            <c:strRef>
              <c:f>'Trh práce 3'!$F$8</c:f>
              <c:strCache>
                <c:ptCount val="1"/>
                <c:pt idx="0">
                  <c:v>Labour productivity in national economy (real)*</c:v>
                </c:pt>
              </c:strCache>
            </c:strRef>
          </c:tx>
          <c:spPr>
            <a:ln>
              <a:noFill/>
            </a:ln>
          </c:spPr>
          <c:marker>
            <c:symbol val="diamond"/>
            <c:size val="5"/>
            <c:spPr>
              <a:solidFill>
                <a:srgbClr val="FFFF00"/>
              </a:solidFill>
              <a:ln>
                <a:solidFill>
                  <a:schemeClr val="tx1">
                    <a:lumMod val="95000"/>
                    <a:lumOff val="5000"/>
                  </a:schemeClr>
                </a:solidFill>
              </a:ln>
            </c:spPr>
          </c:marker>
          <c:cat>
            <c:multiLvlStrRef>
              <c:f>'Trh práce 3'!$A$9:$B$40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3'!$F$9:$F$40</c:f>
              <c:numCache>
                <c:formatCode>#,##0.0</c:formatCode>
                <c:ptCount val="32"/>
                <c:pt idx="0">
                  <c:v>3.5332846838865208</c:v>
                </c:pt>
                <c:pt idx="1">
                  <c:v>4.425122650740704</c:v>
                </c:pt>
                <c:pt idx="2">
                  <c:v>2.3152819998793288</c:v>
                </c:pt>
                <c:pt idx="3">
                  <c:v>2.9717863026053952</c:v>
                </c:pt>
                <c:pt idx="4">
                  <c:v>2.9527260280244576</c:v>
                </c:pt>
                <c:pt idx="5">
                  <c:v>2.0923191727528945</c:v>
                </c:pt>
                <c:pt idx="6">
                  <c:v>1.8080251400873806</c:v>
                </c:pt>
                <c:pt idx="7">
                  <c:v>1.5019620723850398</c:v>
                </c:pt>
                <c:pt idx="8">
                  <c:v>0.41537995919813397</c:v>
                </c:pt>
                <c:pt idx="9">
                  <c:v>-1.2819231607881099</c:v>
                </c:pt>
                <c:pt idx="10">
                  <c:v>-1.8249350322319771</c:v>
                </c:pt>
                <c:pt idx="11">
                  <c:v>-2.0588258996494337</c:v>
                </c:pt>
                <c:pt idx="12">
                  <c:v>-2.8802810421720353</c:v>
                </c:pt>
                <c:pt idx="13">
                  <c:v>-1.827948004663384</c:v>
                </c:pt>
                <c:pt idx="14">
                  <c:v>0.40461936993752134</c:v>
                </c:pt>
                <c:pt idx="15">
                  <c:v>0.95515229453815265</c:v>
                </c:pt>
                <c:pt idx="16">
                  <c:v>1.7448585072078089</c:v>
                </c:pt>
                <c:pt idx="17">
                  <c:v>2.7515963261383551</c:v>
                </c:pt>
                <c:pt idx="18">
                  <c:v>3.0294730201186408</c:v>
                </c:pt>
                <c:pt idx="19">
                  <c:v>1.0840279704352742</c:v>
                </c:pt>
                <c:pt idx="20">
                  <c:v>3.7518410336967882</c:v>
                </c:pt>
                <c:pt idx="21">
                  <c:v>4.1202609165826694</c:v>
                </c:pt>
                <c:pt idx="22">
                  <c:v>3.76028698995718</c:v>
                </c:pt>
                <c:pt idx="23">
                  <c:v>3.6745015563024808</c:v>
                </c:pt>
                <c:pt idx="24">
                  <c:v>1.8399838919702205</c:v>
                </c:pt>
                <c:pt idx="25">
                  <c:v>2.8834334980329608</c:v>
                </c:pt>
                <c:pt idx="26">
                  <c:v>0.36633315668368027</c:v>
                </c:pt>
                <c:pt idx="27">
                  <c:v>0.17270104557236765</c:v>
                </c:pt>
                <c:pt idx="28">
                  <c:v>2.4404303443109852</c:v>
                </c:pt>
                <c:pt idx="29">
                  <c:v>1.9968691932011211</c:v>
                </c:pt>
                <c:pt idx="30">
                  <c:v>2.6892821072455035</c:v>
                </c:pt>
                <c:pt idx="31">
                  <c:v>3.565600356638015</c:v>
                </c:pt>
              </c:numCache>
            </c:numRef>
          </c:val>
        </c:ser>
        <c:marker val="1"/>
        <c:axId val="196602112"/>
        <c:axId val="196666880"/>
      </c:lineChart>
      <c:catAx>
        <c:axId val="196602112"/>
        <c:scaling>
          <c:orientation val="minMax"/>
        </c:scaling>
        <c:axPos val="b"/>
        <c:numFmt formatCode="General" sourceLinked="1"/>
        <c:tickLblPos val="low"/>
        <c:spPr>
          <a:ln>
            <a:solidFill>
              <a:schemeClr val="tx1"/>
            </a:solidFill>
          </a:ln>
        </c:spPr>
        <c:txPr>
          <a:bodyPr rot="0" vert="horz"/>
          <a:lstStyle/>
          <a:p>
            <a:pPr>
              <a:defRPr/>
            </a:pPr>
            <a:endParaRPr lang="cs-CZ"/>
          </a:p>
        </c:txPr>
        <c:crossAx val="196666880"/>
        <c:crosses val="autoZero"/>
        <c:auto val="1"/>
        <c:lblAlgn val="ctr"/>
        <c:lblOffset val="0"/>
        <c:tickMarkSkip val="4"/>
      </c:catAx>
      <c:valAx>
        <c:axId val="196666880"/>
        <c:scaling>
          <c:orientation val="minMax"/>
          <c:max val="9"/>
          <c:min val="-4"/>
        </c:scaling>
        <c:axPos val="l"/>
        <c:majorGridlines>
          <c:spPr>
            <a:ln>
              <a:solidFill>
                <a:schemeClr val="bg1">
                  <a:lumMod val="75000"/>
                </a:schemeClr>
              </a:solidFill>
            </a:ln>
          </c:spPr>
        </c:majorGridlines>
        <c:numFmt formatCode="0" sourceLinked="0"/>
        <c:tickLblPos val="nextTo"/>
        <c:spPr>
          <a:ln>
            <a:solidFill>
              <a:schemeClr val="tx1"/>
            </a:solidFill>
          </a:ln>
        </c:spPr>
        <c:crossAx val="196602112"/>
        <c:crosses val="autoZero"/>
        <c:crossBetween val="between"/>
        <c:majorUnit val="1"/>
      </c:valAx>
      <c:spPr>
        <a:ln>
          <a:solidFill>
            <a:schemeClr val="tx1"/>
          </a:solidFill>
        </a:ln>
      </c:spPr>
    </c:plotArea>
    <c:legend>
      <c:legendPos val="b"/>
      <c:layout>
        <c:manualLayout>
          <c:xMode val="edge"/>
          <c:yMode val="edge"/>
          <c:x val="3.9394590139042535E-2"/>
          <c:y val="0.87578711833682665"/>
          <c:w val="0.94307409214599291"/>
          <c:h val="0.12061321021922619"/>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drawings/drawing1.xml><?xml version="1.0" encoding="utf-8"?>
<c:userShapes xmlns:c="http://schemas.openxmlformats.org/drawingml/2006/chart">
  <cdr:relSizeAnchor xmlns:cdr="http://schemas.openxmlformats.org/drawingml/2006/chartDrawing">
    <cdr:from>
      <cdr:x>0.03882</cdr:x>
      <cdr:y>0.4281</cdr:y>
    </cdr:from>
    <cdr:to>
      <cdr:x>0.94336</cdr:x>
      <cdr:y>0.42924</cdr:y>
    </cdr:to>
    <cdr:sp macro="" textlink="">
      <cdr:nvSpPr>
        <cdr:cNvPr id="3" name="Přímá spojovací čára 2"/>
        <cdr:cNvSpPr/>
      </cdr:nvSpPr>
      <cdr:spPr bwMode="auto">
        <a:xfrm xmlns:a="http://schemas.openxmlformats.org/drawingml/2006/main">
          <a:off x="183914" y="1497514"/>
          <a:ext cx="4285716" cy="3989"/>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cs-CZ"/>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94EA0-C52B-47AF-B482-6DDA897E0A9C}">
  <ds:schemaRefs>
    <ds:schemaRef ds:uri="http://schemas.openxmlformats.org/officeDocument/2006/bibliography"/>
  </ds:schemaRefs>
</ds:datastoreItem>
</file>

<file path=customXml/itemProps2.xml><?xml version="1.0" encoding="utf-8"?>
<ds:datastoreItem xmlns:ds="http://schemas.openxmlformats.org/officeDocument/2006/customXml" ds:itemID="{6BD1128F-BB09-4BA5-B377-6DA385E313DB}">
  <ds:schemaRefs>
    <ds:schemaRef ds:uri="http://schemas.openxmlformats.org/officeDocument/2006/bibliography"/>
  </ds:schemaRefs>
</ds:datastoreItem>
</file>

<file path=customXml/itemProps3.xml><?xml version="1.0" encoding="utf-8"?>
<ds:datastoreItem xmlns:ds="http://schemas.openxmlformats.org/officeDocument/2006/customXml" ds:itemID="{61FB8BBF-BA1B-4698-A489-7EC56C3C1706}">
  <ds:schemaRefs>
    <ds:schemaRef ds:uri="http://schemas.openxmlformats.org/officeDocument/2006/bibliography"/>
  </ds:schemaRefs>
</ds:datastoreItem>
</file>

<file path=customXml/itemProps4.xml><?xml version="1.0" encoding="utf-8"?>
<ds:datastoreItem xmlns:ds="http://schemas.openxmlformats.org/officeDocument/2006/customXml" ds:itemID="{36913E72-9129-4F47-8B96-65575079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2</TotalTime>
  <Pages>4</Pages>
  <Words>1469</Words>
  <Characters>8669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10118</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3</cp:revision>
  <cp:lastPrinted>2018-03-14T17:02:00Z</cp:lastPrinted>
  <dcterms:created xsi:type="dcterms:W3CDTF">2018-04-23T12:16:00Z</dcterms:created>
  <dcterms:modified xsi:type="dcterms:W3CDTF">2018-04-23T12:18:00Z</dcterms:modified>
</cp:coreProperties>
</file>