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D391" w14:textId="77777777"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A356F1">
        <w:rPr>
          <w:rFonts w:ascii="Arial" w:hAnsi="Arial"/>
          <w:sz w:val="32"/>
        </w:rPr>
        <w:t>únoru</w:t>
      </w:r>
      <w:r w:rsidR="00E3262E">
        <w:rPr>
          <w:rFonts w:ascii="Arial" w:hAnsi="Arial"/>
          <w:sz w:val="32"/>
        </w:rPr>
        <w:t xml:space="preserve"> 202</w:t>
      </w:r>
      <w:r w:rsidR="00DB6A75">
        <w:rPr>
          <w:rFonts w:ascii="Arial" w:hAnsi="Arial"/>
          <w:sz w:val="32"/>
        </w:rPr>
        <w:t>1</w:t>
      </w:r>
    </w:p>
    <w:p w14:paraId="181A4C8B" w14:textId="77777777" w:rsidR="006D236E" w:rsidRDefault="006D236E" w:rsidP="006D236E">
      <w:pPr>
        <w:spacing w:line="276" w:lineRule="auto"/>
        <w:rPr>
          <w:rFonts w:ascii="Arial" w:hAnsi="Arial"/>
          <w:sz w:val="32"/>
        </w:rPr>
      </w:pPr>
    </w:p>
    <w:p w14:paraId="7A2C04A3" w14:textId="741A2178" w:rsidR="006D236E" w:rsidRDefault="006D236E" w:rsidP="006D236E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D236E">
        <w:rPr>
          <w:rFonts w:ascii="Arial" w:eastAsia="Calibri" w:hAnsi="Arial" w:cs="Arial"/>
          <w:b/>
          <w:bCs/>
          <w:sz w:val="20"/>
          <w:szCs w:val="20"/>
          <w:lang w:eastAsia="en-US"/>
        </w:rPr>
        <w:t>Meziměsíční srovnání:</w:t>
      </w:r>
    </w:p>
    <w:p w14:paraId="2982EAF0" w14:textId="77777777" w:rsidR="006D236E" w:rsidRPr="006D236E" w:rsidRDefault="006D236E" w:rsidP="006D236E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AAFBB05" w14:textId="7471A032" w:rsidR="006D236E" w:rsidRDefault="00871706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71706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871706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871706">
        <w:rPr>
          <w:rFonts w:ascii="Arial" w:eastAsia="Calibri" w:hAnsi="Arial" w:cs="Arial"/>
          <w:sz w:val="20"/>
          <w:szCs w:val="20"/>
          <w:lang w:eastAsia="en-US"/>
        </w:rPr>
        <w:t xml:space="preserve"> se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71706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 w:rsidRPr="00871706">
        <w:rPr>
          <w:rFonts w:ascii="Arial" w:eastAsia="Calibri" w:hAnsi="Arial" w:cs="Arial"/>
          <w:sz w:val="20"/>
          <w:szCs w:val="20"/>
          <w:lang w:eastAsia="en-US"/>
        </w:rPr>
        <w:t xml:space="preserve"> zvýšily o 0,7 %.</w:t>
      </w:r>
    </w:p>
    <w:p w14:paraId="461B991F" w14:textId="77777777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C556EEA" w14:textId="2BCE16F3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17595225" wp14:editId="3119BF61">
            <wp:extent cx="5760720" cy="4163060"/>
            <wp:effectExtent l="0" t="0" r="11430" b="889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C533635" w14:textId="77777777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7AB4460" w14:textId="77777777" w:rsidR="006D236E" w:rsidRDefault="00871706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71706">
        <w:rPr>
          <w:rFonts w:ascii="Arial" w:eastAsia="Calibri" w:hAnsi="Arial" w:cs="Arial"/>
          <w:sz w:val="20"/>
          <w:szCs w:val="20"/>
          <w:lang w:eastAsia="en-US"/>
        </w:rPr>
        <w:t>Vzrostly především ceny v odvětví koksu a rafinovaných ropných produktů. Ceny chemických látek a výrobků byly vyšší o 3,6 % a obecných kovů a kovodělných výrobků o 1,8 %</w:t>
      </w:r>
      <w:r w:rsidR="006D236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727BA24" w14:textId="77777777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8C699C2" w14:textId="3A1CB5B8" w:rsidR="00871706" w:rsidRPr="00871706" w:rsidRDefault="00871706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71706">
        <w:rPr>
          <w:rFonts w:ascii="Arial" w:eastAsia="Calibri" w:hAnsi="Arial" w:cs="Arial"/>
          <w:sz w:val="20"/>
          <w:szCs w:val="20"/>
          <w:lang w:eastAsia="en-US"/>
        </w:rPr>
        <w:t>Ceny dopravních prostředků klesly o 0,5 %, z toho ceny dílů a příslušenství pro motorová vozidla o 0,8 %. Snížily se ceny potravinářských výrobků, nápojů a tabáku o 0,1 %, z toho ceny zpracovaného a konzervovaného masa o 1,1 %. Nižší byly také ceny pryžových, plastových a ostatních nekovových minerálních výrobků o 0,1 %.</w:t>
      </w:r>
    </w:p>
    <w:p w14:paraId="46054CF1" w14:textId="77777777" w:rsidR="00E62C8D" w:rsidRPr="00784238" w:rsidRDefault="00E62C8D" w:rsidP="006D236E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14:paraId="54658C7F" w14:textId="77777777" w:rsidR="005937E4" w:rsidRDefault="005937E4" w:rsidP="006D236E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14:paraId="56CBC0E6" w14:textId="77777777" w:rsidR="00A67C7B" w:rsidRDefault="00A67C7B" w:rsidP="006D236E">
      <w:pPr>
        <w:tabs>
          <w:tab w:val="left" w:pos="1134"/>
        </w:tabs>
        <w:rPr>
          <w:rFonts w:ascii="Arial" w:hAnsi="Arial" w:cs="Arial"/>
          <w:sz w:val="20"/>
        </w:rPr>
      </w:pPr>
    </w:p>
    <w:p w14:paraId="61B40C72" w14:textId="3C623C44" w:rsidR="00A67C7B" w:rsidRDefault="00C85174" w:rsidP="006D236E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4FDDD607" wp14:editId="0A74C2CF">
            <wp:extent cx="5135880" cy="1074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69E6" w14:textId="77777777" w:rsidR="005937E4" w:rsidRDefault="00A67C7B" w:rsidP="006D236E">
      <w:r>
        <w:t xml:space="preserve">            </w:t>
      </w:r>
      <w:r w:rsidR="003101B0">
        <w:t xml:space="preserve">  </w:t>
      </w:r>
      <w:r>
        <w:t xml:space="preserve"> </w:t>
      </w:r>
    </w:p>
    <w:p w14:paraId="02417965" w14:textId="77777777" w:rsidR="00EC4029" w:rsidRDefault="00EC4029" w:rsidP="006D236E"/>
    <w:p w14:paraId="51E18486" w14:textId="77777777" w:rsidR="006D236E" w:rsidRDefault="006D236E" w:rsidP="006D236E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6E82A42" w14:textId="44C19798" w:rsidR="006D236E" w:rsidRDefault="006D236E" w:rsidP="006D236E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D236E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Meziroční srovnání:</w:t>
      </w:r>
    </w:p>
    <w:p w14:paraId="412474AB" w14:textId="77777777" w:rsidR="006D236E" w:rsidRPr="006D236E" w:rsidRDefault="006D236E" w:rsidP="006D236E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4711B2CF" w14:textId="6C0B2A1C" w:rsidR="006D236E" w:rsidRDefault="00871706" w:rsidP="006D236E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71706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871706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87170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meziročně </w:t>
      </w:r>
      <w:r w:rsidRPr="00871706">
        <w:rPr>
          <w:rFonts w:ascii="Arial" w:eastAsia="Calibri" w:hAnsi="Arial" w:cs="Arial"/>
          <w:bCs/>
          <w:sz w:val="20"/>
          <w:szCs w:val="20"/>
          <w:lang w:eastAsia="en-US"/>
        </w:rPr>
        <w:t>vzrostly o 1,4 % (v lednu se nezměnily).</w:t>
      </w:r>
    </w:p>
    <w:p w14:paraId="035B53EF" w14:textId="77777777" w:rsidR="006D236E" w:rsidRDefault="006D236E" w:rsidP="006D236E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F711927" w14:textId="61AFB0B1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60A4BF9F" wp14:editId="0A346875">
            <wp:extent cx="5760720" cy="2644140"/>
            <wp:effectExtent l="0" t="0" r="11430" b="381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1A7156" w14:textId="26E2E88E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A005DE2" w14:textId="276027BA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09398746" wp14:editId="141214C6">
            <wp:extent cx="5760720" cy="4229735"/>
            <wp:effectExtent l="0" t="0" r="11430" b="18415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E0C1DE" w14:textId="77777777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4DACD31" w14:textId="29B1A76F" w:rsidR="00871706" w:rsidRPr="00871706" w:rsidRDefault="00871706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71706">
        <w:rPr>
          <w:rFonts w:ascii="Arial" w:eastAsia="Calibri" w:hAnsi="Arial" w:cs="Arial"/>
          <w:sz w:val="20"/>
          <w:szCs w:val="20"/>
          <w:lang w:eastAsia="en-US"/>
        </w:rPr>
        <w:t xml:space="preserve">Zvýšily se ceny obecných kovů a kovodělných výrobků o 7,2 % a nábytku a ostatních výrobků zpracovatelského průmyslu o 3,5 %. Ceny dopravních prostředků byly vyšší o 1,8 %, z toho ceny dílů a příslušenství pro motorová vozidla o 2,0 % a motorových vozidel o 1,5 %. </w:t>
      </w:r>
    </w:p>
    <w:p w14:paraId="0C7CF54D" w14:textId="77777777" w:rsidR="006D236E" w:rsidRDefault="006D236E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8FE9ECD" w14:textId="50DEC01D" w:rsidR="00871706" w:rsidRPr="00871706" w:rsidRDefault="00871706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71706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Klesly zejména ceny v odvětví koksu a rafinovaných ropných produktů. Ceny potravinářských výrobků, nápojů a tabáku byly nižší o 1,2 %, z toho zpracovaného a konzervovaného masa a výrobků z masa o 10,5 %. Ceny těžby a dobývání se snížily o 0,8 %. </w:t>
      </w:r>
    </w:p>
    <w:p w14:paraId="5B1F12AF" w14:textId="77777777" w:rsidR="00871706" w:rsidRPr="00871706" w:rsidRDefault="00871706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521CB949" w14:textId="77777777" w:rsidR="00204A1A" w:rsidRDefault="00204A1A" w:rsidP="006D236E">
      <w:pPr>
        <w:rPr>
          <w:rFonts w:cs="Arial"/>
          <w:szCs w:val="20"/>
        </w:rPr>
      </w:pPr>
    </w:p>
    <w:p w14:paraId="30EB466E" w14:textId="0CE782D5" w:rsidR="007E5E47" w:rsidRDefault="005937E4" w:rsidP="006D236E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14:paraId="4CF9AA19" w14:textId="77777777" w:rsidR="004D7DFF" w:rsidRDefault="008E7C34" w:rsidP="006D23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</w:t>
      </w:r>
      <w:r w:rsidR="004508AD">
        <w:rPr>
          <w:rFonts w:ascii="Arial" w:hAnsi="Arial" w:cs="Arial"/>
          <w:sz w:val="20"/>
        </w:rPr>
        <w:t xml:space="preserve">  </w:t>
      </w:r>
    </w:p>
    <w:p w14:paraId="20FF6D81" w14:textId="11AE06D7" w:rsidR="008E7C34" w:rsidRDefault="00C85174" w:rsidP="006D236E">
      <w:r>
        <w:rPr>
          <w:noProof/>
        </w:rPr>
        <w:drawing>
          <wp:inline distT="0" distB="0" distL="0" distR="0" wp14:anchorId="0C68B399" wp14:editId="7FF9152B">
            <wp:extent cx="5135880" cy="1074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C156" w14:textId="77777777" w:rsidR="000D7CFF" w:rsidRDefault="000D7CFF" w:rsidP="006D236E">
      <w:pPr>
        <w:rPr>
          <w:rFonts w:ascii="Arial" w:hAnsi="Arial" w:cs="Arial"/>
          <w:sz w:val="20"/>
        </w:rPr>
      </w:pPr>
    </w:p>
    <w:p w14:paraId="0ABDC10F" w14:textId="77777777" w:rsidR="00F64FA4" w:rsidRDefault="00F64FA4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CA41480" w14:textId="77777777" w:rsidR="00871706" w:rsidRPr="00871706" w:rsidRDefault="00871706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71706">
        <w:rPr>
          <w:rFonts w:ascii="Arial" w:eastAsia="Calibri" w:hAnsi="Arial" w:cs="Arial"/>
          <w:sz w:val="20"/>
          <w:szCs w:val="20"/>
          <w:lang w:eastAsia="en-US"/>
        </w:rPr>
        <w:t xml:space="preserve">Při hodnocení podle hlavních průmyslových skupin vzrostly především ceny zboží dlouhodobé spotřeby o 3,6 % a meziproduktů o 3,5 %. Klesly ceny energií o 0,5 % a zboží krátkodobé spotřeby o 1,4 %. </w:t>
      </w:r>
    </w:p>
    <w:p w14:paraId="2DB337E0" w14:textId="77777777" w:rsidR="007219F4" w:rsidRPr="007219F4" w:rsidRDefault="007219F4" w:rsidP="006D23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F735E9C" w14:textId="11A2B904" w:rsidR="00F054BD" w:rsidRDefault="005937E4" w:rsidP="006D236E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DB6A75">
        <w:rPr>
          <w:rFonts w:ascii="Arial" w:hAnsi="Arial" w:cs="Arial"/>
          <w:sz w:val="20"/>
          <w:szCs w:val="20"/>
        </w:rPr>
        <w:t>99,9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14:paraId="2AA08B72" w14:textId="77777777" w:rsidR="00F85EA2" w:rsidRDefault="00F85EA2" w:rsidP="006D236E">
      <w:pPr>
        <w:spacing w:line="276" w:lineRule="auto"/>
        <w:rPr>
          <w:rFonts w:ascii="Arial" w:hAnsi="Arial" w:cs="Arial"/>
          <w:sz w:val="20"/>
          <w:szCs w:val="20"/>
        </w:rPr>
      </w:pPr>
    </w:p>
    <w:p w14:paraId="18015AC8" w14:textId="77777777" w:rsidR="00085AE9" w:rsidRDefault="00085AE9" w:rsidP="006D236E">
      <w:pPr>
        <w:spacing w:line="276" w:lineRule="auto"/>
        <w:rPr>
          <w:rFonts w:ascii="Arial" w:hAnsi="Arial" w:cs="Arial"/>
          <w:sz w:val="20"/>
          <w:szCs w:val="20"/>
        </w:rPr>
      </w:pPr>
    </w:p>
    <w:p w14:paraId="5FCAEC1F" w14:textId="77777777" w:rsidR="006D236E" w:rsidRPr="00510112" w:rsidRDefault="006D236E" w:rsidP="006D236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</w:p>
    <w:p w14:paraId="06D141D9" w14:textId="13DBE4F1" w:rsidR="006D236E" w:rsidRDefault="006D236E" w:rsidP="006D236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únor 2021</w:t>
      </w:r>
    </w:p>
    <w:p w14:paraId="2F88EEA5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  <w:r w:rsidRPr="001D2F8B">
        <w:rPr>
          <w:rFonts w:ascii="Arial" w:hAnsi="Arial" w:cs="Arial"/>
          <w:b/>
          <w:bCs/>
          <w:sz w:val="20"/>
          <w:szCs w:val="20"/>
        </w:rPr>
        <w:t>CA101112 Vepřové maso</w:t>
      </w:r>
      <w:r>
        <w:rPr>
          <w:rFonts w:ascii="Arial" w:hAnsi="Arial" w:cs="Arial"/>
          <w:sz w:val="20"/>
          <w:szCs w:val="20"/>
        </w:rPr>
        <w:t xml:space="preserve">: </w:t>
      </w:r>
      <w:r w:rsidRPr="001D2F8B">
        <w:rPr>
          <w:rFonts w:ascii="Arial" w:hAnsi="Arial" w:cs="Arial"/>
          <w:sz w:val="20"/>
          <w:szCs w:val="20"/>
        </w:rPr>
        <w:t>v únoru velký pokles nákupních cen prasat</w:t>
      </w:r>
    </w:p>
    <w:p w14:paraId="3337FC98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</w:p>
    <w:p w14:paraId="05E22618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  <w:r w:rsidRPr="001D2F8B">
        <w:rPr>
          <w:rFonts w:ascii="Arial" w:hAnsi="Arial" w:cs="Arial"/>
          <w:b/>
          <w:bCs/>
          <w:sz w:val="20"/>
          <w:szCs w:val="20"/>
        </w:rPr>
        <w:t>CA101314 Vysočina, Špekáčky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1D2F8B">
        <w:rPr>
          <w:rFonts w:ascii="Arial" w:hAnsi="Arial" w:cs="Arial"/>
          <w:sz w:val="20"/>
          <w:szCs w:val="20"/>
        </w:rPr>
        <w:t>akční slevy</w:t>
      </w:r>
    </w:p>
    <w:p w14:paraId="4FDC1626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</w:p>
    <w:p w14:paraId="494A88D2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  <w:r w:rsidRPr="001D2F8B">
        <w:rPr>
          <w:rFonts w:ascii="Arial" w:hAnsi="Arial" w:cs="Arial"/>
          <w:b/>
          <w:bCs/>
          <w:sz w:val="20"/>
          <w:szCs w:val="20"/>
        </w:rPr>
        <w:t>CA101314 Dušená šunka</w:t>
      </w:r>
      <w:r>
        <w:rPr>
          <w:rFonts w:ascii="Arial" w:hAnsi="Arial" w:cs="Arial"/>
          <w:sz w:val="20"/>
          <w:szCs w:val="20"/>
        </w:rPr>
        <w:t xml:space="preserve">: </w:t>
      </w:r>
      <w:r w:rsidRPr="001D2F8B">
        <w:rPr>
          <w:rFonts w:ascii="Arial" w:hAnsi="Arial" w:cs="Arial"/>
          <w:sz w:val="20"/>
          <w:szCs w:val="20"/>
        </w:rPr>
        <w:t>návrat ceny po slevách</w:t>
      </w:r>
    </w:p>
    <w:p w14:paraId="4B6FB209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</w:p>
    <w:p w14:paraId="170DE3A1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  <w:r w:rsidRPr="001D2F8B">
        <w:rPr>
          <w:rFonts w:ascii="Arial" w:hAnsi="Arial" w:cs="Arial"/>
          <w:b/>
          <w:bCs/>
          <w:sz w:val="20"/>
          <w:szCs w:val="20"/>
        </w:rPr>
        <w:t>CA105130 Máslo</w:t>
      </w:r>
      <w:r>
        <w:rPr>
          <w:rFonts w:ascii="Arial" w:hAnsi="Arial" w:cs="Arial"/>
          <w:sz w:val="20"/>
          <w:szCs w:val="20"/>
        </w:rPr>
        <w:t xml:space="preserve">: </w:t>
      </w:r>
      <w:r w:rsidRPr="001D2F8B">
        <w:rPr>
          <w:rFonts w:ascii="Arial" w:hAnsi="Arial" w:cs="Arial"/>
          <w:sz w:val="20"/>
          <w:szCs w:val="20"/>
        </w:rPr>
        <w:t>akční slevy</w:t>
      </w:r>
    </w:p>
    <w:p w14:paraId="0AE26199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</w:p>
    <w:p w14:paraId="29C6D059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  <w:r w:rsidRPr="001D2F8B">
        <w:rPr>
          <w:rFonts w:ascii="Arial" w:hAnsi="Arial" w:cs="Arial"/>
          <w:b/>
          <w:bCs/>
          <w:sz w:val="20"/>
          <w:szCs w:val="20"/>
        </w:rPr>
        <w:t xml:space="preserve">CA101220 Kuře kuchané </w:t>
      </w:r>
      <w:proofErr w:type="spellStart"/>
      <w:r w:rsidRPr="001D2F8B">
        <w:rPr>
          <w:rFonts w:ascii="Arial" w:hAnsi="Arial" w:cs="Arial"/>
          <w:b/>
          <w:bCs/>
          <w:sz w:val="20"/>
          <w:szCs w:val="20"/>
        </w:rPr>
        <w:t>I.tř</w:t>
      </w:r>
      <w:proofErr w:type="spellEnd"/>
      <w:r w:rsidRPr="001D2F8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1D2F8B">
        <w:rPr>
          <w:rFonts w:ascii="Arial" w:hAnsi="Arial" w:cs="Arial"/>
          <w:sz w:val="20"/>
          <w:szCs w:val="20"/>
        </w:rPr>
        <w:t>návrat po akcích</w:t>
      </w:r>
    </w:p>
    <w:p w14:paraId="4B33AECA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</w:p>
    <w:p w14:paraId="18C547AA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  <w:r w:rsidRPr="001D2F8B">
        <w:rPr>
          <w:rFonts w:ascii="Arial" w:hAnsi="Arial" w:cs="Arial"/>
          <w:b/>
          <w:bCs/>
          <w:sz w:val="20"/>
          <w:szCs w:val="20"/>
        </w:rPr>
        <w:t>CA106121 Pšeničná mouka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1D2F8B">
        <w:rPr>
          <w:rFonts w:ascii="Arial" w:hAnsi="Arial" w:cs="Arial"/>
          <w:sz w:val="20"/>
          <w:szCs w:val="20"/>
        </w:rPr>
        <w:t>volně ložené mouky vliv zdražení, vyšší cena pšenice</w:t>
      </w:r>
    </w:p>
    <w:p w14:paraId="635AF4C9" w14:textId="77777777" w:rsidR="00F85EA2" w:rsidRDefault="00F85EA2" w:rsidP="00F85EA2">
      <w:pPr>
        <w:rPr>
          <w:rFonts w:ascii="Arial" w:hAnsi="Arial" w:cs="Arial"/>
          <w:sz w:val="20"/>
          <w:szCs w:val="20"/>
        </w:rPr>
      </w:pPr>
    </w:p>
    <w:p w14:paraId="07046D32" w14:textId="336DAD6B" w:rsidR="00085AE9" w:rsidRPr="00F054BD" w:rsidRDefault="00F85EA2" w:rsidP="00F85EA2">
      <w:pPr>
        <w:spacing w:line="276" w:lineRule="auto"/>
        <w:rPr>
          <w:rFonts w:ascii="Arial" w:hAnsi="Arial" w:cs="Arial"/>
          <w:sz w:val="20"/>
          <w:szCs w:val="20"/>
        </w:rPr>
      </w:pPr>
      <w:r w:rsidRPr="001D2F8B">
        <w:rPr>
          <w:rFonts w:ascii="Arial" w:hAnsi="Arial" w:cs="Arial"/>
          <w:b/>
          <w:bCs/>
          <w:sz w:val="20"/>
          <w:szCs w:val="20"/>
        </w:rPr>
        <w:t>CA109110 Krmné směsi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1D2F8B">
        <w:rPr>
          <w:rFonts w:ascii="Arial" w:hAnsi="Arial" w:cs="Arial"/>
          <w:sz w:val="20"/>
          <w:szCs w:val="20"/>
        </w:rPr>
        <w:t>stejně jako minulý měsíc projev zvyšování cen krmných směsí vlivem dražších vstupních surovin, zejména obilnin</w:t>
      </w:r>
    </w:p>
    <w:sectPr w:rsidR="00085AE9" w:rsidRPr="00F054B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6747"/>
    <w:rsid w:val="00046FC1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AE9"/>
    <w:rsid w:val="00085D17"/>
    <w:rsid w:val="00086E5E"/>
    <w:rsid w:val="00090D82"/>
    <w:rsid w:val="000926E5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00F53"/>
    <w:rsid w:val="003101B0"/>
    <w:rsid w:val="003118A9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697C"/>
    <w:rsid w:val="003969B5"/>
    <w:rsid w:val="00396D4D"/>
    <w:rsid w:val="003C780A"/>
    <w:rsid w:val="003D706C"/>
    <w:rsid w:val="003E3523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25B6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4DE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236E"/>
    <w:rsid w:val="006D3C62"/>
    <w:rsid w:val="006E0F86"/>
    <w:rsid w:val="006E3CE5"/>
    <w:rsid w:val="006E6DEF"/>
    <w:rsid w:val="006F041D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6AC"/>
    <w:rsid w:val="00836A4B"/>
    <w:rsid w:val="00861923"/>
    <w:rsid w:val="008620AC"/>
    <w:rsid w:val="008714A1"/>
    <w:rsid w:val="00871706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5488"/>
    <w:rsid w:val="009A6510"/>
    <w:rsid w:val="009B2F28"/>
    <w:rsid w:val="009B6EF5"/>
    <w:rsid w:val="009D0DCE"/>
    <w:rsid w:val="009D38FD"/>
    <w:rsid w:val="009E083E"/>
    <w:rsid w:val="009E2DAF"/>
    <w:rsid w:val="009E6438"/>
    <w:rsid w:val="009F3935"/>
    <w:rsid w:val="009F5717"/>
    <w:rsid w:val="00A014FF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23957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6498"/>
    <w:rsid w:val="00C31D50"/>
    <w:rsid w:val="00C43795"/>
    <w:rsid w:val="00C4718D"/>
    <w:rsid w:val="00C50954"/>
    <w:rsid w:val="00C5587C"/>
    <w:rsid w:val="00C85174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B2688"/>
    <w:rsid w:val="00DB6A75"/>
    <w:rsid w:val="00DC1C2B"/>
    <w:rsid w:val="00DC21C7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85EA2"/>
    <w:rsid w:val="00F92903"/>
    <w:rsid w:val="00F93A0C"/>
    <w:rsid w:val="00F952CF"/>
    <w:rsid w:val="00F963D0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EF9F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icpv\publikace\2021\02-2021\0110442102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cpv\publikace\2021\02-2021\0110442102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cpv\publikace\2021\02-2021\0110442102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III.20</c:v>
                </c:pt>
                <c:pt idx="13">
                  <c:v>IV.20</c:v>
                </c:pt>
                <c:pt idx="14">
                  <c:v>V.20</c:v>
                </c:pt>
                <c:pt idx="15">
                  <c:v>VI.20</c:v>
                </c:pt>
                <c:pt idx="16">
                  <c:v>VII.20</c:v>
                </c:pt>
                <c:pt idx="17">
                  <c:v>VIII.20</c:v>
                </c:pt>
                <c:pt idx="18">
                  <c:v>IX.20</c:v>
                </c:pt>
                <c:pt idx="19">
                  <c:v>X.20</c:v>
                </c:pt>
                <c:pt idx="20">
                  <c:v>XI.20</c:v>
                </c:pt>
                <c:pt idx="21">
                  <c:v>XII.20</c:v>
                </c:pt>
                <c:pt idx="22">
                  <c:v>I.21</c:v>
                </c:pt>
                <c:pt idx="23">
                  <c:v>II.21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0.5</c:v>
                </c:pt>
                <c:pt idx="1">
                  <c:v>0.7</c:v>
                </c:pt>
                <c:pt idx="2">
                  <c:v>0.5</c:v>
                </c:pt>
                <c:pt idx="3">
                  <c:v>-0.7</c:v>
                </c:pt>
                <c:pt idx="4">
                  <c:v>-0.1</c:v>
                </c:pt>
                <c:pt idx="5">
                  <c:v>0.1</c:v>
                </c:pt>
                <c:pt idx="6">
                  <c:v>0.1</c:v>
                </c:pt>
                <c:pt idx="7">
                  <c:v>-0.3</c:v>
                </c:pt>
                <c:pt idx="8">
                  <c:v>-0.1</c:v>
                </c:pt>
                <c:pt idx="9">
                  <c:v>0.1</c:v>
                </c:pt>
                <c:pt idx="10">
                  <c:v>1.3</c:v>
                </c:pt>
                <c:pt idx="11">
                  <c:v>-0.7</c:v>
                </c:pt>
                <c:pt idx="12">
                  <c:v>-0.5</c:v>
                </c:pt>
                <c:pt idx="13">
                  <c:v>-0.5</c:v>
                </c:pt>
                <c:pt idx="14">
                  <c:v>0.4</c:v>
                </c:pt>
                <c:pt idx="15">
                  <c:v>-0.1</c:v>
                </c:pt>
                <c:pt idx="16">
                  <c:v>0.1</c:v>
                </c:pt>
                <c:pt idx="17">
                  <c:v>-0.3</c:v>
                </c:pt>
                <c:pt idx="18">
                  <c:v>0.2</c:v>
                </c:pt>
                <c:pt idx="19">
                  <c:v>0.4</c:v>
                </c:pt>
                <c:pt idx="20" formatCode="General">
                  <c:v>-0.5</c:v>
                </c:pt>
                <c:pt idx="21">
                  <c:v>0.2</c:v>
                </c:pt>
                <c:pt idx="22" formatCode="General">
                  <c:v>1.3</c:v>
                </c:pt>
                <c:pt idx="2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A2-4C35-8DB5-29AFD5FAB4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1.5"/>
          <c:min val="-1.1000000000000001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0.2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III.20</c:v>
                </c:pt>
                <c:pt idx="13">
                  <c:v>IV.20</c:v>
                </c:pt>
                <c:pt idx="14">
                  <c:v>V.20</c:v>
                </c:pt>
                <c:pt idx="15">
                  <c:v>VI.20</c:v>
                </c:pt>
                <c:pt idx="16">
                  <c:v>VII.20</c:v>
                </c:pt>
                <c:pt idx="17">
                  <c:v>VIII.20</c:v>
                </c:pt>
                <c:pt idx="18">
                  <c:v>IX.20</c:v>
                </c:pt>
                <c:pt idx="19">
                  <c:v>X.20</c:v>
                </c:pt>
                <c:pt idx="20">
                  <c:v>XI.20</c:v>
                </c:pt>
                <c:pt idx="21">
                  <c:v>XII.20</c:v>
                </c:pt>
                <c:pt idx="22">
                  <c:v>I.21</c:v>
                </c:pt>
                <c:pt idx="23">
                  <c:v>II.21</c:v>
                </c:pt>
              </c:strCache>
            </c:strRef>
          </c:cat>
          <c:val>
            <c:numRef>
              <c:f>List1!$B$6:$Y$6</c:f>
              <c:numCache>
                <c:formatCode>0.0</c:formatCode>
                <c:ptCount val="24"/>
                <c:pt idx="0">
                  <c:v>3.8</c:v>
                </c:pt>
                <c:pt idx="1">
                  <c:v>4.3</c:v>
                </c:pt>
                <c:pt idx="2">
                  <c:v>3.8</c:v>
                </c:pt>
                <c:pt idx="3">
                  <c:v>2.5</c:v>
                </c:pt>
                <c:pt idx="4">
                  <c:v>2.1</c:v>
                </c:pt>
                <c:pt idx="5">
                  <c:v>2.1</c:v>
                </c:pt>
                <c:pt idx="6">
                  <c:v>1.9</c:v>
                </c:pt>
                <c:pt idx="7">
                  <c:v>0.9</c:v>
                </c:pt>
                <c:pt idx="8">
                  <c:v>0.9</c:v>
                </c:pt>
                <c:pt idx="9">
                  <c:v>2.1</c:v>
                </c:pt>
                <c:pt idx="10">
                  <c:v>2.4</c:v>
                </c:pt>
                <c:pt idx="11">
                  <c:v>1.4</c:v>
                </c:pt>
                <c:pt idx="12">
                  <c:v>0.4</c:v>
                </c:pt>
                <c:pt idx="13">
                  <c:v>-0.8</c:v>
                </c:pt>
                <c:pt idx="14">
                  <c:v>-0.9</c:v>
                </c:pt>
                <c:pt idx="15">
                  <c:v>-0.3</c:v>
                </c:pt>
                <c:pt idx="16">
                  <c:v>-0.1</c:v>
                </c:pt>
                <c:pt idx="17">
                  <c:v>-0.5</c:v>
                </c:pt>
                <c:pt idx="18">
                  <c:v>-0.4</c:v>
                </c:pt>
                <c:pt idx="19">
                  <c:v>0.3</c:v>
                </c:pt>
                <c:pt idx="20" formatCode="General">
                  <c:v>-0.1</c:v>
                </c:pt>
                <c:pt idx="21">
                  <c:v>0</c:v>
                </c:pt>
                <c:pt idx="22">
                  <c:v>0</c:v>
                </c:pt>
                <c:pt idx="2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2E-44EA-A63D-494D2067C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5"/>
          <c:min val="-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III.20</c:v>
                </c:pt>
                <c:pt idx="13">
                  <c:v>IV.20</c:v>
                </c:pt>
                <c:pt idx="14">
                  <c:v>V.20</c:v>
                </c:pt>
                <c:pt idx="15">
                  <c:v>VI.20</c:v>
                </c:pt>
                <c:pt idx="16">
                  <c:v>VII.20</c:v>
                </c:pt>
                <c:pt idx="17">
                  <c:v>VIII.20</c:v>
                </c:pt>
                <c:pt idx="18">
                  <c:v>IX.20</c:v>
                </c:pt>
                <c:pt idx="19">
                  <c:v>X.20</c:v>
                </c:pt>
                <c:pt idx="20">
                  <c:v>XI.20</c:v>
                </c:pt>
                <c:pt idx="21">
                  <c:v>XII.20</c:v>
                </c:pt>
                <c:pt idx="22">
                  <c:v>I.21</c:v>
                </c:pt>
                <c:pt idx="23">
                  <c:v>II.21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3</c:v>
                </c:pt>
                <c:pt idx="1">
                  <c:v>3.5</c:v>
                </c:pt>
                <c:pt idx="2">
                  <c:v>2.9</c:v>
                </c:pt>
                <c:pt idx="3">
                  <c:v>1.4</c:v>
                </c:pt>
                <c:pt idx="4">
                  <c:v>0.9</c:v>
                </c:pt>
                <c:pt idx="5">
                  <c:v>0.8</c:v>
                </c:pt>
                <c:pt idx="6">
                  <c:v>0.7</c:v>
                </c:pt>
                <c:pt idx="7">
                  <c:v>-0.4</c:v>
                </c:pt>
                <c:pt idx="8">
                  <c:v>-0.7</c:v>
                </c:pt>
                <c:pt idx="9">
                  <c:v>0.8</c:v>
                </c:pt>
                <c:pt idx="10">
                  <c:v>1.2</c:v>
                </c:pt>
                <c:pt idx="11">
                  <c:v>-0.1</c:v>
                </c:pt>
                <c:pt idx="12">
                  <c:v>-1.2</c:v>
                </c:pt>
                <c:pt idx="13">
                  <c:v>-2.5</c:v>
                </c:pt>
                <c:pt idx="14">
                  <c:v>-2.6</c:v>
                </c:pt>
                <c:pt idx="15">
                  <c:v>-1.9</c:v>
                </c:pt>
                <c:pt idx="16">
                  <c:v>-1.6</c:v>
                </c:pt>
                <c:pt idx="17">
                  <c:v>-2</c:v>
                </c:pt>
                <c:pt idx="18">
                  <c:v>-1.9</c:v>
                </c:pt>
                <c:pt idx="19">
                  <c:v>-1.1000000000000001</c:v>
                </c:pt>
                <c:pt idx="20" formatCode="General">
                  <c:v>-1.4</c:v>
                </c:pt>
                <c:pt idx="21">
                  <c:v>-1.2</c:v>
                </c:pt>
                <c:pt idx="22">
                  <c:v>-0.3</c:v>
                </c:pt>
                <c:pt idx="23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59-4FC1-ADD8-9327B2E028A3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III.20</c:v>
                </c:pt>
                <c:pt idx="13">
                  <c:v>IV.20</c:v>
                </c:pt>
                <c:pt idx="14">
                  <c:v>V.20</c:v>
                </c:pt>
                <c:pt idx="15">
                  <c:v>VI.20</c:v>
                </c:pt>
                <c:pt idx="16">
                  <c:v>VII.20</c:v>
                </c:pt>
                <c:pt idx="17">
                  <c:v>VIII.20</c:v>
                </c:pt>
                <c:pt idx="18">
                  <c:v>IX.20</c:v>
                </c:pt>
                <c:pt idx="19">
                  <c:v>X.20</c:v>
                </c:pt>
                <c:pt idx="20">
                  <c:v>XI.20</c:v>
                </c:pt>
                <c:pt idx="21">
                  <c:v>XII.20</c:v>
                </c:pt>
                <c:pt idx="22">
                  <c:v>I.21</c:v>
                </c:pt>
                <c:pt idx="23">
                  <c:v>II.21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8.4</c:v>
                </c:pt>
                <c:pt idx="1">
                  <c:v>8.1999999999999993</c:v>
                </c:pt>
                <c:pt idx="2">
                  <c:v>8.6</c:v>
                </c:pt>
                <c:pt idx="3">
                  <c:v>7.9</c:v>
                </c:pt>
                <c:pt idx="4">
                  <c:v>8</c:v>
                </c:pt>
                <c:pt idx="5">
                  <c:v>7.7</c:v>
                </c:pt>
                <c:pt idx="6">
                  <c:v>7.7</c:v>
                </c:pt>
                <c:pt idx="7">
                  <c:v>7.5</c:v>
                </c:pt>
                <c:pt idx="8">
                  <c:v>8.6999999999999993</c:v>
                </c:pt>
                <c:pt idx="9">
                  <c:v>8.8000000000000007</c:v>
                </c:pt>
                <c:pt idx="10">
                  <c:v>9.3000000000000007</c:v>
                </c:pt>
                <c:pt idx="11">
                  <c:v>9</c:v>
                </c:pt>
                <c:pt idx="12">
                  <c:v>8.3000000000000007</c:v>
                </c:pt>
                <c:pt idx="13">
                  <c:v>8.6</c:v>
                </c:pt>
                <c:pt idx="14">
                  <c:v>8</c:v>
                </c:pt>
                <c:pt idx="15">
                  <c:v>8</c:v>
                </c:pt>
                <c:pt idx="16">
                  <c:v>7.7</c:v>
                </c:pt>
                <c:pt idx="17">
                  <c:v>7.9</c:v>
                </c:pt>
                <c:pt idx="18">
                  <c:v>7.7</c:v>
                </c:pt>
                <c:pt idx="19">
                  <c:v>7</c:v>
                </c:pt>
                <c:pt idx="20" formatCode="General">
                  <c:v>5.8</c:v>
                </c:pt>
                <c:pt idx="21">
                  <c:v>5.6</c:v>
                </c:pt>
                <c:pt idx="22">
                  <c:v>0.4</c:v>
                </c:pt>
                <c:pt idx="2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59-4FC1-ADD8-9327B2E02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III.20</c:v>
                </c:pt>
                <c:pt idx="13">
                  <c:v>IV.20</c:v>
                </c:pt>
                <c:pt idx="14">
                  <c:v>V.20</c:v>
                </c:pt>
                <c:pt idx="15">
                  <c:v>VI.20</c:v>
                </c:pt>
                <c:pt idx="16">
                  <c:v>VII.20</c:v>
                </c:pt>
                <c:pt idx="17">
                  <c:v>VIII.20</c:v>
                </c:pt>
                <c:pt idx="18">
                  <c:v>IX.20</c:v>
                </c:pt>
                <c:pt idx="19">
                  <c:v>X.20</c:v>
                </c:pt>
                <c:pt idx="20">
                  <c:v>XI.20</c:v>
                </c:pt>
                <c:pt idx="21">
                  <c:v>XII.20</c:v>
                </c:pt>
                <c:pt idx="22">
                  <c:v>I.21</c:v>
                </c:pt>
                <c:pt idx="23">
                  <c:v>II.21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8</c:v>
                </c:pt>
                <c:pt idx="1">
                  <c:v>8.4</c:v>
                </c:pt>
                <c:pt idx="2">
                  <c:v>7.5</c:v>
                </c:pt>
                <c:pt idx="3">
                  <c:v>7.1</c:v>
                </c:pt>
                <c:pt idx="4">
                  <c:v>6.9</c:v>
                </c:pt>
                <c:pt idx="5">
                  <c:v>6.8</c:v>
                </c:pt>
                <c:pt idx="6">
                  <c:v>6.6</c:v>
                </c:pt>
                <c:pt idx="7">
                  <c:v>3.6</c:v>
                </c:pt>
                <c:pt idx="8">
                  <c:v>3.2</c:v>
                </c:pt>
                <c:pt idx="9">
                  <c:v>4.3</c:v>
                </c:pt>
                <c:pt idx="10">
                  <c:v>-2.1</c:v>
                </c:pt>
                <c:pt idx="11">
                  <c:v>-1.8</c:v>
                </c:pt>
                <c:pt idx="12">
                  <c:v>-2.6</c:v>
                </c:pt>
                <c:pt idx="13">
                  <c:v>-3.7</c:v>
                </c:pt>
                <c:pt idx="14">
                  <c:v>-3.1</c:v>
                </c:pt>
                <c:pt idx="15">
                  <c:v>-3.6</c:v>
                </c:pt>
                <c:pt idx="16">
                  <c:v>-3.5</c:v>
                </c:pt>
                <c:pt idx="17">
                  <c:v>-3.5</c:v>
                </c:pt>
                <c:pt idx="18">
                  <c:v>-3.7</c:v>
                </c:pt>
                <c:pt idx="19">
                  <c:v>-1.9</c:v>
                </c:pt>
                <c:pt idx="20" formatCode="General">
                  <c:v>-1.8</c:v>
                </c:pt>
                <c:pt idx="21">
                  <c:v>-2.2000000000000002</c:v>
                </c:pt>
                <c:pt idx="22">
                  <c:v>-0.3</c:v>
                </c:pt>
                <c:pt idx="23">
                  <c:v>-0.8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59-4FC1-ADD8-9327B2E028A3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III.20</c:v>
                </c:pt>
                <c:pt idx="13">
                  <c:v>IV.20</c:v>
                </c:pt>
                <c:pt idx="14">
                  <c:v>V.20</c:v>
                </c:pt>
                <c:pt idx="15">
                  <c:v>VI.20</c:v>
                </c:pt>
                <c:pt idx="16">
                  <c:v>VII.20</c:v>
                </c:pt>
                <c:pt idx="17">
                  <c:v>VIII.20</c:v>
                </c:pt>
                <c:pt idx="18">
                  <c:v>IX.20</c:v>
                </c:pt>
                <c:pt idx="19">
                  <c:v>X.20</c:v>
                </c:pt>
                <c:pt idx="20">
                  <c:v>XI.20</c:v>
                </c:pt>
                <c:pt idx="21">
                  <c:v>XII.20</c:v>
                </c:pt>
                <c:pt idx="22">
                  <c:v>I.21</c:v>
                </c:pt>
                <c:pt idx="23">
                  <c:v>II.21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  <c:pt idx="10">
                  <c:v>5.4</c:v>
                </c:pt>
                <c:pt idx="11">
                  <c:v>5.4</c:v>
                </c:pt>
                <c:pt idx="12">
                  <c:v>5.4</c:v>
                </c:pt>
                <c:pt idx="13">
                  <c:v>5.4</c:v>
                </c:pt>
                <c:pt idx="14">
                  <c:v>6.4</c:v>
                </c:pt>
                <c:pt idx="15">
                  <c:v>6.4</c:v>
                </c:pt>
                <c:pt idx="16">
                  <c:v>6.4</c:v>
                </c:pt>
                <c:pt idx="17">
                  <c:v>6.4</c:v>
                </c:pt>
                <c:pt idx="18">
                  <c:v>6.4</c:v>
                </c:pt>
                <c:pt idx="19">
                  <c:v>6.4</c:v>
                </c:pt>
                <c:pt idx="20" formatCode="General">
                  <c:v>6.4</c:v>
                </c:pt>
                <c:pt idx="21">
                  <c:v>6.4</c:v>
                </c:pt>
                <c:pt idx="22">
                  <c:v>6.9</c:v>
                </c:pt>
                <c:pt idx="23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59-4FC1-ADD8-9327B2E02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10"/>
          <c:min val="-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633A-836B-411A-A8AC-91D03B17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Mila</cp:lastModifiedBy>
  <cp:revision>4</cp:revision>
  <cp:lastPrinted>2011-06-10T07:57:00Z</cp:lastPrinted>
  <dcterms:created xsi:type="dcterms:W3CDTF">2021-03-10T13:08:00Z</dcterms:created>
  <dcterms:modified xsi:type="dcterms:W3CDTF">2021-03-11T15:00:00Z</dcterms:modified>
</cp:coreProperties>
</file>