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A7" w:rsidRDefault="00C524AE">
      <w:pPr>
        <w:spacing w:before="120" w:after="120"/>
        <w:jc w:val="both"/>
        <w:rPr>
          <w:rFonts w:ascii="Arial" w:hAnsi="Arial"/>
          <w:i/>
          <w:iCs/>
          <w:color w:val="FF0000"/>
          <w:lang w:val="en-GB"/>
        </w:rPr>
      </w:pPr>
      <w:r>
        <w:rPr>
          <w:rFonts w:ascii="Arial" w:hAnsi="Arial"/>
          <w:b/>
          <w:i/>
          <w:iCs/>
          <w:lang w:val="en-GB"/>
        </w:rPr>
        <w:t>Commentary</w:t>
      </w:r>
    </w:p>
    <w:p w:rsidR="002225A7" w:rsidRDefault="00C524AE">
      <w:pPr>
        <w:pStyle w:val="Zkladntextodsazen"/>
        <w:ind w:firstLine="0"/>
        <w:rPr>
          <w:i/>
          <w:lang w:val="en-GB"/>
        </w:rPr>
      </w:pPr>
      <w:r>
        <w:rPr>
          <w:i/>
          <w:iCs/>
          <w:lang w:val="en-GB"/>
        </w:rPr>
        <w:t xml:space="preserve">The output of the </w:t>
      </w:r>
      <w:r>
        <w:rPr>
          <w:i/>
          <w:iCs/>
          <w:lang w:val="en-GB"/>
        </w:rPr>
        <w:t xml:space="preserve">agricultural </w:t>
      </w:r>
      <w:r>
        <w:rPr>
          <w:i/>
          <w:iCs/>
          <w:lang w:val="en-GB"/>
        </w:rPr>
        <w:t xml:space="preserve">industry (OAI) at </w:t>
      </w:r>
      <w:r>
        <w:rPr>
          <w:i/>
          <w:iCs/>
          <w:lang w:val="en-GB"/>
        </w:rPr>
        <w:t>current basic prices in 2019 reached CZK</w:t>
      </w:r>
      <w:r>
        <w:t> </w:t>
      </w:r>
      <w:r>
        <w:rPr>
          <w:i/>
          <w:iCs/>
        </w:rPr>
        <w:t>141,065.6</w:t>
      </w:r>
      <w:r>
        <w:t> </w:t>
      </w:r>
      <w:proofErr w:type="gramStart"/>
      <w:r>
        <w:rPr>
          <w:i/>
          <w:iCs/>
          <w:lang w:val="en-GB"/>
        </w:rPr>
        <w:t>million</w:t>
      </w:r>
      <w:proofErr w:type="gramEnd"/>
      <w:r>
        <w:rPr>
          <w:i/>
          <w:iCs/>
          <w:lang w:val="en-GB"/>
        </w:rPr>
        <w:t>. In 2020, the OAI increased by 5.6% to CZK 148,979.4</w:t>
      </w:r>
      <w:r>
        <w:rPr>
          <w:i/>
        </w:rPr>
        <w:t> </w:t>
      </w:r>
      <w:r>
        <w:rPr>
          <w:i/>
          <w:iCs/>
          <w:lang w:val="en-GB"/>
        </w:rPr>
        <w:t>million. T</w:t>
      </w:r>
      <w:r>
        <w:rPr>
          <w:i/>
          <w:lang w:val="en"/>
        </w:rPr>
        <w:t xml:space="preserve">his increase </w:t>
      </w:r>
      <w:proofErr w:type="gramStart"/>
      <w:r>
        <w:rPr>
          <w:i/>
          <w:lang w:val="en"/>
        </w:rPr>
        <w:t>was influenced</w:t>
      </w:r>
      <w:proofErr w:type="gramEnd"/>
      <w:r>
        <w:rPr>
          <w:i/>
          <w:lang w:val="en"/>
        </w:rPr>
        <w:t xml:space="preserve"> by a rise of the crop output </w:t>
      </w:r>
      <w:r>
        <w:rPr>
          <w:i/>
          <w:lang w:val="en"/>
        </w:rPr>
        <w:t>by 9.3%. On the contrary</w:t>
      </w:r>
      <w:r>
        <w:rPr>
          <w:i/>
          <w:lang w:val="en"/>
        </w:rPr>
        <w:t>,</w:t>
      </w:r>
      <w:r>
        <w:rPr>
          <w:i/>
          <w:lang w:val="en"/>
        </w:rPr>
        <w:t xml:space="preserve"> the animal output decreased by 0.4%. The output increased for almost all cereals except barley; it rose by 10.1% for wheat and by 2.5% for rye. The values for industrial </w:t>
      </w:r>
      <w:r>
        <w:rPr>
          <w:i/>
          <w:lang w:val="en-GB"/>
        </w:rPr>
        <w:t xml:space="preserve">crops went up by 10.8%, of which </w:t>
      </w:r>
      <w:r>
        <w:rPr>
          <w:i/>
          <w:lang w:val="en-GB"/>
        </w:rPr>
        <w:t xml:space="preserve">for protein crops </w:t>
      </w:r>
      <w:r>
        <w:rPr>
          <w:i/>
          <w:lang w:val="en-GB"/>
        </w:rPr>
        <w:t>(+30.2%) and sunflower (</w:t>
      </w:r>
      <w:r>
        <w:rPr>
          <w:i/>
        </w:rPr>
        <w:t>+26.6</w:t>
      </w:r>
      <w:r>
        <w:rPr>
          <w:i/>
          <w:lang w:val="en-GB"/>
        </w:rPr>
        <w:t xml:space="preserve">%) </w:t>
      </w:r>
      <w:r>
        <w:rPr>
          <w:i/>
          <w:lang w:val="en-GB"/>
        </w:rPr>
        <w:t xml:space="preserve">the most. </w:t>
      </w:r>
      <w:r>
        <w:rPr>
          <w:i/>
          <w:lang w:val="en-GB"/>
        </w:rPr>
        <w:t xml:space="preserve">The output </w:t>
      </w:r>
      <w:r>
        <w:rPr>
          <w:i/>
          <w:lang w:val="en-GB"/>
        </w:rPr>
        <w:t xml:space="preserve">for forage plants </w:t>
      </w:r>
      <w:r>
        <w:rPr>
          <w:i/>
          <w:lang w:val="en-GB"/>
        </w:rPr>
        <w:t xml:space="preserve">rose </w:t>
      </w:r>
      <w:r>
        <w:rPr>
          <w:i/>
          <w:lang w:val="en-GB"/>
        </w:rPr>
        <w:t xml:space="preserve">by 12.1%. </w:t>
      </w:r>
    </w:p>
    <w:p w:rsidR="002225A7" w:rsidRDefault="00C524AE">
      <w:pPr>
        <w:pStyle w:val="Zkladntextodsazen"/>
        <w:ind w:firstLine="0"/>
        <w:rPr>
          <w:i/>
          <w:lang w:val="en-GB"/>
        </w:rPr>
      </w:pPr>
      <w:r>
        <w:rPr>
          <w:i/>
          <w:lang w:val="en"/>
        </w:rPr>
        <w:t xml:space="preserve">Year-on-year increases </w:t>
      </w:r>
      <w:proofErr w:type="gramStart"/>
      <w:r>
        <w:rPr>
          <w:i/>
          <w:lang w:val="en"/>
        </w:rPr>
        <w:t>were observed</w:t>
      </w:r>
      <w:proofErr w:type="gramEnd"/>
      <w:r>
        <w:rPr>
          <w:i/>
          <w:lang w:val="en"/>
        </w:rPr>
        <w:t xml:space="preserve"> in</w:t>
      </w:r>
      <w:bookmarkStart w:id="0" w:name="_GoBack"/>
      <w:bookmarkEnd w:id="0"/>
      <w:r>
        <w:rPr>
          <w:i/>
          <w:lang w:val="en"/>
        </w:rPr>
        <w:t xml:space="preserve"> prices of wheat </w:t>
      </w:r>
      <w:r>
        <w:rPr>
          <w:i/>
          <w:lang w:val="en"/>
        </w:rPr>
        <w:t>(</w:t>
      </w:r>
      <w:r>
        <w:rPr>
          <w:i/>
          <w:lang w:val="en"/>
        </w:rPr>
        <w:t>by 8.7%</w:t>
      </w:r>
      <w:r>
        <w:rPr>
          <w:i/>
          <w:lang w:val="en"/>
        </w:rPr>
        <w:t>)</w:t>
      </w:r>
      <w:r>
        <w:rPr>
          <w:i/>
          <w:lang w:val="en"/>
        </w:rPr>
        <w:t xml:space="preserve"> and maize </w:t>
      </w:r>
      <w:r>
        <w:rPr>
          <w:i/>
          <w:lang w:val="en"/>
        </w:rPr>
        <w:t>(</w:t>
      </w:r>
      <w:r>
        <w:rPr>
          <w:i/>
          <w:lang w:val="en"/>
        </w:rPr>
        <w:t>by 4.0%</w:t>
      </w:r>
      <w:r>
        <w:rPr>
          <w:i/>
          <w:lang w:val="en"/>
        </w:rPr>
        <w:t>)</w:t>
      </w:r>
      <w:r>
        <w:rPr>
          <w:i/>
          <w:lang w:val="en"/>
        </w:rPr>
        <w:t xml:space="preserve">. </w:t>
      </w:r>
      <w:r>
        <w:rPr>
          <w:i/>
          <w:lang w:val="en"/>
        </w:rPr>
        <w:t>On the contrary, t</w:t>
      </w:r>
      <w:r>
        <w:rPr>
          <w:i/>
          <w:lang w:val="en"/>
        </w:rPr>
        <w:t xml:space="preserve">he price indices went down </w:t>
      </w:r>
      <w:r>
        <w:rPr>
          <w:i/>
          <w:lang w:val="en"/>
        </w:rPr>
        <w:t xml:space="preserve">for rye </w:t>
      </w:r>
      <w:r>
        <w:rPr>
          <w:i/>
          <w:lang w:val="en"/>
        </w:rPr>
        <w:t>(</w:t>
      </w:r>
      <w:r>
        <w:rPr>
          <w:i/>
          <w:lang w:val="en"/>
        </w:rPr>
        <w:t>by 6.7%</w:t>
      </w:r>
      <w:r>
        <w:rPr>
          <w:i/>
          <w:lang w:val="en"/>
        </w:rPr>
        <w:t>)</w:t>
      </w:r>
      <w:r>
        <w:rPr>
          <w:i/>
          <w:lang w:val="en"/>
        </w:rPr>
        <w:t xml:space="preserve"> and barley </w:t>
      </w:r>
      <w:r>
        <w:rPr>
          <w:i/>
          <w:lang w:val="en"/>
        </w:rPr>
        <w:t>(</w:t>
      </w:r>
      <w:r>
        <w:rPr>
          <w:i/>
          <w:lang w:val="en"/>
        </w:rPr>
        <w:t>by 4.4%</w:t>
      </w:r>
      <w:r>
        <w:rPr>
          <w:i/>
          <w:lang w:val="en"/>
        </w:rPr>
        <w:t>)</w:t>
      </w:r>
      <w:r>
        <w:rPr>
          <w:i/>
          <w:lang w:val="en"/>
        </w:rPr>
        <w:t xml:space="preserve">. The price indices increased for industrial crops, mainly </w:t>
      </w:r>
      <w:r>
        <w:rPr>
          <w:i/>
          <w:lang w:val="en"/>
        </w:rPr>
        <w:t>for</w:t>
      </w:r>
      <w:r>
        <w:rPr>
          <w:i/>
          <w:lang w:val="en-GB"/>
        </w:rPr>
        <w:t xml:space="preserve"> </w:t>
      </w:r>
      <w:r>
        <w:rPr>
          <w:i/>
          <w:lang w:val="en-GB"/>
        </w:rPr>
        <w:t>sunflower (+25.4%), protein crops (+7.6%)</w:t>
      </w:r>
      <w:r>
        <w:rPr>
          <w:i/>
          <w:lang w:val="en-GB"/>
        </w:rPr>
        <w:t>,</w:t>
      </w:r>
      <w:r>
        <w:rPr>
          <w:i/>
          <w:lang w:val="en-GB"/>
        </w:rPr>
        <w:t xml:space="preserve"> and sugar beet</w:t>
      </w:r>
      <w:r>
        <w:rPr>
          <w:i/>
          <w:lang w:val="en-GB"/>
        </w:rPr>
        <w:t xml:space="preserve"> (+5.8 %). The price of potatoes went down by 20.2%, y-o-y. The harvest of cereals went up by 6.3%, y-</w:t>
      </w:r>
      <w:r>
        <w:t> </w:t>
      </w:r>
      <w:r>
        <w:rPr>
          <w:i/>
          <w:lang w:val="en-GB"/>
        </w:rPr>
        <w:t>o-y; inc</w:t>
      </w:r>
      <w:r>
        <w:rPr>
          <w:i/>
          <w:lang w:val="en-GB"/>
        </w:rPr>
        <w:t xml:space="preserve">reases were observed for all </w:t>
      </w:r>
      <w:r>
        <w:rPr>
          <w:i/>
          <w:lang w:val="en-GB"/>
        </w:rPr>
        <w:t xml:space="preserve">species </w:t>
      </w:r>
      <w:r>
        <w:rPr>
          <w:i/>
          <w:lang w:val="en-GB"/>
        </w:rPr>
        <w:t>(+1.9% for wheat and +9.4% for rye). The harvest of industrial crops decreased by 3.3% compared to 2019. The harvest of forage plants rose, y-o-y, by</w:t>
      </w:r>
      <w:r>
        <w:t> </w:t>
      </w:r>
      <w:r>
        <w:rPr>
          <w:i/>
          <w:lang w:val="en-GB"/>
        </w:rPr>
        <w:t>9.5%.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>The value of the animal output went down by 0.4%, m</w:t>
      </w:r>
      <w:r>
        <w:rPr>
          <w:i/>
          <w:lang w:val="en"/>
        </w:rPr>
        <w:t xml:space="preserve">ainly due to outputs </w:t>
      </w:r>
      <w:r>
        <w:rPr>
          <w:i/>
          <w:lang w:val="en"/>
        </w:rPr>
        <w:t xml:space="preserve">for </w:t>
      </w:r>
      <w:r>
        <w:rPr>
          <w:i/>
          <w:lang w:val="en"/>
        </w:rPr>
        <w:t>cattle (-4.2%), pigs (-1.4%) and poultry (-4.1%). As for cattle, both their production and their price decreased (by</w:t>
      </w:r>
      <w:r>
        <w:t> </w:t>
      </w:r>
      <w:r>
        <w:rPr>
          <w:i/>
          <w:lang w:val="en"/>
        </w:rPr>
        <w:t>1.7% and 2.9%, respectively). The price of pigs declined by 1.7% but their production grew by</w:t>
      </w:r>
      <w:r>
        <w:t> </w:t>
      </w:r>
      <w:r w:rsidRPr="00C524AE">
        <w:rPr>
          <w:i/>
        </w:rPr>
        <w:t>1.4</w:t>
      </w:r>
      <w:r>
        <w:rPr>
          <w:i/>
          <w:lang w:val="en"/>
        </w:rPr>
        <w:t>%. Lower price</w:t>
      </w:r>
      <w:r>
        <w:rPr>
          <w:i/>
          <w:lang w:val="en"/>
        </w:rPr>
        <w:t xml:space="preserve"> index (-2.7%) as well as production (-1.4%) were reported for poultry.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>The output includes subsidies for hops, potatoes, cattle, sheep and goats, and milk. The volume of subsidies went down for most commodities, and the total increase in subsidies on prod</w:t>
      </w:r>
      <w:r>
        <w:rPr>
          <w:i/>
          <w:lang w:val="en"/>
        </w:rPr>
        <w:t>ucts amounted to 18.6%.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>When evaluating the OAI at 2000 constant basic prices, it increased in 2020 by 5.0% compared to 2019. The crop output was by 7.7% higher while the animal output went up by 1.6%.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>The share of the crop output in the OAI in 2019 accoun</w:t>
      </w:r>
      <w:r>
        <w:rPr>
          <w:i/>
          <w:lang w:val="en"/>
        </w:rPr>
        <w:t>ted for 56.6% at basic current prices, compared to 58.6% in 2020. In both years, cereals had the most important share in the crop output (39.2% in 2019 and 39.5% in 2020) together with industrial crops (22.5% in 2019 and 22.8% in 2020).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 xml:space="preserve">The animal output </w:t>
      </w:r>
      <w:r>
        <w:rPr>
          <w:i/>
          <w:lang w:val="en"/>
        </w:rPr>
        <w:t>at basic current prices contributed to the OAI with 37.4% in 2019 and with 35.3% in</w:t>
      </w:r>
      <w:r>
        <w:t> </w:t>
      </w:r>
      <w:r>
        <w:rPr>
          <w:i/>
          <w:lang w:val="en"/>
        </w:rPr>
        <w:t xml:space="preserve">2020. The most </w:t>
      </w:r>
      <w:r>
        <w:rPr>
          <w:i/>
          <w:lang w:val="en"/>
        </w:rPr>
        <w:t xml:space="preserve">important </w:t>
      </w:r>
      <w:r>
        <w:rPr>
          <w:i/>
          <w:lang w:val="en"/>
        </w:rPr>
        <w:t xml:space="preserve">items in the animal output in both years were milk (51.4% in 2019 and 52.4% in 2020), </w:t>
      </w:r>
      <w:r>
        <w:rPr>
          <w:i/>
          <w:iCs/>
          <w:lang w:val="en-GB"/>
        </w:rPr>
        <w:t xml:space="preserve">pigs for slaughter </w:t>
      </w:r>
      <w:r>
        <w:rPr>
          <w:i/>
          <w:lang w:val="en"/>
        </w:rPr>
        <w:t>(16.8% in 2019 and 16.7% in 20</w:t>
      </w:r>
      <w:r>
        <w:rPr>
          <w:i/>
          <w:lang w:val="en"/>
        </w:rPr>
        <w:t>20), and cattle for slaughter (13.4% in 2019 and 12.8% in 2020).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iCs/>
          <w:lang w:val="en-GB"/>
        </w:rPr>
        <w:t>The agricultural work supplied to other units, i.e. the agricultural services output, represented 2.7% of</w:t>
      </w:r>
      <w:r>
        <w:t> </w:t>
      </w:r>
      <w:r>
        <w:rPr>
          <w:i/>
          <w:iCs/>
          <w:lang w:val="en-GB"/>
        </w:rPr>
        <w:t xml:space="preserve">the total OAI both in 2019 and in 2020. </w:t>
      </w:r>
      <w:r>
        <w:rPr>
          <w:i/>
          <w:lang w:val="en"/>
        </w:rPr>
        <w:t xml:space="preserve">Non-agricultural </w:t>
      </w:r>
      <w:r>
        <w:rPr>
          <w:i/>
          <w:lang w:val="en"/>
        </w:rPr>
        <w:t>inseparable</w:t>
      </w:r>
      <w:r>
        <w:rPr>
          <w:i/>
          <w:lang w:val="en"/>
        </w:rPr>
        <w:t xml:space="preserve"> s</w:t>
      </w:r>
      <w:r>
        <w:rPr>
          <w:i/>
          <w:lang w:val="en"/>
        </w:rPr>
        <w:t>econdary activities, which include also energy production from renewable sources since 2015, contributed to the OAI with 3.2% in 2019 and 3.4% in 2020.</w:t>
      </w:r>
    </w:p>
    <w:p w:rsidR="002225A7" w:rsidRDefault="00C524AE">
      <w:pPr>
        <w:pStyle w:val="Zkladntextodsazen"/>
        <w:ind w:firstLine="0"/>
        <w:rPr>
          <w:i/>
          <w:iCs/>
          <w:lang w:val="en-GB"/>
        </w:rPr>
      </w:pPr>
      <w:r>
        <w:rPr>
          <w:i/>
          <w:lang w:val="en"/>
        </w:rPr>
        <w:t>The share of the intermediate consumption in the OAI at market prices was 68.1% in 2019 and 65.6% in 202</w:t>
      </w:r>
      <w:r>
        <w:rPr>
          <w:i/>
          <w:lang w:val="en"/>
        </w:rPr>
        <w:t xml:space="preserve">0. The most important items were consumption of </w:t>
      </w:r>
      <w:proofErr w:type="spellStart"/>
      <w:r>
        <w:rPr>
          <w:i/>
          <w:lang w:val="en"/>
        </w:rPr>
        <w:t>feedingstuffs</w:t>
      </w:r>
      <w:proofErr w:type="spellEnd"/>
      <w:r>
        <w:rPr>
          <w:i/>
          <w:lang w:val="en"/>
        </w:rPr>
        <w:t xml:space="preserve"> (35.7% in 2019 and 36.5% in</w:t>
      </w:r>
      <w:r>
        <w:t> </w:t>
      </w:r>
      <w:r>
        <w:rPr>
          <w:i/>
          <w:lang w:val="en"/>
        </w:rPr>
        <w:t>2020) and energy consumption (15.7% in 2019 and 14.5% in 2020). The intermediate consumption increased by 1.8%, y-o-y</w:t>
      </w:r>
      <w:r>
        <w:rPr>
          <w:i/>
          <w:iCs/>
          <w:lang w:val="en-GB"/>
        </w:rPr>
        <w:t>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>The gross value added at basic prices in 2019 a</w:t>
      </w:r>
      <w:r>
        <w:rPr>
          <w:i/>
          <w:lang w:val="en"/>
        </w:rPr>
        <w:t xml:space="preserve">mounted to CZK 44,977.6 </w:t>
      </w:r>
      <w:proofErr w:type="gramStart"/>
      <w:r>
        <w:rPr>
          <w:i/>
          <w:lang w:val="en"/>
        </w:rPr>
        <w:t>million</w:t>
      </w:r>
      <w:proofErr w:type="gramEnd"/>
      <w:r>
        <w:rPr>
          <w:i/>
          <w:lang w:val="en"/>
        </w:rPr>
        <w:t xml:space="preserve">. In </w:t>
      </w:r>
      <w:r>
        <w:rPr>
          <w:i/>
          <w:lang w:val="en"/>
        </w:rPr>
        <w:t>2020</w:t>
      </w:r>
      <w:r>
        <w:rPr>
          <w:i/>
          <w:lang w:val="en"/>
        </w:rPr>
        <w:t xml:space="preserve">, it went up by 13.8% to CZK 51,201.8 </w:t>
      </w:r>
      <w:proofErr w:type="gramStart"/>
      <w:r>
        <w:rPr>
          <w:i/>
          <w:lang w:val="en"/>
        </w:rPr>
        <w:t>million</w:t>
      </w:r>
      <w:proofErr w:type="gramEnd"/>
      <w:r>
        <w:rPr>
          <w:i/>
          <w:lang w:val="en"/>
        </w:rPr>
        <w:t xml:space="preserve">. </w:t>
      </w:r>
      <w:r>
        <w:rPr>
          <w:i/>
          <w:lang w:val="en"/>
        </w:rPr>
        <w:t>T</w:t>
      </w:r>
      <w:r>
        <w:rPr>
          <w:i/>
          <w:lang w:val="en"/>
        </w:rPr>
        <w:t>he net value added at</w:t>
      </w:r>
      <w:r>
        <w:t> </w:t>
      </w:r>
      <w:r>
        <w:rPr>
          <w:i/>
          <w:lang w:val="en"/>
        </w:rPr>
        <w:t xml:space="preserve">basic prices (NVA) </w:t>
      </w:r>
      <w:proofErr w:type="gramStart"/>
      <w:r>
        <w:rPr>
          <w:i/>
          <w:lang w:val="en"/>
        </w:rPr>
        <w:t>is obtained</w:t>
      </w:r>
      <w:proofErr w:type="gramEnd"/>
      <w:r>
        <w:rPr>
          <w:i/>
          <w:lang w:val="en"/>
        </w:rPr>
        <w:t xml:space="preserve"> </w:t>
      </w:r>
      <w:r>
        <w:rPr>
          <w:i/>
          <w:lang w:val="en"/>
        </w:rPr>
        <w:t>by</w:t>
      </w:r>
      <w:r>
        <w:rPr>
          <w:i/>
          <w:lang w:val="en"/>
        </w:rPr>
        <w:t xml:space="preserve"> deducting the fixed capital consumption</w:t>
      </w:r>
      <w:r>
        <w:rPr>
          <w:i/>
          <w:lang w:val="en"/>
        </w:rPr>
        <w:t>. In 2019, the NVA re</w:t>
      </w:r>
      <w:r>
        <w:rPr>
          <w:i/>
          <w:lang w:val="en"/>
        </w:rPr>
        <w:t xml:space="preserve">ached CZK 24,344.8 million and in </w:t>
      </w:r>
      <w:proofErr w:type="gramStart"/>
      <w:r>
        <w:rPr>
          <w:i/>
          <w:lang w:val="en"/>
        </w:rPr>
        <w:t>2020</w:t>
      </w:r>
      <w:proofErr w:type="gramEnd"/>
      <w:r>
        <w:rPr>
          <w:i/>
          <w:lang w:val="en"/>
        </w:rPr>
        <w:t xml:space="preserve"> it grew by 24.9% to CZK 30,395.9 million.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 xml:space="preserve">The factor income in 2019 was CZK 57,839.1 </w:t>
      </w:r>
      <w:proofErr w:type="gramStart"/>
      <w:r>
        <w:rPr>
          <w:i/>
          <w:lang w:val="en"/>
        </w:rPr>
        <w:t>million</w:t>
      </w:r>
      <w:proofErr w:type="gramEnd"/>
      <w:r>
        <w:rPr>
          <w:i/>
          <w:lang w:val="en"/>
        </w:rPr>
        <w:t xml:space="preserve">; in 2020, it rose by 7.2% to CZK 62,023.7 million. The compensation of employees in 2019 amounted to CZK 32,709.0 </w:t>
      </w:r>
      <w:proofErr w:type="gramStart"/>
      <w:r>
        <w:rPr>
          <w:i/>
          <w:lang w:val="en"/>
        </w:rPr>
        <w:t>million</w:t>
      </w:r>
      <w:proofErr w:type="gramEnd"/>
      <w:r>
        <w:rPr>
          <w:i/>
          <w:lang w:val="en"/>
        </w:rPr>
        <w:t>; i</w:t>
      </w:r>
      <w:r>
        <w:rPr>
          <w:i/>
          <w:lang w:val="en"/>
        </w:rPr>
        <w:t>n 2020, it grew by 2.0% to CZK 33,376.0 million.</w:t>
      </w:r>
    </w:p>
    <w:p w:rsidR="002225A7" w:rsidRDefault="00C524AE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>In comparison with the previous year, the gross fixed capital formation in 2020 decreased by 13.2% from</w:t>
      </w:r>
      <w:r>
        <w:t> </w:t>
      </w:r>
      <w:r>
        <w:rPr>
          <w:i/>
          <w:lang w:val="en"/>
        </w:rPr>
        <w:t xml:space="preserve">CZK 24,715.0 million to CZK 21,447.1 </w:t>
      </w:r>
      <w:proofErr w:type="gramStart"/>
      <w:r>
        <w:rPr>
          <w:i/>
          <w:lang w:val="en"/>
        </w:rPr>
        <w:t>million</w:t>
      </w:r>
      <w:proofErr w:type="gramEnd"/>
      <w:r>
        <w:rPr>
          <w:i/>
          <w:lang w:val="en"/>
        </w:rPr>
        <w:t>.</w:t>
      </w:r>
    </w:p>
    <w:p w:rsidR="002225A7" w:rsidRDefault="00C524AE">
      <w:pPr>
        <w:pStyle w:val="Zkladntextodsazen"/>
        <w:ind w:firstLine="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 xml:space="preserve">In 2020, the factor income in agriculture per one annual </w:t>
      </w:r>
      <w:r>
        <w:rPr>
          <w:rFonts w:cs="Arial"/>
          <w:i/>
          <w:iCs/>
          <w:lang w:val="en-GB"/>
        </w:rPr>
        <w:t>work unit (1 AWU), expressed by</w:t>
      </w:r>
      <w:r>
        <w:t> </w:t>
      </w:r>
      <w:r>
        <w:rPr>
          <w:rFonts w:cs="Arial"/>
          <w:i/>
          <w:iCs/>
          <w:lang w:val="en-GB"/>
        </w:rPr>
        <w:t>the</w:t>
      </w:r>
      <w:r>
        <w:t> </w:t>
      </w:r>
      <w:r>
        <w:rPr>
          <w:rFonts w:cs="Arial"/>
          <w:i/>
          <w:iCs/>
          <w:lang w:val="en-GB"/>
        </w:rPr>
        <w:t>indicator</w:t>
      </w:r>
      <w:r>
        <w:t> </w:t>
      </w:r>
      <w:r>
        <w:rPr>
          <w:rFonts w:cs="Arial"/>
          <w:i/>
          <w:iCs/>
          <w:lang w:val="en-GB"/>
        </w:rPr>
        <w:t xml:space="preserve">A, rose by 9.9% compared to 2019. The deflator (the implicit price index of the </w:t>
      </w:r>
      <w:r>
        <w:rPr>
          <w:rFonts w:cs="Arial"/>
          <w:i/>
          <w:iCs/>
          <w:lang w:val="en-GB"/>
        </w:rPr>
        <w:t>GDP</w:t>
      </w:r>
      <w:r>
        <w:rPr>
          <w:rFonts w:cs="Arial"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at</w:t>
      </w:r>
      <w:r>
        <w:t> </w:t>
      </w:r>
      <w:r>
        <w:rPr>
          <w:rFonts w:cs="Arial"/>
          <w:i/>
          <w:iCs/>
          <w:lang w:val="en-GB"/>
        </w:rPr>
        <w:t xml:space="preserve">market prices) in 2020 accounted for 104.4. The indicator B, which measures trends in the real net entrepreneurial income </w:t>
      </w:r>
      <w:r>
        <w:rPr>
          <w:rFonts w:cs="Arial"/>
          <w:i/>
          <w:iCs/>
          <w:lang w:val="en-GB"/>
        </w:rPr>
        <w:t>per non-salaried AWU</w:t>
      </w:r>
      <w:r>
        <w:rPr>
          <w:rFonts w:cs="Arial"/>
          <w:i/>
          <w:iCs/>
          <w:lang w:val="en-GB"/>
        </w:rPr>
        <w:t xml:space="preserve">, was by 21.2% higher. The net entrepreneurial income, expressed by </w:t>
      </w:r>
      <w:r>
        <w:rPr>
          <w:rFonts w:cs="Arial"/>
          <w:i/>
          <w:iCs/>
          <w:lang w:val="en-GB"/>
        </w:rPr>
        <w:t>the i</w:t>
      </w:r>
      <w:r>
        <w:rPr>
          <w:rFonts w:cs="Arial"/>
          <w:i/>
          <w:iCs/>
          <w:lang w:val="en-GB"/>
        </w:rPr>
        <w:t>ndicator C, increased in 2020 by 13.5%.</w:t>
      </w:r>
    </w:p>
    <w:sectPr w:rsidR="002225A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225A7"/>
    <w:rsid w:val="002225A7"/>
    <w:rsid w:val="00C5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E6191-C4FE-4E62-B14B-63791277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F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DD6F5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DD6F55"/>
    <w:rPr>
      <w:rFonts w:ascii="Arial" w:eastAsia="Times New Roman" w:hAnsi="Arial" w:cs="Arial"/>
      <w:i/>
      <w:iCs/>
      <w:sz w:val="20"/>
      <w:szCs w:val="24"/>
      <w:lang w:val="en-GB" w:eastAsia="cs-CZ"/>
    </w:rPr>
  </w:style>
  <w:style w:type="character" w:customStyle="1" w:styleId="hps">
    <w:name w:val="hps"/>
    <w:basedOn w:val="Standardnpsmoodstavce"/>
    <w:qFormat/>
    <w:rsid w:val="00DD6F55"/>
  </w:style>
  <w:style w:type="character" w:customStyle="1" w:styleId="shorttext">
    <w:name w:val="short_text"/>
    <w:qFormat/>
    <w:rsid w:val="00DD6F55"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DD6F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11BE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6F63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semiHidden/>
    <w:rsid w:val="00DD6F55"/>
    <w:pPr>
      <w:spacing w:before="120" w:after="120"/>
      <w:ind w:firstLine="426"/>
      <w:jc w:val="both"/>
      <w:textAlignment w:val="baseline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link w:val="Zkladntext3Char"/>
    <w:semiHidden/>
    <w:qFormat/>
    <w:rsid w:val="00DD6F55"/>
    <w:pPr>
      <w:spacing w:before="120" w:after="120"/>
      <w:jc w:val="both"/>
    </w:pPr>
    <w:rPr>
      <w:rFonts w:ascii="Arial" w:hAnsi="Arial" w:cs="Arial"/>
      <w:i/>
      <w:iCs/>
      <w:sz w:val="20"/>
      <w:lang w:val="en-GB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DD6F55"/>
    <w:pPr>
      <w:spacing w:after="120" w:line="48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11BE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8008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6F63EF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6C92-E69A-4C32-9F08-89BC0A38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628</Words>
  <Characters>3711</Characters>
  <Application>Microsoft Office Word</Application>
  <DocSecurity>0</DocSecurity>
  <Lines>30</Lines>
  <Paragraphs>8</Paragraphs>
  <ScaleCrop>false</ScaleCrop>
  <Company>ČSÚ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Gregorová</dc:creator>
  <dc:description/>
  <cp:lastModifiedBy>lukavcova31543</cp:lastModifiedBy>
  <cp:revision>17</cp:revision>
  <cp:lastPrinted>2021-09-21T11:14:00Z</cp:lastPrinted>
  <dcterms:created xsi:type="dcterms:W3CDTF">2021-09-21T11:35:00Z</dcterms:created>
  <dcterms:modified xsi:type="dcterms:W3CDTF">2021-09-22T07:09:00Z</dcterms:modified>
  <dc:language>cs-CZ</dc:language>
</cp:coreProperties>
</file>