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EF539B" w14:textId="20BD9946" w:rsidR="006023F5" w:rsidRPr="00D339B3" w:rsidRDefault="00D339B3" w:rsidP="005805AB">
      <w:pPr>
        <w:jc w:val="center"/>
        <w:rPr>
          <w:b/>
          <w:sz w:val="28"/>
          <w:szCs w:val="28"/>
          <w:lang w:val="en-GB"/>
        </w:rPr>
      </w:pPr>
      <w:r w:rsidRPr="00D339B3">
        <w:rPr>
          <w:b/>
          <w:sz w:val="28"/>
          <w:szCs w:val="28"/>
          <w:lang w:val="en-GB"/>
        </w:rPr>
        <w:t>Business register statistics</w:t>
      </w:r>
      <w:r w:rsidR="006B1756">
        <w:rPr>
          <w:b/>
          <w:sz w:val="28"/>
          <w:szCs w:val="28"/>
          <w:lang w:val="en-GB"/>
        </w:rPr>
        <w:t xml:space="preserve"> - m</w:t>
      </w:r>
      <w:r w:rsidR="00A148FE">
        <w:rPr>
          <w:b/>
          <w:sz w:val="28"/>
          <w:szCs w:val="28"/>
          <w:lang w:val="en-GB"/>
        </w:rPr>
        <w:t>ethodology</w:t>
      </w:r>
    </w:p>
    <w:p w14:paraId="036719E2" w14:textId="000187AE" w:rsidR="005805AB" w:rsidRDefault="005805AB">
      <w:pPr>
        <w:rPr>
          <w:lang w:val="en-GB"/>
        </w:rPr>
      </w:pPr>
    </w:p>
    <w:p w14:paraId="55BEDD4D" w14:textId="21FB49BC" w:rsidR="00D339B3" w:rsidRDefault="00D339B3">
      <w:pPr>
        <w:rPr>
          <w:b/>
          <w:lang w:val="en-GB"/>
        </w:rPr>
      </w:pPr>
      <w:r w:rsidRPr="00D339B3">
        <w:rPr>
          <w:b/>
          <w:lang w:val="en-GB"/>
        </w:rPr>
        <w:t>Basic characteristics</w:t>
      </w:r>
    </w:p>
    <w:p w14:paraId="59527813" w14:textId="7CF251D1" w:rsidR="00D339B3" w:rsidRPr="009E0BA4" w:rsidRDefault="00D339B3" w:rsidP="009E0BA4">
      <w:pPr>
        <w:jc w:val="both"/>
        <w:rPr>
          <w:lang w:val="en-GB"/>
        </w:rPr>
      </w:pPr>
      <w:r w:rsidRPr="009E0BA4">
        <w:rPr>
          <w:lang w:val="en-GB"/>
        </w:rPr>
        <w:t xml:space="preserve">Business register statistics follow basic data on all economic subjects registered in statistical business register governed by the Czech Statistical Office. The statistics consist of public data kept in statistical business register. </w:t>
      </w:r>
      <w:r w:rsidR="00484E81" w:rsidRPr="009E0BA4">
        <w:rPr>
          <w:lang w:val="en-GB"/>
        </w:rPr>
        <w:t xml:space="preserve">Article 20 of the Act No. 89/1995 Coll. on State statistical service, as amended, stipulates the list of public data. According to Article 2, letter k of the  above mentioned act the economic subjects </w:t>
      </w:r>
      <w:r w:rsidR="009E0BA4" w:rsidRPr="009E0BA4">
        <w:rPr>
          <w:lang w:val="en-GB"/>
        </w:rPr>
        <w:t>i</w:t>
      </w:r>
      <w:r w:rsidR="00484E81" w:rsidRPr="009E0BA4">
        <w:rPr>
          <w:lang w:val="en-GB"/>
        </w:rPr>
        <w:t>s</w:t>
      </w:r>
      <w:r w:rsidR="009E0BA4" w:rsidRPr="009E0BA4">
        <w:rPr>
          <w:lang w:val="en-GB"/>
        </w:rPr>
        <w:t xml:space="preserve"> </w:t>
      </w:r>
      <w:r w:rsidR="00484E81" w:rsidRPr="009E0BA4">
        <w:rPr>
          <w:lang w:val="en-GB"/>
        </w:rPr>
        <w:t xml:space="preserve">every legal person, government department </w:t>
      </w:r>
      <w:r w:rsidR="009E0BA4" w:rsidRPr="009E0BA4">
        <w:rPr>
          <w:lang w:val="en-GB"/>
        </w:rPr>
        <w:t>that is an accounting entity, mutual fund and, furthermore, a natural person, who is an entrepreneur pursuant to a special regulation.</w:t>
      </w:r>
    </w:p>
    <w:p w14:paraId="6FCBCE9B" w14:textId="77777777" w:rsidR="00A0453D" w:rsidRDefault="00A0453D" w:rsidP="00A0453D">
      <w:pPr>
        <w:jc w:val="both"/>
        <w:rPr>
          <w:lang w:val="en-GB"/>
        </w:rPr>
      </w:pPr>
      <w:r w:rsidRPr="00694A9E">
        <w:rPr>
          <w:lang w:val="en-GB"/>
        </w:rPr>
        <w:t xml:space="preserve">It is not relevant for </w:t>
      </w:r>
      <w:r>
        <w:rPr>
          <w:lang w:val="en-GB"/>
        </w:rPr>
        <w:t>business register statistics. Statistical business contains the whole population of economic subjects (no thresholds) so there is no need to carry out special statistical survey for production of these statistics.</w:t>
      </w:r>
    </w:p>
    <w:p w14:paraId="6E99C482" w14:textId="77777777" w:rsidR="007B690D" w:rsidRDefault="007B690D">
      <w:pPr>
        <w:rPr>
          <w:b/>
          <w:lang w:val="en-GB"/>
        </w:rPr>
      </w:pPr>
    </w:p>
    <w:p w14:paraId="538F6AF1" w14:textId="4DEBD826" w:rsidR="00D339B3" w:rsidRDefault="009E0BA4">
      <w:pPr>
        <w:rPr>
          <w:b/>
          <w:lang w:val="en-GB"/>
        </w:rPr>
      </w:pPr>
      <w:r>
        <w:rPr>
          <w:b/>
          <w:lang w:val="en-GB"/>
        </w:rPr>
        <w:t>Data source</w:t>
      </w:r>
    </w:p>
    <w:p w14:paraId="761FDD35" w14:textId="7EB50401" w:rsidR="009E0BA4" w:rsidRPr="00C0092B" w:rsidRDefault="009E0BA4" w:rsidP="00C0092B">
      <w:pPr>
        <w:jc w:val="both"/>
        <w:rPr>
          <w:lang w:val="en-GB"/>
        </w:rPr>
      </w:pPr>
      <w:r>
        <w:rPr>
          <w:lang w:val="en-GB"/>
        </w:rPr>
        <w:t>Data in s</w:t>
      </w:r>
      <w:r w:rsidR="00C0092B">
        <w:rPr>
          <w:lang w:val="en-GB"/>
        </w:rPr>
        <w:t>tatistical business register are</w:t>
      </w:r>
      <w:r>
        <w:rPr>
          <w:lang w:val="en-GB"/>
        </w:rPr>
        <w:t xml:space="preserve"> based mainly on administrative sources. The main data source is Basic register on legal and natural persons (ROS), from which statistical business register obtains data on ID number, name, address, legal form, date of registration and date of ce</w:t>
      </w:r>
      <w:r w:rsidR="000B4EDB">
        <w:rPr>
          <w:lang w:val="en-GB"/>
        </w:rPr>
        <w:t>ssation on daily basis. The</w:t>
      </w:r>
      <w:r w:rsidR="00C0092B">
        <w:rPr>
          <w:lang w:val="en-GB"/>
        </w:rPr>
        <w:t xml:space="preserve"> additional administrative data sources (e.g. business registers governed by Ministry of Justice, trade licencing register, tax register or social security insurance register)</w:t>
      </w:r>
      <w:r w:rsidR="000B4EDB">
        <w:rPr>
          <w:lang w:val="en-GB"/>
        </w:rPr>
        <w:t xml:space="preserve"> as well as statistical surveys are used for assignment of economic activity code.</w:t>
      </w:r>
    </w:p>
    <w:p w14:paraId="5B022B82" w14:textId="77777777" w:rsidR="00243C8D" w:rsidRDefault="00243C8D">
      <w:pPr>
        <w:rPr>
          <w:b/>
          <w:lang w:val="en-GB"/>
        </w:rPr>
      </w:pPr>
    </w:p>
    <w:p w14:paraId="5B21C0C4" w14:textId="0B2CBF04" w:rsidR="00D06660" w:rsidRPr="003867DD" w:rsidRDefault="00D06660">
      <w:pPr>
        <w:rPr>
          <w:b/>
          <w:lang w:val="en-GB"/>
        </w:rPr>
      </w:pPr>
      <w:r w:rsidRPr="003867DD">
        <w:rPr>
          <w:b/>
          <w:lang w:val="en-GB"/>
        </w:rPr>
        <w:t>Comparability over time</w:t>
      </w:r>
    </w:p>
    <w:p w14:paraId="3C49EFE7" w14:textId="01678F55" w:rsidR="002A1367" w:rsidRDefault="00D06660">
      <w:pPr>
        <w:rPr>
          <w:lang w:val="en-GB"/>
        </w:rPr>
      </w:pPr>
      <w:r w:rsidRPr="00D06660">
        <w:rPr>
          <w:lang w:val="en-GB"/>
        </w:rPr>
        <w:t xml:space="preserve">Data </w:t>
      </w:r>
      <w:r>
        <w:rPr>
          <w:lang w:val="en-GB"/>
        </w:rPr>
        <w:t>are calculated from 1995 and are comparable over time till 2012. In 2013 there was break in the series due to significant changes in administrative data (ROS started to be used as a primary data source)</w:t>
      </w:r>
      <w:r w:rsidR="002A1367">
        <w:rPr>
          <w:lang w:val="en-GB"/>
        </w:rPr>
        <w:t>. The data from 2013 till now are comparable over time.</w:t>
      </w:r>
    </w:p>
    <w:p w14:paraId="536018F9" w14:textId="77777777" w:rsidR="00663571" w:rsidRDefault="00663571">
      <w:pPr>
        <w:rPr>
          <w:b/>
          <w:lang w:val="en-GB"/>
        </w:rPr>
      </w:pPr>
    </w:p>
    <w:p w14:paraId="7606CD92" w14:textId="24866868" w:rsidR="00D06660" w:rsidRPr="00F44F64" w:rsidRDefault="002A1367">
      <w:pPr>
        <w:rPr>
          <w:b/>
          <w:lang w:val="en-GB"/>
        </w:rPr>
      </w:pPr>
      <w:r w:rsidRPr="00F44F64">
        <w:rPr>
          <w:b/>
          <w:lang w:val="en-GB"/>
        </w:rPr>
        <w:t>Comparability with other statistical outputs</w:t>
      </w:r>
    </w:p>
    <w:p w14:paraId="1CC16DDA" w14:textId="26E76AA2" w:rsidR="00243C8D" w:rsidRDefault="00243C8D" w:rsidP="00243C8D">
      <w:pPr>
        <w:jc w:val="both"/>
        <w:rPr>
          <w:b/>
          <w:lang w:val="en-GB"/>
        </w:rPr>
      </w:pPr>
      <w:r>
        <w:rPr>
          <w:lang w:val="en-GB"/>
        </w:rPr>
        <w:t>Organisational statistics data are not comparable with the indicators compiled by Business demography. The reason is that business demography statistics are based on the statistical unit – Enterprise while Organisational statistics use legal units.</w:t>
      </w:r>
    </w:p>
    <w:p w14:paraId="45DAEA2F" w14:textId="77777777" w:rsidR="00243C8D" w:rsidRDefault="00243C8D" w:rsidP="002A1367">
      <w:pPr>
        <w:jc w:val="both"/>
        <w:rPr>
          <w:b/>
          <w:lang w:val="en-GB"/>
        </w:rPr>
      </w:pPr>
    </w:p>
    <w:p w14:paraId="52BCDC22" w14:textId="379D4B88" w:rsidR="004A4283" w:rsidRPr="004A4283" w:rsidRDefault="004A4283" w:rsidP="005805AB">
      <w:pPr>
        <w:rPr>
          <w:b/>
          <w:lang w:val="en-GB"/>
        </w:rPr>
      </w:pPr>
      <w:r w:rsidRPr="004A4283">
        <w:rPr>
          <w:b/>
          <w:lang w:val="en-GB"/>
        </w:rPr>
        <w:t>Dissemination</w:t>
      </w:r>
    </w:p>
    <w:p w14:paraId="10F11BC4" w14:textId="0126AF01" w:rsidR="004A4283" w:rsidRPr="004A4283" w:rsidRDefault="004A4283" w:rsidP="0024666C">
      <w:pPr>
        <w:jc w:val="both"/>
        <w:rPr>
          <w:lang w:val="en-GB"/>
        </w:rPr>
      </w:pPr>
      <w:r w:rsidRPr="004A4283">
        <w:rPr>
          <w:lang w:val="en-GB"/>
        </w:rPr>
        <w:t>Quarterly</w:t>
      </w:r>
      <w:r w:rsidR="00954028">
        <w:rPr>
          <w:lang w:val="en-GB"/>
        </w:rPr>
        <w:t xml:space="preserve"> statistics on number of economic subjects are disseminated 15 days after reference period.</w:t>
      </w:r>
    </w:p>
    <w:p w14:paraId="4E9E51A5" w14:textId="77777777" w:rsidR="007B690D" w:rsidRDefault="007B690D" w:rsidP="005805AB">
      <w:pPr>
        <w:rPr>
          <w:b/>
          <w:lang w:val="en-GB"/>
        </w:rPr>
      </w:pPr>
    </w:p>
    <w:p w14:paraId="2E8EBCE6" w14:textId="718F3ECE" w:rsidR="004A4283" w:rsidRDefault="00AE36A5" w:rsidP="005805AB">
      <w:pPr>
        <w:rPr>
          <w:b/>
          <w:lang w:val="en-GB"/>
        </w:rPr>
      </w:pPr>
      <w:r>
        <w:rPr>
          <w:b/>
          <w:lang w:val="en-GB"/>
        </w:rPr>
        <w:t>Additional methodologica</w:t>
      </w:r>
      <w:r w:rsidR="00F011F6">
        <w:rPr>
          <w:b/>
          <w:lang w:val="en-GB"/>
        </w:rPr>
        <w:t>l information</w:t>
      </w:r>
    </w:p>
    <w:p w14:paraId="219021A9" w14:textId="2A8BAE07" w:rsidR="00954028" w:rsidRPr="00E529D1" w:rsidRDefault="00E529D1" w:rsidP="0024666C">
      <w:pPr>
        <w:jc w:val="both"/>
        <w:rPr>
          <w:lang w:val="en-GB"/>
        </w:rPr>
      </w:pPr>
      <w:r w:rsidRPr="00E529D1">
        <w:rPr>
          <w:lang w:val="en-GB"/>
        </w:rPr>
        <w:t xml:space="preserve">Economic subjects are broken down </w:t>
      </w:r>
      <w:r w:rsidRPr="0024666C">
        <w:rPr>
          <w:lang w:val="en-GB"/>
        </w:rPr>
        <w:t>according</w:t>
      </w:r>
      <w:r w:rsidRPr="00E529D1">
        <w:rPr>
          <w:lang w:val="en-GB"/>
        </w:rPr>
        <w:t xml:space="preserve"> to selected legal forms and aggregations of legal forms</w:t>
      </w:r>
      <w:r>
        <w:rPr>
          <w:lang w:val="en-GB"/>
        </w:rPr>
        <w:t>, main economic activity, institutional sector and region.</w:t>
      </w:r>
    </w:p>
    <w:p w14:paraId="09C167F7" w14:textId="0716787B" w:rsidR="008F50B9" w:rsidRPr="008F50B9" w:rsidRDefault="008F50B9" w:rsidP="00E529D1">
      <w:pPr>
        <w:jc w:val="both"/>
        <w:rPr>
          <w:lang w:val="en-GB"/>
        </w:rPr>
      </w:pPr>
      <w:r w:rsidRPr="0056116E">
        <w:rPr>
          <w:b/>
          <w:lang w:val="en-GB"/>
        </w:rPr>
        <w:t xml:space="preserve">Private entrepreneurs </w:t>
      </w:r>
      <w:r>
        <w:rPr>
          <w:lang w:val="en-GB"/>
        </w:rPr>
        <w:t xml:space="preserve">are private entrepreneurs, which carry out their activities according to the trade licencing act </w:t>
      </w:r>
      <w:proofErr w:type="spellStart"/>
      <w:r w:rsidR="0056116E">
        <w:rPr>
          <w:lang w:val="en-GB"/>
        </w:rPr>
        <w:t>act</w:t>
      </w:r>
      <w:proofErr w:type="spellEnd"/>
      <w:r w:rsidR="0056116E">
        <w:rPr>
          <w:lang w:val="en-GB"/>
        </w:rPr>
        <w:t xml:space="preserve"> No. 455/1991 </w:t>
      </w:r>
      <w:r>
        <w:rPr>
          <w:lang w:val="en-GB"/>
        </w:rPr>
        <w:t>and agricultural entrepreneurs, which carry out their activities according to the law No. 252/1997 Coll. on agriculture.</w:t>
      </w:r>
    </w:p>
    <w:p w14:paraId="4CFD3036" w14:textId="695C01E4" w:rsidR="00090203" w:rsidRDefault="00090203" w:rsidP="00E529D1">
      <w:pPr>
        <w:jc w:val="both"/>
        <w:rPr>
          <w:lang w:val="en-GB"/>
        </w:rPr>
      </w:pPr>
      <w:r w:rsidRPr="00090203">
        <w:rPr>
          <w:b/>
          <w:lang w:val="en-GB"/>
        </w:rPr>
        <w:t>Partnership companies</w:t>
      </w:r>
      <w:r>
        <w:rPr>
          <w:lang w:val="en-GB"/>
        </w:rPr>
        <w:t xml:space="preserve"> include general partnerships, limited liability partnerships, limited partnership, joint-stock companies and from 2010 also European companies and European economic interest associations.</w:t>
      </w:r>
    </w:p>
    <w:p w14:paraId="6CB13823" w14:textId="77777777" w:rsidR="008F50B9" w:rsidRDefault="008F50B9" w:rsidP="00E529D1">
      <w:pPr>
        <w:jc w:val="both"/>
        <w:rPr>
          <w:lang w:val="en-GB"/>
        </w:rPr>
      </w:pPr>
      <w:r w:rsidRPr="008F50B9">
        <w:rPr>
          <w:b/>
          <w:lang w:val="en-GB"/>
        </w:rPr>
        <w:t xml:space="preserve">Cooperatives </w:t>
      </w:r>
      <w:r w:rsidRPr="008F50B9">
        <w:rPr>
          <w:lang w:val="en-GB"/>
        </w:rPr>
        <w:t xml:space="preserve">include </w:t>
      </w:r>
      <w:r>
        <w:rPr>
          <w:lang w:val="en-GB"/>
        </w:rPr>
        <w:t>cooperatives and European cooperative companies.</w:t>
      </w:r>
    </w:p>
    <w:p w14:paraId="1720798F" w14:textId="17B565AD" w:rsidR="008F50B9" w:rsidRDefault="008F50B9" w:rsidP="00E529D1">
      <w:pPr>
        <w:jc w:val="both"/>
        <w:rPr>
          <w:lang w:val="en-GB"/>
        </w:rPr>
      </w:pPr>
      <w:r w:rsidRPr="00617993">
        <w:rPr>
          <w:b/>
          <w:lang w:val="en-GB"/>
        </w:rPr>
        <w:t>Breakdown according to the main economic activities</w:t>
      </w:r>
      <w:r>
        <w:rPr>
          <w:lang w:val="en-GB"/>
        </w:rPr>
        <w:t xml:space="preserve"> is based on Classification of economic activities (CZ-NACE) which is in line with European statistical classification of eco</w:t>
      </w:r>
      <w:r w:rsidR="00617993">
        <w:rPr>
          <w:lang w:val="en-GB"/>
        </w:rPr>
        <w:t>nomic activities stipulated by F</w:t>
      </w:r>
      <w:r>
        <w:rPr>
          <w:lang w:val="en-GB"/>
        </w:rPr>
        <w:t xml:space="preserve">ramework regulation </w:t>
      </w:r>
      <w:r w:rsidR="00617993">
        <w:t xml:space="preserve">(EC) No 1893/2006 </w:t>
      </w:r>
      <w:proofErr w:type="spellStart"/>
      <w:r w:rsidR="00617993">
        <w:t>of</w:t>
      </w:r>
      <w:proofErr w:type="spellEnd"/>
      <w:r w:rsidR="00617993">
        <w:t xml:space="preserve"> </w:t>
      </w:r>
      <w:proofErr w:type="spellStart"/>
      <w:r w:rsidR="00617993">
        <w:t>the</w:t>
      </w:r>
      <w:proofErr w:type="spellEnd"/>
      <w:r w:rsidR="00617993">
        <w:t xml:space="preserve"> </w:t>
      </w:r>
      <w:proofErr w:type="spellStart"/>
      <w:r w:rsidR="00617993">
        <w:t>European</w:t>
      </w:r>
      <w:proofErr w:type="spellEnd"/>
      <w:r w:rsidR="00617993">
        <w:t xml:space="preserve"> </w:t>
      </w:r>
      <w:proofErr w:type="spellStart"/>
      <w:r w:rsidR="00617993">
        <w:t>Parliament</w:t>
      </w:r>
      <w:proofErr w:type="spellEnd"/>
      <w:r w:rsidR="00617993">
        <w:t xml:space="preserve"> and </w:t>
      </w:r>
      <w:proofErr w:type="spellStart"/>
      <w:r w:rsidR="00617993">
        <w:t>of</w:t>
      </w:r>
      <w:proofErr w:type="spellEnd"/>
      <w:r w:rsidR="00617993">
        <w:t xml:space="preserve"> </w:t>
      </w:r>
      <w:proofErr w:type="spellStart"/>
      <w:r w:rsidR="00617993">
        <w:t>the</w:t>
      </w:r>
      <w:proofErr w:type="spellEnd"/>
      <w:r w:rsidR="00617993">
        <w:t xml:space="preserve"> </w:t>
      </w:r>
      <w:proofErr w:type="spellStart"/>
      <w:r w:rsidR="00617993">
        <w:t>Council</w:t>
      </w:r>
      <w:proofErr w:type="spellEnd"/>
      <w:r w:rsidR="00617993">
        <w:t xml:space="preserve"> </w:t>
      </w:r>
      <w:proofErr w:type="spellStart"/>
      <w:r w:rsidR="00617993">
        <w:t>of</w:t>
      </w:r>
      <w:proofErr w:type="spellEnd"/>
      <w:r w:rsidR="00617993">
        <w:t xml:space="preserve"> 20 </w:t>
      </w:r>
      <w:proofErr w:type="spellStart"/>
      <w:r w:rsidR="00617993">
        <w:t>December</w:t>
      </w:r>
      <w:proofErr w:type="spellEnd"/>
      <w:r w:rsidR="00617993">
        <w:t xml:space="preserve"> 2006 </w:t>
      </w:r>
      <w:proofErr w:type="spellStart"/>
      <w:r w:rsidR="00617993">
        <w:t>establishing</w:t>
      </w:r>
      <w:proofErr w:type="spellEnd"/>
      <w:r w:rsidR="00617993">
        <w:t xml:space="preserve"> </w:t>
      </w:r>
      <w:proofErr w:type="spellStart"/>
      <w:r w:rsidR="00617993">
        <w:t>the</w:t>
      </w:r>
      <w:proofErr w:type="spellEnd"/>
      <w:r w:rsidR="00617993">
        <w:t xml:space="preserve"> </w:t>
      </w:r>
      <w:proofErr w:type="spellStart"/>
      <w:r w:rsidR="00617993">
        <w:t>statistical</w:t>
      </w:r>
      <w:proofErr w:type="spellEnd"/>
      <w:r w:rsidR="00617993">
        <w:t xml:space="preserve"> </w:t>
      </w:r>
      <w:proofErr w:type="spellStart"/>
      <w:r w:rsidR="00617993">
        <w:t>classification</w:t>
      </w:r>
      <w:proofErr w:type="spellEnd"/>
      <w:r w:rsidR="00617993">
        <w:t xml:space="preserve"> </w:t>
      </w:r>
      <w:proofErr w:type="spellStart"/>
      <w:r w:rsidR="00617993">
        <w:t>of</w:t>
      </w:r>
      <w:proofErr w:type="spellEnd"/>
      <w:r w:rsidR="00617993">
        <w:t xml:space="preserve"> </w:t>
      </w:r>
      <w:proofErr w:type="spellStart"/>
      <w:r w:rsidR="00617993">
        <w:t>economic</w:t>
      </w:r>
      <w:proofErr w:type="spellEnd"/>
      <w:r w:rsidR="00617993">
        <w:t xml:space="preserve"> </w:t>
      </w:r>
      <w:proofErr w:type="spellStart"/>
      <w:r w:rsidR="00617993">
        <w:t>activities</w:t>
      </w:r>
      <w:proofErr w:type="spellEnd"/>
      <w:r w:rsidR="00617993">
        <w:t xml:space="preserve"> NACE </w:t>
      </w:r>
      <w:proofErr w:type="spellStart"/>
      <w:r w:rsidR="00617993">
        <w:t>Revision</w:t>
      </w:r>
      <w:proofErr w:type="spellEnd"/>
      <w:r w:rsidR="00617993">
        <w:t xml:space="preserve"> 2.</w:t>
      </w:r>
    </w:p>
    <w:p w14:paraId="6C181377" w14:textId="45287614" w:rsidR="008673EF" w:rsidRPr="000578C2" w:rsidRDefault="000578C2" w:rsidP="00E529D1">
      <w:pPr>
        <w:jc w:val="both"/>
        <w:rPr>
          <w:lang w:val="en-GB"/>
        </w:rPr>
      </w:pPr>
      <w:r w:rsidRPr="000578C2">
        <w:rPr>
          <w:b/>
          <w:lang w:val="en-GB"/>
        </w:rPr>
        <w:t>Breakdown by institutional sectors</w:t>
      </w:r>
      <w:r w:rsidRPr="000578C2">
        <w:rPr>
          <w:lang w:val="en-GB"/>
        </w:rPr>
        <w:t xml:space="preserve"> is based on Classification of institutional sectors and subsectors</w:t>
      </w:r>
      <w:r>
        <w:rPr>
          <w:lang w:val="en-GB"/>
        </w:rPr>
        <w:t>,</w:t>
      </w:r>
      <w:r w:rsidRPr="000578C2">
        <w:rPr>
          <w:lang w:val="en-GB"/>
        </w:rPr>
        <w:t xml:space="preserve"> which was produced according to Regulation (EU) No 549/2013 of the European Parliament and of the Council of 21 May 2013 on the European system of national and regional accounts in the European Union (known as ESA 2010).</w:t>
      </w:r>
    </w:p>
    <w:p w14:paraId="58FA0792" w14:textId="77777777" w:rsidR="00AA5C93" w:rsidRDefault="000578C2" w:rsidP="00E529D1">
      <w:pPr>
        <w:jc w:val="both"/>
        <w:rPr>
          <w:lang w:val="en-GB"/>
        </w:rPr>
      </w:pPr>
      <w:r w:rsidRPr="00371A8E">
        <w:rPr>
          <w:b/>
          <w:lang w:val="en-GB"/>
        </w:rPr>
        <w:t>Breakdo</w:t>
      </w:r>
      <w:r w:rsidR="00AA5C93" w:rsidRPr="00371A8E">
        <w:rPr>
          <w:b/>
          <w:lang w:val="en-GB"/>
        </w:rPr>
        <w:t>wn by regions</w:t>
      </w:r>
      <w:r w:rsidR="00AA5C93">
        <w:rPr>
          <w:lang w:val="en-GB"/>
        </w:rPr>
        <w:t xml:space="preserve"> is based on the seat address of the economic subject.</w:t>
      </w:r>
    </w:p>
    <w:p w14:paraId="3AFBF79A" w14:textId="77777777" w:rsidR="00465724" w:rsidRDefault="00465724" w:rsidP="00E529D1">
      <w:pPr>
        <w:jc w:val="both"/>
        <w:rPr>
          <w:b/>
          <w:lang w:val="en-GB"/>
        </w:rPr>
      </w:pPr>
    </w:p>
    <w:sectPr w:rsidR="0046572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D825C7A"/>
    <w:multiLevelType w:val="multilevel"/>
    <w:tmpl w:val="F9CC9D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201500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41F0"/>
    <w:rsid w:val="00001FE6"/>
    <w:rsid w:val="0002292C"/>
    <w:rsid w:val="00053859"/>
    <w:rsid w:val="000578C2"/>
    <w:rsid w:val="00064C08"/>
    <w:rsid w:val="00090203"/>
    <w:rsid w:val="000921A4"/>
    <w:rsid w:val="000B1102"/>
    <w:rsid w:val="000B4EDB"/>
    <w:rsid w:val="000B5E56"/>
    <w:rsid w:val="000F11E8"/>
    <w:rsid w:val="0012677C"/>
    <w:rsid w:val="00134A0C"/>
    <w:rsid w:val="00153370"/>
    <w:rsid w:val="00194640"/>
    <w:rsid w:val="001949BB"/>
    <w:rsid w:val="001A73C2"/>
    <w:rsid w:val="001C3D7F"/>
    <w:rsid w:val="00206047"/>
    <w:rsid w:val="00243C8D"/>
    <w:rsid w:val="0024666C"/>
    <w:rsid w:val="002539E2"/>
    <w:rsid w:val="002614A9"/>
    <w:rsid w:val="00271E8C"/>
    <w:rsid w:val="002909E1"/>
    <w:rsid w:val="002A1367"/>
    <w:rsid w:val="002D33EC"/>
    <w:rsid w:val="002F13DA"/>
    <w:rsid w:val="00335CD4"/>
    <w:rsid w:val="00347AF0"/>
    <w:rsid w:val="003642DF"/>
    <w:rsid w:val="00371A8E"/>
    <w:rsid w:val="00386125"/>
    <w:rsid w:val="003867DD"/>
    <w:rsid w:val="0039004B"/>
    <w:rsid w:val="00395A78"/>
    <w:rsid w:val="003D034B"/>
    <w:rsid w:val="00465724"/>
    <w:rsid w:val="00484E81"/>
    <w:rsid w:val="004A4283"/>
    <w:rsid w:val="00507240"/>
    <w:rsid w:val="0052171B"/>
    <w:rsid w:val="00524552"/>
    <w:rsid w:val="0056116E"/>
    <w:rsid w:val="005805AB"/>
    <w:rsid w:val="005C597D"/>
    <w:rsid w:val="005F6421"/>
    <w:rsid w:val="006023F5"/>
    <w:rsid w:val="00617993"/>
    <w:rsid w:val="0066106F"/>
    <w:rsid w:val="00663571"/>
    <w:rsid w:val="00694A9E"/>
    <w:rsid w:val="006B1756"/>
    <w:rsid w:val="006F3893"/>
    <w:rsid w:val="00715409"/>
    <w:rsid w:val="0072432A"/>
    <w:rsid w:val="007B690D"/>
    <w:rsid w:val="007D232E"/>
    <w:rsid w:val="007E45E3"/>
    <w:rsid w:val="00817B24"/>
    <w:rsid w:val="00820164"/>
    <w:rsid w:val="00822CD9"/>
    <w:rsid w:val="0082599B"/>
    <w:rsid w:val="00846C0E"/>
    <w:rsid w:val="008673EF"/>
    <w:rsid w:val="008828F1"/>
    <w:rsid w:val="00897A40"/>
    <w:rsid w:val="008A3C59"/>
    <w:rsid w:val="008C10F4"/>
    <w:rsid w:val="008F50B9"/>
    <w:rsid w:val="009306CC"/>
    <w:rsid w:val="00954028"/>
    <w:rsid w:val="009A1D55"/>
    <w:rsid w:val="009B2D0C"/>
    <w:rsid w:val="009C0FBC"/>
    <w:rsid w:val="009D6FEA"/>
    <w:rsid w:val="009E0BA4"/>
    <w:rsid w:val="009F0886"/>
    <w:rsid w:val="00A0453D"/>
    <w:rsid w:val="00A148FE"/>
    <w:rsid w:val="00A64BB0"/>
    <w:rsid w:val="00A747B3"/>
    <w:rsid w:val="00A80EB1"/>
    <w:rsid w:val="00A92396"/>
    <w:rsid w:val="00A9742B"/>
    <w:rsid w:val="00AA5C93"/>
    <w:rsid w:val="00AC4DE1"/>
    <w:rsid w:val="00AE1496"/>
    <w:rsid w:val="00AE36A5"/>
    <w:rsid w:val="00B07EE9"/>
    <w:rsid w:val="00B141F0"/>
    <w:rsid w:val="00B56E1C"/>
    <w:rsid w:val="00B758EB"/>
    <w:rsid w:val="00B805C4"/>
    <w:rsid w:val="00B834FE"/>
    <w:rsid w:val="00BA6F32"/>
    <w:rsid w:val="00BE2DF8"/>
    <w:rsid w:val="00BF3E81"/>
    <w:rsid w:val="00BF7120"/>
    <w:rsid w:val="00C0092B"/>
    <w:rsid w:val="00C26553"/>
    <w:rsid w:val="00C523A3"/>
    <w:rsid w:val="00C71FE3"/>
    <w:rsid w:val="00C7292B"/>
    <w:rsid w:val="00C8095C"/>
    <w:rsid w:val="00C87AA7"/>
    <w:rsid w:val="00C91261"/>
    <w:rsid w:val="00C9757F"/>
    <w:rsid w:val="00CA5DC4"/>
    <w:rsid w:val="00CB42A6"/>
    <w:rsid w:val="00CC4BDF"/>
    <w:rsid w:val="00CF7439"/>
    <w:rsid w:val="00D06660"/>
    <w:rsid w:val="00D10D86"/>
    <w:rsid w:val="00D24A10"/>
    <w:rsid w:val="00D339B3"/>
    <w:rsid w:val="00D43BDE"/>
    <w:rsid w:val="00D7718C"/>
    <w:rsid w:val="00DB5E6E"/>
    <w:rsid w:val="00DC3793"/>
    <w:rsid w:val="00E27647"/>
    <w:rsid w:val="00E529D1"/>
    <w:rsid w:val="00EC57BD"/>
    <w:rsid w:val="00ED33A4"/>
    <w:rsid w:val="00ED374F"/>
    <w:rsid w:val="00F011F6"/>
    <w:rsid w:val="00F21044"/>
    <w:rsid w:val="00F25C4A"/>
    <w:rsid w:val="00F3009C"/>
    <w:rsid w:val="00F44F64"/>
    <w:rsid w:val="00F60040"/>
    <w:rsid w:val="00F90E49"/>
    <w:rsid w:val="00FB1FCA"/>
    <w:rsid w:val="00FC3FA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63D1EE"/>
  <w15:chartTrackingRefBased/>
  <w15:docId w15:val="{1BE02099-00DD-4C46-8DCD-6EB2C34394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5805AB"/>
    <w:pPr>
      <w:ind w:left="720"/>
      <w:contextualSpacing/>
    </w:pPr>
  </w:style>
  <w:style w:type="paragraph" w:customStyle="1" w:styleId="Default">
    <w:name w:val="Default"/>
    <w:rsid w:val="00C87AA7"/>
    <w:pPr>
      <w:autoSpaceDE w:val="0"/>
      <w:autoSpaceDN w:val="0"/>
      <w:adjustRightInd w:val="0"/>
      <w:spacing w:after="0" w:line="240" w:lineRule="auto"/>
    </w:pPr>
    <w:rPr>
      <w:rFonts w:ascii="Arial" w:eastAsia="Times New Roman" w:hAnsi="Arial" w:cs="Arial"/>
      <w:color w:val="000000"/>
      <w:sz w:val="24"/>
      <w:szCs w:val="24"/>
      <w:lang w:eastAsia="cs-CZ"/>
    </w:rPr>
  </w:style>
  <w:style w:type="paragraph" w:styleId="Zkladntextodsazen">
    <w:name w:val="Body Text Indent"/>
    <w:basedOn w:val="Normln"/>
    <w:link w:val="ZkladntextodsazenChar"/>
    <w:semiHidden/>
    <w:rsid w:val="00A9742B"/>
    <w:pPr>
      <w:spacing w:after="0" w:line="240" w:lineRule="auto"/>
      <w:ind w:left="1418" w:hanging="1418"/>
    </w:pPr>
    <w:rPr>
      <w:rFonts w:ascii="Times New Roman" w:eastAsia="Times New Roman" w:hAnsi="Times New Roman" w:cs="Times New Roman"/>
      <w:sz w:val="24"/>
      <w:szCs w:val="24"/>
      <w:lang w:eastAsia="cs-CZ"/>
    </w:rPr>
  </w:style>
  <w:style w:type="character" w:customStyle="1" w:styleId="ZkladntextodsazenChar">
    <w:name w:val="Základní text odsazený Char"/>
    <w:basedOn w:val="Standardnpsmoodstavce"/>
    <w:link w:val="Zkladntextodsazen"/>
    <w:semiHidden/>
    <w:rsid w:val="00A9742B"/>
    <w:rPr>
      <w:rFonts w:ascii="Times New Roman" w:eastAsia="Times New Roman" w:hAnsi="Times New Roman" w:cs="Times New Roman"/>
      <w:sz w:val="24"/>
      <w:szCs w:val="24"/>
      <w:lang w:eastAsia="cs-CZ"/>
    </w:rPr>
  </w:style>
  <w:style w:type="character" w:styleId="Hypertextovodkaz">
    <w:name w:val="Hyperlink"/>
    <w:basedOn w:val="Standardnpsmoodstavce"/>
    <w:uiPriority w:val="99"/>
    <w:unhideWhenUsed/>
    <w:rsid w:val="0039004B"/>
    <w:rPr>
      <w:color w:val="0000FF"/>
      <w:u w:val="single"/>
    </w:rPr>
  </w:style>
  <w:style w:type="character" w:styleId="Sledovanodkaz">
    <w:name w:val="FollowedHyperlink"/>
    <w:basedOn w:val="Standardnpsmoodstavce"/>
    <w:uiPriority w:val="99"/>
    <w:semiHidden/>
    <w:unhideWhenUsed/>
    <w:rsid w:val="00ED33A4"/>
    <w:rPr>
      <w:color w:val="954F72" w:themeColor="followedHyperlink"/>
      <w:u w:val="single"/>
    </w:rPr>
  </w:style>
  <w:style w:type="paragraph" w:styleId="Zkladntext">
    <w:name w:val="Body Text"/>
    <w:basedOn w:val="Normln"/>
    <w:link w:val="ZkladntextChar"/>
    <w:uiPriority w:val="99"/>
    <w:semiHidden/>
    <w:unhideWhenUsed/>
    <w:rsid w:val="00ED33A4"/>
    <w:pPr>
      <w:spacing w:after="120"/>
    </w:pPr>
  </w:style>
  <w:style w:type="character" w:customStyle="1" w:styleId="ZkladntextChar">
    <w:name w:val="Základní text Char"/>
    <w:basedOn w:val="Standardnpsmoodstavce"/>
    <w:link w:val="Zkladntext"/>
    <w:uiPriority w:val="99"/>
    <w:semiHidden/>
    <w:rsid w:val="00ED33A4"/>
  </w:style>
  <w:style w:type="paragraph" w:styleId="Textbubliny">
    <w:name w:val="Balloon Text"/>
    <w:basedOn w:val="Normln"/>
    <w:link w:val="TextbublinyChar"/>
    <w:uiPriority w:val="99"/>
    <w:semiHidden/>
    <w:unhideWhenUsed/>
    <w:rsid w:val="00DB5E6E"/>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B5E6E"/>
    <w:rPr>
      <w:rFonts w:ascii="Segoe UI" w:hAnsi="Segoe UI" w:cs="Segoe UI"/>
      <w:sz w:val="18"/>
      <w:szCs w:val="18"/>
    </w:rPr>
  </w:style>
  <w:style w:type="paragraph" w:styleId="Normlnweb">
    <w:name w:val="Normal (Web)"/>
    <w:basedOn w:val="Normln"/>
    <w:uiPriority w:val="99"/>
    <w:semiHidden/>
    <w:unhideWhenUsed/>
    <w:rsid w:val="0002292C"/>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Siln">
    <w:name w:val="Strong"/>
    <w:basedOn w:val="Standardnpsmoodstavce"/>
    <w:uiPriority w:val="22"/>
    <w:qFormat/>
    <w:rsid w:val="0002292C"/>
    <w:rPr>
      <w:b/>
      <w:bCs/>
    </w:rPr>
  </w:style>
  <w:style w:type="character" w:styleId="Odkaznakoment">
    <w:name w:val="annotation reference"/>
    <w:basedOn w:val="Standardnpsmoodstavce"/>
    <w:uiPriority w:val="99"/>
    <w:semiHidden/>
    <w:unhideWhenUsed/>
    <w:rsid w:val="00B07EE9"/>
    <w:rPr>
      <w:sz w:val="16"/>
      <w:szCs w:val="16"/>
    </w:rPr>
  </w:style>
  <w:style w:type="paragraph" w:styleId="Textkomente">
    <w:name w:val="annotation text"/>
    <w:basedOn w:val="Normln"/>
    <w:link w:val="TextkomenteChar"/>
    <w:uiPriority w:val="99"/>
    <w:semiHidden/>
    <w:unhideWhenUsed/>
    <w:rsid w:val="00B07EE9"/>
    <w:pPr>
      <w:spacing w:line="240" w:lineRule="auto"/>
    </w:pPr>
    <w:rPr>
      <w:sz w:val="20"/>
      <w:szCs w:val="20"/>
    </w:rPr>
  </w:style>
  <w:style w:type="character" w:customStyle="1" w:styleId="TextkomenteChar">
    <w:name w:val="Text komentáře Char"/>
    <w:basedOn w:val="Standardnpsmoodstavce"/>
    <w:link w:val="Textkomente"/>
    <w:uiPriority w:val="99"/>
    <w:semiHidden/>
    <w:rsid w:val="00B07EE9"/>
    <w:rPr>
      <w:sz w:val="20"/>
      <w:szCs w:val="20"/>
    </w:rPr>
  </w:style>
  <w:style w:type="paragraph" w:styleId="Pedmtkomente">
    <w:name w:val="annotation subject"/>
    <w:basedOn w:val="Textkomente"/>
    <w:next w:val="Textkomente"/>
    <w:link w:val="PedmtkomenteChar"/>
    <w:uiPriority w:val="99"/>
    <w:semiHidden/>
    <w:unhideWhenUsed/>
    <w:rsid w:val="00B07EE9"/>
    <w:rPr>
      <w:b/>
      <w:bCs/>
    </w:rPr>
  </w:style>
  <w:style w:type="character" w:customStyle="1" w:styleId="PedmtkomenteChar">
    <w:name w:val="Předmět komentáře Char"/>
    <w:basedOn w:val="TextkomenteChar"/>
    <w:link w:val="Pedmtkomente"/>
    <w:uiPriority w:val="99"/>
    <w:semiHidden/>
    <w:rsid w:val="00B07EE9"/>
    <w:rPr>
      <w:b/>
      <w:bCs/>
      <w:sz w:val="20"/>
      <w:szCs w:val="20"/>
    </w:rPr>
  </w:style>
  <w:style w:type="paragraph" w:styleId="Revize">
    <w:name w:val="Revision"/>
    <w:hidden/>
    <w:uiPriority w:val="99"/>
    <w:semiHidden/>
    <w:rsid w:val="00386125"/>
    <w:pPr>
      <w:spacing w:after="0" w:line="240" w:lineRule="auto"/>
    </w:pPr>
  </w:style>
  <w:style w:type="character" w:customStyle="1" w:styleId="rynqvb">
    <w:name w:val="rynqvb"/>
    <w:basedOn w:val="Standardnpsmoodstavce"/>
    <w:rsid w:val="006B175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68351435">
      <w:bodyDiv w:val="1"/>
      <w:marLeft w:val="0"/>
      <w:marRight w:val="0"/>
      <w:marTop w:val="0"/>
      <w:marBottom w:val="0"/>
      <w:divBdr>
        <w:top w:val="none" w:sz="0" w:space="0" w:color="auto"/>
        <w:left w:val="none" w:sz="0" w:space="0" w:color="auto"/>
        <w:bottom w:val="none" w:sz="0" w:space="0" w:color="auto"/>
        <w:right w:val="none" w:sz="0" w:space="0" w:color="auto"/>
      </w:divBdr>
      <w:divsChild>
        <w:div w:id="541987567">
          <w:marLeft w:val="0"/>
          <w:marRight w:val="0"/>
          <w:marTop w:val="0"/>
          <w:marBottom w:val="0"/>
          <w:divBdr>
            <w:top w:val="none" w:sz="0" w:space="0" w:color="auto"/>
            <w:left w:val="none" w:sz="0" w:space="0" w:color="auto"/>
            <w:bottom w:val="none" w:sz="0" w:space="0" w:color="auto"/>
            <w:right w:val="none" w:sz="0" w:space="0" w:color="auto"/>
          </w:divBdr>
        </w:div>
        <w:div w:id="1707175012">
          <w:marLeft w:val="0"/>
          <w:marRight w:val="0"/>
          <w:marTop w:val="0"/>
          <w:marBottom w:val="0"/>
          <w:divBdr>
            <w:top w:val="none" w:sz="0" w:space="0" w:color="auto"/>
            <w:left w:val="none" w:sz="0" w:space="0" w:color="auto"/>
            <w:bottom w:val="none" w:sz="0" w:space="0" w:color="auto"/>
            <w:right w:val="none" w:sz="0" w:space="0" w:color="auto"/>
          </w:divBdr>
        </w:div>
        <w:div w:id="1444416508">
          <w:marLeft w:val="0"/>
          <w:marRight w:val="0"/>
          <w:marTop w:val="0"/>
          <w:marBottom w:val="0"/>
          <w:divBdr>
            <w:top w:val="none" w:sz="0" w:space="0" w:color="auto"/>
            <w:left w:val="none" w:sz="0" w:space="0" w:color="auto"/>
            <w:bottom w:val="none" w:sz="0" w:space="0" w:color="auto"/>
            <w:right w:val="none" w:sz="0" w:space="0" w:color="auto"/>
          </w:divBdr>
        </w:div>
        <w:div w:id="1082263265">
          <w:marLeft w:val="0"/>
          <w:marRight w:val="0"/>
          <w:marTop w:val="0"/>
          <w:marBottom w:val="0"/>
          <w:divBdr>
            <w:top w:val="none" w:sz="0" w:space="0" w:color="auto"/>
            <w:left w:val="none" w:sz="0" w:space="0" w:color="auto"/>
            <w:bottom w:val="none" w:sz="0" w:space="0" w:color="auto"/>
            <w:right w:val="none" w:sz="0" w:space="0" w:color="auto"/>
          </w:divBdr>
        </w:div>
        <w:div w:id="37903864">
          <w:marLeft w:val="0"/>
          <w:marRight w:val="0"/>
          <w:marTop w:val="0"/>
          <w:marBottom w:val="0"/>
          <w:divBdr>
            <w:top w:val="none" w:sz="0" w:space="0" w:color="auto"/>
            <w:left w:val="none" w:sz="0" w:space="0" w:color="auto"/>
            <w:bottom w:val="none" w:sz="0" w:space="0" w:color="auto"/>
            <w:right w:val="none" w:sz="0" w:space="0" w:color="auto"/>
          </w:divBdr>
        </w:div>
        <w:div w:id="141847098">
          <w:marLeft w:val="0"/>
          <w:marRight w:val="0"/>
          <w:marTop w:val="0"/>
          <w:marBottom w:val="0"/>
          <w:divBdr>
            <w:top w:val="none" w:sz="0" w:space="0" w:color="auto"/>
            <w:left w:val="none" w:sz="0" w:space="0" w:color="auto"/>
            <w:bottom w:val="none" w:sz="0" w:space="0" w:color="auto"/>
            <w:right w:val="none" w:sz="0" w:space="0" w:color="auto"/>
          </w:divBdr>
        </w:div>
        <w:div w:id="1231042656">
          <w:marLeft w:val="0"/>
          <w:marRight w:val="0"/>
          <w:marTop w:val="0"/>
          <w:marBottom w:val="0"/>
          <w:divBdr>
            <w:top w:val="none" w:sz="0" w:space="0" w:color="auto"/>
            <w:left w:val="none" w:sz="0" w:space="0" w:color="auto"/>
            <w:bottom w:val="none" w:sz="0" w:space="0" w:color="auto"/>
            <w:right w:val="none" w:sz="0" w:space="0" w:color="auto"/>
          </w:divBdr>
        </w:div>
        <w:div w:id="1307976543">
          <w:marLeft w:val="0"/>
          <w:marRight w:val="0"/>
          <w:marTop w:val="0"/>
          <w:marBottom w:val="0"/>
          <w:divBdr>
            <w:top w:val="none" w:sz="0" w:space="0" w:color="auto"/>
            <w:left w:val="none" w:sz="0" w:space="0" w:color="auto"/>
            <w:bottom w:val="none" w:sz="0" w:space="0" w:color="auto"/>
            <w:right w:val="none" w:sz="0" w:space="0" w:color="auto"/>
          </w:divBdr>
        </w:div>
        <w:div w:id="192769127">
          <w:marLeft w:val="0"/>
          <w:marRight w:val="0"/>
          <w:marTop w:val="0"/>
          <w:marBottom w:val="0"/>
          <w:divBdr>
            <w:top w:val="none" w:sz="0" w:space="0" w:color="auto"/>
            <w:left w:val="none" w:sz="0" w:space="0" w:color="auto"/>
            <w:bottom w:val="none" w:sz="0" w:space="0" w:color="auto"/>
            <w:right w:val="none" w:sz="0" w:space="0" w:color="auto"/>
          </w:divBdr>
        </w:div>
        <w:div w:id="1143035649">
          <w:marLeft w:val="0"/>
          <w:marRight w:val="0"/>
          <w:marTop w:val="0"/>
          <w:marBottom w:val="0"/>
          <w:divBdr>
            <w:top w:val="none" w:sz="0" w:space="0" w:color="auto"/>
            <w:left w:val="none" w:sz="0" w:space="0" w:color="auto"/>
            <w:bottom w:val="none" w:sz="0" w:space="0" w:color="auto"/>
            <w:right w:val="none" w:sz="0" w:space="0" w:color="auto"/>
          </w:divBdr>
        </w:div>
        <w:div w:id="1708794879">
          <w:marLeft w:val="0"/>
          <w:marRight w:val="0"/>
          <w:marTop w:val="0"/>
          <w:marBottom w:val="0"/>
          <w:divBdr>
            <w:top w:val="none" w:sz="0" w:space="0" w:color="auto"/>
            <w:left w:val="none" w:sz="0" w:space="0" w:color="auto"/>
            <w:bottom w:val="none" w:sz="0" w:space="0" w:color="auto"/>
            <w:right w:val="none" w:sz="0" w:space="0" w:color="auto"/>
          </w:divBdr>
        </w:div>
        <w:div w:id="1952010215">
          <w:marLeft w:val="0"/>
          <w:marRight w:val="0"/>
          <w:marTop w:val="0"/>
          <w:marBottom w:val="0"/>
          <w:divBdr>
            <w:top w:val="none" w:sz="0" w:space="0" w:color="auto"/>
            <w:left w:val="none" w:sz="0" w:space="0" w:color="auto"/>
            <w:bottom w:val="none" w:sz="0" w:space="0" w:color="auto"/>
            <w:right w:val="none" w:sz="0" w:space="0" w:color="auto"/>
          </w:divBdr>
        </w:div>
        <w:div w:id="1722944997">
          <w:marLeft w:val="0"/>
          <w:marRight w:val="0"/>
          <w:marTop w:val="0"/>
          <w:marBottom w:val="0"/>
          <w:divBdr>
            <w:top w:val="none" w:sz="0" w:space="0" w:color="auto"/>
            <w:left w:val="none" w:sz="0" w:space="0" w:color="auto"/>
            <w:bottom w:val="none" w:sz="0" w:space="0" w:color="auto"/>
            <w:right w:val="none" w:sz="0" w:space="0" w:color="auto"/>
          </w:divBdr>
        </w:div>
        <w:div w:id="257367977">
          <w:marLeft w:val="0"/>
          <w:marRight w:val="0"/>
          <w:marTop w:val="0"/>
          <w:marBottom w:val="0"/>
          <w:divBdr>
            <w:top w:val="none" w:sz="0" w:space="0" w:color="auto"/>
            <w:left w:val="none" w:sz="0" w:space="0" w:color="auto"/>
            <w:bottom w:val="none" w:sz="0" w:space="0" w:color="auto"/>
            <w:right w:val="none" w:sz="0" w:space="0" w:color="auto"/>
          </w:divBdr>
        </w:div>
        <w:div w:id="770663620">
          <w:marLeft w:val="0"/>
          <w:marRight w:val="0"/>
          <w:marTop w:val="0"/>
          <w:marBottom w:val="0"/>
          <w:divBdr>
            <w:top w:val="none" w:sz="0" w:space="0" w:color="auto"/>
            <w:left w:val="none" w:sz="0" w:space="0" w:color="auto"/>
            <w:bottom w:val="none" w:sz="0" w:space="0" w:color="auto"/>
            <w:right w:val="none" w:sz="0" w:space="0" w:color="auto"/>
          </w:divBdr>
        </w:div>
        <w:div w:id="1697610448">
          <w:marLeft w:val="0"/>
          <w:marRight w:val="0"/>
          <w:marTop w:val="0"/>
          <w:marBottom w:val="0"/>
          <w:divBdr>
            <w:top w:val="none" w:sz="0" w:space="0" w:color="auto"/>
            <w:left w:val="none" w:sz="0" w:space="0" w:color="auto"/>
            <w:bottom w:val="none" w:sz="0" w:space="0" w:color="auto"/>
            <w:right w:val="none" w:sz="0" w:space="0" w:color="auto"/>
          </w:divBdr>
        </w:div>
        <w:div w:id="1001549557">
          <w:marLeft w:val="0"/>
          <w:marRight w:val="0"/>
          <w:marTop w:val="0"/>
          <w:marBottom w:val="0"/>
          <w:divBdr>
            <w:top w:val="none" w:sz="0" w:space="0" w:color="auto"/>
            <w:left w:val="none" w:sz="0" w:space="0" w:color="auto"/>
            <w:bottom w:val="none" w:sz="0" w:space="0" w:color="auto"/>
            <w:right w:val="none" w:sz="0" w:space="0" w:color="auto"/>
          </w:divBdr>
        </w:div>
        <w:div w:id="1317493192">
          <w:marLeft w:val="0"/>
          <w:marRight w:val="0"/>
          <w:marTop w:val="0"/>
          <w:marBottom w:val="0"/>
          <w:divBdr>
            <w:top w:val="none" w:sz="0" w:space="0" w:color="auto"/>
            <w:left w:val="none" w:sz="0" w:space="0" w:color="auto"/>
            <w:bottom w:val="none" w:sz="0" w:space="0" w:color="auto"/>
            <w:right w:val="none" w:sz="0" w:space="0" w:color="auto"/>
          </w:divBdr>
        </w:div>
        <w:div w:id="1729718616">
          <w:marLeft w:val="0"/>
          <w:marRight w:val="0"/>
          <w:marTop w:val="0"/>
          <w:marBottom w:val="0"/>
          <w:divBdr>
            <w:top w:val="none" w:sz="0" w:space="0" w:color="auto"/>
            <w:left w:val="none" w:sz="0" w:space="0" w:color="auto"/>
            <w:bottom w:val="none" w:sz="0" w:space="0" w:color="auto"/>
            <w:right w:val="none" w:sz="0" w:space="0" w:color="auto"/>
          </w:divBdr>
        </w:div>
        <w:div w:id="2020082359">
          <w:marLeft w:val="0"/>
          <w:marRight w:val="0"/>
          <w:marTop w:val="0"/>
          <w:marBottom w:val="0"/>
          <w:divBdr>
            <w:top w:val="none" w:sz="0" w:space="0" w:color="auto"/>
            <w:left w:val="none" w:sz="0" w:space="0" w:color="auto"/>
            <w:bottom w:val="none" w:sz="0" w:space="0" w:color="auto"/>
            <w:right w:val="none" w:sz="0" w:space="0" w:color="auto"/>
          </w:divBdr>
        </w:div>
        <w:div w:id="566385215">
          <w:marLeft w:val="0"/>
          <w:marRight w:val="0"/>
          <w:marTop w:val="0"/>
          <w:marBottom w:val="0"/>
          <w:divBdr>
            <w:top w:val="none" w:sz="0" w:space="0" w:color="auto"/>
            <w:left w:val="none" w:sz="0" w:space="0" w:color="auto"/>
            <w:bottom w:val="none" w:sz="0" w:space="0" w:color="auto"/>
            <w:right w:val="none" w:sz="0" w:space="0" w:color="auto"/>
          </w:divBdr>
        </w:div>
        <w:div w:id="1175456217">
          <w:marLeft w:val="0"/>
          <w:marRight w:val="0"/>
          <w:marTop w:val="0"/>
          <w:marBottom w:val="0"/>
          <w:divBdr>
            <w:top w:val="none" w:sz="0" w:space="0" w:color="auto"/>
            <w:left w:val="none" w:sz="0" w:space="0" w:color="auto"/>
            <w:bottom w:val="none" w:sz="0" w:space="0" w:color="auto"/>
            <w:right w:val="none" w:sz="0" w:space="0" w:color="auto"/>
          </w:divBdr>
        </w:div>
        <w:div w:id="1180001553">
          <w:marLeft w:val="0"/>
          <w:marRight w:val="0"/>
          <w:marTop w:val="0"/>
          <w:marBottom w:val="0"/>
          <w:divBdr>
            <w:top w:val="none" w:sz="0" w:space="0" w:color="auto"/>
            <w:left w:val="none" w:sz="0" w:space="0" w:color="auto"/>
            <w:bottom w:val="none" w:sz="0" w:space="0" w:color="auto"/>
            <w:right w:val="none" w:sz="0" w:space="0" w:color="auto"/>
          </w:divBdr>
        </w:div>
        <w:div w:id="1381318022">
          <w:marLeft w:val="0"/>
          <w:marRight w:val="0"/>
          <w:marTop w:val="0"/>
          <w:marBottom w:val="0"/>
          <w:divBdr>
            <w:top w:val="none" w:sz="0" w:space="0" w:color="auto"/>
            <w:left w:val="none" w:sz="0" w:space="0" w:color="auto"/>
            <w:bottom w:val="none" w:sz="0" w:space="0" w:color="auto"/>
            <w:right w:val="none" w:sz="0" w:space="0" w:color="auto"/>
          </w:divBdr>
        </w:div>
        <w:div w:id="1664505881">
          <w:marLeft w:val="0"/>
          <w:marRight w:val="0"/>
          <w:marTop w:val="0"/>
          <w:marBottom w:val="0"/>
          <w:divBdr>
            <w:top w:val="none" w:sz="0" w:space="0" w:color="auto"/>
            <w:left w:val="none" w:sz="0" w:space="0" w:color="auto"/>
            <w:bottom w:val="none" w:sz="0" w:space="0" w:color="auto"/>
            <w:right w:val="none" w:sz="0" w:space="0" w:color="auto"/>
          </w:divBdr>
        </w:div>
        <w:div w:id="1251502966">
          <w:marLeft w:val="0"/>
          <w:marRight w:val="0"/>
          <w:marTop w:val="0"/>
          <w:marBottom w:val="0"/>
          <w:divBdr>
            <w:top w:val="none" w:sz="0" w:space="0" w:color="auto"/>
            <w:left w:val="none" w:sz="0" w:space="0" w:color="auto"/>
            <w:bottom w:val="none" w:sz="0" w:space="0" w:color="auto"/>
            <w:right w:val="none" w:sz="0" w:space="0" w:color="auto"/>
          </w:divBdr>
        </w:div>
        <w:div w:id="619264905">
          <w:marLeft w:val="0"/>
          <w:marRight w:val="0"/>
          <w:marTop w:val="0"/>
          <w:marBottom w:val="0"/>
          <w:divBdr>
            <w:top w:val="none" w:sz="0" w:space="0" w:color="auto"/>
            <w:left w:val="none" w:sz="0" w:space="0" w:color="auto"/>
            <w:bottom w:val="none" w:sz="0" w:space="0" w:color="auto"/>
            <w:right w:val="none" w:sz="0" w:space="0" w:color="auto"/>
          </w:divBdr>
        </w:div>
        <w:div w:id="33312729">
          <w:marLeft w:val="0"/>
          <w:marRight w:val="0"/>
          <w:marTop w:val="0"/>
          <w:marBottom w:val="0"/>
          <w:divBdr>
            <w:top w:val="none" w:sz="0" w:space="0" w:color="auto"/>
            <w:left w:val="none" w:sz="0" w:space="0" w:color="auto"/>
            <w:bottom w:val="none" w:sz="0" w:space="0" w:color="auto"/>
            <w:right w:val="none" w:sz="0" w:space="0" w:color="auto"/>
          </w:divBdr>
        </w:div>
        <w:div w:id="1398091812">
          <w:marLeft w:val="0"/>
          <w:marRight w:val="0"/>
          <w:marTop w:val="0"/>
          <w:marBottom w:val="0"/>
          <w:divBdr>
            <w:top w:val="none" w:sz="0" w:space="0" w:color="auto"/>
            <w:left w:val="none" w:sz="0" w:space="0" w:color="auto"/>
            <w:bottom w:val="none" w:sz="0" w:space="0" w:color="auto"/>
            <w:right w:val="none" w:sz="0" w:space="0" w:color="auto"/>
          </w:divBdr>
        </w:div>
        <w:div w:id="1800222828">
          <w:marLeft w:val="0"/>
          <w:marRight w:val="0"/>
          <w:marTop w:val="0"/>
          <w:marBottom w:val="0"/>
          <w:divBdr>
            <w:top w:val="none" w:sz="0" w:space="0" w:color="auto"/>
            <w:left w:val="none" w:sz="0" w:space="0" w:color="auto"/>
            <w:bottom w:val="none" w:sz="0" w:space="0" w:color="auto"/>
            <w:right w:val="none" w:sz="0" w:space="0" w:color="auto"/>
          </w:divBdr>
        </w:div>
        <w:div w:id="791170917">
          <w:marLeft w:val="0"/>
          <w:marRight w:val="0"/>
          <w:marTop w:val="0"/>
          <w:marBottom w:val="0"/>
          <w:divBdr>
            <w:top w:val="none" w:sz="0" w:space="0" w:color="auto"/>
            <w:left w:val="none" w:sz="0" w:space="0" w:color="auto"/>
            <w:bottom w:val="none" w:sz="0" w:space="0" w:color="auto"/>
            <w:right w:val="none" w:sz="0" w:space="0" w:color="auto"/>
          </w:divBdr>
        </w:div>
        <w:div w:id="2143696477">
          <w:marLeft w:val="0"/>
          <w:marRight w:val="0"/>
          <w:marTop w:val="0"/>
          <w:marBottom w:val="0"/>
          <w:divBdr>
            <w:top w:val="none" w:sz="0" w:space="0" w:color="auto"/>
            <w:left w:val="none" w:sz="0" w:space="0" w:color="auto"/>
            <w:bottom w:val="none" w:sz="0" w:space="0" w:color="auto"/>
            <w:right w:val="none" w:sz="0" w:space="0" w:color="auto"/>
          </w:divBdr>
        </w:div>
        <w:div w:id="554048030">
          <w:marLeft w:val="0"/>
          <w:marRight w:val="0"/>
          <w:marTop w:val="0"/>
          <w:marBottom w:val="0"/>
          <w:divBdr>
            <w:top w:val="none" w:sz="0" w:space="0" w:color="auto"/>
            <w:left w:val="none" w:sz="0" w:space="0" w:color="auto"/>
            <w:bottom w:val="none" w:sz="0" w:space="0" w:color="auto"/>
            <w:right w:val="none" w:sz="0" w:space="0" w:color="auto"/>
          </w:divBdr>
        </w:div>
        <w:div w:id="1928882165">
          <w:marLeft w:val="0"/>
          <w:marRight w:val="0"/>
          <w:marTop w:val="0"/>
          <w:marBottom w:val="0"/>
          <w:divBdr>
            <w:top w:val="none" w:sz="0" w:space="0" w:color="auto"/>
            <w:left w:val="none" w:sz="0" w:space="0" w:color="auto"/>
            <w:bottom w:val="none" w:sz="0" w:space="0" w:color="auto"/>
            <w:right w:val="none" w:sz="0" w:space="0" w:color="auto"/>
          </w:divBdr>
        </w:div>
        <w:div w:id="1376198249">
          <w:marLeft w:val="0"/>
          <w:marRight w:val="0"/>
          <w:marTop w:val="0"/>
          <w:marBottom w:val="0"/>
          <w:divBdr>
            <w:top w:val="none" w:sz="0" w:space="0" w:color="auto"/>
            <w:left w:val="none" w:sz="0" w:space="0" w:color="auto"/>
            <w:bottom w:val="none" w:sz="0" w:space="0" w:color="auto"/>
            <w:right w:val="none" w:sz="0" w:space="0" w:color="auto"/>
          </w:divBdr>
        </w:div>
        <w:div w:id="1173182089">
          <w:marLeft w:val="0"/>
          <w:marRight w:val="0"/>
          <w:marTop w:val="0"/>
          <w:marBottom w:val="0"/>
          <w:divBdr>
            <w:top w:val="none" w:sz="0" w:space="0" w:color="auto"/>
            <w:left w:val="none" w:sz="0" w:space="0" w:color="auto"/>
            <w:bottom w:val="none" w:sz="0" w:space="0" w:color="auto"/>
            <w:right w:val="none" w:sz="0" w:space="0" w:color="auto"/>
          </w:divBdr>
        </w:div>
        <w:div w:id="1969430604">
          <w:marLeft w:val="0"/>
          <w:marRight w:val="0"/>
          <w:marTop w:val="0"/>
          <w:marBottom w:val="0"/>
          <w:divBdr>
            <w:top w:val="none" w:sz="0" w:space="0" w:color="auto"/>
            <w:left w:val="none" w:sz="0" w:space="0" w:color="auto"/>
            <w:bottom w:val="none" w:sz="0" w:space="0" w:color="auto"/>
            <w:right w:val="none" w:sz="0" w:space="0" w:color="auto"/>
          </w:divBdr>
        </w:div>
        <w:div w:id="620763619">
          <w:marLeft w:val="0"/>
          <w:marRight w:val="0"/>
          <w:marTop w:val="0"/>
          <w:marBottom w:val="0"/>
          <w:divBdr>
            <w:top w:val="none" w:sz="0" w:space="0" w:color="auto"/>
            <w:left w:val="none" w:sz="0" w:space="0" w:color="auto"/>
            <w:bottom w:val="none" w:sz="0" w:space="0" w:color="auto"/>
            <w:right w:val="none" w:sz="0" w:space="0" w:color="auto"/>
          </w:divBdr>
        </w:div>
        <w:div w:id="1009718609">
          <w:marLeft w:val="0"/>
          <w:marRight w:val="0"/>
          <w:marTop w:val="0"/>
          <w:marBottom w:val="0"/>
          <w:divBdr>
            <w:top w:val="none" w:sz="0" w:space="0" w:color="auto"/>
            <w:left w:val="none" w:sz="0" w:space="0" w:color="auto"/>
            <w:bottom w:val="none" w:sz="0" w:space="0" w:color="auto"/>
            <w:right w:val="none" w:sz="0" w:space="0" w:color="auto"/>
          </w:divBdr>
        </w:div>
        <w:div w:id="1698778178">
          <w:marLeft w:val="0"/>
          <w:marRight w:val="0"/>
          <w:marTop w:val="0"/>
          <w:marBottom w:val="0"/>
          <w:divBdr>
            <w:top w:val="none" w:sz="0" w:space="0" w:color="auto"/>
            <w:left w:val="none" w:sz="0" w:space="0" w:color="auto"/>
            <w:bottom w:val="none" w:sz="0" w:space="0" w:color="auto"/>
            <w:right w:val="none" w:sz="0" w:space="0" w:color="auto"/>
          </w:divBdr>
        </w:div>
        <w:div w:id="369573949">
          <w:marLeft w:val="0"/>
          <w:marRight w:val="0"/>
          <w:marTop w:val="0"/>
          <w:marBottom w:val="0"/>
          <w:divBdr>
            <w:top w:val="none" w:sz="0" w:space="0" w:color="auto"/>
            <w:left w:val="none" w:sz="0" w:space="0" w:color="auto"/>
            <w:bottom w:val="none" w:sz="0" w:space="0" w:color="auto"/>
            <w:right w:val="none" w:sz="0" w:space="0" w:color="auto"/>
          </w:divBdr>
        </w:div>
        <w:div w:id="268700892">
          <w:marLeft w:val="0"/>
          <w:marRight w:val="0"/>
          <w:marTop w:val="0"/>
          <w:marBottom w:val="0"/>
          <w:divBdr>
            <w:top w:val="none" w:sz="0" w:space="0" w:color="auto"/>
            <w:left w:val="none" w:sz="0" w:space="0" w:color="auto"/>
            <w:bottom w:val="none" w:sz="0" w:space="0" w:color="auto"/>
            <w:right w:val="none" w:sz="0" w:space="0" w:color="auto"/>
          </w:divBdr>
        </w:div>
        <w:div w:id="1543253594">
          <w:marLeft w:val="0"/>
          <w:marRight w:val="0"/>
          <w:marTop w:val="0"/>
          <w:marBottom w:val="0"/>
          <w:divBdr>
            <w:top w:val="none" w:sz="0" w:space="0" w:color="auto"/>
            <w:left w:val="none" w:sz="0" w:space="0" w:color="auto"/>
            <w:bottom w:val="none" w:sz="0" w:space="0" w:color="auto"/>
            <w:right w:val="none" w:sz="0" w:space="0" w:color="auto"/>
          </w:divBdr>
        </w:div>
        <w:div w:id="1312556917">
          <w:marLeft w:val="0"/>
          <w:marRight w:val="0"/>
          <w:marTop w:val="0"/>
          <w:marBottom w:val="0"/>
          <w:divBdr>
            <w:top w:val="none" w:sz="0" w:space="0" w:color="auto"/>
            <w:left w:val="none" w:sz="0" w:space="0" w:color="auto"/>
            <w:bottom w:val="none" w:sz="0" w:space="0" w:color="auto"/>
            <w:right w:val="none" w:sz="0" w:space="0" w:color="auto"/>
          </w:divBdr>
        </w:div>
        <w:div w:id="624195841">
          <w:marLeft w:val="0"/>
          <w:marRight w:val="0"/>
          <w:marTop w:val="0"/>
          <w:marBottom w:val="0"/>
          <w:divBdr>
            <w:top w:val="none" w:sz="0" w:space="0" w:color="auto"/>
            <w:left w:val="none" w:sz="0" w:space="0" w:color="auto"/>
            <w:bottom w:val="none" w:sz="0" w:space="0" w:color="auto"/>
            <w:right w:val="none" w:sz="0" w:space="0" w:color="auto"/>
          </w:divBdr>
        </w:div>
      </w:divsChild>
    </w:div>
    <w:div w:id="20952041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3550dc75-e57e-4925-8a9a-73b1d4bf0d41"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 ma:contentTypeID="0x010100BBAD7C23DFC1D447A00F02468816B473" ma:contentTypeVersion="15" ma:contentTypeDescription="Vytvoří nový dokument" ma:contentTypeScope="" ma:versionID="08c2b274d6dd6da3aa872128c607b259">
  <xsd:schema xmlns:xsd="http://www.w3.org/2001/XMLSchema" xmlns:xs="http://www.w3.org/2001/XMLSchema" xmlns:p="http://schemas.microsoft.com/office/2006/metadata/properties" xmlns:ns3="4d71ecbe-00bb-42b0-adf0-ef8166e882a1" xmlns:ns4="3550dc75-e57e-4925-8a9a-73b1d4bf0d41" targetNamespace="http://schemas.microsoft.com/office/2006/metadata/properties" ma:root="true" ma:fieldsID="a1427277fccf3be8605b6916fe99d2fb" ns3:_="" ns4:_="">
    <xsd:import namespace="4d71ecbe-00bb-42b0-adf0-ef8166e882a1"/>
    <xsd:import namespace="3550dc75-e57e-4925-8a9a-73b1d4bf0d41"/>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GenerationTime" minOccurs="0"/>
                <xsd:element ref="ns4:MediaServiceEventHashCode" minOccurs="0"/>
                <xsd:element ref="ns4:MediaServiceSearchProperties" minOccurs="0"/>
                <xsd:element ref="ns4:MediaServiceObjectDetectorVersions" minOccurs="0"/>
                <xsd:element ref="ns4:MediaServiceDateTaken" minOccurs="0"/>
                <xsd:element ref="ns4:MediaServiceSystemTags" minOccurs="0"/>
                <xsd:element ref="ns4:MediaServiceOCR" minOccurs="0"/>
                <xsd:element ref="ns4:MediaLengthInSeconds" minOccurs="0"/>
                <xsd:element ref="ns4: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71ecbe-00bb-42b0-adf0-ef8166e882a1" elementFormDefault="qualified">
    <xsd:import namespace="http://schemas.microsoft.com/office/2006/documentManagement/types"/>
    <xsd:import namespace="http://schemas.microsoft.com/office/infopath/2007/PartnerControls"/>
    <xsd:element name="SharedWithUsers" ma:index="8"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dílené s podrobnostmi" ma:internalName="SharedWithDetails" ma:readOnly="true">
      <xsd:simpleType>
        <xsd:restriction base="dms:Note">
          <xsd:maxLength value="255"/>
        </xsd:restriction>
      </xsd:simpleType>
    </xsd:element>
    <xsd:element name="SharingHintHash" ma:index="10" nillable="true" ma:displayName="Hodnota hash upozornění na sdílení"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550dc75-e57e-4925-8a9a-73b1d4bf0d4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SystemTags" ma:index="19" nillable="true" ma:displayName="MediaServiceSystemTags" ma:hidden="true" ma:internalName="MediaServiceSystemTags" ma:readOnly="true">
      <xsd:simpleType>
        <xsd:restriction base="dms:Note"/>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345C6ED-241B-4C81-9CAF-8EFADE1E2FC4}">
  <ds:schemaRefs>
    <ds:schemaRef ds:uri="http://schemas.microsoft.com/sharepoint/v3/contenttype/forms"/>
  </ds:schemaRefs>
</ds:datastoreItem>
</file>

<file path=customXml/itemProps2.xml><?xml version="1.0" encoding="utf-8"?>
<ds:datastoreItem xmlns:ds="http://schemas.openxmlformats.org/officeDocument/2006/customXml" ds:itemID="{ECC94A4D-4F71-4DEA-986D-31B615D0095D}">
  <ds:schemaRefs>
    <ds:schemaRef ds:uri="http://purl.org/dc/elements/1.1/"/>
    <ds:schemaRef ds:uri="http://schemas.microsoft.com/office/2006/metadata/properties"/>
    <ds:schemaRef ds:uri="http://schemas.microsoft.com/office/2006/documentManagement/types"/>
    <ds:schemaRef ds:uri="4d71ecbe-00bb-42b0-adf0-ef8166e882a1"/>
    <ds:schemaRef ds:uri="http://www.w3.org/XML/1998/namespace"/>
    <ds:schemaRef ds:uri="http://purl.org/dc/terms/"/>
    <ds:schemaRef ds:uri="http://schemas.microsoft.com/office/infopath/2007/PartnerControls"/>
    <ds:schemaRef ds:uri="http://schemas.openxmlformats.org/package/2006/metadata/core-properties"/>
    <ds:schemaRef ds:uri="3550dc75-e57e-4925-8a9a-73b1d4bf0d41"/>
    <ds:schemaRef ds:uri="http://purl.org/dc/dcmitype/"/>
  </ds:schemaRefs>
</ds:datastoreItem>
</file>

<file path=customXml/itemProps3.xml><?xml version="1.0" encoding="utf-8"?>
<ds:datastoreItem xmlns:ds="http://schemas.openxmlformats.org/officeDocument/2006/customXml" ds:itemID="{26729771-34A3-4200-BA63-B24DAE0602C5}">
  <ds:schemaRefs>
    <ds:schemaRef ds:uri="http://schemas.openxmlformats.org/officeDocument/2006/bibliography"/>
  </ds:schemaRefs>
</ds:datastoreItem>
</file>

<file path=customXml/itemProps4.xml><?xml version="1.0" encoding="utf-8"?>
<ds:datastoreItem xmlns:ds="http://schemas.openxmlformats.org/officeDocument/2006/customXml" ds:itemID="{2BF0882E-14F4-4C6F-8158-11572F4CF9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71ecbe-00bb-42b0-adf0-ef8166e882a1"/>
    <ds:schemaRef ds:uri="3550dc75-e57e-4925-8a9a-73b1d4bf0d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541</Words>
  <Characters>3192</Characters>
  <Application>Microsoft Office Word</Application>
  <DocSecurity>0</DocSecurity>
  <Lines>26</Lines>
  <Paragraphs>7</Paragraphs>
  <ScaleCrop>false</ScaleCrop>
  <HeadingPairs>
    <vt:vector size="2" baseType="variant">
      <vt:variant>
        <vt:lpstr>Název</vt:lpstr>
      </vt:variant>
      <vt:variant>
        <vt:i4>1</vt:i4>
      </vt:variant>
    </vt:vector>
  </HeadingPairs>
  <TitlesOfParts>
    <vt:vector size="1" baseType="lpstr">
      <vt:lpstr/>
    </vt:vector>
  </TitlesOfParts>
  <Company>ČSÚ</Company>
  <LinksUpToDate>false</LinksUpToDate>
  <CharactersWithSpaces>3726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Herrmannová Bronislava</dc:creator>
  <cp:keywords/>
  <dc:description/>
  <cp:lastModifiedBy>Herrmannová Bronislava</cp:lastModifiedBy>
  <cp:revision>2</cp:revision>
  <cp:lastPrinted>2022-11-22T12:54:00Z</cp:lastPrinted>
  <dcterms:created xsi:type="dcterms:W3CDTF">2026-01-06T14:39:00Z</dcterms:created>
  <dcterms:modified xsi:type="dcterms:W3CDTF">2026-01-06T14:39:00Z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0x010100BBAD7C23DFC1D447A00F02468816B473</vt:lpwstr>
  </property>
</Properties>
</file>