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EA1" w14:textId="5F9B86AA" w:rsidR="00C715CC" w:rsidRPr="009110F7" w:rsidRDefault="00C715CC" w:rsidP="00C715CC">
      <w:pPr>
        <w:pStyle w:val="Nadpis11"/>
      </w:pPr>
      <w:bookmarkStart w:id="0" w:name="_Toc532558287"/>
      <w:bookmarkStart w:id="1" w:name="_Toc37403646"/>
      <w:r w:rsidRPr="009110F7">
        <w:t>7. Měnové podmínky</w:t>
      </w:r>
      <w:bookmarkEnd w:id="0"/>
      <w:bookmarkEnd w:id="1"/>
    </w:p>
    <w:tbl>
      <w:tblPr>
        <w:tblW w:w="9641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229"/>
        <w:gridCol w:w="7610"/>
      </w:tblGrid>
      <w:tr w:rsidR="00DB5E3A" w:rsidRPr="00E66062" w14:paraId="4E439744" w14:textId="77777777" w:rsidTr="00A1053B">
        <w:trPr>
          <w:trHeight w:val="145"/>
        </w:trPr>
        <w:tc>
          <w:tcPr>
            <w:tcW w:w="1802" w:type="dxa"/>
            <w:shd w:val="clear" w:color="auto" w:fill="auto"/>
            <w:tcMar>
              <w:left w:w="0" w:type="dxa"/>
            </w:tcMar>
          </w:tcPr>
          <w:p w14:paraId="75C10766" w14:textId="77777777" w:rsidR="00DB5E3A" w:rsidRDefault="00DB5E3A" w:rsidP="00A1053B">
            <w:pPr>
              <w:pStyle w:val="Marginlie"/>
            </w:pPr>
            <w:proofErr w:type="spellStart"/>
            <w:r>
              <w:t>Měnověpolitické</w:t>
            </w:r>
            <w:proofErr w:type="spellEnd"/>
            <w:r>
              <w:t xml:space="preserve"> úrokové sazby se loni měnily jen jednou.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0945DAC8" w14:textId="77777777" w:rsidR="00DB5E3A" w:rsidRDefault="00DB5E3A" w:rsidP="00A1053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7E6D9EF" w14:textId="6D76D728" w:rsidR="00DB5E3A" w:rsidRPr="00E66062" w:rsidRDefault="00DB5E3A" w:rsidP="00A1053B">
            <w:pPr>
              <w:rPr>
                <w:spacing w:val="-2"/>
              </w:rPr>
            </w:pPr>
            <w:r>
              <w:rPr>
                <w:spacing w:val="-2"/>
              </w:rPr>
              <w:t xml:space="preserve">Nastavení základních </w:t>
            </w:r>
            <w:proofErr w:type="spellStart"/>
            <w:r>
              <w:rPr>
                <w:spacing w:val="-2"/>
              </w:rPr>
              <w:t>měnověpolitických</w:t>
            </w:r>
            <w:proofErr w:type="spellEnd"/>
            <w:r>
              <w:rPr>
                <w:spacing w:val="-2"/>
              </w:rPr>
              <w:t xml:space="preserve"> sazeb ČNB se loni měnilo jen jednou, a to v květnu. Až do konce roku tak </w:t>
            </w:r>
            <w:proofErr w:type="spellStart"/>
            <w:r>
              <w:rPr>
                <w:spacing w:val="-2"/>
              </w:rPr>
              <w:t>repo</w:t>
            </w:r>
            <w:proofErr w:type="spellEnd"/>
            <w:r>
              <w:rPr>
                <w:spacing w:val="-2"/>
              </w:rPr>
              <w:t xml:space="preserve"> sazba činila 2 %, diskontní sazba 1 % a lombardní sazba 3 %. Směnný kurz koruny vůči euru se po celý rok pohyboval v pásmu mezi 25,40 a 25,90 koruny za euro</w:t>
            </w:r>
            <w:r>
              <w:rPr>
                <w:rStyle w:val="Znakapoznpodarou"/>
                <w:spacing w:val="-2"/>
              </w:rPr>
              <w:footnoteReference w:id="1"/>
            </w:r>
            <w:r>
              <w:rPr>
                <w:spacing w:val="-2"/>
              </w:rPr>
              <w:t>. Průměrná hodnota kurzu dosahovala 25,68 koruny v 1.</w:t>
            </w:r>
            <w:r w:rsidR="006B27C7">
              <w:rPr>
                <w:spacing w:val="-2"/>
              </w:rPr>
              <w:t> </w:t>
            </w:r>
            <w:r>
              <w:rPr>
                <w:spacing w:val="-2"/>
              </w:rPr>
              <w:t>a 2. čtvrtletí, 25,74 koruny ve 3. čtvrtletí a 25,58 koruny ve 4. čtvrtletí. Meziroční ani mezičtvrtletní pohyb kurzu tak nebyl příliš výrazný. Kurz koruny vůči dolaru měl v 1. až 3. čtvrtletí tendenci oslabovat (výjimkou bylo krátké posílení v průběhu června, průměrný kurz činil 22,61, 22,86 a 23,15 koruny v 1., 2. a 3. čtvrtletí). Ve 4. kvartálu kurz mírně posiloval (průměr 23,11 koruny za dolar). Ve srovnání s rokem 2018 byl kurz vůči dolaru výrazně slabší (roční průměr v roce 2018 činil 21,74 CZK/USD, loni to bylo 22,93 CZK/USD).</w:t>
            </w:r>
          </w:p>
        </w:tc>
      </w:tr>
      <w:tr w:rsidR="00DB5E3A" w:rsidRPr="00E66062" w14:paraId="0FF5EFB9" w14:textId="77777777" w:rsidTr="00A1053B">
        <w:trPr>
          <w:trHeight w:val="145"/>
        </w:trPr>
        <w:tc>
          <w:tcPr>
            <w:tcW w:w="1802" w:type="dxa"/>
            <w:shd w:val="clear" w:color="auto" w:fill="auto"/>
            <w:tcMar>
              <w:left w:w="0" w:type="dxa"/>
            </w:tcMar>
          </w:tcPr>
          <w:p w14:paraId="120EE5B2" w14:textId="77777777" w:rsidR="00DB5E3A" w:rsidRDefault="00DB5E3A" w:rsidP="00A1053B">
            <w:pPr>
              <w:pStyle w:val="Marginlie"/>
            </w:pPr>
            <w:r>
              <w:t>Výnosy vládních dluhopisů od září rostly.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608E96E8" w14:textId="77777777" w:rsidR="00DB5E3A" w:rsidRDefault="00DB5E3A" w:rsidP="00A1053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94039CA" w14:textId="77777777" w:rsidR="00DB5E3A" w:rsidRPr="00E66062" w:rsidRDefault="00DB5E3A" w:rsidP="00A1053B">
            <w:pPr>
              <w:rPr>
                <w:spacing w:val="-1"/>
              </w:rPr>
            </w:pPr>
            <w:r>
              <w:rPr>
                <w:spacing w:val="-1"/>
              </w:rPr>
              <w:t xml:space="preserve">Mezibankovní úrokové sazby v podstatě kopírují vývoj těch </w:t>
            </w:r>
            <w:proofErr w:type="spellStart"/>
            <w:r>
              <w:rPr>
                <w:spacing w:val="-1"/>
              </w:rPr>
              <w:t>měnověpolitických</w:t>
            </w:r>
            <w:proofErr w:type="spellEnd"/>
            <w:r>
              <w:rPr>
                <w:spacing w:val="-1"/>
              </w:rPr>
              <w:t>, takže úroková sazba PRIBOR (všechny druhy) se po květnovém navýšení dále příliš neměnila. Ke konci roku dosahovala tříměsíční sazba PRIBOR 2,18 %. Zajímavěji se loni vyvíjely výnosy vládních dluhopisů. Průměrné sazby u všech splatností dluhopisů (krátkodobá, střednědobá a dlouhodobá) od ledna do května mírně fluktuovaly (okolo 1,65 % u krátkodobých, 1,60 % u střednědobých a 1,80 % u dlouhodobých), ale výrazněji se neměnily. V průběhu června až srpna ale výnosy výrazně poklesly (v srpnu se průměry dostaly u všech typů dluhopisů pod 1 %). Až do konce roku pak výnosy na vládních dluhopisech rostly a k 31. 12. dosahovaly 1,36 % u krátkodobých, 1,31 % u střednědobých a 1,51 % u dlouhodobých dluhopisů.</w:t>
            </w:r>
          </w:p>
        </w:tc>
      </w:tr>
      <w:tr w:rsidR="00DB5E3A" w:rsidRPr="00E66062" w14:paraId="0C9E40A8" w14:textId="77777777" w:rsidTr="00A1053B">
        <w:trPr>
          <w:trHeight w:val="145"/>
        </w:trPr>
        <w:tc>
          <w:tcPr>
            <w:tcW w:w="1802" w:type="dxa"/>
            <w:shd w:val="clear" w:color="auto" w:fill="auto"/>
            <w:tcMar>
              <w:left w:w="0" w:type="dxa"/>
            </w:tcMar>
          </w:tcPr>
          <w:p w14:paraId="68FA50EA" w14:textId="77777777" w:rsidR="00DB5E3A" w:rsidRDefault="00DB5E3A" w:rsidP="00A1053B">
            <w:pPr>
              <w:pStyle w:val="Marginlie"/>
            </w:pPr>
            <w:r>
              <w:t>Úročení vkladů s dohodnutou splatností se loni zvyšovalo, což k nim přilákalo poměrně velký objem finančních prostředků.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65FF1080" w14:textId="77777777" w:rsidR="00DB5E3A" w:rsidRDefault="00DB5E3A" w:rsidP="00A1053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528E322" w14:textId="77777777" w:rsidR="00DB5E3A" w:rsidRPr="00E66062" w:rsidRDefault="00DB5E3A" w:rsidP="00A1053B">
            <w:pPr>
              <w:rPr>
                <w:spacing w:val="-3"/>
              </w:rPr>
            </w:pPr>
            <w:r>
              <w:rPr>
                <w:spacing w:val="-3"/>
              </w:rPr>
              <w:t>Ačkoli úročení běžných účtů pro domácnosti zůstávalo na stejné (téměř nulové) hladině po celý rok, u vkladů s dohodnutou splatností se průměrné sazby v průběhu roku měnily. Výraznější posun vzhůru bylo možné zachytit již ve 2. pololetí roku 2018 a loňské 1. až 3. čtvrtletí na tento vývoj navázalo. Od ledna do září 2019 se průměrná úroková sazba na vkladech s dohodnutou splatností zvýšila o 0,25 p. b. na 1,6 %. Ve 4. čtvrtletí ale úrokové sazby poklesly (k 31. 12. činil průměr 1,52 %). Nefinanční podniky měly loni na běžných účtech mírně lepší podmínky než domácnosti – během 1. pololetí 2019 průměrná úroková sazba stoupla na 0,22 % a pak se na této úrovni držela až do konce roku (0,21 % k 31. 12.). Průměrné úročení vkladů s dohodnutou splatností pro nefinanční podniky se vyvíjelo stejně jako u domácností – rostlo během 1. až 3. čtvrtletí a mírně kleslo ve 4. kvartálu (k 31. 12. činilo 1,52 %). Popsaný vývoj úrokových sazeb měl vliv také na strukturu peněžní zásoby. Její meziroční růst v letech 2018 a 2019 výrazně zmírnil, a to hlavně pod vlivem oběživa a jednodenních vkladů. Prudce ale rostl objem prostředků ve formě vkladů s dohodnutou splatností (během roku 2019 se zvýšil o 128,7 mld. korun, 59,2 %).</w:t>
            </w:r>
          </w:p>
        </w:tc>
      </w:tr>
      <w:tr w:rsidR="00DB5E3A" w14:paraId="7EB3C412" w14:textId="77777777" w:rsidTr="00A1053B">
        <w:trPr>
          <w:trHeight w:val="145"/>
        </w:trPr>
        <w:tc>
          <w:tcPr>
            <w:tcW w:w="1802" w:type="dxa"/>
            <w:shd w:val="clear" w:color="auto" w:fill="auto"/>
            <w:tcMar>
              <w:left w:w="0" w:type="dxa"/>
            </w:tcMar>
          </w:tcPr>
          <w:p w14:paraId="2E233470" w14:textId="77777777" w:rsidR="00DB5E3A" w:rsidRDefault="00DB5E3A" w:rsidP="00A1053B">
            <w:pPr>
              <w:pStyle w:val="Marginlie"/>
            </w:pPr>
            <w:r>
              <w:t>Loni zpomaloval meziroční růst objemu úvěrů poskytnutých domácnostem na bydlení.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179F8A80" w14:textId="77777777" w:rsidR="00DB5E3A" w:rsidRDefault="00DB5E3A" w:rsidP="00A1053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E9113DC" w14:textId="77777777" w:rsidR="00DB5E3A" w:rsidRDefault="00DB5E3A" w:rsidP="00A1053B">
            <w:r>
              <w:t xml:space="preserve">Úroveň úrokových sazeb úvěrů pro domácnosti během loňského roku klesala. Snížil se průměrný úrok úvěrů na spotřebu (k 31. 12. činil 8,28 %, meziročně poklesl o 0,35 p. b.). Ještě výrazněji klesalo průměrné úročení úvěrů na nákup bytové nemovitosti. V 1. čtvrtletí sice sazba drobně vzrostla (na 2,97 % k 31. 3.), během následujících čtvrtletí ale došlo k propadu až na 2,49 % ke konci roku 2019. Popsaný pokles probíhal u všech druhů fixace sazby. Meziroční růst objemu spotřebitelských úvěrů v závěru loňského roku zrychlil na 8,9 % a k 31. 12. činil objem poskytnutých úvěrů 234,4 mld. korun (meziroční navýšení o 19,1 mld.). Od začátku roku postupně zpomaloval meziroční růst objemu úvěrů na bydlení. Ve 4. čtvrtletí se jejich objem zvýšil o 6,7 % (poprvé od 2. čtvrtletí 2015 tempo kleslo pod 7 %). Počty nových hypotečních smluv loni dosáhl 154,2 tisíce a meziročně se tak propadl o 29,3 tisíce. Celkové </w:t>
            </w:r>
            <w:r>
              <w:lastRenderedPageBreak/>
              <w:t>zadlužení domácností ke konci roku 2019 činilo 1 816,4 mld. korun a meziročně se zvýšilo o 103,3 mld. korun (6,0 %). Většinu z tohoto nárůstu tvořilo zadlužení kvůli bydlení (82,1 mld.).</w:t>
            </w:r>
          </w:p>
        </w:tc>
      </w:tr>
      <w:tr w:rsidR="00DB5E3A" w14:paraId="796A0D81" w14:textId="77777777" w:rsidTr="00A1053B">
        <w:trPr>
          <w:trHeight w:val="145"/>
        </w:trPr>
        <w:tc>
          <w:tcPr>
            <w:tcW w:w="1802" w:type="dxa"/>
            <w:shd w:val="clear" w:color="auto" w:fill="auto"/>
            <w:tcMar>
              <w:left w:w="0" w:type="dxa"/>
            </w:tcMar>
          </w:tcPr>
          <w:p w14:paraId="5175EEFC" w14:textId="77777777" w:rsidR="00DB5E3A" w:rsidRDefault="00DB5E3A" w:rsidP="00A1053B">
            <w:pPr>
              <w:pStyle w:val="Marginlie"/>
            </w:pPr>
            <w:r>
              <w:lastRenderedPageBreak/>
              <w:t>Velkou část úvěrů poskytnutých nefinančním podnikům tvořily půjčky v zahraničních měnách.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345E0A8C" w14:textId="77777777" w:rsidR="00DB5E3A" w:rsidRDefault="00DB5E3A" w:rsidP="00A1053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16C75DE6" w14:textId="77777777" w:rsidR="00DB5E3A" w:rsidRDefault="00DB5E3A" w:rsidP="00A1053B">
            <w:r>
              <w:t>Podmínky úvěrů pro nefinanční podniky se v roce 2019 měnily v závislosti na objemu poskytnutých prostředků. U kategorie úvěrů do 7,5 milionu korun průměrný úrok rostl v 1. čtvrtletí na 4,33 % a ve 3. čtvrtletí na 4,42 %, ale v závěru roku došlo k poklesu na 4,11 %. U střední kategorie úvěrů (7,5–30 mil. korun) sazby po celý rok kolísaly (3,32 %, 3,45 % a 3,39 % ke konci 1., 2. a 3. čtvrtletí) a v závěru roku se zvýšily na 3,53 %. Úročení úvěrů nad 30 milionů se loni pohybovalo nejméně – pouze v řádu setin p. b. – a k 31. 12. činilo 3,76 %. Po poměrně silném meziročním přírůstku v 1. čtvrtletí (6,2 %) se tempo růstu objemu úvěrů a pohledávek nefinančních podniků zmírnilo. Stav k 31. 12. byl meziročně o 3,7 % vyšší. Navyšoval se objem střednědobých (5,8 %) a dlouhodobých úvěrů (5,0 %). Standardem se stalo úvěrové financování v cizích měnách. To k 31. 12. tvořilo 33,3 % všech úvěrů a pohledávek a meziroční přírůstek celkového objemu úvěrů (39,7 mld. korun) byl z naprosté většiny tvořen právě těmi denominovanými v cizí měně (37,2 mld.). V loňském roce se v některých odvětvích výrazně propadlo meziroční tempo růstu objemu úvěrů. Důvodem ale byla mimo jiné vysoká srovnávací základna roku 2018</w:t>
            </w:r>
            <w:r>
              <w:rPr>
                <w:rStyle w:val="Znakapoznpodarou"/>
              </w:rPr>
              <w:footnoteReference w:id="2"/>
            </w:r>
            <w:r>
              <w:t>. Objem poskytnutých úvěrů se k 31. 12. meziročně snížil v dopravě a skladování (–9,5 %, nárůst v roce 2018 dosáhl 14,0 %), ubytování, stravování a pohostinství (–5,5 %, 15,4 % v roce 2018) nebo informačních a komunikačních činnostech (–5,1 %, 15,4 % v roce 2018). Jen mírný byl přírůstek úvěrů ve zpracovatelském průmyslu (1,6 %). Navzdory zpomalení ve srovnání s předchozím rokem se příznivý vývoj situace v odvětví odrážel na přírůstku úvěrů poskytnutých ve stavebnictví (8,8 %). Poměrně solidně rostl objem půjček také u činností v oblasti nemovitostí (7,5 %).</w:t>
            </w:r>
          </w:p>
        </w:tc>
      </w:tr>
      <w:tr w:rsidR="00DB5E3A" w14:paraId="50317E57" w14:textId="77777777" w:rsidTr="00A1053B">
        <w:trPr>
          <w:trHeight w:val="304"/>
        </w:trPr>
        <w:tc>
          <w:tcPr>
            <w:tcW w:w="1802" w:type="dxa"/>
            <w:vMerge w:val="restart"/>
            <w:shd w:val="clear" w:color="auto" w:fill="auto"/>
            <w:tcMar>
              <w:left w:w="0" w:type="dxa"/>
            </w:tcMar>
          </w:tcPr>
          <w:p w14:paraId="7494FC9B" w14:textId="77777777" w:rsidR="00DB5E3A" w:rsidRDefault="00DB5E3A" w:rsidP="00A1053B">
            <w:pPr>
              <w:pStyle w:val="Marginlie"/>
            </w:pPr>
          </w:p>
        </w:tc>
        <w:tc>
          <w:tcPr>
            <w:tcW w:w="229" w:type="dxa"/>
            <w:vMerge w:val="restart"/>
            <w:shd w:val="clear" w:color="auto" w:fill="auto"/>
            <w:tcMar>
              <w:left w:w="0" w:type="dxa"/>
            </w:tcMar>
          </w:tcPr>
          <w:p w14:paraId="12ABB222" w14:textId="77777777" w:rsidR="00DB5E3A" w:rsidRDefault="00DB5E3A" w:rsidP="00A1053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FDD8483" w14:textId="04F4EA73" w:rsidR="00DB5E3A" w:rsidRDefault="000767F5" w:rsidP="00A1053B">
            <w:pPr>
              <w:spacing w:after="0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Graf č. 15</w:t>
            </w:r>
            <w:r w:rsidR="00DB5E3A" w:rsidRPr="00631BC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DB5E3A">
              <w:rPr>
                <w:b/>
                <w:spacing w:val="-4"/>
                <w:sz w:val="18"/>
                <w:szCs w:val="18"/>
              </w:rPr>
              <w:t xml:space="preserve">Tržní úrokové sazby </w:t>
            </w:r>
            <w:r w:rsidR="00DB5E3A" w:rsidRPr="00AB2A66">
              <w:rPr>
                <w:bCs/>
                <w:spacing w:val="-4"/>
                <w:sz w:val="18"/>
                <w:szCs w:val="18"/>
              </w:rPr>
              <w:t>(v %)</w:t>
            </w:r>
          </w:p>
        </w:tc>
      </w:tr>
      <w:tr w:rsidR="00DB5E3A" w:rsidRPr="009110F7" w14:paraId="184CF3EF" w14:textId="77777777" w:rsidTr="00A1053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2" w:type="dxa"/>
            <w:vMerge/>
            <w:shd w:val="clear" w:color="auto" w:fill="auto"/>
          </w:tcPr>
          <w:p w14:paraId="15C8A6E6" w14:textId="77777777" w:rsidR="00DB5E3A" w:rsidRPr="009110F7" w:rsidRDefault="00DB5E3A" w:rsidP="00A1053B">
            <w:pPr>
              <w:pStyle w:val="Marginlie"/>
            </w:pPr>
          </w:p>
        </w:tc>
        <w:tc>
          <w:tcPr>
            <w:tcW w:w="229" w:type="dxa"/>
            <w:vMerge/>
            <w:shd w:val="clear" w:color="auto" w:fill="auto"/>
          </w:tcPr>
          <w:p w14:paraId="4DB7907C" w14:textId="77777777" w:rsidR="00DB5E3A" w:rsidRPr="009110F7" w:rsidRDefault="00DB5E3A" w:rsidP="00A1053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162EB11A" w14:textId="77777777" w:rsidR="00DB5E3A" w:rsidRPr="009110F7" w:rsidRDefault="00DB5E3A" w:rsidP="00A1053B">
            <w:pPr>
              <w:spacing w:after="0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6A80FFFE" wp14:editId="71E9992C">
                  <wp:extent cx="4737600" cy="3553200"/>
                  <wp:effectExtent l="0" t="0" r="6350" b="0"/>
                  <wp:docPr id="36" name="Graf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DB5E3A" w:rsidRPr="009110F7" w14:paraId="129B4A60" w14:textId="77777777" w:rsidTr="00A1053B">
        <w:trPr>
          <w:trHeight w:val="170"/>
        </w:trPr>
        <w:tc>
          <w:tcPr>
            <w:tcW w:w="1802" w:type="dxa"/>
            <w:vMerge/>
            <w:shd w:val="clear" w:color="auto" w:fill="auto"/>
            <w:tcMar>
              <w:left w:w="0" w:type="dxa"/>
            </w:tcMar>
          </w:tcPr>
          <w:p w14:paraId="5B36E839" w14:textId="77777777" w:rsidR="00DB5E3A" w:rsidRPr="009110F7" w:rsidRDefault="00DB5E3A" w:rsidP="00A1053B">
            <w:pPr>
              <w:pStyle w:val="Marginlie"/>
            </w:pPr>
          </w:p>
        </w:tc>
        <w:tc>
          <w:tcPr>
            <w:tcW w:w="229" w:type="dxa"/>
            <w:vMerge/>
            <w:shd w:val="clear" w:color="auto" w:fill="auto"/>
            <w:tcMar>
              <w:left w:w="0" w:type="dxa"/>
            </w:tcMar>
          </w:tcPr>
          <w:p w14:paraId="6477A8B9" w14:textId="77777777" w:rsidR="00DB5E3A" w:rsidRPr="009110F7" w:rsidRDefault="00DB5E3A" w:rsidP="00A1053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D90AF20" w14:textId="77777777" w:rsidR="00DB5E3A" w:rsidRPr="009110F7" w:rsidRDefault="00DB5E3A" w:rsidP="00A1053B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ČNB</w:t>
            </w:r>
          </w:p>
        </w:tc>
      </w:tr>
    </w:tbl>
    <w:p w14:paraId="400EECF4" w14:textId="1D3BCF3A" w:rsidR="00965797" w:rsidRPr="00485E82" w:rsidRDefault="00965797" w:rsidP="00517398">
      <w:pPr>
        <w:pStyle w:val="Nadpis11"/>
        <w:rPr>
          <w:b w:val="0"/>
          <w:sz w:val="2"/>
          <w:szCs w:val="2"/>
          <w:highlight w:val="yellow"/>
        </w:rPr>
      </w:pPr>
    </w:p>
    <w:sectPr w:rsidR="00965797" w:rsidRPr="00485E82" w:rsidSect="0051739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737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2585" w14:textId="77777777" w:rsidR="00C831E7" w:rsidRDefault="00C831E7" w:rsidP="00E71A58">
      <w:r>
        <w:separator/>
      </w:r>
    </w:p>
  </w:endnote>
  <w:endnote w:type="continuationSeparator" w:id="0">
    <w:p w14:paraId="62146C34" w14:textId="77777777" w:rsidR="00C831E7" w:rsidRDefault="00C831E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51A0D" w14:textId="68C31C39" w:rsidR="003474B6" w:rsidRPr="00932443" w:rsidRDefault="003474B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71F0B6E3" wp14:editId="3AA519D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4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>
      <w:rPr>
        <w:szCs w:val="16"/>
      </w:rPr>
      <w:t>22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7E4B" w14:textId="540E6951" w:rsidR="003474B6" w:rsidRPr="00932443" w:rsidRDefault="003474B6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 xml:space="preserve">Rok 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6ADC9B20" wp14:editId="2C3814E9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45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>
      <w:t>019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>
      <w:rPr>
        <w:rStyle w:val="ZpatChar"/>
        <w:szCs w:val="16"/>
      </w:rPr>
      <w:t>23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9B6B6" w14:textId="77777777" w:rsidR="00C831E7" w:rsidRDefault="00C831E7" w:rsidP="00A21B4D">
      <w:pPr>
        <w:spacing w:after="0"/>
      </w:pPr>
      <w:r>
        <w:separator/>
      </w:r>
    </w:p>
  </w:footnote>
  <w:footnote w:type="continuationSeparator" w:id="0">
    <w:p w14:paraId="0072FE5B" w14:textId="77777777" w:rsidR="00C831E7" w:rsidRDefault="00C831E7" w:rsidP="00E71A58">
      <w:r>
        <w:continuationSeparator/>
      </w:r>
    </w:p>
  </w:footnote>
  <w:footnote w:id="1">
    <w:p w14:paraId="29A62E63" w14:textId="77777777" w:rsidR="003474B6" w:rsidRPr="004470E6" w:rsidRDefault="003474B6" w:rsidP="00DB5E3A">
      <w:pPr>
        <w:pStyle w:val="Textpoznpodarou"/>
        <w:rPr>
          <w:sz w:val="16"/>
          <w:szCs w:val="16"/>
        </w:rPr>
      </w:pPr>
      <w:r w:rsidRPr="004470E6">
        <w:rPr>
          <w:rStyle w:val="Znakapoznpodarou"/>
          <w:sz w:val="16"/>
          <w:szCs w:val="16"/>
        </w:rPr>
        <w:footnoteRef/>
      </w:r>
      <w:r w:rsidRPr="004470E6">
        <w:rPr>
          <w:sz w:val="16"/>
          <w:szCs w:val="16"/>
        </w:rPr>
        <w:t xml:space="preserve"> Není-li uvedeno jinak, je zdrojem údajů v této kapitole databáze ARAD České národní banky.</w:t>
      </w:r>
    </w:p>
  </w:footnote>
  <w:footnote w:id="2">
    <w:p w14:paraId="674E5A1D" w14:textId="77777777" w:rsidR="003474B6" w:rsidRPr="00AB3D25" w:rsidRDefault="003474B6" w:rsidP="00DB5E3A">
      <w:pPr>
        <w:pStyle w:val="Textpoznpodarou"/>
        <w:rPr>
          <w:sz w:val="16"/>
          <w:szCs w:val="16"/>
        </w:rPr>
      </w:pPr>
      <w:r w:rsidRPr="00AB3D25">
        <w:rPr>
          <w:rStyle w:val="Znakapoznpodarou"/>
          <w:sz w:val="16"/>
          <w:szCs w:val="16"/>
        </w:rPr>
        <w:footnoteRef/>
      </w:r>
      <w:r w:rsidRPr="00AB3D25">
        <w:rPr>
          <w:sz w:val="16"/>
          <w:szCs w:val="16"/>
        </w:rPr>
        <w:t xml:space="preserve"> Primárním příkladem je stavebnictví, u</w:t>
      </w:r>
      <w:r>
        <w:rPr>
          <w:sz w:val="16"/>
          <w:szCs w:val="16"/>
        </w:rPr>
        <w:t> </w:t>
      </w:r>
      <w:r w:rsidRPr="00AB3D25">
        <w:rPr>
          <w:sz w:val="16"/>
          <w:szCs w:val="16"/>
        </w:rPr>
        <w:t xml:space="preserve">kterého se často projevuje cyklus financování z evropských fondů. Během roku 2018 </w:t>
      </w:r>
      <w:r>
        <w:rPr>
          <w:sz w:val="16"/>
          <w:szCs w:val="16"/>
        </w:rPr>
        <w:t xml:space="preserve">zde </w:t>
      </w:r>
      <w:r w:rsidRPr="00AB3D25">
        <w:rPr>
          <w:sz w:val="16"/>
          <w:szCs w:val="16"/>
        </w:rPr>
        <w:t>objem poskytnutých úvěrů</w:t>
      </w:r>
      <w:r>
        <w:rPr>
          <w:sz w:val="16"/>
          <w:szCs w:val="16"/>
        </w:rPr>
        <w:t xml:space="preserve"> narostl</w:t>
      </w:r>
      <w:r w:rsidRPr="00AB3D25">
        <w:rPr>
          <w:sz w:val="16"/>
          <w:szCs w:val="16"/>
        </w:rPr>
        <w:t xml:space="preserve"> o</w:t>
      </w:r>
      <w:r>
        <w:rPr>
          <w:sz w:val="16"/>
          <w:szCs w:val="16"/>
        </w:rPr>
        <w:t> </w:t>
      </w:r>
      <w:r w:rsidRPr="00AB3D25">
        <w:rPr>
          <w:sz w:val="16"/>
          <w:szCs w:val="16"/>
        </w:rPr>
        <w:t>12,7</w:t>
      </w:r>
      <w:r>
        <w:rPr>
          <w:sz w:val="16"/>
          <w:szCs w:val="16"/>
        </w:rPr>
        <w:t> %</w:t>
      </w:r>
      <w:r w:rsidRPr="00AB3D2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85C8" w14:textId="77777777" w:rsidR="003474B6" w:rsidRDefault="003474B6" w:rsidP="00937AE2">
    <w:pPr>
      <w:pStyle w:val="Zhlav"/>
    </w:pPr>
    <w:r>
      <w:t>Vývoj ekonomiky České republiky</w:t>
    </w:r>
  </w:p>
  <w:p w14:paraId="675E4C41" w14:textId="77777777" w:rsidR="003474B6" w:rsidRPr="006F5416" w:rsidRDefault="003474B6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812FB" w14:textId="77777777" w:rsidR="003474B6" w:rsidRDefault="003474B6" w:rsidP="00937AE2">
    <w:pPr>
      <w:pStyle w:val="Zhlav"/>
    </w:pPr>
    <w:r>
      <w:t>Vývoj ekonomiky České republiky</w:t>
    </w:r>
  </w:p>
  <w:p w14:paraId="0CDCFD48" w14:textId="77777777" w:rsidR="003474B6" w:rsidRPr="006F5416" w:rsidRDefault="003474B6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1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4"/>
  </w:num>
  <w:num w:numId="14">
    <w:abstractNumId w:val="12"/>
  </w:num>
  <w:num w:numId="15">
    <w:abstractNumId w:val="18"/>
  </w:num>
  <w:num w:numId="16">
    <w:abstractNumId w:val="14"/>
  </w:num>
  <w:num w:numId="17">
    <w:abstractNumId w:val="25"/>
  </w:num>
  <w:num w:numId="18">
    <w:abstractNumId w:val="19"/>
  </w:num>
  <w:num w:numId="19">
    <w:abstractNumId w:val="26"/>
  </w:num>
  <w:num w:numId="20">
    <w:abstractNumId w:val="27"/>
  </w:num>
  <w:num w:numId="21">
    <w:abstractNumId w:val="23"/>
  </w:num>
  <w:num w:numId="22">
    <w:abstractNumId w:val="17"/>
  </w:num>
  <w:num w:numId="23">
    <w:abstractNumId w:val="15"/>
  </w:num>
  <w:num w:numId="24">
    <w:abstractNumId w:val="16"/>
  </w:num>
  <w:num w:numId="25">
    <w:abstractNumId w:val="11"/>
  </w:num>
  <w:num w:numId="26">
    <w:abstractNumId w:val="21"/>
  </w:num>
  <w:num w:numId="27">
    <w:abstractNumId w:val="20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28"/>
    <w:rsid w:val="000005AF"/>
    <w:rsid w:val="00000B55"/>
    <w:rsid w:val="0000209D"/>
    <w:rsid w:val="00002566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387D"/>
    <w:rsid w:val="00016420"/>
    <w:rsid w:val="00017B01"/>
    <w:rsid w:val="000205D1"/>
    <w:rsid w:val="00020F22"/>
    <w:rsid w:val="0002195D"/>
    <w:rsid w:val="000228AE"/>
    <w:rsid w:val="000233D1"/>
    <w:rsid w:val="000234D6"/>
    <w:rsid w:val="00023D29"/>
    <w:rsid w:val="00024348"/>
    <w:rsid w:val="00026389"/>
    <w:rsid w:val="000279E5"/>
    <w:rsid w:val="00031AE0"/>
    <w:rsid w:val="00031BB2"/>
    <w:rsid w:val="000322EF"/>
    <w:rsid w:val="00033FCD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4183"/>
    <w:rsid w:val="0004431D"/>
    <w:rsid w:val="0004694F"/>
    <w:rsid w:val="00046F2F"/>
    <w:rsid w:val="00047AD4"/>
    <w:rsid w:val="00047D54"/>
    <w:rsid w:val="00051506"/>
    <w:rsid w:val="000522E4"/>
    <w:rsid w:val="00053713"/>
    <w:rsid w:val="0005434E"/>
    <w:rsid w:val="00055CB6"/>
    <w:rsid w:val="000572DD"/>
    <w:rsid w:val="00057B1E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A75"/>
    <w:rsid w:val="00066558"/>
    <w:rsid w:val="00070A87"/>
    <w:rsid w:val="000712B3"/>
    <w:rsid w:val="00072FF5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FC6"/>
    <w:rsid w:val="000913B1"/>
    <w:rsid w:val="00093241"/>
    <w:rsid w:val="00094A84"/>
    <w:rsid w:val="00095025"/>
    <w:rsid w:val="00095135"/>
    <w:rsid w:val="0009626E"/>
    <w:rsid w:val="00097191"/>
    <w:rsid w:val="000974D1"/>
    <w:rsid w:val="0009799E"/>
    <w:rsid w:val="000A07CB"/>
    <w:rsid w:val="000A0BC0"/>
    <w:rsid w:val="000A1183"/>
    <w:rsid w:val="000A212B"/>
    <w:rsid w:val="000A242D"/>
    <w:rsid w:val="000A256D"/>
    <w:rsid w:val="000A3A2C"/>
    <w:rsid w:val="000A3D9E"/>
    <w:rsid w:val="000A4A54"/>
    <w:rsid w:val="000A4ED9"/>
    <w:rsid w:val="000A5DB7"/>
    <w:rsid w:val="000A6D94"/>
    <w:rsid w:val="000A7377"/>
    <w:rsid w:val="000A7FF4"/>
    <w:rsid w:val="000B03CC"/>
    <w:rsid w:val="000B4212"/>
    <w:rsid w:val="000C0EA8"/>
    <w:rsid w:val="000C13A2"/>
    <w:rsid w:val="000C21E7"/>
    <w:rsid w:val="000C23EC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D0A26"/>
    <w:rsid w:val="000D3058"/>
    <w:rsid w:val="000D310A"/>
    <w:rsid w:val="000D3EF4"/>
    <w:rsid w:val="000D5637"/>
    <w:rsid w:val="000D6F4E"/>
    <w:rsid w:val="000E0E96"/>
    <w:rsid w:val="000E298B"/>
    <w:rsid w:val="000E2C7D"/>
    <w:rsid w:val="000E440D"/>
    <w:rsid w:val="000E4AC5"/>
    <w:rsid w:val="000E6253"/>
    <w:rsid w:val="000E6E4D"/>
    <w:rsid w:val="000E6FBD"/>
    <w:rsid w:val="000E6FCB"/>
    <w:rsid w:val="000F090B"/>
    <w:rsid w:val="000F3F3B"/>
    <w:rsid w:val="000F47E8"/>
    <w:rsid w:val="000F70E4"/>
    <w:rsid w:val="000F76EA"/>
    <w:rsid w:val="00100F5C"/>
    <w:rsid w:val="00101CDA"/>
    <w:rsid w:val="00102037"/>
    <w:rsid w:val="00103DCB"/>
    <w:rsid w:val="00104C4C"/>
    <w:rsid w:val="00105015"/>
    <w:rsid w:val="001055D2"/>
    <w:rsid w:val="001057C2"/>
    <w:rsid w:val="0011038E"/>
    <w:rsid w:val="001125EF"/>
    <w:rsid w:val="00112CAB"/>
    <w:rsid w:val="00116D3F"/>
    <w:rsid w:val="00117474"/>
    <w:rsid w:val="00117623"/>
    <w:rsid w:val="00117FEA"/>
    <w:rsid w:val="001200CF"/>
    <w:rsid w:val="001208E3"/>
    <w:rsid w:val="0012192F"/>
    <w:rsid w:val="0012299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405FA"/>
    <w:rsid w:val="00140D1A"/>
    <w:rsid w:val="00141184"/>
    <w:rsid w:val="00141315"/>
    <w:rsid w:val="00141AA0"/>
    <w:rsid w:val="001425C3"/>
    <w:rsid w:val="0014262D"/>
    <w:rsid w:val="00144588"/>
    <w:rsid w:val="001447DD"/>
    <w:rsid w:val="001459BC"/>
    <w:rsid w:val="00152F4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56B"/>
    <w:rsid w:val="00162F81"/>
    <w:rsid w:val="00163793"/>
    <w:rsid w:val="00165313"/>
    <w:rsid w:val="00167485"/>
    <w:rsid w:val="00167CB9"/>
    <w:rsid w:val="00167DD8"/>
    <w:rsid w:val="001705AD"/>
    <w:rsid w:val="001706D6"/>
    <w:rsid w:val="001714F2"/>
    <w:rsid w:val="00171FEA"/>
    <w:rsid w:val="00175B9F"/>
    <w:rsid w:val="001762F4"/>
    <w:rsid w:val="00181BBC"/>
    <w:rsid w:val="0018385F"/>
    <w:rsid w:val="00184017"/>
    <w:rsid w:val="001847BB"/>
    <w:rsid w:val="00184B08"/>
    <w:rsid w:val="00185010"/>
    <w:rsid w:val="00185C22"/>
    <w:rsid w:val="00186BA9"/>
    <w:rsid w:val="0019196C"/>
    <w:rsid w:val="00192F05"/>
    <w:rsid w:val="00194729"/>
    <w:rsid w:val="00194850"/>
    <w:rsid w:val="00195234"/>
    <w:rsid w:val="00196016"/>
    <w:rsid w:val="00196117"/>
    <w:rsid w:val="00197A70"/>
    <w:rsid w:val="00197C0F"/>
    <w:rsid w:val="001A0487"/>
    <w:rsid w:val="001A1F68"/>
    <w:rsid w:val="001A21FA"/>
    <w:rsid w:val="001A4EF0"/>
    <w:rsid w:val="001A552F"/>
    <w:rsid w:val="001B2CA9"/>
    <w:rsid w:val="001B3110"/>
    <w:rsid w:val="001B3E38"/>
    <w:rsid w:val="001B40F5"/>
    <w:rsid w:val="001B4729"/>
    <w:rsid w:val="001B4F0E"/>
    <w:rsid w:val="001B6310"/>
    <w:rsid w:val="001B6C09"/>
    <w:rsid w:val="001B6E12"/>
    <w:rsid w:val="001C05CD"/>
    <w:rsid w:val="001C0F17"/>
    <w:rsid w:val="001C1B24"/>
    <w:rsid w:val="001C1B66"/>
    <w:rsid w:val="001C31A2"/>
    <w:rsid w:val="001C4BB8"/>
    <w:rsid w:val="001C4FD0"/>
    <w:rsid w:val="001C5E46"/>
    <w:rsid w:val="001C6B3B"/>
    <w:rsid w:val="001C7E3F"/>
    <w:rsid w:val="001D0EF1"/>
    <w:rsid w:val="001D22C2"/>
    <w:rsid w:val="001D2C99"/>
    <w:rsid w:val="001D452E"/>
    <w:rsid w:val="001D54C1"/>
    <w:rsid w:val="001D556E"/>
    <w:rsid w:val="001D5DF2"/>
    <w:rsid w:val="001D68B2"/>
    <w:rsid w:val="001D7EFD"/>
    <w:rsid w:val="001D7F60"/>
    <w:rsid w:val="001E3306"/>
    <w:rsid w:val="001E504C"/>
    <w:rsid w:val="001E5A17"/>
    <w:rsid w:val="001E74C5"/>
    <w:rsid w:val="001F1236"/>
    <w:rsid w:val="001F2F90"/>
    <w:rsid w:val="001F4597"/>
    <w:rsid w:val="001F4826"/>
    <w:rsid w:val="001F7CE0"/>
    <w:rsid w:val="00200085"/>
    <w:rsid w:val="00203332"/>
    <w:rsid w:val="00203CD5"/>
    <w:rsid w:val="00203D8F"/>
    <w:rsid w:val="00203DA4"/>
    <w:rsid w:val="00205186"/>
    <w:rsid w:val="00206516"/>
    <w:rsid w:val="002071D5"/>
    <w:rsid w:val="002111E5"/>
    <w:rsid w:val="002118B9"/>
    <w:rsid w:val="002142C0"/>
    <w:rsid w:val="00217C5B"/>
    <w:rsid w:val="00220A43"/>
    <w:rsid w:val="0022139E"/>
    <w:rsid w:val="00222729"/>
    <w:rsid w:val="00223185"/>
    <w:rsid w:val="002233D6"/>
    <w:rsid w:val="0022441D"/>
    <w:rsid w:val="00224574"/>
    <w:rsid w:val="00224E3F"/>
    <w:rsid w:val="002252E0"/>
    <w:rsid w:val="002255F6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6A8"/>
    <w:rsid w:val="002320C9"/>
    <w:rsid w:val="0023288F"/>
    <w:rsid w:val="00233603"/>
    <w:rsid w:val="002340EF"/>
    <w:rsid w:val="00234B82"/>
    <w:rsid w:val="00236443"/>
    <w:rsid w:val="00236700"/>
    <w:rsid w:val="00240391"/>
    <w:rsid w:val="00240AF3"/>
    <w:rsid w:val="002418D5"/>
    <w:rsid w:val="00241B06"/>
    <w:rsid w:val="002436BA"/>
    <w:rsid w:val="00244652"/>
    <w:rsid w:val="00244A15"/>
    <w:rsid w:val="002452D9"/>
    <w:rsid w:val="00247319"/>
    <w:rsid w:val="0024799E"/>
    <w:rsid w:val="00247E60"/>
    <w:rsid w:val="00251C53"/>
    <w:rsid w:val="00252AB9"/>
    <w:rsid w:val="00253C0F"/>
    <w:rsid w:val="002558C1"/>
    <w:rsid w:val="00256207"/>
    <w:rsid w:val="002575F3"/>
    <w:rsid w:val="002603E1"/>
    <w:rsid w:val="0026120E"/>
    <w:rsid w:val="00262582"/>
    <w:rsid w:val="0026291D"/>
    <w:rsid w:val="00264309"/>
    <w:rsid w:val="0026564B"/>
    <w:rsid w:val="00265C83"/>
    <w:rsid w:val="00265E85"/>
    <w:rsid w:val="00267B49"/>
    <w:rsid w:val="002700D9"/>
    <w:rsid w:val="0027025F"/>
    <w:rsid w:val="002709CC"/>
    <w:rsid w:val="00270D25"/>
    <w:rsid w:val="00271022"/>
    <w:rsid w:val="00271465"/>
    <w:rsid w:val="00271E47"/>
    <w:rsid w:val="002721F5"/>
    <w:rsid w:val="00272DF4"/>
    <w:rsid w:val="0027583D"/>
    <w:rsid w:val="00275DEF"/>
    <w:rsid w:val="002763A2"/>
    <w:rsid w:val="00276B33"/>
    <w:rsid w:val="002812E3"/>
    <w:rsid w:val="0028341F"/>
    <w:rsid w:val="002837AE"/>
    <w:rsid w:val="00283C13"/>
    <w:rsid w:val="00283F7B"/>
    <w:rsid w:val="0028431A"/>
    <w:rsid w:val="002853FA"/>
    <w:rsid w:val="00285412"/>
    <w:rsid w:val="00286220"/>
    <w:rsid w:val="00291640"/>
    <w:rsid w:val="0029237E"/>
    <w:rsid w:val="00292997"/>
    <w:rsid w:val="00293D24"/>
    <w:rsid w:val="0029509B"/>
    <w:rsid w:val="0029588F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EA2"/>
    <w:rsid w:val="002A51AC"/>
    <w:rsid w:val="002A532A"/>
    <w:rsid w:val="002A5846"/>
    <w:rsid w:val="002A5D97"/>
    <w:rsid w:val="002A603E"/>
    <w:rsid w:val="002A63B9"/>
    <w:rsid w:val="002A7089"/>
    <w:rsid w:val="002B1619"/>
    <w:rsid w:val="002B3EF4"/>
    <w:rsid w:val="002B4845"/>
    <w:rsid w:val="002B5567"/>
    <w:rsid w:val="002B5812"/>
    <w:rsid w:val="002B72AA"/>
    <w:rsid w:val="002C1110"/>
    <w:rsid w:val="002C1F09"/>
    <w:rsid w:val="002C22A4"/>
    <w:rsid w:val="002C260B"/>
    <w:rsid w:val="002C27A6"/>
    <w:rsid w:val="002C398D"/>
    <w:rsid w:val="002C40D2"/>
    <w:rsid w:val="002C43BD"/>
    <w:rsid w:val="002C5245"/>
    <w:rsid w:val="002C59D8"/>
    <w:rsid w:val="002D05CB"/>
    <w:rsid w:val="002D0E59"/>
    <w:rsid w:val="002D2C4F"/>
    <w:rsid w:val="002D3EBB"/>
    <w:rsid w:val="002D455C"/>
    <w:rsid w:val="002D6066"/>
    <w:rsid w:val="002E02A1"/>
    <w:rsid w:val="002E196A"/>
    <w:rsid w:val="002E20C7"/>
    <w:rsid w:val="002E20CD"/>
    <w:rsid w:val="002E222E"/>
    <w:rsid w:val="002E28D8"/>
    <w:rsid w:val="002E37D1"/>
    <w:rsid w:val="002E3BEE"/>
    <w:rsid w:val="002E4E4C"/>
    <w:rsid w:val="002E4EA7"/>
    <w:rsid w:val="002E5846"/>
    <w:rsid w:val="002E792B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300C31"/>
    <w:rsid w:val="003017EC"/>
    <w:rsid w:val="00302165"/>
    <w:rsid w:val="00304771"/>
    <w:rsid w:val="003052D4"/>
    <w:rsid w:val="003060E9"/>
    <w:rsid w:val="00306C5B"/>
    <w:rsid w:val="00307529"/>
    <w:rsid w:val="00307DB3"/>
    <w:rsid w:val="00307ED2"/>
    <w:rsid w:val="0031076D"/>
    <w:rsid w:val="00311AA6"/>
    <w:rsid w:val="00311C4D"/>
    <w:rsid w:val="003121AB"/>
    <w:rsid w:val="00315169"/>
    <w:rsid w:val="003153C8"/>
    <w:rsid w:val="00315524"/>
    <w:rsid w:val="0032058C"/>
    <w:rsid w:val="003208D0"/>
    <w:rsid w:val="003209D6"/>
    <w:rsid w:val="003217B9"/>
    <w:rsid w:val="00321924"/>
    <w:rsid w:val="00321EB6"/>
    <w:rsid w:val="003220A5"/>
    <w:rsid w:val="00323A1C"/>
    <w:rsid w:val="00324B59"/>
    <w:rsid w:val="0032656E"/>
    <w:rsid w:val="0032788F"/>
    <w:rsid w:val="00332190"/>
    <w:rsid w:val="00332A98"/>
    <w:rsid w:val="00333973"/>
    <w:rsid w:val="00333CD0"/>
    <w:rsid w:val="0033448D"/>
    <w:rsid w:val="00334AD2"/>
    <w:rsid w:val="0033709C"/>
    <w:rsid w:val="003370C5"/>
    <w:rsid w:val="003373C6"/>
    <w:rsid w:val="00340BF3"/>
    <w:rsid w:val="00341D26"/>
    <w:rsid w:val="00341F05"/>
    <w:rsid w:val="0034335E"/>
    <w:rsid w:val="00344668"/>
    <w:rsid w:val="00346234"/>
    <w:rsid w:val="003462D9"/>
    <w:rsid w:val="0034723F"/>
    <w:rsid w:val="00347247"/>
    <w:rsid w:val="003474B6"/>
    <w:rsid w:val="00347DD4"/>
    <w:rsid w:val="00352B43"/>
    <w:rsid w:val="00352C28"/>
    <w:rsid w:val="0036077F"/>
    <w:rsid w:val="00360C86"/>
    <w:rsid w:val="00360F7A"/>
    <w:rsid w:val="00360FBC"/>
    <w:rsid w:val="00361537"/>
    <w:rsid w:val="0036242A"/>
    <w:rsid w:val="00362C23"/>
    <w:rsid w:val="00362E90"/>
    <w:rsid w:val="00364FA0"/>
    <w:rsid w:val="003657F3"/>
    <w:rsid w:val="00365844"/>
    <w:rsid w:val="00367F84"/>
    <w:rsid w:val="003712BC"/>
    <w:rsid w:val="00372164"/>
    <w:rsid w:val="003738BD"/>
    <w:rsid w:val="00374263"/>
    <w:rsid w:val="003746F0"/>
    <w:rsid w:val="00374A20"/>
    <w:rsid w:val="00374E21"/>
    <w:rsid w:val="00377B2E"/>
    <w:rsid w:val="003810F0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6739"/>
    <w:rsid w:val="003A04F6"/>
    <w:rsid w:val="003A0837"/>
    <w:rsid w:val="003A2B4D"/>
    <w:rsid w:val="003A2D12"/>
    <w:rsid w:val="003A2EBA"/>
    <w:rsid w:val="003A45E3"/>
    <w:rsid w:val="003A478C"/>
    <w:rsid w:val="003A4A38"/>
    <w:rsid w:val="003A5525"/>
    <w:rsid w:val="003A5889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461F"/>
    <w:rsid w:val="003B483F"/>
    <w:rsid w:val="003B4998"/>
    <w:rsid w:val="003B5A32"/>
    <w:rsid w:val="003B7B50"/>
    <w:rsid w:val="003C0B07"/>
    <w:rsid w:val="003C2CE7"/>
    <w:rsid w:val="003C3490"/>
    <w:rsid w:val="003C3608"/>
    <w:rsid w:val="003C3AE8"/>
    <w:rsid w:val="003C3D2C"/>
    <w:rsid w:val="003C4E13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1EF8"/>
    <w:rsid w:val="003E2DFB"/>
    <w:rsid w:val="003E4C91"/>
    <w:rsid w:val="003E52D8"/>
    <w:rsid w:val="003E62F1"/>
    <w:rsid w:val="003F313C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5318"/>
    <w:rsid w:val="004059D2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30C96"/>
    <w:rsid w:val="00431BFF"/>
    <w:rsid w:val="00432199"/>
    <w:rsid w:val="00432A58"/>
    <w:rsid w:val="004331C3"/>
    <w:rsid w:val="00433C17"/>
    <w:rsid w:val="00434617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279E"/>
    <w:rsid w:val="004441A0"/>
    <w:rsid w:val="00445861"/>
    <w:rsid w:val="00445A8E"/>
    <w:rsid w:val="00446D44"/>
    <w:rsid w:val="0045078A"/>
    <w:rsid w:val="0045086D"/>
    <w:rsid w:val="00450DAB"/>
    <w:rsid w:val="00451EF1"/>
    <w:rsid w:val="00452E60"/>
    <w:rsid w:val="0045321B"/>
    <w:rsid w:val="00456FE5"/>
    <w:rsid w:val="00457490"/>
    <w:rsid w:val="00457953"/>
    <w:rsid w:val="004604D8"/>
    <w:rsid w:val="00460656"/>
    <w:rsid w:val="00460FB3"/>
    <w:rsid w:val="00463D3C"/>
    <w:rsid w:val="00464851"/>
    <w:rsid w:val="0046746A"/>
    <w:rsid w:val="00467B14"/>
    <w:rsid w:val="004707FE"/>
    <w:rsid w:val="00470EDC"/>
    <w:rsid w:val="0047276D"/>
    <w:rsid w:val="00472AF6"/>
    <w:rsid w:val="00473482"/>
    <w:rsid w:val="00474A04"/>
    <w:rsid w:val="00476240"/>
    <w:rsid w:val="00476439"/>
    <w:rsid w:val="004769E1"/>
    <w:rsid w:val="0047735C"/>
    <w:rsid w:val="004776BC"/>
    <w:rsid w:val="00477820"/>
    <w:rsid w:val="00477B96"/>
    <w:rsid w:val="00480BAE"/>
    <w:rsid w:val="0048139F"/>
    <w:rsid w:val="00481E40"/>
    <w:rsid w:val="00482405"/>
    <w:rsid w:val="004826A7"/>
    <w:rsid w:val="0048368C"/>
    <w:rsid w:val="0048372F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79A5"/>
    <w:rsid w:val="004A0144"/>
    <w:rsid w:val="004A036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494"/>
    <w:rsid w:val="004A5D4E"/>
    <w:rsid w:val="004A61C5"/>
    <w:rsid w:val="004A62A0"/>
    <w:rsid w:val="004A77DF"/>
    <w:rsid w:val="004B1417"/>
    <w:rsid w:val="004B305C"/>
    <w:rsid w:val="004B339A"/>
    <w:rsid w:val="004B4C83"/>
    <w:rsid w:val="004B55B7"/>
    <w:rsid w:val="004B5BFA"/>
    <w:rsid w:val="004B6468"/>
    <w:rsid w:val="004B6EF8"/>
    <w:rsid w:val="004B7125"/>
    <w:rsid w:val="004B756A"/>
    <w:rsid w:val="004B7FB1"/>
    <w:rsid w:val="004C0B3F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57BF"/>
    <w:rsid w:val="004E5F41"/>
    <w:rsid w:val="004E6DE6"/>
    <w:rsid w:val="004E765E"/>
    <w:rsid w:val="004E7815"/>
    <w:rsid w:val="004F06F5"/>
    <w:rsid w:val="004F12A4"/>
    <w:rsid w:val="004F253F"/>
    <w:rsid w:val="004F33A0"/>
    <w:rsid w:val="004F3BD2"/>
    <w:rsid w:val="004F46ED"/>
    <w:rsid w:val="004F4C99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17398"/>
    <w:rsid w:val="0052007E"/>
    <w:rsid w:val="00521CAD"/>
    <w:rsid w:val="0052200D"/>
    <w:rsid w:val="00522E01"/>
    <w:rsid w:val="0052337A"/>
    <w:rsid w:val="00524385"/>
    <w:rsid w:val="005246BE"/>
    <w:rsid w:val="00525137"/>
    <w:rsid w:val="005251DD"/>
    <w:rsid w:val="0053012B"/>
    <w:rsid w:val="005301A6"/>
    <w:rsid w:val="00530A68"/>
    <w:rsid w:val="00530AD4"/>
    <w:rsid w:val="00531C5A"/>
    <w:rsid w:val="00532CE7"/>
    <w:rsid w:val="00532D8B"/>
    <w:rsid w:val="0053324C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5F6"/>
    <w:rsid w:val="0054582F"/>
    <w:rsid w:val="005500F9"/>
    <w:rsid w:val="00550160"/>
    <w:rsid w:val="005523A8"/>
    <w:rsid w:val="00552F2C"/>
    <w:rsid w:val="00553A25"/>
    <w:rsid w:val="005547EB"/>
    <w:rsid w:val="005555E0"/>
    <w:rsid w:val="0055599F"/>
    <w:rsid w:val="00556D68"/>
    <w:rsid w:val="005570D6"/>
    <w:rsid w:val="00557E45"/>
    <w:rsid w:val="00561F44"/>
    <w:rsid w:val="00562B4D"/>
    <w:rsid w:val="00563EB8"/>
    <w:rsid w:val="005647BF"/>
    <w:rsid w:val="00564AF1"/>
    <w:rsid w:val="005655DB"/>
    <w:rsid w:val="00565E88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3E52"/>
    <w:rsid w:val="00583FFD"/>
    <w:rsid w:val="0058519A"/>
    <w:rsid w:val="005856BD"/>
    <w:rsid w:val="00586BCA"/>
    <w:rsid w:val="00587038"/>
    <w:rsid w:val="00590B28"/>
    <w:rsid w:val="005911BE"/>
    <w:rsid w:val="00591273"/>
    <w:rsid w:val="00591E9E"/>
    <w:rsid w:val="005927A4"/>
    <w:rsid w:val="00593152"/>
    <w:rsid w:val="005956A3"/>
    <w:rsid w:val="00595958"/>
    <w:rsid w:val="00595CAB"/>
    <w:rsid w:val="0059622E"/>
    <w:rsid w:val="00597671"/>
    <w:rsid w:val="00597BBF"/>
    <w:rsid w:val="005A0948"/>
    <w:rsid w:val="005A0A03"/>
    <w:rsid w:val="005A10F2"/>
    <w:rsid w:val="005A21E0"/>
    <w:rsid w:val="005A28FF"/>
    <w:rsid w:val="005A2C09"/>
    <w:rsid w:val="005A3778"/>
    <w:rsid w:val="005A3DF8"/>
    <w:rsid w:val="005A5549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11B8"/>
    <w:rsid w:val="005C216C"/>
    <w:rsid w:val="005C2609"/>
    <w:rsid w:val="005C2B30"/>
    <w:rsid w:val="005C412B"/>
    <w:rsid w:val="005C43EC"/>
    <w:rsid w:val="005C45DD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D7F"/>
    <w:rsid w:val="005F7174"/>
    <w:rsid w:val="00601ADE"/>
    <w:rsid w:val="00601EEF"/>
    <w:rsid w:val="0060255A"/>
    <w:rsid w:val="00604307"/>
    <w:rsid w:val="0060487F"/>
    <w:rsid w:val="00604EAD"/>
    <w:rsid w:val="0060513F"/>
    <w:rsid w:val="0060694B"/>
    <w:rsid w:val="006104FB"/>
    <w:rsid w:val="0061176D"/>
    <w:rsid w:val="0061200F"/>
    <w:rsid w:val="00612756"/>
    <w:rsid w:val="00612A2F"/>
    <w:rsid w:val="00612AAE"/>
    <w:rsid w:val="00612FD9"/>
    <w:rsid w:val="006139E0"/>
    <w:rsid w:val="00614D35"/>
    <w:rsid w:val="006156B4"/>
    <w:rsid w:val="00615DAF"/>
    <w:rsid w:val="00616E05"/>
    <w:rsid w:val="00617985"/>
    <w:rsid w:val="00620B77"/>
    <w:rsid w:val="0062131B"/>
    <w:rsid w:val="00621E26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1787"/>
    <w:rsid w:val="0064179B"/>
    <w:rsid w:val="00642489"/>
    <w:rsid w:val="00644055"/>
    <w:rsid w:val="00644137"/>
    <w:rsid w:val="0064478C"/>
    <w:rsid w:val="00645160"/>
    <w:rsid w:val="006451E4"/>
    <w:rsid w:val="00645B33"/>
    <w:rsid w:val="006516CB"/>
    <w:rsid w:val="00653BD0"/>
    <w:rsid w:val="00654110"/>
    <w:rsid w:val="00656C5D"/>
    <w:rsid w:val="00656CFB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3CC"/>
    <w:rsid w:val="00665982"/>
    <w:rsid w:val="00665BA4"/>
    <w:rsid w:val="00666BF3"/>
    <w:rsid w:val="00667856"/>
    <w:rsid w:val="00667AF2"/>
    <w:rsid w:val="00670489"/>
    <w:rsid w:val="006710C9"/>
    <w:rsid w:val="00672586"/>
    <w:rsid w:val="006741CD"/>
    <w:rsid w:val="00674D89"/>
    <w:rsid w:val="0067514E"/>
    <w:rsid w:val="00675E37"/>
    <w:rsid w:val="00676736"/>
    <w:rsid w:val="006769A4"/>
    <w:rsid w:val="00676D76"/>
    <w:rsid w:val="00676F9F"/>
    <w:rsid w:val="00677591"/>
    <w:rsid w:val="00677594"/>
    <w:rsid w:val="0068032F"/>
    <w:rsid w:val="00680D37"/>
    <w:rsid w:val="0068174E"/>
    <w:rsid w:val="00681DCE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D27"/>
    <w:rsid w:val="00691943"/>
    <w:rsid w:val="00693550"/>
    <w:rsid w:val="00695065"/>
    <w:rsid w:val="00695BEF"/>
    <w:rsid w:val="00696251"/>
    <w:rsid w:val="006966C7"/>
    <w:rsid w:val="006968C1"/>
    <w:rsid w:val="006977F6"/>
    <w:rsid w:val="00697A13"/>
    <w:rsid w:val="006A109C"/>
    <w:rsid w:val="006A5F4B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28CA"/>
    <w:rsid w:val="006C2BBF"/>
    <w:rsid w:val="006C2FBD"/>
    <w:rsid w:val="006C4355"/>
    <w:rsid w:val="006C469D"/>
    <w:rsid w:val="006C46B5"/>
    <w:rsid w:val="006C484F"/>
    <w:rsid w:val="006C52EC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317E"/>
    <w:rsid w:val="006D3E8A"/>
    <w:rsid w:val="006D61F6"/>
    <w:rsid w:val="006E1332"/>
    <w:rsid w:val="006E279A"/>
    <w:rsid w:val="006E313B"/>
    <w:rsid w:val="006E3A45"/>
    <w:rsid w:val="006E4078"/>
    <w:rsid w:val="006E53AD"/>
    <w:rsid w:val="006E58CB"/>
    <w:rsid w:val="006E7227"/>
    <w:rsid w:val="006E761A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5416"/>
    <w:rsid w:val="006F624B"/>
    <w:rsid w:val="006F6D87"/>
    <w:rsid w:val="0070398A"/>
    <w:rsid w:val="00705242"/>
    <w:rsid w:val="007055E0"/>
    <w:rsid w:val="007056ED"/>
    <w:rsid w:val="00705F4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E4D"/>
    <w:rsid w:val="0071677A"/>
    <w:rsid w:val="00716F48"/>
    <w:rsid w:val="00717114"/>
    <w:rsid w:val="0071779F"/>
    <w:rsid w:val="007211F5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E8"/>
    <w:rsid w:val="00730F1B"/>
    <w:rsid w:val="0073186D"/>
    <w:rsid w:val="0073333D"/>
    <w:rsid w:val="007343D9"/>
    <w:rsid w:val="00734F71"/>
    <w:rsid w:val="00735448"/>
    <w:rsid w:val="007377BD"/>
    <w:rsid w:val="00737DEC"/>
    <w:rsid w:val="0074004D"/>
    <w:rsid w:val="00741493"/>
    <w:rsid w:val="007434E5"/>
    <w:rsid w:val="0074499B"/>
    <w:rsid w:val="007450BF"/>
    <w:rsid w:val="007471A1"/>
    <w:rsid w:val="007477BD"/>
    <w:rsid w:val="00747EE9"/>
    <w:rsid w:val="00752180"/>
    <w:rsid w:val="00752323"/>
    <w:rsid w:val="007532B7"/>
    <w:rsid w:val="00753CAB"/>
    <w:rsid w:val="00754A70"/>
    <w:rsid w:val="00754BC9"/>
    <w:rsid w:val="00755202"/>
    <w:rsid w:val="00755D3A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777"/>
    <w:rsid w:val="0077130E"/>
    <w:rsid w:val="007715EE"/>
    <w:rsid w:val="00771972"/>
    <w:rsid w:val="00772279"/>
    <w:rsid w:val="00772DAB"/>
    <w:rsid w:val="00772FF9"/>
    <w:rsid w:val="00774D2C"/>
    <w:rsid w:val="0077605B"/>
    <w:rsid w:val="00776169"/>
    <w:rsid w:val="00776527"/>
    <w:rsid w:val="00777040"/>
    <w:rsid w:val="00777CE6"/>
    <w:rsid w:val="00780EF1"/>
    <w:rsid w:val="00781A91"/>
    <w:rsid w:val="00781F3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782"/>
    <w:rsid w:val="007A516D"/>
    <w:rsid w:val="007A5E65"/>
    <w:rsid w:val="007A65E1"/>
    <w:rsid w:val="007A6AAA"/>
    <w:rsid w:val="007A7033"/>
    <w:rsid w:val="007A775D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C10BD"/>
    <w:rsid w:val="007C1F0C"/>
    <w:rsid w:val="007C1FFB"/>
    <w:rsid w:val="007C2D94"/>
    <w:rsid w:val="007C5F92"/>
    <w:rsid w:val="007C6227"/>
    <w:rsid w:val="007C6BBD"/>
    <w:rsid w:val="007C6D89"/>
    <w:rsid w:val="007C6F5E"/>
    <w:rsid w:val="007D0382"/>
    <w:rsid w:val="007D1A1F"/>
    <w:rsid w:val="007D2E18"/>
    <w:rsid w:val="007D40DF"/>
    <w:rsid w:val="007D42E5"/>
    <w:rsid w:val="007D4458"/>
    <w:rsid w:val="007D6AF9"/>
    <w:rsid w:val="007E0535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78B6"/>
    <w:rsid w:val="007E7E61"/>
    <w:rsid w:val="007F0845"/>
    <w:rsid w:val="007F20F3"/>
    <w:rsid w:val="007F2353"/>
    <w:rsid w:val="007F2390"/>
    <w:rsid w:val="007F2CAC"/>
    <w:rsid w:val="007F4740"/>
    <w:rsid w:val="007F595A"/>
    <w:rsid w:val="007F708D"/>
    <w:rsid w:val="008006B3"/>
    <w:rsid w:val="0080158A"/>
    <w:rsid w:val="00801E13"/>
    <w:rsid w:val="00803008"/>
    <w:rsid w:val="00803069"/>
    <w:rsid w:val="0080346B"/>
    <w:rsid w:val="00804155"/>
    <w:rsid w:val="0080559E"/>
    <w:rsid w:val="00805AF3"/>
    <w:rsid w:val="0080734C"/>
    <w:rsid w:val="00807C82"/>
    <w:rsid w:val="008117CC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FF6"/>
    <w:rsid w:val="00822574"/>
    <w:rsid w:val="00822980"/>
    <w:rsid w:val="00822F08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2F77"/>
    <w:rsid w:val="00834304"/>
    <w:rsid w:val="00834FAA"/>
    <w:rsid w:val="008354FB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6C6"/>
    <w:rsid w:val="0084708F"/>
    <w:rsid w:val="008477C8"/>
    <w:rsid w:val="008478A6"/>
    <w:rsid w:val="008502F6"/>
    <w:rsid w:val="0085114D"/>
    <w:rsid w:val="008520A8"/>
    <w:rsid w:val="00852217"/>
    <w:rsid w:val="00853282"/>
    <w:rsid w:val="00855408"/>
    <w:rsid w:val="00855D03"/>
    <w:rsid w:val="00856D65"/>
    <w:rsid w:val="00861B41"/>
    <w:rsid w:val="00861B9F"/>
    <w:rsid w:val="00861BE3"/>
    <w:rsid w:val="008625D3"/>
    <w:rsid w:val="00863434"/>
    <w:rsid w:val="0086344F"/>
    <w:rsid w:val="008641AC"/>
    <w:rsid w:val="00865E4C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FE8"/>
    <w:rsid w:val="00875A32"/>
    <w:rsid w:val="00876086"/>
    <w:rsid w:val="00876E83"/>
    <w:rsid w:val="008772BC"/>
    <w:rsid w:val="00880A0E"/>
    <w:rsid w:val="00881CD7"/>
    <w:rsid w:val="00882911"/>
    <w:rsid w:val="00882F6E"/>
    <w:rsid w:val="00884E02"/>
    <w:rsid w:val="00885D40"/>
    <w:rsid w:val="008873D4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3537"/>
    <w:rsid w:val="008B3690"/>
    <w:rsid w:val="008B3A80"/>
    <w:rsid w:val="008B3AEC"/>
    <w:rsid w:val="008B3C07"/>
    <w:rsid w:val="008B3F7B"/>
    <w:rsid w:val="008B5324"/>
    <w:rsid w:val="008B6106"/>
    <w:rsid w:val="008B7C02"/>
    <w:rsid w:val="008B7D2B"/>
    <w:rsid w:val="008B7EF9"/>
    <w:rsid w:val="008C0049"/>
    <w:rsid w:val="008C0E88"/>
    <w:rsid w:val="008C1717"/>
    <w:rsid w:val="008C4B50"/>
    <w:rsid w:val="008C5A37"/>
    <w:rsid w:val="008C7569"/>
    <w:rsid w:val="008D033D"/>
    <w:rsid w:val="008D0DBD"/>
    <w:rsid w:val="008D117E"/>
    <w:rsid w:val="008D127E"/>
    <w:rsid w:val="008D1CA8"/>
    <w:rsid w:val="008D1E0A"/>
    <w:rsid w:val="008D1E6A"/>
    <w:rsid w:val="008D2A16"/>
    <w:rsid w:val="008D33F5"/>
    <w:rsid w:val="008D35E4"/>
    <w:rsid w:val="008D6C3A"/>
    <w:rsid w:val="008E0001"/>
    <w:rsid w:val="008E292B"/>
    <w:rsid w:val="008E2C57"/>
    <w:rsid w:val="008E31FF"/>
    <w:rsid w:val="008E3287"/>
    <w:rsid w:val="008E6DCB"/>
    <w:rsid w:val="008E6F06"/>
    <w:rsid w:val="008E7B8E"/>
    <w:rsid w:val="008E7FC9"/>
    <w:rsid w:val="008F0107"/>
    <w:rsid w:val="008F029B"/>
    <w:rsid w:val="008F0589"/>
    <w:rsid w:val="008F2A5D"/>
    <w:rsid w:val="008F3636"/>
    <w:rsid w:val="008F3FC9"/>
    <w:rsid w:val="008F5383"/>
    <w:rsid w:val="008F585B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55E"/>
    <w:rsid w:val="00912437"/>
    <w:rsid w:val="00912A92"/>
    <w:rsid w:val="00915D07"/>
    <w:rsid w:val="009162AE"/>
    <w:rsid w:val="00917251"/>
    <w:rsid w:val="0091728D"/>
    <w:rsid w:val="009203CC"/>
    <w:rsid w:val="00920EC4"/>
    <w:rsid w:val="0092180B"/>
    <w:rsid w:val="00921F14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F4A"/>
    <w:rsid w:val="009341F1"/>
    <w:rsid w:val="00934FF2"/>
    <w:rsid w:val="009358D7"/>
    <w:rsid w:val="00935BD4"/>
    <w:rsid w:val="00935DFE"/>
    <w:rsid w:val="00935F70"/>
    <w:rsid w:val="009373B2"/>
    <w:rsid w:val="00937AE2"/>
    <w:rsid w:val="0094061F"/>
    <w:rsid w:val="00940F0F"/>
    <w:rsid w:val="0094416B"/>
    <w:rsid w:val="0094427A"/>
    <w:rsid w:val="00944C7C"/>
    <w:rsid w:val="00945245"/>
    <w:rsid w:val="00945523"/>
    <w:rsid w:val="00950921"/>
    <w:rsid w:val="00951D68"/>
    <w:rsid w:val="00951E5B"/>
    <w:rsid w:val="00952B7B"/>
    <w:rsid w:val="00954F39"/>
    <w:rsid w:val="009555FD"/>
    <w:rsid w:val="0095664B"/>
    <w:rsid w:val="009568DC"/>
    <w:rsid w:val="00957445"/>
    <w:rsid w:val="0095759C"/>
    <w:rsid w:val="009618EE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70A3"/>
    <w:rsid w:val="009674BE"/>
    <w:rsid w:val="00970FB5"/>
    <w:rsid w:val="00971710"/>
    <w:rsid w:val="00971B87"/>
    <w:rsid w:val="00971C77"/>
    <w:rsid w:val="00972FCD"/>
    <w:rsid w:val="00973324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6246"/>
    <w:rsid w:val="00987A30"/>
    <w:rsid w:val="00990312"/>
    <w:rsid w:val="0099182E"/>
    <w:rsid w:val="00992CF3"/>
    <w:rsid w:val="00993194"/>
    <w:rsid w:val="0099321E"/>
    <w:rsid w:val="00994868"/>
    <w:rsid w:val="00994D28"/>
    <w:rsid w:val="00994F2C"/>
    <w:rsid w:val="009957CC"/>
    <w:rsid w:val="009968D6"/>
    <w:rsid w:val="00997953"/>
    <w:rsid w:val="009A0BFF"/>
    <w:rsid w:val="009A10A0"/>
    <w:rsid w:val="009A1CAB"/>
    <w:rsid w:val="009A2359"/>
    <w:rsid w:val="009A24F1"/>
    <w:rsid w:val="009A27E0"/>
    <w:rsid w:val="009A4D57"/>
    <w:rsid w:val="009A51A5"/>
    <w:rsid w:val="009A60D1"/>
    <w:rsid w:val="009A6225"/>
    <w:rsid w:val="009A64F5"/>
    <w:rsid w:val="009B00D2"/>
    <w:rsid w:val="009B05B3"/>
    <w:rsid w:val="009B284F"/>
    <w:rsid w:val="009B3764"/>
    <w:rsid w:val="009B52AC"/>
    <w:rsid w:val="009B59EA"/>
    <w:rsid w:val="009B66CE"/>
    <w:rsid w:val="009B6FD3"/>
    <w:rsid w:val="009B72BE"/>
    <w:rsid w:val="009B78A4"/>
    <w:rsid w:val="009B7DB2"/>
    <w:rsid w:val="009C03DB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3ACD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2921"/>
    <w:rsid w:val="009F4982"/>
    <w:rsid w:val="009F4CA7"/>
    <w:rsid w:val="009F4F6A"/>
    <w:rsid w:val="009F55BA"/>
    <w:rsid w:val="009F7D36"/>
    <w:rsid w:val="00A00E71"/>
    <w:rsid w:val="00A0306F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ED"/>
    <w:rsid w:val="00A16C37"/>
    <w:rsid w:val="00A16E1D"/>
    <w:rsid w:val="00A171D5"/>
    <w:rsid w:val="00A17A15"/>
    <w:rsid w:val="00A17D5B"/>
    <w:rsid w:val="00A201E1"/>
    <w:rsid w:val="00A20FE1"/>
    <w:rsid w:val="00A21B4D"/>
    <w:rsid w:val="00A22073"/>
    <w:rsid w:val="00A223E0"/>
    <w:rsid w:val="00A23E43"/>
    <w:rsid w:val="00A24726"/>
    <w:rsid w:val="00A24DEB"/>
    <w:rsid w:val="00A24ED9"/>
    <w:rsid w:val="00A25216"/>
    <w:rsid w:val="00A2597D"/>
    <w:rsid w:val="00A2628E"/>
    <w:rsid w:val="00A266BF"/>
    <w:rsid w:val="00A2731E"/>
    <w:rsid w:val="00A309AC"/>
    <w:rsid w:val="00A30F65"/>
    <w:rsid w:val="00A3279E"/>
    <w:rsid w:val="00A35900"/>
    <w:rsid w:val="00A40EAC"/>
    <w:rsid w:val="00A418BC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CED"/>
    <w:rsid w:val="00A465E9"/>
    <w:rsid w:val="00A468E7"/>
    <w:rsid w:val="00A46DE0"/>
    <w:rsid w:val="00A478BA"/>
    <w:rsid w:val="00A50D73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7D1D"/>
    <w:rsid w:val="00A81652"/>
    <w:rsid w:val="00A83150"/>
    <w:rsid w:val="00A83398"/>
    <w:rsid w:val="00A83D6E"/>
    <w:rsid w:val="00A8521A"/>
    <w:rsid w:val="00A857C0"/>
    <w:rsid w:val="00A85AC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5F1A"/>
    <w:rsid w:val="00A96116"/>
    <w:rsid w:val="00A9614E"/>
    <w:rsid w:val="00A96C0F"/>
    <w:rsid w:val="00AA0E80"/>
    <w:rsid w:val="00AA17CD"/>
    <w:rsid w:val="00AA1D85"/>
    <w:rsid w:val="00AA212F"/>
    <w:rsid w:val="00AA2996"/>
    <w:rsid w:val="00AA2AF4"/>
    <w:rsid w:val="00AA4282"/>
    <w:rsid w:val="00AA4790"/>
    <w:rsid w:val="00AA52BF"/>
    <w:rsid w:val="00AA559A"/>
    <w:rsid w:val="00AA6C31"/>
    <w:rsid w:val="00AA7752"/>
    <w:rsid w:val="00AA7CE8"/>
    <w:rsid w:val="00AB1457"/>
    <w:rsid w:val="00AB2AF1"/>
    <w:rsid w:val="00AB3EC7"/>
    <w:rsid w:val="00AB5A64"/>
    <w:rsid w:val="00AB5CA1"/>
    <w:rsid w:val="00AB6456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6414"/>
    <w:rsid w:val="00AE7269"/>
    <w:rsid w:val="00AE797C"/>
    <w:rsid w:val="00AE7CE7"/>
    <w:rsid w:val="00AE7FAB"/>
    <w:rsid w:val="00AF0DE4"/>
    <w:rsid w:val="00AF1E87"/>
    <w:rsid w:val="00AF436B"/>
    <w:rsid w:val="00AF5179"/>
    <w:rsid w:val="00AF5CC2"/>
    <w:rsid w:val="00AF6776"/>
    <w:rsid w:val="00AF6F98"/>
    <w:rsid w:val="00B00913"/>
    <w:rsid w:val="00B01593"/>
    <w:rsid w:val="00B01FF9"/>
    <w:rsid w:val="00B023F2"/>
    <w:rsid w:val="00B038CA"/>
    <w:rsid w:val="00B06DB4"/>
    <w:rsid w:val="00B0799C"/>
    <w:rsid w:val="00B102CE"/>
    <w:rsid w:val="00B10A4D"/>
    <w:rsid w:val="00B10C90"/>
    <w:rsid w:val="00B11002"/>
    <w:rsid w:val="00B121B2"/>
    <w:rsid w:val="00B141B6"/>
    <w:rsid w:val="00B14BC1"/>
    <w:rsid w:val="00B16DD1"/>
    <w:rsid w:val="00B16EB8"/>
    <w:rsid w:val="00B17E71"/>
    <w:rsid w:val="00B17FDE"/>
    <w:rsid w:val="00B20632"/>
    <w:rsid w:val="00B2379C"/>
    <w:rsid w:val="00B23D5D"/>
    <w:rsid w:val="00B2687D"/>
    <w:rsid w:val="00B3108D"/>
    <w:rsid w:val="00B32DDB"/>
    <w:rsid w:val="00B32F57"/>
    <w:rsid w:val="00B3345C"/>
    <w:rsid w:val="00B34528"/>
    <w:rsid w:val="00B34CC9"/>
    <w:rsid w:val="00B3563B"/>
    <w:rsid w:val="00B36BDC"/>
    <w:rsid w:val="00B37D3A"/>
    <w:rsid w:val="00B37D96"/>
    <w:rsid w:val="00B402FC"/>
    <w:rsid w:val="00B422E2"/>
    <w:rsid w:val="00B42D5F"/>
    <w:rsid w:val="00B43216"/>
    <w:rsid w:val="00B439DA"/>
    <w:rsid w:val="00B4411A"/>
    <w:rsid w:val="00B45FE8"/>
    <w:rsid w:val="00B46604"/>
    <w:rsid w:val="00B47089"/>
    <w:rsid w:val="00B47587"/>
    <w:rsid w:val="00B52151"/>
    <w:rsid w:val="00B530CD"/>
    <w:rsid w:val="00B53C7D"/>
    <w:rsid w:val="00B53E56"/>
    <w:rsid w:val="00B55A97"/>
    <w:rsid w:val="00B55F5E"/>
    <w:rsid w:val="00B5642C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80F"/>
    <w:rsid w:val="00B76B48"/>
    <w:rsid w:val="00B76D1E"/>
    <w:rsid w:val="00B77543"/>
    <w:rsid w:val="00B77584"/>
    <w:rsid w:val="00B80EC6"/>
    <w:rsid w:val="00B81288"/>
    <w:rsid w:val="00B81D70"/>
    <w:rsid w:val="00B833B9"/>
    <w:rsid w:val="00B83E07"/>
    <w:rsid w:val="00B84CF6"/>
    <w:rsid w:val="00B85016"/>
    <w:rsid w:val="00B8561A"/>
    <w:rsid w:val="00B86643"/>
    <w:rsid w:val="00B868F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7ACC"/>
    <w:rsid w:val="00B97FE2"/>
    <w:rsid w:val="00BA0E0B"/>
    <w:rsid w:val="00BA201A"/>
    <w:rsid w:val="00BA3787"/>
    <w:rsid w:val="00BA46E8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AB2"/>
    <w:rsid w:val="00BB5ABF"/>
    <w:rsid w:val="00BB6EA2"/>
    <w:rsid w:val="00BB7B5B"/>
    <w:rsid w:val="00BB7EB1"/>
    <w:rsid w:val="00BC003F"/>
    <w:rsid w:val="00BC327F"/>
    <w:rsid w:val="00BC3512"/>
    <w:rsid w:val="00BC50BE"/>
    <w:rsid w:val="00BC5332"/>
    <w:rsid w:val="00BC5715"/>
    <w:rsid w:val="00BC5C12"/>
    <w:rsid w:val="00BC7154"/>
    <w:rsid w:val="00BC731E"/>
    <w:rsid w:val="00BC7614"/>
    <w:rsid w:val="00BD25BB"/>
    <w:rsid w:val="00BD2AF8"/>
    <w:rsid w:val="00BD366B"/>
    <w:rsid w:val="00BD3C09"/>
    <w:rsid w:val="00BD410B"/>
    <w:rsid w:val="00BD4A73"/>
    <w:rsid w:val="00BD6C75"/>
    <w:rsid w:val="00BD6D50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4329"/>
    <w:rsid w:val="00BF4E43"/>
    <w:rsid w:val="00BF5C4C"/>
    <w:rsid w:val="00BF77FC"/>
    <w:rsid w:val="00C006D6"/>
    <w:rsid w:val="00C00BD7"/>
    <w:rsid w:val="00C01410"/>
    <w:rsid w:val="00C04B78"/>
    <w:rsid w:val="00C052AA"/>
    <w:rsid w:val="00C06EE3"/>
    <w:rsid w:val="00C07749"/>
    <w:rsid w:val="00C11244"/>
    <w:rsid w:val="00C11D48"/>
    <w:rsid w:val="00C1493E"/>
    <w:rsid w:val="00C15DBD"/>
    <w:rsid w:val="00C2010D"/>
    <w:rsid w:val="00C20CB5"/>
    <w:rsid w:val="00C21430"/>
    <w:rsid w:val="00C21E61"/>
    <w:rsid w:val="00C21F94"/>
    <w:rsid w:val="00C234DB"/>
    <w:rsid w:val="00C2479A"/>
    <w:rsid w:val="00C24903"/>
    <w:rsid w:val="00C2590D"/>
    <w:rsid w:val="00C25D9C"/>
    <w:rsid w:val="00C27913"/>
    <w:rsid w:val="00C300E2"/>
    <w:rsid w:val="00C31F21"/>
    <w:rsid w:val="00C32631"/>
    <w:rsid w:val="00C33301"/>
    <w:rsid w:val="00C33311"/>
    <w:rsid w:val="00C33B68"/>
    <w:rsid w:val="00C35570"/>
    <w:rsid w:val="00C35A2A"/>
    <w:rsid w:val="00C36A79"/>
    <w:rsid w:val="00C401A9"/>
    <w:rsid w:val="00C401D2"/>
    <w:rsid w:val="00C4031A"/>
    <w:rsid w:val="00C405D4"/>
    <w:rsid w:val="00C419D5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1F47"/>
    <w:rsid w:val="00C62828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70C9"/>
    <w:rsid w:val="00C81070"/>
    <w:rsid w:val="00C8174E"/>
    <w:rsid w:val="00C82191"/>
    <w:rsid w:val="00C83134"/>
    <w:rsid w:val="00C831E7"/>
    <w:rsid w:val="00C832F3"/>
    <w:rsid w:val="00C845A4"/>
    <w:rsid w:val="00C85545"/>
    <w:rsid w:val="00C855B5"/>
    <w:rsid w:val="00C85F0E"/>
    <w:rsid w:val="00C90CF4"/>
    <w:rsid w:val="00C91C20"/>
    <w:rsid w:val="00C922DE"/>
    <w:rsid w:val="00C92843"/>
    <w:rsid w:val="00C92EB6"/>
    <w:rsid w:val="00C93389"/>
    <w:rsid w:val="00C948E6"/>
    <w:rsid w:val="00C94CDD"/>
    <w:rsid w:val="00CA0346"/>
    <w:rsid w:val="00CA1BD6"/>
    <w:rsid w:val="00CA37FF"/>
    <w:rsid w:val="00CA423A"/>
    <w:rsid w:val="00CA47BC"/>
    <w:rsid w:val="00CA5EAD"/>
    <w:rsid w:val="00CA6AB4"/>
    <w:rsid w:val="00CA7255"/>
    <w:rsid w:val="00CB2351"/>
    <w:rsid w:val="00CB4930"/>
    <w:rsid w:val="00CB4BA9"/>
    <w:rsid w:val="00CB4C63"/>
    <w:rsid w:val="00CB5A48"/>
    <w:rsid w:val="00CB5E10"/>
    <w:rsid w:val="00CB613B"/>
    <w:rsid w:val="00CB6152"/>
    <w:rsid w:val="00CB64E1"/>
    <w:rsid w:val="00CB6E4D"/>
    <w:rsid w:val="00CC0834"/>
    <w:rsid w:val="00CC20FE"/>
    <w:rsid w:val="00CC2E7D"/>
    <w:rsid w:val="00CC612B"/>
    <w:rsid w:val="00CC655F"/>
    <w:rsid w:val="00CC66F9"/>
    <w:rsid w:val="00CC6FE5"/>
    <w:rsid w:val="00CC7458"/>
    <w:rsid w:val="00CC76BD"/>
    <w:rsid w:val="00CC7A87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6331"/>
    <w:rsid w:val="00CE14BE"/>
    <w:rsid w:val="00CE17A4"/>
    <w:rsid w:val="00CE1BA9"/>
    <w:rsid w:val="00CE2D8F"/>
    <w:rsid w:val="00CE3E48"/>
    <w:rsid w:val="00CE47B8"/>
    <w:rsid w:val="00CE62FA"/>
    <w:rsid w:val="00CE670B"/>
    <w:rsid w:val="00CE6833"/>
    <w:rsid w:val="00CF020B"/>
    <w:rsid w:val="00CF2E4D"/>
    <w:rsid w:val="00CF4205"/>
    <w:rsid w:val="00CF4908"/>
    <w:rsid w:val="00CF51EC"/>
    <w:rsid w:val="00CF545D"/>
    <w:rsid w:val="00CF5873"/>
    <w:rsid w:val="00CF73AE"/>
    <w:rsid w:val="00CF7777"/>
    <w:rsid w:val="00D0085A"/>
    <w:rsid w:val="00D0197F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10C15"/>
    <w:rsid w:val="00D11476"/>
    <w:rsid w:val="00D12C25"/>
    <w:rsid w:val="00D133B4"/>
    <w:rsid w:val="00D13986"/>
    <w:rsid w:val="00D14C5B"/>
    <w:rsid w:val="00D15FED"/>
    <w:rsid w:val="00D16712"/>
    <w:rsid w:val="00D214EF"/>
    <w:rsid w:val="00D215B0"/>
    <w:rsid w:val="00D21D6D"/>
    <w:rsid w:val="00D21D83"/>
    <w:rsid w:val="00D235B7"/>
    <w:rsid w:val="00D23FAE"/>
    <w:rsid w:val="00D25F28"/>
    <w:rsid w:val="00D26071"/>
    <w:rsid w:val="00D269B9"/>
    <w:rsid w:val="00D27973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3034"/>
    <w:rsid w:val="00D43ED2"/>
    <w:rsid w:val="00D50F46"/>
    <w:rsid w:val="00D5384E"/>
    <w:rsid w:val="00D544E7"/>
    <w:rsid w:val="00D5499F"/>
    <w:rsid w:val="00D5560A"/>
    <w:rsid w:val="00D56FBF"/>
    <w:rsid w:val="00D57677"/>
    <w:rsid w:val="00D60415"/>
    <w:rsid w:val="00D60E3C"/>
    <w:rsid w:val="00D61FAB"/>
    <w:rsid w:val="00D63BE5"/>
    <w:rsid w:val="00D6475F"/>
    <w:rsid w:val="00D66223"/>
    <w:rsid w:val="00D667B8"/>
    <w:rsid w:val="00D70289"/>
    <w:rsid w:val="00D70822"/>
    <w:rsid w:val="00D72076"/>
    <w:rsid w:val="00D726A9"/>
    <w:rsid w:val="00D743E0"/>
    <w:rsid w:val="00D75AC1"/>
    <w:rsid w:val="00D77252"/>
    <w:rsid w:val="00D8084C"/>
    <w:rsid w:val="00D81809"/>
    <w:rsid w:val="00D82EF1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5302"/>
    <w:rsid w:val="00D95C5D"/>
    <w:rsid w:val="00D97D00"/>
    <w:rsid w:val="00DA096C"/>
    <w:rsid w:val="00DA1AB6"/>
    <w:rsid w:val="00DA544C"/>
    <w:rsid w:val="00DA5F8E"/>
    <w:rsid w:val="00DA6364"/>
    <w:rsid w:val="00DA7114"/>
    <w:rsid w:val="00DA7C0C"/>
    <w:rsid w:val="00DB03DD"/>
    <w:rsid w:val="00DB08A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2B41"/>
    <w:rsid w:val="00DC3128"/>
    <w:rsid w:val="00DC435B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5287"/>
    <w:rsid w:val="00DD5B36"/>
    <w:rsid w:val="00DE0D8B"/>
    <w:rsid w:val="00DE1237"/>
    <w:rsid w:val="00DE140F"/>
    <w:rsid w:val="00DE2491"/>
    <w:rsid w:val="00DE5CA6"/>
    <w:rsid w:val="00DE7AC8"/>
    <w:rsid w:val="00DF2C5D"/>
    <w:rsid w:val="00DF3643"/>
    <w:rsid w:val="00DF42FF"/>
    <w:rsid w:val="00DF4369"/>
    <w:rsid w:val="00DF4423"/>
    <w:rsid w:val="00DF4ADF"/>
    <w:rsid w:val="00DF5D1E"/>
    <w:rsid w:val="00DF77E4"/>
    <w:rsid w:val="00DF7F88"/>
    <w:rsid w:val="00E01C0E"/>
    <w:rsid w:val="00E0368F"/>
    <w:rsid w:val="00E03D73"/>
    <w:rsid w:val="00E03F9A"/>
    <w:rsid w:val="00E04694"/>
    <w:rsid w:val="00E12191"/>
    <w:rsid w:val="00E129E7"/>
    <w:rsid w:val="00E12ABE"/>
    <w:rsid w:val="00E12B1E"/>
    <w:rsid w:val="00E1444C"/>
    <w:rsid w:val="00E17262"/>
    <w:rsid w:val="00E20016"/>
    <w:rsid w:val="00E2009B"/>
    <w:rsid w:val="00E20BB9"/>
    <w:rsid w:val="00E20BCC"/>
    <w:rsid w:val="00E2251C"/>
    <w:rsid w:val="00E2363D"/>
    <w:rsid w:val="00E23C6A"/>
    <w:rsid w:val="00E253A2"/>
    <w:rsid w:val="00E260F6"/>
    <w:rsid w:val="00E27127"/>
    <w:rsid w:val="00E27233"/>
    <w:rsid w:val="00E30F15"/>
    <w:rsid w:val="00E31771"/>
    <w:rsid w:val="00E3186D"/>
    <w:rsid w:val="00E31A3E"/>
    <w:rsid w:val="00E32080"/>
    <w:rsid w:val="00E3309D"/>
    <w:rsid w:val="00E35A53"/>
    <w:rsid w:val="00E3724A"/>
    <w:rsid w:val="00E378B1"/>
    <w:rsid w:val="00E417BE"/>
    <w:rsid w:val="00E41CD5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3470"/>
    <w:rsid w:val="00E539F6"/>
    <w:rsid w:val="00E54698"/>
    <w:rsid w:val="00E54FB4"/>
    <w:rsid w:val="00E5539A"/>
    <w:rsid w:val="00E55791"/>
    <w:rsid w:val="00E55E1A"/>
    <w:rsid w:val="00E578A2"/>
    <w:rsid w:val="00E60043"/>
    <w:rsid w:val="00E61740"/>
    <w:rsid w:val="00E61EB5"/>
    <w:rsid w:val="00E6324D"/>
    <w:rsid w:val="00E65084"/>
    <w:rsid w:val="00E6519D"/>
    <w:rsid w:val="00E66062"/>
    <w:rsid w:val="00E6660E"/>
    <w:rsid w:val="00E67305"/>
    <w:rsid w:val="00E67696"/>
    <w:rsid w:val="00E70C5F"/>
    <w:rsid w:val="00E71A58"/>
    <w:rsid w:val="00E72A26"/>
    <w:rsid w:val="00E72A7A"/>
    <w:rsid w:val="00E7335A"/>
    <w:rsid w:val="00E747DC"/>
    <w:rsid w:val="00E74A2D"/>
    <w:rsid w:val="00E75C94"/>
    <w:rsid w:val="00E76B9B"/>
    <w:rsid w:val="00E76E61"/>
    <w:rsid w:val="00E77CC0"/>
    <w:rsid w:val="00E80B3D"/>
    <w:rsid w:val="00E80CA3"/>
    <w:rsid w:val="00E82618"/>
    <w:rsid w:val="00E84E09"/>
    <w:rsid w:val="00E90CA8"/>
    <w:rsid w:val="00E930A1"/>
    <w:rsid w:val="00E93820"/>
    <w:rsid w:val="00E94A86"/>
    <w:rsid w:val="00E953F6"/>
    <w:rsid w:val="00E96143"/>
    <w:rsid w:val="00E96833"/>
    <w:rsid w:val="00E97506"/>
    <w:rsid w:val="00EA0C68"/>
    <w:rsid w:val="00EA1D0E"/>
    <w:rsid w:val="00EA2841"/>
    <w:rsid w:val="00EA32BC"/>
    <w:rsid w:val="00EA35A7"/>
    <w:rsid w:val="00EA3B32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A8E"/>
    <w:rsid w:val="00EB4BC5"/>
    <w:rsid w:val="00EB5BF7"/>
    <w:rsid w:val="00EB5E79"/>
    <w:rsid w:val="00EB6FAC"/>
    <w:rsid w:val="00EB7BAC"/>
    <w:rsid w:val="00EC03D7"/>
    <w:rsid w:val="00EC13A7"/>
    <w:rsid w:val="00EC2EB6"/>
    <w:rsid w:val="00ED0EF0"/>
    <w:rsid w:val="00ED12B9"/>
    <w:rsid w:val="00ED16B8"/>
    <w:rsid w:val="00ED1DF0"/>
    <w:rsid w:val="00ED2386"/>
    <w:rsid w:val="00ED2EA1"/>
    <w:rsid w:val="00ED3F10"/>
    <w:rsid w:val="00ED4D04"/>
    <w:rsid w:val="00ED566D"/>
    <w:rsid w:val="00ED5907"/>
    <w:rsid w:val="00ED5F5B"/>
    <w:rsid w:val="00ED62C6"/>
    <w:rsid w:val="00ED64C1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150D"/>
    <w:rsid w:val="00EF1F5A"/>
    <w:rsid w:val="00EF47BF"/>
    <w:rsid w:val="00EF59B1"/>
    <w:rsid w:val="00EF5A13"/>
    <w:rsid w:val="00EF5FF9"/>
    <w:rsid w:val="00EF77D4"/>
    <w:rsid w:val="00EF7CC7"/>
    <w:rsid w:val="00F00853"/>
    <w:rsid w:val="00F00866"/>
    <w:rsid w:val="00F0160B"/>
    <w:rsid w:val="00F0193E"/>
    <w:rsid w:val="00F03F8D"/>
    <w:rsid w:val="00F04811"/>
    <w:rsid w:val="00F0488C"/>
    <w:rsid w:val="00F073ED"/>
    <w:rsid w:val="00F07C4C"/>
    <w:rsid w:val="00F10F11"/>
    <w:rsid w:val="00F11159"/>
    <w:rsid w:val="00F115E4"/>
    <w:rsid w:val="00F12CFB"/>
    <w:rsid w:val="00F13E60"/>
    <w:rsid w:val="00F13FDB"/>
    <w:rsid w:val="00F15AAA"/>
    <w:rsid w:val="00F15BEF"/>
    <w:rsid w:val="00F17898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EE5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7EDC"/>
    <w:rsid w:val="00F437CC"/>
    <w:rsid w:val="00F44537"/>
    <w:rsid w:val="00F46185"/>
    <w:rsid w:val="00F46423"/>
    <w:rsid w:val="00F4696A"/>
    <w:rsid w:val="00F47067"/>
    <w:rsid w:val="00F525AB"/>
    <w:rsid w:val="00F525EB"/>
    <w:rsid w:val="00F52CB5"/>
    <w:rsid w:val="00F53A68"/>
    <w:rsid w:val="00F54934"/>
    <w:rsid w:val="00F55A92"/>
    <w:rsid w:val="00F62BFF"/>
    <w:rsid w:val="00F63AAE"/>
    <w:rsid w:val="00F63DDE"/>
    <w:rsid w:val="00F63FB7"/>
    <w:rsid w:val="00F6421B"/>
    <w:rsid w:val="00F647F1"/>
    <w:rsid w:val="00F649D2"/>
    <w:rsid w:val="00F6602B"/>
    <w:rsid w:val="00F7150B"/>
    <w:rsid w:val="00F717E4"/>
    <w:rsid w:val="00F71DE6"/>
    <w:rsid w:val="00F72D71"/>
    <w:rsid w:val="00F7381C"/>
    <w:rsid w:val="00F73A0C"/>
    <w:rsid w:val="00F7549F"/>
    <w:rsid w:val="00F756DB"/>
    <w:rsid w:val="00F767A8"/>
    <w:rsid w:val="00F84E7D"/>
    <w:rsid w:val="00F85066"/>
    <w:rsid w:val="00F87A4D"/>
    <w:rsid w:val="00F93688"/>
    <w:rsid w:val="00F939F3"/>
    <w:rsid w:val="00F93C6E"/>
    <w:rsid w:val="00F93F2C"/>
    <w:rsid w:val="00F9644E"/>
    <w:rsid w:val="00FA0105"/>
    <w:rsid w:val="00FA05A0"/>
    <w:rsid w:val="00FA0AEF"/>
    <w:rsid w:val="00FA17CC"/>
    <w:rsid w:val="00FA1F01"/>
    <w:rsid w:val="00FA26DF"/>
    <w:rsid w:val="00FA32BC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64F"/>
    <w:rsid w:val="00FB7DBB"/>
    <w:rsid w:val="00FC05F8"/>
    <w:rsid w:val="00FC0E5F"/>
    <w:rsid w:val="00FC1266"/>
    <w:rsid w:val="00FC1A95"/>
    <w:rsid w:val="00FC1ED4"/>
    <w:rsid w:val="00FC3BEC"/>
    <w:rsid w:val="00FC440B"/>
    <w:rsid w:val="00FC56DE"/>
    <w:rsid w:val="00FC63D9"/>
    <w:rsid w:val="00FC64DE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E27C7"/>
    <w:rsid w:val="00FE2C7E"/>
    <w:rsid w:val="00FE2F78"/>
    <w:rsid w:val="00FE3137"/>
    <w:rsid w:val="00FE346B"/>
    <w:rsid w:val="00FE346F"/>
    <w:rsid w:val="00FE48E4"/>
    <w:rsid w:val="00FE634C"/>
    <w:rsid w:val="00FE6E69"/>
    <w:rsid w:val="00FE6F59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4EEB6EC"/>
  <w15:docId w15:val="{02E7EBF8-5A4E-462D-AC4B-706FC6EE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9Q4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581433637284705E-2"/>
          <c:y val="2.1711264016309892E-2"/>
          <c:w val="0.93508633063154345"/>
          <c:h val="0.731303613644050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'Měnové podmínky 1'!$C$5</c:f>
              <c:strCache>
                <c:ptCount val="1"/>
                <c:pt idx="0">
                  <c:v>2T repo sazba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multiLvlStrRef>
              <c:f>'Měnové podmínky 1'!$A$30:$B$101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  <c:pt idx="60">
                    <c:v>2019</c:v>
                  </c:pt>
                </c:lvl>
              </c:multiLvlStrCache>
            </c:multiLvlStrRef>
          </c:cat>
          <c:val>
            <c:numRef>
              <c:f>'Měnové podmínky 1'!$C$30:$C$101</c:f>
              <c:numCache>
                <c:formatCode>0.00</c:formatCode>
                <c:ptCount val="72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  <c:pt idx="9">
                  <c:v>0.05</c:v>
                </c:pt>
                <c:pt idx="10">
                  <c:v>0.05</c:v>
                </c:pt>
                <c:pt idx="11">
                  <c:v>0.05</c:v>
                </c:pt>
                <c:pt idx="12">
                  <c:v>0.05</c:v>
                </c:pt>
                <c:pt idx="13">
                  <c:v>0.05</c:v>
                </c:pt>
                <c:pt idx="14">
                  <c:v>0.05</c:v>
                </c:pt>
                <c:pt idx="15">
                  <c:v>0.05</c:v>
                </c:pt>
                <c:pt idx="16">
                  <c:v>0.05</c:v>
                </c:pt>
                <c:pt idx="17">
                  <c:v>0.05</c:v>
                </c:pt>
                <c:pt idx="18">
                  <c:v>0.05</c:v>
                </c:pt>
                <c:pt idx="19">
                  <c:v>0.05</c:v>
                </c:pt>
                <c:pt idx="20">
                  <c:v>0.05</c:v>
                </c:pt>
                <c:pt idx="21">
                  <c:v>0.05</c:v>
                </c:pt>
                <c:pt idx="22">
                  <c:v>0.05</c:v>
                </c:pt>
                <c:pt idx="23">
                  <c:v>0.05</c:v>
                </c:pt>
                <c:pt idx="24" formatCode="General">
                  <c:v>0.05</c:v>
                </c:pt>
                <c:pt idx="25" formatCode="General">
                  <c:v>0.05</c:v>
                </c:pt>
                <c:pt idx="26" formatCode="General">
                  <c:v>0.05</c:v>
                </c:pt>
                <c:pt idx="27" formatCode="General">
                  <c:v>0.05</c:v>
                </c:pt>
                <c:pt idx="28" formatCode="General">
                  <c:v>0.05</c:v>
                </c:pt>
                <c:pt idx="29" formatCode="General">
                  <c:v>0.05</c:v>
                </c:pt>
                <c:pt idx="30" formatCode="General">
                  <c:v>0.05</c:v>
                </c:pt>
                <c:pt idx="31" formatCode="General">
                  <c:v>0.05</c:v>
                </c:pt>
                <c:pt idx="32" formatCode="General">
                  <c:v>0.05</c:v>
                </c:pt>
                <c:pt idx="33" formatCode="General">
                  <c:v>0.05</c:v>
                </c:pt>
                <c:pt idx="34" formatCode="General">
                  <c:v>0.05</c:v>
                </c:pt>
                <c:pt idx="35" formatCode="General">
                  <c:v>0.05</c:v>
                </c:pt>
                <c:pt idx="36" formatCode="General">
                  <c:v>0.05</c:v>
                </c:pt>
                <c:pt idx="37" formatCode="General">
                  <c:v>0.05</c:v>
                </c:pt>
                <c:pt idx="38" formatCode="General">
                  <c:v>0.05</c:v>
                </c:pt>
                <c:pt idx="39" formatCode="General">
                  <c:v>0.05</c:v>
                </c:pt>
                <c:pt idx="40" formatCode="General">
                  <c:v>0.05</c:v>
                </c:pt>
                <c:pt idx="41" formatCode="General">
                  <c:v>0.05</c:v>
                </c:pt>
                <c:pt idx="42" formatCode="General">
                  <c:v>0.05</c:v>
                </c:pt>
                <c:pt idx="43" formatCode="General">
                  <c:v>0.25</c:v>
                </c:pt>
                <c:pt idx="44" formatCode="General">
                  <c:v>0.25</c:v>
                </c:pt>
                <c:pt idx="45" formatCode="General">
                  <c:v>0.25</c:v>
                </c:pt>
                <c:pt idx="46" formatCode="General">
                  <c:v>0.5</c:v>
                </c:pt>
                <c:pt idx="47" formatCode="General">
                  <c:v>0.5</c:v>
                </c:pt>
                <c:pt idx="48" formatCode="General">
                  <c:v>0.5</c:v>
                </c:pt>
                <c:pt idx="49" formatCode="General">
                  <c:v>0.75</c:v>
                </c:pt>
                <c:pt idx="50" formatCode="General">
                  <c:v>0.75</c:v>
                </c:pt>
                <c:pt idx="51" formatCode="General">
                  <c:v>0.75</c:v>
                </c:pt>
                <c:pt idx="52" formatCode="General">
                  <c:v>0.75</c:v>
                </c:pt>
                <c:pt idx="53" formatCode="General">
                  <c:v>1</c:v>
                </c:pt>
                <c:pt idx="54" formatCode="General">
                  <c:v>1</c:v>
                </c:pt>
                <c:pt idx="55" formatCode="General">
                  <c:v>1.25</c:v>
                </c:pt>
                <c:pt idx="56" formatCode="General">
                  <c:v>1.5</c:v>
                </c:pt>
                <c:pt idx="57" formatCode="General">
                  <c:v>1.5</c:v>
                </c:pt>
                <c:pt idx="58" formatCode="General">
                  <c:v>1.75</c:v>
                </c:pt>
                <c:pt idx="59" formatCode="General">
                  <c:v>1.75</c:v>
                </c:pt>
                <c:pt idx="60" formatCode="General">
                  <c:v>1.75</c:v>
                </c:pt>
                <c:pt idx="61" formatCode="General">
                  <c:v>1.75</c:v>
                </c:pt>
                <c:pt idx="62" formatCode="General">
                  <c:v>1.75</c:v>
                </c:pt>
                <c:pt idx="63" formatCode="General">
                  <c:v>1.75</c:v>
                </c:pt>
                <c:pt idx="64" formatCode="General">
                  <c:v>2</c:v>
                </c:pt>
                <c:pt idx="65" formatCode="General">
                  <c:v>2</c:v>
                </c:pt>
                <c:pt idx="66" formatCode="General">
                  <c:v>2</c:v>
                </c:pt>
                <c:pt idx="67" formatCode="General">
                  <c:v>2</c:v>
                </c:pt>
                <c:pt idx="68" formatCode="General">
                  <c:v>2</c:v>
                </c:pt>
                <c:pt idx="69" formatCode="General">
                  <c:v>2</c:v>
                </c:pt>
                <c:pt idx="70" formatCode="General">
                  <c:v>2</c:v>
                </c:pt>
                <c:pt idx="71" formatCode="General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89-41A3-B746-515727A29F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271742464"/>
        <c:axId val="271744000"/>
      </c:barChart>
      <c:lineChart>
        <c:grouping val="standard"/>
        <c:varyColors val="0"/>
        <c:ser>
          <c:idx val="3"/>
          <c:order val="1"/>
          <c:tx>
            <c:strRef>
              <c:f>'Měnové podmínky 1'!$F$5</c:f>
              <c:strCache>
                <c:ptCount val="1"/>
                <c:pt idx="0">
                  <c:v>Průměrný výnos státních dluhopisů (2Y)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'Měnové podmínky 1'!$A$30:$B$101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  <c:pt idx="60">
                    <c:v>2019</c:v>
                  </c:pt>
                </c:lvl>
              </c:multiLvlStrCache>
            </c:multiLvlStrRef>
          </c:cat>
          <c:val>
            <c:numRef>
              <c:f>'Měnové podmínky 1'!$F$30:$F$101</c:f>
              <c:numCache>
                <c:formatCode>General</c:formatCode>
                <c:ptCount val="72"/>
                <c:pt idx="0">
                  <c:v>0.23</c:v>
                </c:pt>
                <c:pt idx="1">
                  <c:v>0.28000000000000003</c:v>
                </c:pt>
                <c:pt idx="2">
                  <c:v>0.26</c:v>
                </c:pt>
                <c:pt idx="3">
                  <c:v>0.23</c:v>
                </c:pt>
                <c:pt idx="4">
                  <c:v>0.21</c:v>
                </c:pt>
                <c:pt idx="5">
                  <c:v>0.24</c:v>
                </c:pt>
                <c:pt idx="6">
                  <c:v>0.23</c:v>
                </c:pt>
                <c:pt idx="7">
                  <c:v>0.18</c:v>
                </c:pt>
                <c:pt idx="8">
                  <c:v>0.14000000000000001</c:v>
                </c:pt>
                <c:pt idx="9">
                  <c:v>0.1</c:v>
                </c:pt>
                <c:pt idx="10">
                  <c:v>0.12</c:v>
                </c:pt>
                <c:pt idx="11">
                  <c:v>0.13</c:v>
                </c:pt>
                <c:pt idx="12">
                  <c:v>0.09</c:v>
                </c:pt>
                <c:pt idx="13">
                  <c:v>0.06</c:v>
                </c:pt>
                <c:pt idx="14">
                  <c:v>0.04</c:v>
                </c:pt>
                <c:pt idx="15">
                  <c:v>-0.03</c:v>
                </c:pt>
                <c:pt idx="16">
                  <c:v>0.04</c:v>
                </c:pt>
                <c:pt idx="17">
                  <c:v>0.11</c:v>
                </c:pt>
                <c:pt idx="18">
                  <c:v>0.02</c:v>
                </c:pt>
                <c:pt idx="19">
                  <c:v>-7.0000000000000007E-2</c:v>
                </c:pt>
                <c:pt idx="20">
                  <c:v>-0.3</c:v>
                </c:pt>
                <c:pt idx="21">
                  <c:v>-0.28000000000000003</c:v>
                </c:pt>
                <c:pt idx="22">
                  <c:v>-0.33</c:v>
                </c:pt>
                <c:pt idx="23">
                  <c:v>-0.38</c:v>
                </c:pt>
                <c:pt idx="24">
                  <c:v>-0.21</c:v>
                </c:pt>
                <c:pt idx="25">
                  <c:v>-0.18</c:v>
                </c:pt>
                <c:pt idx="26">
                  <c:v>-0.17</c:v>
                </c:pt>
                <c:pt idx="27">
                  <c:v>-0.08</c:v>
                </c:pt>
                <c:pt idx="28">
                  <c:v>-0.04</c:v>
                </c:pt>
                <c:pt idx="29">
                  <c:v>-0.05</c:v>
                </c:pt>
                <c:pt idx="30">
                  <c:v>-0.13</c:v>
                </c:pt>
                <c:pt idx="31">
                  <c:v>-0.22</c:v>
                </c:pt>
                <c:pt idx="32">
                  <c:v>-0.5</c:v>
                </c:pt>
                <c:pt idx="33">
                  <c:v>-0.74</c:v>
                </c:pt>
                <c:pt idx="34">
                  <c:v>-0.73</c:v>
                </c:pt>
                <c:pt idx="35">
                  <c:v>-0.81</c:v>
                </c:pt>
                <c:pt idx="36">
                  <c:v>-0.88</c:v>
                </c:pt>
                <c:pt idx="37">
                  <c:v>-0.53</c:v>
                </c:pt>
                <c:pt idx="38">
                  <c:v>-0.44</c:v>
                </c:pt>
                <c:pt idx="39">
                  <c:v>-0.23</c:v>
                </c:pt>
                <c:pt idx="40">
                  <c:v>-0.24</c:v>
                </c:pt>
                <c:pt idx="41">
                  <c:v>-0.25</c:v>
                </c:pt>
                <c:pt idx="42">
                  <c:v>-0.28999999999999998</c:v>
                </c:pt>
                <c:pt idx="43">
                  <c:v>-0.33</c:v>
                </c:pt>
                <c:pt idx="44">
                  <c:v>-0.28999999999999998</c:v>
                </c:pt>
                <c:pt idx="45">
                  <c:v>0.12</c:v>
                </c:pt>
                <c:pt idx="46">
                  <c:v>0.31</c:v>
                </c:pt>
                <c:pt idx="47">
                  <c:v>0.19</c:v>
                </c:pt>
                <c:pt idx="48">
                  <c:v>0.46</c:v>
                </c:pt>
                <c:pt idx="49">
                  <c:v>0.55000000000000004</c:v>
                </c:pt>
                <c:pt idx="50">
                  <c:v>0.62</c:v>
                </c:pt>
                <c:pt idx="51">
                  <c:v>0.6</c:v>
                </c:pt>
                <c:pt idx="52">
                  <c:v>0.7</c:v>
                </c:pt>
                <c:pt idx="53">
                  <c:v>0.89</c:v>
                </c:pt>
                <c:pt idx="54">
                  <c:v>1.0900000000000001</c:v>
                </c:pt>
                <c:pt idx="55">
                  <c:v>1.26</c:v>
                </c:pt>
                <c:pt idx="56">
                  <c:v>1.34</c:v>
                </c:pt>
                <c:pt idx="57">
                  <c:v>1.44</c:v>
                </c:pt>
                <c:pt idx="58">
                  <c:v>1.49</c:v>
                </c:pt>
                <c:pt idx="59">
                  <c:v>1.52</c:v>
                </c:pt>
                <c:pt idx="60">
                  <c:v>1.66</c:v>
                </c:pt>
                <c:pt idx="61">
                  <c:v>1.74</c:v>
                </c:pt>
                <c:pt idx="62">
                  <c:v>1.71</c:v>
                </c:pt>
                <c:pt idx="63">
                  <c:v>1.63</c:v>
                </c:pt>
                <c:pt idx="64">
                  <c:v>1.62</c:v>
                </c:pt>
                <c:pt idx="65">
                  <c:v>1.52</c:v>
                </c:pt>
                <c:pt idx="66">
                  <c:v>1.35</c:v>
                </c:pt>
                <c:pt idx="67">
                  <c:v>0.85</c:v>
                </c:pt>
                <c:pt idx="68">
                  <c:v>1.07</c:v>
                </c:pt>
                <c:pt idx="69">
                  <c:v>1.17</c:v>
                </c:pt>
                <c:pt idx="70">
                  <c:v>1.33</c:v>
                </c:pt>
                <c:pt idx="71">
                  <c:v>1.36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89-41A3-B746-515727A29FE2}"/>
            </c:ext>
          </c:extLst>
        </c:ser>
        <c:ser>
          <c:idx val="1"/>
          <c:order val="2"/>
          <c:tx>
            <c:strRef>
              <c:f>'Měnové podmínky 1'!$D$5</c:f>
              <c:strCache>
                <c:ptCount val="1"/>
                <c:pt idx="0">
                  <c:v>PRIBOR (3M)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'Měnové podmínky 1'!$A$30:$B$101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  <c:pt idx="60">
                    <c:v>2019</c:v>
                  </c:pt>
                </c:lvl>
              </c:multiLvlStrCache>
            </c:multiLvlStrRef>
          </c:cat>
          <c:val>
            <c:numRef>
              <c:f>'Měnové podmínky 1'!$D$30:$D$101</c:f>
              <c:numCache>
                <c:formatCode>General</c:formatCode>
                <c:ptCount val="72"/>
                <c:pt idx="0">
                  <c:v>0.37</c:v>
                </c:pt>
                <c:pt idx="1">
                  <c:v>0.37</c:v>
                </c:pt>
                <c:pt idx="2">
                  <c:v>0.37</c:v>
                </c:pt>
                <c:pt idx="3">
                  <c:v>0.37</c:v>
                </c:pt>
                <c:pt idx="4">
                  <c:v>0.37</c:v>
                </c:pt>
                <c:pt idx="5">
                  <c:v>0.35</c:v>
                </c:pt>
                <c:pt idx="6">
                  <c:v>0.35</c:v>
                </c:pt>
                <c:pt idx="7">
                  <c:v>0.35</c:v>
                </c:pt>
                <c:pt idx="8">
                  <c:v>0.35</c:v>
                </c:pt>
                <c:pt idx="9">
                  <c:v>0.35</c:v>
                </c:pt>
                <c:pt idx="10">
                  <c:v>0.34</c:v>
                </c:pt>
                <c:pt idx="11">
                  <c:v>0.34</c:v>
                </c:pt>
                <c:pt idx="12">
                  <c:v>0.33</c:v>
                </c:pt>
                <c:pt idx="13">
                  <c:v>0.33</c:v>
                </c:pt>
                <c:pt idx="14">
                  <c:v>0.32</c:v>
                </c:pt>
                <c:pt idx="15">
                  <c:v>0.31</c:v>
                </c:pt>
                <c:pt idx="16">
                  <c:v>0.31</c:v>
                </c:pt>
                <c:pt idx="17">
                  <c:v>0.31</c:v>
                </c:pt>
                <c:pt idx="18">
                  <c:v>0.31</c:v>
                </c:pt>
                <c:pt idx="19">
                  <c:v>0.31</c:v>
                </c:pt>
                <c:pt idx="20">
                  <c:v>0.3</c:v>
                </c:pt>
                <c:pt idx="21">
                  <c:v>0.28999999999999998</c:v>
                </c:pt>
                <c:pt idx="22">
                  <c:v>0.28999999999999998</c:v>
                </c:pt>
                <c:pt idx="23">
                  <c:v>0.28999999999999998</c:v>
                </c:pt>
                <c:pt idx="24">
                  <c:v>0.28999999999999998</c:v>
                </c:pt>
                <c:pt idx="25">
                  <c:v>0.28000000000000003</c:v>
                </c:pt>
                <c:pt idx="26">
                  <c:v>0.28999999999999998</c:v>
                </c:pt>
                <c:pt idx="27">
                  <c:v>0.28999999999999998</c:v>
                </c:pt>
                <c:pt idx="28">
                  <c:v>0.28999999999999998</c:v>
                </c:pt>
                <c:pt idx="29">
                  <c:v>0.28999999999999998</c:v>
                </c:pt>
                <c:pt idx="30">
                  <c:v>0.28999999999999998</c:v>
                </c:pt>
                <c:pt idx="31">
                  <c:v>0.28999999999999998</c:v>
                </c:pt>
                <c:pt idx="32">
                  <c:v>0.28999999999999998</c:v>
                </c:pt>
                <c:pt idx="33">
                  <c:v>0.28999999999999998</c:v>
                </c:pt>
                <c:pt idx="34">
                  <c:v>0.28999999999999998</c:v>
                </c:pt>
                <c:pt idx="35">
                  <c:v>0.28999999999999998</c:v>
                </c:pt>
                <c:pt idx="36">
                  <c:v>0.28000000000000003</c:v>
                </c:pt>
                <c:pt idx="37">
                  <c:v>0.28000000000000003</c:v>
                </c:pt>
                <c:pt idx="38">
                  <c:v>0.28000000000000003</c:v>
                </c:pt>
                <c:pt idx="39">
                  <c:v>0.28999999999999998</c:v>
                </c:pt>
                <c:pt idx="40">
                  <c:v>0.3</c:v>
                </c:pt>
                <c:pt idx="41">
                  <c:v>0.3</c:v>
                </c:pt>
                <c:pt idx="42">
                  <c:v>0.3</c:v>
                </c:pt>
                <c:pt idx="43">
                  <c:v>0.43</c:v>
                </c:pt>
                <c:pt idx="44">
                  <c:v>0.46</c:v>
                </c:pt>
                <c:pt idx="45">
                  <c:v>0.51</c:v>
                </c:pt>
                <c:pt idx="46">
                  <c:v>0.71</c:v>
                </c:pt>
                <c:pt idx="47">
                  <c:v>0.75</c:v>
                </c:pt>
                <c:pt idx="48">
                  <c:v>0.77</c:v>
                </c:pt>
                <c:pt idx="49">
                  <c:v>0.9</c:v>
                </c:pt>
                <c:pt idx="50">
                  <c:v>0.9</c:v>
                </c:pt>
                <c:pt idx="51">
                  <c:v>0.9</c:v>
                </c:pt>
                <c:pt idx="52">
                  <c:v>0.9</c:v>
                </c:pt>
                <c:pt idx="53">
                  <c:v>0.93</c:v>
                </c:pt>
                <c:pt idx="54">
                  <c:v>1.18</c:v>
                </c:pt>
                <c:pt idx="55">
                  <c:v>1.45</c:v>
                </c:pt>
                <c:pt idx="56">
                  <c:v>1.54</c:v>
                </c:pt>
                <c:pt idx="57">
                  <c:v>1.76</c:v>
                </c:pt>
                <c:pt idx="58">
                  <c:v>1.99</c:v>
                </c:pt>
                <c:pt idx="59">
                  <c:v>2.0099999999999998</c:v>
                </c:pt>
                <c:pt idx="60">
                  <c:v>2.0099999999999998</c:v>
                </c:pt>
                <c:pt idx="61">
                  <c:v>2.0099999999999998</c:v>
                </c:pt>
                <c:pt idx="62">
                  <c:v>2.0299999999999998</c:v>
                </c:pt>
                <c:pt idx="63">
                  <c:v>2.02</c:v>
                </c:pt>
                <c:pt idx="64">
                  <c:v>2.19</c:v>
                </c:pt>
                <c:pt idx="65">
                  <c:v>2.17</c:v>
                </c:pt>
                <c:pt idx="66">
                  <c:v>2.16</c:v>
                </c:pt>
                <c:pt idx="67">
                  <c:v>2.14</c:v>
                </c:pt>
                <c:pt idx="68">
                  <c:v>2.14</c:v>
                </c:pt>
                <c:pt idx="69">
                  <c:v>2.17</c:v>
                </c:pt>
                <c:pt idx="70">
                  <c:v>2.1800000000000002</c:v>
                </c:pt>
                <c:pt idx="71">
                  <c:v>2.1800000000000002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089-41A3-B746-515727A29FE2}"/>
            </c:ext>
          </c:extLst>
        </c:ser>
        <c:ser>
          <c:idx val="4"/>
          <c:order val="3"/>
          <c:tx>
            <c:strRef>
              <c:f>'Měnové podmínky 1'!$G$5</c:f>
              <c:strCache>
                <c:ptCount val="1"/>
                <c:pt idx="0">
                  <c:v>Průměrný výnos státních dluhopisů (5Y)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'Měnové podmínky 1'!$A$30:$B$101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  <c:pt idx="60">
                    <c:v>2019</c:v>
                  </c:pt>
                </c:lvl>
              </c:multiLvlStrCache>
            </c:multiLvlStrRef>
          </c:cat>
          <c:val>
            <c:numRef>
              <c:f>'Měnové podmínky 1'!$G$30:$G$101</c:f>
              <c:numCache>
                <c:formatCode>General</c:formatCode>
                <c:ptCount val="72"/>
                <c:pt idx="0">
                  <c:v>1.0900000000000001</c:v>
                </c:pt>
                <c:pt idx="1">
                  <c:v>1.2</c:v>
                </c:pt>
                <c:pt idx="2">
                  <c:v>1.1399999999999999</c:v>
                </c:pt>
                <c:pt idx="3">
                  <c:v>0.99</c:v>
                </c:pt>
                <c:pt idx="4">
                  <c:v>0.8</c:v>
                </c:pt>
                <c:pt idx="5">
                  <c:v>0.68</c:v>
                </c:pt>
                <c:pt idx="6">
                  <c:v>0.65</c:v>
                </c:pt>
                <c:pt idx="7">
                  <c:v>0.62</c:v>
                </c:pt>
                <c:pt idx="8">
                  <c:v>0.51</c:v>
                </c:pt>
                <c:pt idx="9">
                  <c:v>0.37</c:v>
                </c:pt>
                <c:pt idx="10">
                  <c:v>0.24</c:v>
                </c:pt>
                <c:pt idx="11">
                  <c:v>0.22</c:v>
                </c:pt>
                <c:pt idx="12">
                  <c:v>0.13</c:v>
                </c:pt>
                <c:pt idx="13">
                  <c:v>0.17</c:v>
                </c:pt>
                <c:pt idx="14">
                  <c:v>0.14000000000000001</c:v>
                </c:pt>
                <c:pt idx="15">
                  <c:v>0.05</c:v>
                </c:pt>
                <c:pt idx="16">
                  <c:v>0.22</c:v>
                </c:pt>
                <c:pt idx="17">
                  <c:v>0.43</c:v>
                </c:pt>
                <c:pt idx="18">
                  <c:v>0.35</c:v>
                </c:pt>
                <c:pt idx="19">
                  <c:v>0.2</c:v>
                </c:pt>
                <c:pt idx="20">
                  <c:v>0.06</c:v>
                </c:pt>
                <c:pt idx="21">
                  <c:v>-0.05</c:v>
                </c:pt>
                <c:pt idx="22">
                  <c:v>-0.05</c:v>
                </c:pt>
                <c:pt idx="23">
                  <c:v>-0.11</c:v>
                </c:pt>
                <c:pt idx="24">
                  <c:v>0.04</c:v>
                </c:pt>
                <c:pt idx="25">
                  <c:v>-0.08</c:v>
                </c:pt>
                <c:pt idx="26">
                  <c:v>-0.1</c:v>
                </c:pt>
                <c:pt idx="27">
                  <c:v>0.04</c:v>
                </c:pt>
                <c:pt idx="28">
                  <c:v>7.0000000000000007E-2</c:v>
                </c:pt>
                <c:pt idx="29">
                  <c:v>0.05</c:v>
                </c:pt>
                <c:pt idx="30">
                  <c:v>-0.02</c:v>
                </c:pt>
                <c:pt idx="31">
                  <c:v>-0.09</c:v>
                </c:pt>
                <c:pt idx="32">
                  <c:v>-0.19</c:v>
                </c:pt>
                <c:pt idx="33">
                  <c:v>-0.17</c:v>
                </c:pt>
                <c:pt idx="34">
                  <c:v>-0.17</c:v>
                </c:pt>
                <c:pt idx="35">
                  <c:v>-0.21</c:v>
                </c:pt>
                <c:pt idx="36">
                  <c:v>-0.22</c:v>
                </c:pt>
                <c:pt idx="37">
                  <c:v>0.09</c:v>
                </c:pt>
                <c:pt idx="38">
                  <c:v>0.1</c:v>
                </c:pt>
                <c:pt idx="39">
                  <c:v>0.16</c:v>
                </c:pt>
                <c:pt idx="40">
                  <c:v>0.04</c:v>
                </c:pt>
                <c:pt idx="41">
                  <c:v>-0.03</c:v>
                </c:pt>
                <c:pt idx="42">
                  <c:v>0.14000000000000001</c:v>
                </c:pt>
                <c:pt idx="43">
                  <c:v>0.09</c:v>
                </c:pt>
                <c:pt idx="44">
                  <c:v>0.1</c:v>
                </c:pt>
                <c:pt idx="45">
                  <c:v>0.63</c:v>
                </c:pt>
                <c:pt idx="46">
                  <c:v>0.87</c:v>
                </c:pt>
                <c:pt idx="47">
                  <c:v>0.68</c:v>
                </c:pt>
                <c:pt idx="48">
                  <c:v>0.99</c:v>
                </c:pt>
                <c:pt idx="49">
                  <c:v>1.07</c:v>
                </c:pt>
                <c:pt idx="50">
                  <c:v>1.0900000000000001</c:v>
                </c:pt>
                <c:pt idx="51">
                  <c:v>1.05</c:v>
                </c:pt>
                <c:pt idx="52">
                  <c:v>1.21</c:v>
                </c:pt>
                <c:pt idx="53">
                  <c:v>1.41</c:v>
                </c:pt>
                <c:pt idx="54">
                  <c:v>1.44</c:v>
                </c:pt>
                <c:pt idx="55">
                  <c:v>1.55</c:v>
                </c:pt>
                <c:pt idx="56">
                  <c:v>1.7</c:v>
                </c:pt>
                <c:pt idx="57">
                  <c:v>1.81</c:v>
                </c:pt>
                <c:pt idx="58">
                  <c:v>1.79</c:v>
                </c:pt>
                <c:pt idx="59">
                  <c:v>1.71</c:v>
                </c:pt>
                <c:pt idx="60">
                  <c:v>1.6</c:v>
                </c:pt>
                <c:pt idx="61">
                  <c:v>1.61</c:v>
                </c:pt>
                <c:pt idx="62">
                  <c:v>1.7</c:v>
                </c:pt>
                <c:pt idx="63">
                  <c:v>1.63</c:v>
                </c:pt>
                <c:pt idx="64">
                  <c:v>1.57</c:v>
                </c:pt>
                <c:pt idx="65">
                  <c:v>1.43</c:v>
                </c:pt>
                <c:pt idx="66">
                  <c:v>1.31</c:v>
                </c:pt>
                <c:pt idx="67">
                  <c:v>0.89</c:v>
                </c:pt>
                <c:pt idx="68">
                  <c:v>1.1299999999999999</c:v>
                </c:pt>
                <c:pt idx="69">
                  <c:v>1.23</c:v>
                </c:pt>
                <c:pt idx="70">
                  <c:v>1.32</c:v>
                </c:pt>
                <c:pt idx="71">
                  <c:v>1.31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089-41A3-B746-515727A29FE2}"/>
            </c:ext>
          </c:extLst>
        </c:ser>
        <c:ser>
          <c:idx val="2"/>
          <c:order val="4"/>
          <c:tx>
            <c:strRef>
              <c:f>'Měnové podmínky 1'!$E$5</c:f>
              <c:strCache>
                <c:ptCount val="1"/>
                <c:pt idx="0">
                  <c:v>PRIBOR (1Y)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'Měnové podmínky 1'!$A$30:$B$101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  <c:pt idx="60">
                    <c:v>2019</c:v>
                  </c:pt>
                </c:lvl>
              </c:multiLvlStrCache>
            </c:multiLvlStrRef>
          </c:cat>
          <c:val>
            <c:numRef>
              <c:f>'Měnové podmínky 1'!$E$30:$E$101</c:f>
              <c:numCache>
                <c:formatCode>General</c:formatCode>
                <c:ptCount val="72"/>
                <c:pt idx="0">
                  <c:v>0.57999999999999996</c:v>
                </c:pt>
                <c:pt idx="1">
                  <c:v>0.55000000000000004</c:v>
                </c:pt>
                <c:pt idx="2">
                  <c:v>0.55000000000000004</c:v>
                </c:pt>
                <c:pt idx="3">
                  <c:v>0.55000000000000004</c:v>
                </c:pt>
                <c:pt idx="4">
                  <c:v>0.54</c:v>
                </c:pt>
                <c:pt idx="5">
                  <c:v>0.53</c:v>
                </c:pt>
                <c:pt idx="6">
                  <c:v>0.52</c:v>
                </c:pt>
                <c:pt idx="7">
                  <c:v>0.52</c:v>
                </c:pt>
                <c:pt idx="8">
                  <c:v>0.52</c:v>
                </c:pt>
                <c:pt idx="9">
                  <c:v>0.52</c:v>
                </c:pt>
                <c:pt idx="10">
                  <c:v>0.51</c:v>
                </c:pt>
                <c:pt idx="11">
                  <c:v>0.51</c:v>
                </c:pt>
                <c:pt idx="12">
                  <c:v>0.51</c:v>
                </c:pt>
                <c:pt idx="13">
                  <c:v>0.51</c:v>
                </c:pt>
                <c:pt idx="14">
                  <c:v>0.49</c:v>
                </c:pt>
                <c:pt idx="15">
                  <c:v>0.48</c:v>
                </c:pt>
                <c:pt idx="16">
                  <c:v>0.48</c:v>
                </c:pt>
                <c:pt idx="17">
                  <c:v>0.48</c:v>
                </c:pt>
                <c:pt idx="18">
                  <c:v>0.48</c:v>
                </c:pt>
                <c:pt idx="19">
                  <c:v>0.48</c:v>
                </c:pt>
                <c:pt idx="20">
                  <c:v>0.47</c:v>
                </c:pt>
                <c:pt idx="21">
                  <c:v>0.46</c:v>
                </c:pt>
                <c:pt idx="22">
                  <c:v>0.46</c:v>
                </c:pt>
                <c:pt idx="23">
                  <c:v>0.46</c:v>
                </c:pt>
                <c:pt idx="24">
                  <c:v>0.45</c:v>
                </c:pt>
                <c:pt idx="25">
                  <c:v>0.45</c:v>
                </c:pt>
                <c:pt idx="26">
                  <c:v>0.45</c:v>
                </c:pt>
                <c:pt idx="27">
                  <c:v>0.45</c:v>
                </c:pt>
                <c:pt idx="28">
                  <c:v>0.45</c:v>
                </c:pt>
                <c:pt idx="29">
                  <c:v>0.45</c:v>
                </c:pt>
                <c:pt idx="30">
                  <c:v>0.45</c:v>
                </c:pt>
                <c:pt idx="31">
                  <c:v>0.45</c:v>
                </c:pt>
                <c:pt idx="32">
                  <c:v>0.45</c:v>
                </c:pt>
                <c:pt idx="33">
                  <c:v>0.45</c:v>
                </c:pt>
                <c:pt idx="34">
                  <c:v>0.45</c:v>
                </c:pt>
                <c:pt idx="35">
                  <c:v>0.45</c:v>
                </c:pt>
                <c:pt idx="36">
                  <c:v>0.44</c:v>
                </c:pt>
                <c:pt idx="37">
                  <c:v>0.44</c:v>
                </c:pt>
                <c:pt idx="38">
                  <c:v>0.44</c:v>
                </c:pt>
                <c:pt idx="39">
                  <c:v>0.45</c:v>
                </c:pt>
                <c:pt idx="40">
                  <c:v>0.46</c:v>
                </c:pt>
                <c:pt idx="41">
                  <c:v>0.46</c:v>
                </c:pt>
                <c:pt idx="42">
                  <c:v>0.47</c:v>
                </c:pt>
                <c:pt idx="43">
                  <c:v>0.6</c:v>
                </c:pt>
                <c:pt idx="44">
                  <c:v>0.64</c:v>
                </c:pt>
                <c:pt idx="45">
                  <c:v>0.69</c:v>
                </c:pt>
                <c:pt idx="46">
                  <c:v>0.91</c:v>
                </c:pt>
                <c:pt idx="47">
                  <c:v>0.96</c:v>
                </c:pt>
                <c:pt idx="48">
                  <c:v>0.98</c:v>
                </c:pt>
                <c:pt idx="49">
                  <c:v>1.1100000000000001</c:v>
                </c:pt>
                <c:pt idx="50">
                  <c:v>1.1200000000000001</c:v>
                </c:pt>
                <c:pt idx="51">
                  <c:v>1.1200000000000001</c:v>
                </c:pt>
                <c:pt idx="52">
                  <c:v>1.1200000000000001</c:v>
                </c:pt>
                <c:pt idx="53">
                  <c:v>1.1499999999999999</c:v>
                </c:pt>
                <c:pt idx="54">
                  <c:v>1.39</c:v>
                </c:pt>
                <c:pt idx="55">
                  <c:v>1.67</c:v>
                </c:pt>
                <c:pt idx="56">
                  <c:v>1.79</c:v>
                </c:pt>
                <c:pt idx="57">
                  <c:v>1.95</c:v>
                </c:pt>
                <c:pt idx="58">
                  <c:v>2.1800000000000002</c:v>
                </c:pt>
                <c:pt idx="59">
                  <c:v>2.21</c:v>
                </c:pt>
                <c:pt idx="60">
                  <c:v>2.21</c:v>
                </c:pt>
                <c:pt idx="61">
                  <c:v>2.2000000000000002</c:v>
                </c:pt>
                <c:pt idx="62">
                  <c:v>2.2000000000000002</c:v>
                </c:pt>
                <c:pt idx="63">
                  <c:v>2.21</c:v>
                </c:pt>
                <c:pt idx="64">
                  <c:v>2.3199999999999998</c:v>
                </c:pt>
                <c:pt idx="65">
                  <c:v>2.29</c:v>
                </c:pt>
                <c:pt idx="66">
                  <c:v>2.2799999999999998</c:v>
                </c:pt>
                <c:pt idx="67">
                  <c:v>2.2200000000000002</c:v>
                </c:pt>
                <c:pt idx="68">
                  <c:v>2.2000000000000002</c:v>
                </c:pt>
                <c:pt idx="69">
                  <c:v>2.2799999999999998</c:v>
                </c:pt>
                <c:pt idx="70">
                  <c:v>2.2799999999999998</c:v>
                </c:pt>
                <c:pt idx="71">
                  <c:v>2.27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089-41A3-B746-515727A29FE2}"/>
            </c:ext>
          </c:extLst>
        </c:ser>
        <c:ser>
          <c:idx val="5"/>
          <c:order val="5"/>
          <c:tx>
            <c:strRef>
              <c:f>'Měnové podmínky 1'!$H$5</c:f>
              <c:strCache>
                <c:ptCount val="1"/>
                <c:pt idx="0">
                  <c:v>Průměrný výnos státních dluhopisů (10Y)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'Měnové podmínky 1'!$A$30:$B$101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  <c:pt idx="60">
                    <c:v>2019</c:v>
                  </c:pt>
                </c:lvl>
              </c:multiLvlStrCache>
            </c:multiLvlStrRef>
          </c:cat>
          <c:val>
            <c:numRef>
              <c:f>'Měnové podmínky 1'!$H$30:$H$101</c:f>
              <c:numCache>
                <c:formatCode>General</c:formatCode>
                <c:ptCount val="72"/>
                <c:pt idx="0">
                  <c:v>2.4300000000000002</c:v>
                </c:pt>
                <c:pt idx="1">
                  <c:v>2.2799999999999998</c:v>
                </c:pt>
                <c:pt idx="2">
                  <c:v>2.2000000000000002</c:v>
                </c:pt>
                <c:pt idx="3">
                  <c:v>2</c:v>
                </c:pt>
                <c:pt idx="4">
                  <c:v>1.73</c:v>
                </c:pt>
                <c:pt idx="5">
                  <c:v>1.55</c:v>
                </c:pt>
                <c:pt idx="6">
                  <c:v>1.49</c:v>
                </c:pt>
                <c:pt idx="7">
                  <c:v>1.38</c:v>
                </c:pt>
                <c:pt idx="8">
                  <c:v>1.21</c:v>
                </c:pt>
                <c:pt idx="9">
                  <c:v>1.1000000000000001</c:v>
                </c:pt>
                <c:pt idx="10">
                  <c:v>0.87</c:v>
                </c:pt>
                <c:pt idx="11">
                  <c:v>0.67</c:v>
                </c:pt>
                <c:pt idx="12">
                  <c:v>0.35</c:v>
                </c:pt>
                <c:pt idx="13">
                  <c:v>0.4</c:v>
                </c:pt>
                <c:pt idx="14">
                  <c:v>0.35</c:v>
                </c:pt>
                <c:pt idx="15">
                  <c:v>0.26</c:v>
                </c:pt>
                <c:pt idx="16">
                  <c:v>0.6</c:v>
                </c:pt>
                <c:pt idx="17">
                  <c:v>1.01</c:v>
                </c:pt>
                <c:pt idx="18">
                  <c:v>0.97</c:v>
                </c:pt>
                <c:pt idx="19">
                  <c:v>0.74</c:v>
                </c:pt>
                <c:pt idx="20">
                  <c:v>0.68</c:v>
                </c:pt>
                <c:pt idx="21">
                  <c:v>0.56000000000000005</c:v>
                </c:pt>
                <c:pt idx="22">
                  <c:v>0.49</c:v>
                </c:pt>
                <c:pt idx="23">
                  <c:v>0.49</c:v>
                </c:pt>
                <c:pt idx="24">
                  <c:v>0.62</c:v>
                </c:pt>
                <c:pt idx="25">
                  <c:v>0.46</c:v>
                </c:pt>
                <c:pt idx="26">
                  <c:v>0.35</c:v>
                </c:pt>
                <c:pt idx="27">
                  <c:v>0.43</c:v>
                </c:pt>
                <c:pt idx="28">
                  <c:v>0.46</c:v>
                </c:pt>
                <c:pt idx="29">
                  <c:v>0.45</c:v>
                </c:pt>
                <c:pt idx="30">
                  <c:v>0.37</c:v>
                </c:pt>
                <c:pt idx="31">
                  <c:v>0.28999999999999998</c:v>
                </c:pt>
                <c:pt idx="32">
                  <c:v>0.25</c:v>
                </c:pt>
                <c:pt idx="33">
                  <c:v>0.37</c:v>
                </c:pt>
                <c:pt idx="34">
                  <c:v>0.55000000000000004</c:v>
                </c:pt>
                <c:pt idx="35">
                  <c:v>0.53</c:v>
                </c:pt>
                <c:pt idx="36">
                  <c:v>0.47</c:v>
                </c:pt>
                <c:pt idx="37">
                  <c:v>0.63</c:v>
                </c:pt>
                <c:pt idx="38">
                  <c:v>0.87</c:v>
                </c:pt>
                <c:pt idx="39">
                  <c:v>0.96</c:v>
                </c:pt>
                <c:pt idx="40">
                  <c:v>0.74</c:v>
                </c:pt>
                <c:pt idx="41">
                  <c:v>0.77</c:v>
                </c:pt>
                <c:pt idx="42">
                  <c:v>0.9</c:v>
                </c:pt>
                <c:pt idx="43">
                  <c:v>0.83</c:v>
                </c:pt>
                <c:pt idx="44">
                  <c:v>0.97</c:v>
                </c:pt>
                <c:pt idx="45">
                  <c:v>1.45</c:v>
                </c:pt>
                <c:pt idx="46">
                  <c:v>1.68</c:v>
                </c:pt>
                <c:pt idx="47">
                  <c:v>1.5</c:v>
                </c:pt>
                <c:pt idx="48">
                  <c:v>1.77</c:v>
                </c:pt>
                <c:pt idx="49">
                  <c:v>1.82</c:v>
                </c:pt>
                <c:pt idx="50">
                  <c:v>1.81</c:v>
                </c:pt>
                <c:pt idx="51">
                  <c:v>1.74</c:v>
                </c:pt>
                <c:pt idx="52">
                  <c:v>1.89</c:v>
                </c:pt>
                <c:pt idx="53">
                  <c:v>2.14</c:v>
                </c:pt>
                <c:pt idx="54">
                  <c:v>2.11</c:v>
                </c:pt>
                <c:pt idx="55">
                  <c:v>2.14</c:v>
                </c:pt>
                <c:pt idx="56">
                  <c:v>2.14</c:v>
                </c:pt>
                <c:pt idx="57">
                  <c:v>2.14</c:v>
                </c:pt>
                <c:pt idx="58">
                  <c:v>2.0699999999999998</c:v>
                </c:pt>
                <c:pt idx="59">
                  <c:v>2.0099999999999998</c:v>
                </c:pt>
                <c:pt idx="60">
                  <c:v>1.85</c:v>
                </c:pt>
                <c:pt idx="61">
                  <c:v>1.76</c:v>
                </c:pt>
                <c:pt idx="62">
                  <c:v>1.82</c:v>
                </c:pt>
                <c:pt idx="63">
                  <c:v>1.82</c:v>
                </c:pt>
                <c:pt idx="64">
                  <c:v>1.86</c:v>
                </c:pt>
                <c:pt idx="65">
                  <c:v>1.58</c:v>
                </c:pt>
                <c:pt idx="66">
                  <c:v>1.36</c:v>
                </c:pt>
                <c:pt idx="67">
                  <c:v>0.99</c:v>
                </c:pt>
                <c:pt idx="68">
                  <c:v>1.24</c:v>
                </c:pt>
                <c:pt idx="69">
                  <c:v>1.32</c:v>
                </c:pt>
                <c:pt idx="70">
                  <c:v>1.47</c:v>
                </c:pt>
                <c:pt idx="71">
                  <c:v>1.51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089-41A3-B746-515727A29F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742464"/>
        <c:axId val="271744000"/>
      </c:lineChart>
      <c:catAx>
        <c:axId val="271742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271744000"/>
        <c:crosses val="autoZero"/>
        <c:auto val="1"/>
        <c:lblAlgn val="ctr"/>
        <c:lblOffset val="100"/>
        <c:noMultiLvlLbl val="0"/>
      </c:catAx>
      <c:valAx>
        <c:axId val="271744000"/>
        <c:scaling>
          <c:orientation val="minMax"/>
          <c:min val="-1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71742464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01055386693677E-2"/>
          <c:y val="0.87558269120103249"/>
          <c:w val="0.93350515028706516"/>
          <c:h val="0.1101570592445996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A779-585E-4413-B15A-AC8BA44AFE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E46D0-0755-44A0-94E7-A8F727C1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</Template>
  <TotalTime>10</TotalTime>
  <Pages>2</Pages>
  <Words>901</Words>
  <Characters>5319</Characters>
  <Application>Microsoft Office Word</Application>
  <DocSecurity>0</DocSecurity>
  <Lines>44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6208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Karolina Sukupova</cp:lastModifiedBy>
  <cp:revision>7</cp:revision>
  <cp:lastPrinted>2019-04-08T10:52:00Z</cp:lastPrinted>
  <dcterms:created xsi:type="dcterms:W3CDTF">2020-04-10T07:26:00Z</dcterms:created>
  <dcterms:modified xsi:type="dcterms:W3CDTF">2020-04-10T07:52:00Z</dcterms:modified>
</cp:coreProperties>
</file>