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94" w:rsidRPr="00C11DAF" w:rsidRDefault="00ED3A94" w:rsidP="007C605B">
      <w:pPr>
        <w:rPr>
          <w:sz w:val="2"/>
          <w:szCs w:val="2"/>
        </w:rPr>
      </w:pPr>
    </w:p>
    <w:p w:rsidR="007D4281" w:rsidRPr="000732DB" w:rsidRDefault="000E3039" w:rsidP="000E3039">
      <w:pPr>
        <w:pStyle w:val="Nadpis1"/>
        <w:jc w:val="both"/>
      </w:pPr>
      <w:bookmarkStart w:id="0" w:name="_Toc454185153"/>
      <w:r>
        <w:t xml:space="preserve"> 6. </w:t>
      </w:r>
      <w:r w:rsidR="007D4281">
        <w:t>Trh práce</w:t>
      </w:r>
      <w:bookmarkEnd w:id="0"/>
    </w:p>
    <w:tbl>
      <w:tblPr>
        <w:tblW w:w="5000" w:type="pct"/>
        <w:tblCellMar>
          <w:left w:w="28" w:type="dxa"/>
          <w:right w:w="28" w:type="dxa"/>
        </w:tblCellMar>
        <w:tblLook w:val="04A0"/>
      </w:tblPr>
      <w:tblGrid>
        <w:gridCol w:w="2044"/>
        <w:gridCol w:w="275"/>
        <w:gridCol w:w="7375"/>
      </w:tblGrid>
      <w:tr w:rsidR="004F2A4D" w:rsidTr="00AF5D62">
        <w:tc>
          <w:tcPr>
            <w:tcW w:w="1054" w:type="pct"/>
          </w:tcPr>
          <w:p w:rsidR="004F2A4D" w:rsidRPr="00977C13" w:rsidRDefault="004F2A4D" w:rsidP="00AF5D62">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Příznivé tendence na trhu práce v průběhu roku 2016 nadále přetrvávaly</w:t>
            </w: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Pr="007952FE" w:rsidRDefault="004F2A4D" w:rsidP="00AF5D62">
            <w:pPr>
              <w:pStyle w:val="Textpoznpodarou"/>
              <w:jc w:val="both"/>
              <w:rPr>
                <w:rFonts w:cs="Arial"/>
                <w:color w:val="0D0D0D" w:themeColor="text1" w:themeTint="F2"/>
                <w:spacing w:val="-4"/>
              </w:rPr>
            </w:pPr>
            <w:r>
              <w:rPr>
                <w:rFonts w:cs="Arial"/>
                <w:color w:val="0D0D0D" w:themeColor="text1" w:themeTint="F2"/>
                <w:spacing w:val="-4"/>
              </w:rPr>
              <w:t xml:space="preserve">Příznivý vývoj na trhu práce přetrvával i v roce 2016. </w:t>
            </w:r>
            <w:r>
              <w:rPr>
                <w:spacing w:val="-4"/>
              </w:rPr>
              <w:t xml:space="preserve">Tempo růstu </w:t>
            </w:r>
            <w:r>
              <w:rPr>
                <w:rFonts w:cs="Arial"/>
                <w:color w:val="0D0D0D" w:themeColor="text1" w:themeTint="F2"/>
                <w:spacing w:val="-4"/>
              </w:rPr>
              <w:t>zaměstnanosti výrazně zrychlilo, práci mělo nejvíce lidí v historii, zejména díky zpracovatelskému průmyslu. Nezaměstnanost se nadále redukovala, byť již mírnějšími tempy, šance za dobré uplatnění se zvýšila zejména kvalifikovaným manuálním pracovníkům. Problémem na trhu práce zůstává kvalifikační nesoulad mezi nezaměstnanými osobami a volnými pracovními místy a s tím související dlouhodobá nezaměstnanost. Nízká míra nezaměstnanosti doprovázená rostoucím nedostatkem pracovní síly žene mzdy vzhůru. Průměrné mzdy rostly reálně nejvíce od konce roku 2009.</w:t>
            </w:r>
          </w:p>
          <w:p w:rsidR="004F2A4D" w:rsidRPr="00F2389A" w:rsidRDefault="004F2A4D" w:rsidP="00AF5D62">
            <w:pPr>
              <w:pStyle w:val="Textpoznpodarou"/>
              <w:jc w:val="both"/>
              <w:rPr>
                <w:rFonts w:cs="Arial"/>
                <w:color w:val="0D0D0D" w:themeColor="text1" w:themeTint="F2"/>
                <w:spacing w:val="-4"/>
                <w:sz w:val="13"/>
                <w:szCs w:val="13"/>
              </w:rPr>
            </w:pPr>
          </w:p>
        </w:tc>
      </w:tr>
      <w:tr w:rsidR="004F2A4D" w:rsidTr="00AF5D62">
        <w:tc>
          <w:tcPr>
            <w:tcW w:w="1054" w:type="pct"/>
          </w:tcPr>
          <w:p w:rsidR="00D439C2" w:rsidRDefault="004F2A4D" w:rsidP="00AF5D62">
            <w:pPr>
              <w:spacing w:line="240" w:lineRule="auto"/>
              <w:rPr>
                <w:rFonts w:cs="Arial"/>
                <w:bCs/>
                <w:iCs/>
                <w:color w:val="0D0D0D" w:themeColor="text1" w:themeTint="F2"/>
                <w:spacing w:val="-4"/>
                <w:sz w:val="16"/>
                <w:szCs w:val="16"/>
              </w:rPr>
            </w:pPr>
            <w:r w:rsidRPr="00977C13">
              <w:rPr>
                <w:rFonts w:cs="Arial"/>
                <w:bCs/>
                <w:iCs/>
                <w:color w:val="0D0D0D" w:themeColor="text1" w:themeTint="F2"/>
                <w:spacing w:val="-4"/>
                <w:sz w:val="16"/>
                <w:szCs w:val="16"/>
              </w:rPr>
              <w:t xml:space="preserve">Zaměstnanost během 1. pololetí akcelerovala, </w:t>
            </w:r>
          </w:p>
          <w:p w:rsidR="004F2A4D" w:rsidRDefault="004F2A4D" w:rsidP="00AF5D62">
            <w:pPr>
              <w:spacing w:line="240" w:lineRule="auto"/>
              <w:rPr>
                <w:rFonts w:cs="Arial"/>
                <w:bCs/>
                <w:iCs/>
                <w:color w:val="0D0D0D" w:themeColor="text1" w:themeTint="F2"/>
                <w:spacing w:val="-4"/>
                <w:sz w:val="16"/>
                <w:szCs w:val="16"/>
              </w:rPr>
            </w:pPr>
            <w:r w:rsidRPr="00977C13">
              <w:rPr>
                <w:rFonts w:cs="Arial"/>
                <w:bCs/>
                <w:iCs/>
                <w:color w:val="0D0D0D" w:themeColor="text1" w:themeTint="F2"/>
                <w:spacing w:val="-4"/>
                <w:sz w:val="16"/>
                <w:szCs w:val="16"/>
              </w:rPr>
              <w:t>práci</w:t>
            </w:r>
            <w:r w:rsidR="00D439C2">
              <w:rPr>
                <w:rFonts w:cs="Arial"/>
                <w:bCs/>
                <w:iCs/>
                <w:color w:val="0D0D0D" w:themeColor="text1" w:themeTint="F2"/>
                <w:spacing w:val="-4"/>
                <w:sz w:val="16"/>
                <w:szCs w:val="16"/>
              </w:rPr>
              <w:t xml:space="preserve"> mělo ve 2. čtvrtletí 5,26</w:t>
            </w:r>
            <w:r w:rsidR="00D439C2" w:rsidRPr="00977C13">
              <w:rPr>
                <w:rFonts w:cs="Arial"/>
                <w:bCs/>
                <w:iCs/>
                <w:color w:val="0D0D0D" w:themeColor="text1" w:themeTint="F2"/>
                <w:spacing w:val="-4"/>
                <w:sz w:val="16"/>
                <w:szCs w:val="16"/>
              </w:rPr>
              <w:t> </w:t>
            </w:r>
            <w:r w:rsidR="00D439C2">
              <w:rPr>
                <w:rFonts w:cs="Arial"/>
                <w:bCs/>
                <w:iCs/>
                <w:color w:val="0D0D0D" w:themeColor="text1" w:themeTint="F2"/>
                <w:spacing w:val="-4"/>
                <w:sz w:val="16"/>
                <w:szCs w:val="16"/>
              </w:rPr>
              <w:t>mil.</w:t>
            </w:r>
            <w:r w:rsidR="00D439C2" w:rsidRPr="00977C13">
              <w:rPr>
                <w:rFonts w:cs="Arial"/>
                <w:bCs/>
                <w:iCs/>
                <w:color w:val="0D0D0D" w:themeColor="text1" w:themeTint="F2"/>
                <w:spacing w:val="-4"/>
                <w:sz w:val="16"/>
                <w:szCs w:val="16"/>
              </w:rPr>
              <w:t> </w:t>
            </w:r>
            <w:r w:rsidRPr="00977C13">
              <w:rPr>
                <w:rFonts w:cs="Arial"/>
                <w:bCs/>
                <w:iCs/>
                <w:color w:val="0D0D0D" w:themeColor="text1" w:themeTint="F2"/>
                <w:spacing w:val="-4"/>
                <w:sz w:val="16"/>
                <w:szCs w:val="16"/>
              </w:rPr>
              <w:t xml:space="preserve">osob, nejvíce v historii ČR  </w:t>
            </w:r>
          </w:p>
          <w:p w:rsidR="004F2A4D" w:rsidRDefault="004F2A4D" w:rsidP="00AF5D62">
            <w:pPr>
              <w:spacing w:line="240" w:lineRule="auto"/>
              <w:rPr>
                <w:rFonts w:cs="Arial"/>
                <w:bCs/>
                <w:iCs/>
                <w:color w:val="0D0D0D" w:themeColor="text1" w:themeTint="F2"/>
                <w:spacing w:val="-4"/>
                <w:sz w:val="16"/>
                <w:szCs w:val="16"/>
              </w:rPr>
            </w:pPr>
          </w:p>
          <w:p w:rsidR="004F2A4D" w:rsidRDefault="004F2A4D" w:rsidP="00AF5D62">
            <w:pPr>
              <w:spacing w:line="240" w:lineRule="auto"/>
              <w:rPr>
                <w:rFonts w:cs="Arial"/>
                <w:bCs/>
                <w:iCs/>
                <w:color w:val="0D0D0D" w:themeColor="text1" w:themeTint="F2"/>
                <w:spacing w:val="-4"/>
                <w:sz w:val="16"/>
                <w:szCs w:val="16"/>
              </w:rPr>
            </w:pPr>
          </w:p>
          <w:p w:rsidR="004F2A4D" w:rsidRDefault="004F2A4D" w:rsidP="00AF5D62">
            <w:pPr>
              <w:spacing w:line="240" w:lineRule="auto"/>
              <w:rPr>
                <w:rFonts w:cs="Arial"/>
                <w:bCs/>
                <w:iCs/>
                <w:color w:val="0D0D0D" w:themeColor="text1" w:themeTint="F2"/>
                <w:spacing w:val="-4"/>
                <w:sz w:val="16"/>
                <w:szCs w:val="16"/>
              </w:rPr>
            </w:pPr>
          </w:p>
          <w:p w:rsidR="004F2A4D" w:rsidRPr="00977C13" w:rsidRDefault="004F2A4D" w:rsidP="00AF5D62">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Míra zaměstnanosti v ČR patří (zejména díky mužům) v EU k nejvyšším</w:t>
            </w: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Default="004F2A4D" w:rsidP="00AF5D62">
            <w:pPr>
              <w:pStyle w:val="Textpoznpodarou"/>
              <w:jc w:val="both"/>
              <w:rPr>
                <w:rFonts w:cs="Arial"/>
                <w:color w:val="0D0D0D" w:themeColor="text1" w:themeTint="F2"/>
                <w:spacing w:val="-4"/>
              </w:rPr>
            </w:pPr>
            <w:r>
              <w:rPr>
                <w:spacing w:val="-4"/>
              </w:rPr>
              <w:t xml:space="preserve">Jedním z nejvýznamnějších rysů stabilně rostoucí ekonomiky byla tvorba nových pracovních míst. Tempo růstu </w:t>
            </w:r>
            <w:r>
              <w:rPr>
                <w:rFonts w:cs="Arial"/>
                <w:color w:val="0D0D0D" w:themeColor="text1" w:themeTint="F2"/>
                <w:spacing w:val="-4"/>
              </w:rPr>
              <w:t>zaměstnanosti</w:t>
            </w:r>
            <w:r>
              <w:rPr>
                <w:rStyle w:val="Znakapoznpodarou"/>
                <w:color w:val="0D0D0D" w:themeColor="text1" w:themeTint="F2"/>
                <w:spacing w:val="-4"/>
              </w:rPr>
              <w:footnoteReference w:id="1"/>
            </w:r>
            <w:r>
              <w:rPr>
                <w:rFonts w:cs="Arial"/>
                <w:color w:val="0D0D0D" w:themeColor="text1" w:themeTint="F2"/>
                <w:spacing w:val="-4"/>
              </w:rPr>
              <w:t xml:space="preserve"> na počátku roku výrazně zrychlilo, v úhrnu za celé pololetí na 1,7 % meziročně. Počet pracovníků ve 2. čtvrtletí 2016 byl nejvyšší v historii (5,26 mil.). Stavy zaměstnaných jsou ovlivňovány i</w:t>
            </w:r>
            <w:r>
              <w:rPr>
                <w:spacing w:val="-4"/>
              </w:rPr>
              <w:t> </w:t>
            </w:r>
            <w:r>
              <w:rPr>
                <w:rFonts w:cs="Arial"/>
                <w:color w:val="0D0D0D" w:themeColor="text1" w:themeTint="F2"/>
                <w:spacing w:val="-4"/>
              </w:rPr>
              <w:t>generačními posuny na trhu práce a zvyšováním důchodového věku. Zastoupení starších osob na pracovním trhu postupně narůstá. Míra zaměstnanosti osob ve věku 15</w:t>
            </w:r>
            <w:r w:rsidR="00D439C2">
              <w:rPr>
                <w:rFonts w:cs="Arial"/>
                <w:color w:val="0D0D0D" w:themeColor="text1" w:themeTint="F2"/>
                <w:spacing w:val="-4"/>
              </w:rPr>
              <w:t>–</w:t>
            </w:r>
            <w:r>
              <w:rPr>
                <w:rFonts w:cs="Arial"/>
                <w:color w:val="0D0D0D" w:themeColor="text1" w:themeTint="F2"/>
                <w:spacing w:val="-4"/>
              </w:rPr>
              <w:t>64 let přesáhla 71 %, vyšší byla jen v pěti státech EU (v rámci novějších členů Unie drželo Česko primát). Odvětvová specializace české ekonomiky se odráží i ve vysoké míře zaměstnanosti mužů (78,5 %), vyšších hodnot docílilo letos v Unii jen Nizozemsko.</w:t>
            </w:r>
          </w:p>
          <w:p w:rsidR="004F2A4D" w:rsidRPr="00F2389A" w:rsidRDefault="004F2A4D" w:rsidP="00AF5D62">
            <w:pPr>
              <w:pStyle w:val="Textpoznpodarou"/>
              <w:jc w:val="both"/>
              <w:rPr>
                <w:rFonts w:cs="Arial"/>
                <w:color w:val="0D0D0D" w:themeColor="text1" w:themeTint="F2"/>
                <w:spacing w:val="-4"/>
                <w:sz w:val="13"/>
                <w:szCs w:val="13"/>
              </w:rPr>
            </w:pPr>
          </w:p>
        </w:tc>
      </w:tr>
      <w:tr w:rsidR="004F2A4D" w:rsidTr="00AF5D62">
        <w:tc>
          <w:tcPr>
            <w:tcW w:w="1054" w:type="pct"/>
          </w:tcPr>
          <w:p w:rsidR="004F2A4D" w:rsidRDefault="004F2A4D" w:rsidP="00AF5D62">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Polovinu růstu celkové zaměstnanosti měl v 1. pololetí na svědomí zpracovatelský průmysl, podobně tomu bylo i v předchozích dvou letech</w:t>
            </w:r>
          </w:p>
          <w:p w:rsidR="004F2A4D" w:rsidRDefault="004F2A4D" w:rsidP="00AF5D62">
            <w:pPr>
              <w:spacing w:line="240" w:lineRule="auto"/>
              <w:rPr>
                <w:rFonts w:cs="Arial"/>
                <w:bCs/>
                <w:iCs/>
                <w:color w:val="0D0D0D" w:themeColor="text1" w:themeTint="F2"/>
                <w:spacing w:val="-2"/>
                <w:sz w:val="16"/>
                <w:szCs w:val="16"/>
              </w:rPr>
            </w:pPr>
          </w:p>
          <w:p w:rsidR="004F2A4D" w:rsidRDefault="004F2A4D" w:rsidP="00AF5D62">
            <w:pPr>
              <w:spacing w:line="240" w:lineRule="auto"/>
              <w:rPr>
                <w:rFonts w:cs="Arial"/>
                <w:bCs/>
                <w:iCs/>
                <w:color w:val="0D0D0D" w:themeColor="text1" w:themeTint="F2"/>
                <w:spacing w:val="-2"/>
                <w:sz w:val="16"/>
                <w:szCs w:val="16"/>
              </w:rPr>
            </w:pPr>
          </w:p>
          <w:p w:rsidR="004F2A4D" w:rsidRDefault="004F2A4D" w:rsidP="00AF5D62">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 xml:space="preserve">Zaměstnanost ve službách se navyšovala téměř celoplošně, dynamika v jednotlivých odvětvích však nadále zůstala rozdílná </w:t>
            </w:r>
          </w:p>
          <w:p w:rsidR="004F2A4D" w:rsidRPr="00372465" w:rsidRDefault="004F2A4D" w:rsidP="00AF5D62">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 xml:space="preserve"> </w:t>
            </w: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Pr="006D7094" w:rsidRDefault="004F2A4D" w:rsidP="00AF5D62">
            <w:pPr>
              <w:pStyle w:val="Textpoznpodarou"/>
              <w:jc w:val="both"/>
              <w:rPr>
                <w:rFonts w:cs="Arial"/>
                <w:color w:val="0D0D0D" w:themeColor="text1" w:themeTint="F2"/>
                <w:spacing w:val="-4"/>
              </w:rPr>
            </w:pPr>
            <w:r>
              <w:rPr>
                <w:rFonts w:cs="Arial"/>
                <w:color w:val="0D0D0D" w:themeColor="text1" w:themeTint="F2"/>
                <w:spacing w:val="-4"/>
              </w:rPr>
              <w:t xml:space="preserve">Za vyšší zaměstnanost vděčíme letos, podobně jako v celém období od konce recese, převážně zpracovatelskému průmyslu. Pracovalo v něm meziročně o 3,2 % osob více. Ve službách měl růst zaměstnanosti prakticky celoplošný charakter. Obdobně jako loni se dařilo váhově nejvýznamnějšímu seskupení odvětví – </w:t>
            </w:r>
            <w:r w:rsidRPr="001925A2">
              <w:rPr>
                <w:spacing w:val="-4"/>
              </w:rPr>
              <w:t>obchod, doprava, ubytování a</w:t>
            </w:r>
            <w:r>
              <w:rPr>
                <w:rFonts w:cs="Arial"/>
                <w:color w:val="0D0D0D" w:themeColor="text1" w:themeTint="F2"/>
                <w:spacing w:val="-4"/>
              </w:rPr>
              <w:t> </w:t>
            </w:r>
            <w:r w:rsidRPr="001925A2">
              <w:rPr>
                <w:spacing w:val="-4"/>
              </w:rPr>
              <w:t>pohostinství</w:t>
            </w:r>
            <w:r>
              <w:rPr>
                <w:spacing w:val="-4"/>
              </w:rPr>
              <w:t>, kde našlo uplatnění meziročně o 20 tis. osob více. Dynamika tvorby nových pracovních míst zrychlovala v</w:t>
            </w:r>
            <w:r w:rsidRPr="001925A2">
              <w:rPr>
                <w:spacing w:val="-4"/>
              </w:rPr>
              <w:t> </w:t>
            </w:r>
            <w:r w:rsidRPr="001925A2">
              <w:rPr>
                <w:color w:val="0D0D0D" w:themeColor="text1" w:themeTint="F2"/>
                <w:spacing w:val="-4"/>
              </w:rPr>
              <w:t>profe</w:t>
            </w:r>
            <w:r>
              <w:rPr>
                <w:color w:val="0D0D0D" w:themeColor="text1" w:themeTint="F2"/>
                <w:spacing w:val="-4"/>
              </w:rPr>
              <w:t>sních, vědeckých, technických a</w:t>
            </w:r>
            <w:r>
              <w:rPr>
                <w:rFonts w:cs="Arial"/>
                <w:color w:val="0D0D0D" w:themeColor="text1" w:themeTint="F2"/>
                <w:spacing w:val="-4"/>
              </w:rPr>
              <w:t> </w:t>
            </w:r>
            <w:r w:rsidRPr="001925A2">
              <w:rPr>
                <w:color w:val="0D0D0D" w:themeColor="text1" w:themeTint="F2"/>
                <w:spacing w:val="-4"/>
              </w:rPr>
              <w:t>administrativních činnostech</w:t>
            </w:r>
            <w:r>
              <w:rPr>
                <w:color w:val="0D0D0D" w:themeColor="text1" w:themeTint="F2"/>
                <w:spacing w:val="-4"/>
              </w:rPr>
              <w:t xml:space="preserve"> (na 4,4 %). Dařilo se i informačním a komunikačním činnostem, zároveň šlo o odvětví, kde celková zaměstnanost od konce recese (2.</w:t>
            </w:r>
            <w:r>
              <w:rPr>
                <w:rFonts w:cs="Arial"/>
                <w:color w:val="0D0D0D" w:themeColor="text1" w:themeTint="F2"/>
                <w:spacing w:val="-4"/>
              </w:rPr>
              <w:t> </w:t>
            </w:r>
            <w:r>
              <w:rPr>
                <w:color w:val="0D0D0D" w:themeColor="text1" w:themeTint="F2"/>
                <w:spacing w:val="-4"/>
              </w:rPr>
              <w:t xml:space="preserve">čtvrtletí 2013) posílila nejvíce. Nejnižším tempem za poslední čtyři roky se naopak navýšily stavy pracovníků </w:t>
            </w:r>
            <w:r>
              <w:rPr>
                <w:spacing w:val="-4"/>
              </w:rPr>
              <w:t>v úhrnu</w:t>
            </w:r>
            <w:r w:rsidRPr="001925A2">
              <w:rPr>
                <w:spacing w:val="-4"/>
              </w:rPr>
              <w:t xml:space="preserve"> </w:t>
            </w:r>
            <w:r>
              <w:rPr>
                <w:spacing w:val="-4"/>
              </w:rPr>
              <w:t>ve veřejné správě, obraně</w:t>
            </w:r>
            <w:r w:rsidRPr="001925A2">
              <w:rPr>
                <w:spacing w:val="-4"/>
              </w:rPr>
              <w:t>, vzdělávání, zdravotní a</w:t>
            </w:r>
            <w:r>
              <w:rPr>
                <w:rFonts w:cs="Arial"/>
                <w:color w:val="0D0D0D" w:themeColor="text1" w:themeTint="F2"/>
                <w:spacing w:val="-4"/>
              </w:rPr>
              <w:t> </w:t>
            </w:r>
            <w:r>
              <w:rPr>
                <w:spacing w:val="-4"/>
              </w:rPr>
              <w:t>sociální péči. Projevila se zde zejména stagnace zaměstnanosti ve vzdělávání.</w:t>
            </w:r>
          </w:p>
          <w:p w:rsidR="004F2A4D" w:rsidRPr="00F2389A" w:rsidRDefault="004F2A4D" w:rsidP="00AF5D62">
            <w:pPr>
              <w:pStyle w:val="Textpoznpodarou"/>
              <w:jc w:val="both"/>
              <w:rPr>
                <w:rFonts w:cs="Arial"/>
                <w:color w:val="0D0D0D" w:themeColor="text1" w:themeTint="F2"/>
                <w:spacing w:val="-4"/>
                <w:sz w:val="13"/>
                <w:szCs w:val="13"/>
              </w:rPr>
            </w:pPr>
          </w:p>
        </w:tc>
      </w:tr>
      <w:tr w:rsidR="004F2A4D" w:rsidTr="00AF5D62">
        <w:tc>
          <w:tcPr>
            <w:tcW w:w="1054" w:type="pct"/>
          </w:tcPr>
          <w:p w:rsidR="004F2A4D" w:rsidRPr="00A245E8" w:rsidRDefault="004F2A4D" w:rsidP="00AF5D62">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Po vyprchání dočasných stimulů souvisejících s evropskými dotacemi se zaměstnanost ve stavebnictví opět navrátila k poklesům</w:t>
            </w: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Pr="00D84C0A" w:rsidRDefault="004F2A4D" w:rsidP="00AF5D62">
            <w:pPr>
              <w:pStyle w:val="Textpoznpodarou"/>
              <w:jc w:val="both"/>
              <w:rPr>
                <w:rFonts w:cs="Arial"/>
                <w:color w:val="0D0D0D" w:themeColor="text1" w:themeTint="F2"/>
                <w:spacing w:val="-4"/>
              </w:rPr>
            </w:pPr>
            <w:r>
              <w:rPr>
                <w:rFonts w:cs="Arial"/>
                <w:color w:val="0D0D0D" w:themeColor="text1" w:themeTint="F2"/>
                <w:spacing w:val="-4"/>
              </w:rPr>
              <w:t>Stavebnictví po loňské stagnaci začalo letos opět pracovníky ztrácet, proti 1. loňskému pololetí jich ubylo o 1,4 %.</w:t>
            </w:r>
            <w:r w:rsidRPr="001925A2">
              <w:rPr>
                <w:rFonts w:cs="Arial"/>
                <w:color w:val="0D0D0D" w:themeColor="text1" w:themeTint="F2"/>
                <w:spacing w:val="-4"/>
              </w:rPr>
              <w:t xml:space="preserve"> S citelnou redukcí pracovních míst se</w:t>
            </w:r>
            <w:r>
              <w:rPr>
                <w:rFonts w:cs="Arial"/>
                <w:color w:val="0D0D0D" w:themeColor="text1" w:themeTint="F2"/>
                <w:spacing w:val="-4"/>
              </w:rPr>
              <w:t xml:space="preserve"> </w:t>
            </w:r>
            <w:proofErr w:type="gramStart"/>
            <w:r>
              <w:rPr>
                <w:rFonts w:cs="Arial"/>
                <w:color w:val="0D0D0D" w:themeColor="text1" w:themeTint="F2"/>
                <w:spacing w:val="-4"/>
              </w:rPr>
              <w:t xml:space="preserve">stále </w:t>
            </w:r>
            <w:r w:rsidRPr="001925A2">
              <w:rPr>
                <w:rFonts w:cs="Arial"/>
                <w:color w:val="0D0D0D" w:themeColor="text1" w:themeTint="F2"/>
                <w:spacing w:val="-4"/>
              </w:rPr>
              <w:t xml:space="preserve"> </w:t>
            </w:r>
            <w:r>
              <w:rPr>
                <w:rFonts w:cs="Arial"/>
                <w:color w:val="0D0D0D" w:themeColor="text1" w:themeTint="F2"/>
                <w:spacing w:val="-4"/>
              </w:rPr>
              <w:t xml:space="preserve"> </w:t>
            </w:r>
            <w:r w:rsidRPr="00626E85">
              <w:rPr>
                <w:rFonts w:cs="Arial"/>
                <w:color w:val="0D0D0D" w:themeColor="text1" w:themeTint="F2"/>
                <w:spacing w:val="-4"/>
              </w:rPr>
              <w:t>potýkají</w:t>
            </w:r>
            <w:proofErr w:type="gramEnd"/>
            <w:r w:rsidRPr="00626E85">
              <w:rPr>
                <w:rFonts w:cs="Arial"/>
                <w:color w:val="0D0D0D" w:themeColor="text1" w:themeTint="F2"/>
                <w:spacing w:val="-4"/>
              </w:rPr>
              <w:t xml:space="preserve"> i těžební společnosti (mezi roky 2008 a 2015 o čtvrtinu), naopak jen mírně klesla zaměstnanost v ostatních odvětvích primárního sektoru a v energetice.</w:t>
            </w:r>
          </w:p>
          <w:p w:rsidR="004F2A4D" w:rsidRPr="00F2389A" w:rsidRDefault="004F2A4D" w:rsidP="00AF5D62">
            <w:pPr>
              <w:pStyle w:val="Textpoznpodarou"/>
              <w:jc w:val="both"/>
              <w:rPr>
                <w:rFonts w:cs="Arial"/>
                <w:color w:val="0D0D0D" w:themeColor="text1" w:themeTint="F2"/>
                <w:spacing w:val="-4"/>
                <w:sz w:val="13"/>
                <w:szCs w:val="13"/>
              </w:rPr>
            </w:pPr>
          </w:p>
        </w:tc>
      </w:tr>
      <w:tr w:rsidR="004F2A4D" w:rsidRPr="003A21DC" w:rsidTr="00AF5D62">
        <w:tc>
          <w:tcPr>
            <w:tcW w:w="1054" w:type="pct"/>
          </w:tcPr>
          <w:p w:rsidR="004F2A4D" w:rsidRPr="00E23B96" w:rsidRDefault="004F2A4D" w:rsidP="00AF5D62">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 xml:space="preserve">Meziroční pokles počtu </w:t>
            </w:r>
            <w:proofErr w:type="spellStart"/>
            <w:r>
              <w:rPr>
                <w:rFonts w:cs="Arial"/>
                <w:bCs/>
                <w:iCs/>
                <w:color w:val="0D0D0D" w:themeColor="text1" w:themeTint="F2"/>
                <w:spacing w:val="-4"/>
                <w:sz w:val="16"/>
                <w:szCs w:val="16"/>
              </w:rPr>
              <w:t>sebezaměstnaných</w:t>
            </w:r>
            <w:proofErr w:type="spellEnd"/>
            <w:r>
              <w:rPr>
                <w:rFonts w:cs="Arial"/>
                <w:bCs/>
                <w:iCs/>
                <w:color w:val="0D0D0D" w:themeColor="text1" w:themeTint="F2"/>
                <w:spacing w:val="-4"/>
                <w:sz w:val="16"/>
                <w:szCs w:val="16"/>
              </w:rPr>
              <w:t xml:space="preserve"> osob (především drobných živnostníků) se po osmi čtvrtletích zastavil</w:t>
            </w: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Pr="001056C1" w:rsidRDefault="004F2A4D" w:rsidP="00AF5D62">
            <w:pPr>
              <w:pStyle w:val="Textpoznpodarou"/>
              <w:jc w:val="both"/>
              <w:rPr>
                <w:rFonts w:cs="Arial"/>
                <w:color w:val="0D0D0D" w:themeColor="text1" w:themeTint="F2"/>
                <w:spacing w:val="-4"/>
              </w:rPr>
            </w:pPr>
            <w:r>
              <w:rPr>
                <w:rFonts w:cs="Arial"/>
                <w:color w:val="0D0D0D" w:themeColor="text1" w:themeTint="F2"/>
                <w:spacing w:val="-4"/>
              </w:rPr>
              <w:t xml:space="preserve">Strukturální změny na </w:t>
            </w:r>
            <w:r w:rsidRPr="001056C1">
              <w:rPr>
                <w:rFonts w:cs="Arial"/>
                <w:color w:val="0D0D0D" w:themeColor="text1" w:themeTint="F2"/>
                <w:spacing w:val="-4"/>
              </w:rPr>
              <w:t xml:space="preserve">trhu </w:t>
            </w:r>
            <w:r>
              <w:rPr>
                <w:rFonts w:cs="Arial"/>
                <w:color w:val="0D0D0D" w:themeColor="text1" w:themeTint="F2"/>
                <w:spacing w:val="-4"/>
              </w:rPr>
              <w:t xml:space="preserve">práce </w:t>
            </w:r>
            <w:r w:rsidRPr="001056C1">
              <w:rPr>
                <w:rFonts w:cs="Arial"/>
                <w:color w:val="0D0D0D" w:themeColor="text1" w:themeTint="F2"/>
                <w:spacing w:val="-4"/>
              </w:rPr>
              <w:t>vyjádřené odlišným vývojem počtu zaměstnanců</w:t>
            </w:r>
            <w:r>
              <w:rPr>
                <w:rFonts w:cs="Arial"/>
                <w:color w:val="0D0D0D" w:themeColor="text1" w:themeTint="F2"/>
                <w:spacing w:val="-4"/>
              </w:rPr>
              <w:t xml:space="preserve"> a </w:t>
            </w:r>
            <w:proofErr w:type="spellStart"/>
            <w:r w:rsidRPr="001056C1">
              <w:rPr>
                <w:rFonts w:cs="Arial"/>
                <w:color w:val="0D0D0D" w:themeColor="text1" w:themeTint="F2"/>
                <w:spacing w:val="-4"/>
              </w:rPr>
              <w:t>sebezaměstnaných</w:t>
            </w:r>
            <w:proofErr w:type="spellEnd"/>
            <w:r w:rsidRPr="001056C1">
              <w:rPr>
                <w:rFonts w:cs="Arial"/>
                <w:color w:val="0D0D0D" w:themeColor="text1" w:themeTint="F2"/>
                <w:spacing w:val="-4"/>
              </w:rPr>
              <w:t xml:space="preserve"> pokračovaly. Zatímco zaměstnaneckých míst bylo o 2,2 % více, </w:t>
            </w:r>
            <w:proofErr w:type="spellStart"/>
            <w:r w:rsidRPr="001056C1">
              <w:rPr>
                <w:rFonts w:cs="Arial"/>
                <w:color w:val="0D0D0D" w:themeColor="text1" w:themeTint="F2"/>
                <w:spacing w:val="-4"/>
              </w:rPr>
              <w:t>sebezaměstnaných</w:t>
            </w:r>
            <w:proofErr w:type="spellEnd"/>
            <w:r w:rsidRPr="001056C1">
              <w:rPr>
                <w:rFonts w:cs="Arial"/>
                <w:color w:val="0D0D0D" w:themeColor="text1" w:themeTint="F2"/>
                <w:spacing w:val="-4"/>
              </w:rPr>
              <w:t xml:space="preserve"> o 1 % ubylo (v samotném 2. čtvrtletí se jejich meziroční pokles zastavil</w:t>
            </w:r>
            <w:r>
              <w:rPr>
                <w:rFonts w:cs="Arial"/>
                <w:color w:val="0D0D0D" w:themeColor="text1" w:themeTint="F2"/>
                <w:spacing w:val="-4"/>
              </w:rPr>
              <w:t xml:space="preserve">, do jaké míry jde o náznak dlouhodobějších </w:t>
            </w:r>
            <w:proofErr w:type="gramStart"/>
            <w:r>
              <w:rPr>
                <w:rFonts w:cs="Arial"/>
                <w:color w:val="0D0D0D" w:themeColor="text1" w:themeTint="F2"/>
                <w:spacing w:val="-4"/>
              </w:rPr>
              <w:t>tendencí ale</w:t>
            </w:r>
            <w:proofErr w:type="gramEnd"/>
            <w:r>
              <w:rPr>
                <w:rFonts w:cs="Arial"/>
                <w:color w:val="0D0D0D" w:themeColor="text1" w:themeTint="F2"/>
                <w:spacing w:val="-4"/>
              </w:rPr>
              <w:t xml:space="preserve"> ukážou až údaje v druhé polovině roku). Skutečností zůstává, že počty zaměstnanců vykazují oproti </w:t>
            </w:r>
            <w:proofErr w:type="spellStart"/>
            <w:r>
              <w:rPr>
                <w:rFonts w:cs="Arial"/>
                <w:color w:val="0D0D0D" w:themeColor="text1" w:themeTint="F2"/>
                <w:spacing w:val="-4"/>
              </w:rPr>
              <w:t>sebezaměstnaným</w:t>
            </w:r>
            <w:proofErr w:type="spellEnd"/>
            <w:r>
              <w:rPr>
                <w:rFonts w:cs="Arial"/>
                <w:color w:val="0D0D0D" w:themeColor="text1" w:themeTint="F2"/>
                <w:spacing w:val="-4"/>
              </w:rPr>
              <w:t xml:space="preserve"> příznivější růstová tempa nepřetržitě již od poloviny roku 2012.</w:t>
            </w:r>
          </w:p>
          <w:p w:rsidR="004F2A4D" w:rsidRPr="00F2389A" w:rsidRDefault="004F2A4D" w:rsidP="00AF5D62">
            <w:pPr>
              <w:pStyle w:val="Textpoznpodarou"/>
              <w:jc w:val="both"/>
              <w:rPr>
                <w:rFonts w:cs="Arial"/>
                <w:color w:val="0D0D0D" w:themeColor="text1" w:themeTint="F2"/>
                <w:spacing w:val="-2"/>
                <w:sz w:val="13"/>
                <w:szCs w:val="13"/>
              </w:rPr>
            </w:pPr>
          </w:p>
        </w:tc>
      </w:tr>
      <w:tr w:rsidR="004F2A4D" w:rsidTr="00AF5D62">
        <w:tc>
          <w:tcPr>
            <w:tcW w:w="1054" w:type="pct"/>
          </w:tcPr>
          <w:p w:rsidR="004F2A4D" w:rsidRDefault="004F2A4D" w:rsidP="00AF5D62">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Počet odpracovaných hodin rostl meziročně oproti celkové zaměstnanosti více než dvojnásobným tempem…</w:t>
            </w:r>
          </w:p>
          <w:p w:rsidR="004F2A4D" w:rsidRDefault="004F2A4D" w:rsidP="00AF5D62">
            <w:pPr>
              <w:spacing w:line="240" w:lineRule="auto"/>
              <w:rPr>
                <w:rFonts w:cs="Arial"/>
                <w:bCs/>
                <w:iCs/>
                <w:color w:val="0D0D0D" w:themeColor="text1" w:themeTint="F2"/>
                <w:spacing w:val="-4"/>
                <w:sz w:val="16"/>
                <w:szCs w:val="16"/>
              </w:rPr>
            </w:pPr>
          </w:p>
          <w:p w:rsidR="004F2A4D" w:rsidRDefault="004F2A4D" w:rsidP="00AF5D62">
            <w:pPr>
              <w:spacing w:line="240" w:lineRule="auto"/>
              <w:rPr>
                <w:rFonts w:cs="Arial"/>
                <w:bCs/>
                <w:iCs/>
                <w:color w:val="0D0D0D" w:themeColor="text1" w:themeTint="F2"/>
                <w:spacing w:val="-4"/>
                <w:sz w:val="16"/>
                <w:szCs w:val="16"/>
              </w:rPr>
            </w:pPr>
          </w:p>
          <w:p w:rsidR="004F2A4D" w:rsidRPr="006828C5" w:rsidRDefault="004F2A4D" w:rsidP="00AF5D62">
            <w:pPr>
              <w:spacing w:line="240" w:lineRule="auto"/>
              <w:rPr>
                <w:rFonts w:cs="Arial"/>
                <w:bCs/>
                <w:iCs/>
                <w:color w:val="0D0D0D" w:themeColor="text1" w:themeTint="F2"/>
                <w:spacing w:val="-2"/>
                <w:sz w:val="16"/>
                <w:szCs w:val="16"/>
              </w:rPr>
            </w:pPr>
            <w:r w:rsidRPr="006828C5">
              <w:rPr>
                <w:rFonts w:cs="Arial"/>
                <w:bCs/>
                <w:iCs/>
                <w:color w:val="0D0D0D" w:themeColor="text1" w:themeTint="F2"/>
                <w:spacing w:val="-2"/>
                <w:sz w:val="16"/>
                <w:szCs w:val="16"/>
              </w:rPr>
              <w:t>… Hodinová produktivita práce v celé ekonomice poprvé po devíti čtvrtletích meziročně poklesla</w:t>
            </w: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Pr="004642D4" w:rsidRDefault="004F2A4D" w:rsidP="00AF5D62">
            <w:pPr>
              <w:pStyle w:val="Textpoznpodarou"/>
              <w:jc w:val="both"/>
              <w:rPr>
                <w:spacing w:val="-4"/>
              </w:rPr>
            </w:pPr>
            <w:r w:rsidRPr="004642D4">
              <w:rPr>
                <w:rFonts w:cs="Arial"/>
                <w:color w:val="0D0D0D" w:themeColor="text1" w:themeTint="F2"/>
                <w:spacing w:val="-4"/>
              </w:rPr>
              <w:t xml:space="preserve">Navzdory vysoké dynamice zaměstnanosti produktivita práce i nadále rostla. Hrubá přidaná hodnota (HPH) na 1 pracovníka byla meziročně o 1 % vyšší (za celý rok 2015 o 2,6 %). HPH v relaci na odpracovanou hodinu se na počátku roku poprvé po devíti čtvrtletích snížila </w:t>
            </w:r>
            <w:r>
              <w:rPr>
                <w:rFonts w:cs="Arial"/>
                <w:color w:val="0D0D0D" w:themeColor="text1" w:themeTint="F2"/>
                <w:spacing w:val="-4"/>
              </w:rPr>
              <w:t>(</w:t>
            </w:r>
            <w:r w:rsidRPr="004642D4">
              <w:rPr>
                <w:rFonts w:cs="Arial"/>
                <w:color w:val="0D0D0D" w:themeColor="text1" w:themeTint="F2"/>
                <w:spacing w:val="-4"/>
              </w:rPr>
              <w:t>v 2. čtvrtletí až na -2,3 %), a to prakticky ve všech významných odvětvích. Promítl se zde nebývale vysoký růst počtu odpracovaných hodin (</w:t>
            </w:r>
            <w:r>
              <w:rPr>
                <w:rFonts w:cs="Arial"/>
                <w:color w:val="0D0D0D" w:themeColor="text1" w:themeTint="F2"/>
                <w:spacing w:val="-4"/>
              </w:rPr>
              <w:t>v</w:t>
            </w:r>
            <w:r w:rsidRPr="004642D4">
              <w:rPr>
                <w:rFonts w:cs="Arial"/>
                <w:color w:val="0D0D0D" w:themeColor="text1" w:themeTint="F2"/>
                <w:spacing w:val="-4"/>
              </w:rPr>
              <w:t> </w:t>
            </w:r>
            <w:r>
              <w:rPr>
                <w:rFonts w:cs="Arial"/>
                <w:color w:val="0D0D0D" w:themeColor="text1" w:themeTint="F2"/>
                <w:spacing w:val="-4"/>
              </w:rPr>
              <w:t>1.</w:t>
            </w:r>
            <w:r w:rsidRPr="004642D4">
              <w:rPr>
                <w:rFonts w:cs="Arial"/>
                <w:color w:val="0D0D0D" w:themeColor="text1" w:themeTint="F2"/>
                <w:spacing w:val="-4"/>
              </w:rPr>
              <w:t xml:space="preserve"> čtvrtletí o 3,1%, ve 2. čtvrtletí o 5,1 %), což může souviset se skutečností, že firmy reagují na aktuální nedostatek kvalifikovaných pracovníků intenzivnějším využitím stávající pracovní síly. </w:t>
            </w:r>
            <w:r w:rsidRPr="004642D4">
              <w:rPr>
                <w:spacing w:val="-4"/>
              </w:rPr>
              <w:t>Proti 1. pololetí konjunkturního roku 2008 byla letos hodinová produktivita v celé ekonomice o 5 % vyšší, ve zpracovatelském průmyslu o</w:t>
            </w:r>
            <w:r w:rsidRPr="004642D4">
              <w:rPr>
                <w:rFonts w:cs="Arial"/>
                <w:color w:val="0D0D0D" w:themeColor="text1" w:themeTint="F2"/>
                <w:spacing w:val="-4"/>
              </w:rPr>
              <w:t> </w:t>
            </w:r>
            <w:r w:rsidRPr="004642D4">
              <w:rPr>
                <w:spacing w:val="-4"/>
              </w:rPr>
              <w:t>pětinu, výrazně rostla také v agrárním a finančním sektoru.</w:t>
            </w:r>
          </w:p>
          <w:p w:rsidR="004F2A4D" w:rsidRPr="00F2389A" w:rsidRDefault="004F2A4D" w:rsidP="00AF5D62">
            <w:pPr>
              <w:pStyle w:val="Textpoznpodarou"/>
              <w:jc w:val="both"/>
              <w:rPr>
                <w:rFonts w:cs="Arial"/>
                <w:color w:val="0D0D0D" w:themeColor="text1" w:themeTint="F2"/>
                <w:spacing w:val="-2"/>
                <w:sz w:val="13"/>
                <w:szCs w:val="13"/>
              </w:rPr>
            </w:pPr>
          </w:p>
        </w:tc>
      </w:tr>
      <w:tr w:rsidR="004F2A4D" w:rsidTr="00AF5D62">
        <w:tc>
          <w:tcPr>
            <w:tcW w:w="1054" w:type="pct"/>
          </w:tcPr>
          <w:p w:rsidR="004F2A4D" w:rsidRDefault="004F2A4D" w:rsidP="00AF5D62">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Nabídka</w:t>
            </w:r>
            <w:r w:rsidRPr="00FF497C">
              <w:rPr>
                <w:rFonts w:cs="Arial"/>
                <w:bCs/>
                <w:iCs/>
                <w:color w:val="0D0D0D" w:themeColor="text1" w:themeTint="F2"/>
                <w:spacing w:val="-4"/>
                <w:sz w:val="16"/>
                <w:szCs w:val="16"/>
              </w:rPr>
              <w:t xml:space="preserve"> volných pracovních míst p</w:t>
            </w:r>
            <w:r w:rsidR="00F835E1">
              <w:rPr>
                <w:rFonts w:cs="Arial"/>
                <w:bCs/>
                <w:iCs/>
                <w:color w:val="0D0D0D" w:themeColor="text1" w:themeTint="F2"/>
                <w:spacing w:val="-4"/>
                <w:sz w:val="16"/>
                <w:szCs w:val="16"/>
              </w:rPr>
              <w:t>lynule nar</w:t>
            </w:r>
            <w:r>
              <w:rPr>
                <w:rFonts w:cs="Arial"/>
                <w:bCs/>
                <w:iCs/>
                <w:color w:val="0D0D0D" w:themeColor="text1" w:themeTint="F2"/>
                <w:spacing w:val="-4"/>
                <w:sz w:val="16"/>
                <w:szCs w:val="16"/>
              </w:rPr>
              <w:t>ůstala, ÚP jich koncem června evidovaly 134 tis., nejvíce od září 2008</w:t>
            </w:r>
          </w:p>
          <w:p w:rsidR="004F2A4D" w:rsidRDefault="004F2A4D" w:rsidP="00AF5D62">
            <w:pPr>
              <w:spacing w:line="240" w:lineRule="auto"/>
              <w:rPr>
                <w:rFonts w:cs="Arial"/>
                <w:bCs/>
                <w:iCs/>
                <w:color w:val="0D0D0D" w:themeColor="text1" w:themeTint="F2"/>
                <w:spacing w:val="-4"/>
                <w:sz w:val="16"/>
                <w:szCs w:val="16"/>
              </w:rPr>
            </w:pPr>
          </w:p>
          <w:p w:rsidR="004F2A4D" w:rsidRDefault="004F2A4D" w:rsidP="00AF5D62">
            <w:pPr>
              <w:spacing w:line="240" w:lineRule="auto"/>
              <w:rPr>
                <w:rFonts w:cs="Arial"/>
                <w:bCs/>
                <w:iCs/>
                <w:color w:val="0D0D0D" w:themeColor="text1" w:themeTint="F2"/>
                <w:spacing w:val="-4"/>
                <w:sz w:val="16"/>
                <w:szCs w:val="16"/>
              </w:rPr>
            </w:pPr>
          </w:p>
          <w:p w:rsidR="004F2A4D" w:rsidRPr="00FF497C" w:rsidRDefault="004F2A4D" w:rsidP="00AF5D62">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lastRenderedPageBreak/>
              <w:t>Uchazeči o zaměstnání v kvalifikovaných manuálních profesích měli větší šanci na uplatnění (prostřednictvím ÚP) nežli zákonodárci a řídící pracovníci a s</w:t>
            </w:r>
            <w:r w:rsidRPr="00683634">
              <w:rPr>
                <w:rFonts w:cs="Arial"/>
                <w:bCs/>
                <w:iCs/>
                <w:color w:val="0D0D0D" w:themeColor="text1" w:themeTint="F2"/>
                <w:spacing w:val="-4"/>
                <w:sz w:val="16"/>
                <w:szCs w:val="16"/>
              </w:rPr>
              <w:t>pecialisté</w:t>
            </w: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Pr="000163C9" w:rsidRDefault="004F2A4D" w:rsidP="00AF5D62">
            <w:pPr>
              <w:pStyle w:val="Textpoznpodarou"/>
              <w:jc w:val="both"/>
              <w:rPr>
                <w:rFonts w:cs="Arial"/>
                <w:color w:val="0D0D0D" w:themeColor="text1" w:themeTint="F2"/>
                <w:spacing w:val="-4"/>
              </w:rPr>
            </w:pPr>
            <w:r w:rsidRPr="00AA16F1">
              <w:rPr>
                <w:rFonts w:cs="Arial"/>
                <w:color w:val="0D0D0D" w:themeColor="text1" w:themeTint="F2"/>
                <w:spacing w:val="-4"/>
              </w:rPr>
              <w:t>Úřady práce (ÚP) nabízely na konci 2. čtvrtletí 134 tis. neobsazených míst (mezir</w:t>
            </w:r>
            <w:r w:rsidR="00D439C2">
              <w:rPr>
                <w:rFonts w:cs="Arial"/>
                <w:color w:val="0D0D0D" w:themeColor="text1" w:themeTint="F2"/>
                <w:spacing w:val="-4"/>
              </w:rPr>
              <w:t xml:space="preserve">očně o téměř 40 % více), </w:t>
            </w:r>
            <w:r w:rsidRPr="00AA16F1">
              <w:rPr>
                <w:rFonts w:cs="Arial"/>
                <w:color w:val="0D0D0D" w:themeColor="text1" w:themeTint="F2"/>
                <w:spacing w:val="-4"/>
              </w:rPr>
              <w:t xml:space="preserve">počet </w:t>
            </w:r>
            <w:r w:rsidR="00D439C2">
              <w:rPr>
                <w:rFonts w:cs="Arial"/>
                <w:color w:val="0D0D0D" w:themeColor="text1" w:themeTint="F2"/>
                <w:spacing w:val="-4"/>
              </w:rPr>
              <w:t xml:space="preserve">míst </w:t>
            </w:r>
            <w:r w:rsidRPr="00AA16F1">
              <w:rPr>
                <w:rFonts w:cs="Arial"/>
                <w:color w:val="0D0D0D" w:themeColor="text1" w:themeTint="F2"/>
                <w:spacing w:val="-4"/>
              </w:rPr>
              <w:t>se tak zvolna blíží historickému maximu z dubna 2008 (152 tis.). Proti počátku roku přibylo letos 31 tis. pozic, ve stejném období loňského roku byl však přírůstek mírně vyšší. Pozitivní bylo, že nová pracovní místa</w:t>
            </w:r>
            <w:r>
              <w:rPr>
                <w:rFonts w:cs="Arial"/>
                <w:color w:val="0D0D0D" w:themeColor="text1" w:themeTint="F2"/>
                <w:spacing w:val="-4"/>
              </w:rPr>
              <w:t xml:space="preserve"> vznikala v</w:t>
            </w:r>
            <w:r w:rsidR="00D439C2">
              <w:rPr>
                <w:rFonts w:cs="Arial"/>
                <w:color w:val="0D0D0D" w:themeColor="text1" w:themeTint="F2"/>
                <w:spacing w:val="-4"/>
              </w:rPr>
              <w:t>e větší míře i v hospodářsky</w:t>
            </w:r>
            <w:r w:rsidRPr="00AA16F1">
              <w:rPr>
                <w:rFonts w:cs="Arial"/>
                <w:color w:val="0D0D0D" w:themeColor="text1" w:themeTint="F2"/>
                <w:spacing w:val="-4"/>
              </w:rPr>
              <w:t xml:space="preserve"> méně vyspělých či strukturálně postižených regionech. </w:t>
            </w:r>
            <w:r w:rsidR="00D439C2">
              <w:rPr>
                <w:rFonts w:cs="Arial"/>
                <w:color w:val="0D0D0D" w:themeColor="text1" w:themeTint="F2"/>
                <w:spacing w:val="-4"/>
              </w:rPr>
              <w:lastRenderedPageBreak/>
              <w:t>Dokládá to mj.</w:t>
            </w:r>
            <w:r w:rsidRPr="00600121">
              <w:rPr>
                <w:rFonts w:cs="Arial"/>
                <w:color w:val="0D0D0D" w:themeColor="text1" w:themeTint="F2"/>
                <w:spacing w:val="-4"/>
              </w:rPr>
              <w:t xml:space="preserve"> výrazné zlepšení poměru mezi registrovanými uchazeči a volnými místy</w:t>
            </w:r>
            <w:r w:rsidRPr="00600121">
              <w:rPr>
                <w:rStyle w:val="Znakapoznpodarou"/>
                <w:color w:val="0D0D0D" w:themeColor="text1" w:themeTint="F2"/>
                <w:spacing w:val="-4"/>
              </w:rPr>
              <w:footnoteReference w:id="2"/>
            </w:r>
            <w:r w:rsidRPr="00600121">
              <w:rPr>
                <w:rFonts w:cs="Arial"/>
                <w:color w:val="0D0D0D" w:themeColor="text1" w:themeTint="F2"/>
                <w:spacing w:val="-4"/>
              </w:rPr>
              <w:t xml:space="preserve">. Přetrvává však stále významný kvalifikační </w:t>
            </w:r>
            <w:r w:rsidRPr="00600121">
              <w:rPr>
                <w:spacing w:val="-4"/>
              </w:rPr>
              <w:t>nesoulad mezi nabízenými volnými místy a</w:t>
            </w:r>
            <w:r w:rsidRPr="00600121">
              <w:rPr>
                <w:color w:val="0D0D0D" w:themeColor="text1" w:themeTint="F2"/>
                <w:spacing w:val="-4"/>
              </w:rPr>
              <w:t> </w:t>
            </w:r>
            <w:r w:rsidRPr="00600121">
              <w:rPr>
                <w:spacing w:val="-4"/>
              </w:rPr>
              <w:t>registrovanými uchazeči o zaměstnání. Nejsnáze mohli sehnat práci uchazeči ve skupině „obsluha strojů a zařízení, montéři“ (nepřetržitě od jara 2014), na jedno volné místo zde na konci června 2016 připadalo jen 1,2 uchazečů. Velmi dobré vyhlídky měli i řemeslníci a opraváři (1,6 uchazečů na m</w:t>
            </w:r>
            <w:r w:rsidRPr="00600121">
              <w:rPr>
                <w:color w:val="000000" w:themeColor="text1"/>
                <w:spacing w:val="-4"/>
              </w:rPr>
              <w:t>ísto), za poslední rok se také výrazně zlepšilo postavení nekvalifikovaných a pomocných pracovníků, kteří měli dvakrát větší šanci na uplatnění než úředníci (v rámci své kvalifikační třídy).</w:t>
            </w:r>
          </w:p>
          <w:p w:rsidR="004F2A4D" w:rsidRPr="00F2389A" w:rsidRDefault="004F2A4D" w:rsidP="00AF5D62">
            <w:pPr>
              <w:pStyle w:val="Textpoznpodarou"/>
              <w:jc w:val="both"/>
              <w:rPr>
                <w:spacing w:val="-4"/>
                <w:sz w:val="13"/>
                <w:szCs w:val="13"/>
              </w:rPr>
            </w:pPr>
          </w:p>
        </w:tc>
      </w:tr>
      <w:tr w:rsidR="004F2A4D" w:rsidTr="00AF5D62">
        <w:tc>
          <w:tcPr>
            <w:tcW w:w="1054" w:type="pct"/>
          </w:tcPr>
          <w:p w:rsidR="004F2A4D" w:rsidRPr="00976BD9" w:rsidRDefault="004F2A4D" w:rsidP="00AF5D62">
            <w:pPr>
              <w:spacing w:line="240" w:lineRule="auto"/>
              <w:rPr>
                <w:sz w:val="16"/>
                <w:szCs w:val="16"/>
              </w:rPr>
            </w:pPr>
            <w:r>
              <w:rPr>
                <w:sz w:val="16"/>
                <w:szCs w:val="16"/>
              </w:rPr>
              <w:lastRenderedPageBreak/>
              <w:t xml:space="preserve">Česko patřilo na konci 1. pololetí společně s Německem a Maltou k zemím EU s nejnižší mírou nezaměstnanosti, u mužů drží Česko nejlepší postavení již nepřetržitě od dubna 2014 </w:t>
            </w:r>
          </w:p>
        </w:tc>
        <w:tc>
          <w:tcPr>
            <w:tcW w:w="142" w:type="pct"/>
          </w:tcPr>
          <w:p w:rsidR="004F2A4D" w:rsidRPr="000A12D1" w:rsidRDefault="004F2A4D" w:rsidP="00AF5D62">
            <w:pPr>
              <w:pStyle w:val="Textpoznpodarou"/>
              <w:jc w:val="both"/>
            </w:pPr>
          </w:p>
        </w:tc>
        <w:tc>
          <w:tcPr>
            <w:tcW w:w="3804" w:type="pct"/>
          </w:tcPr>
          <w:p w:rsidR="004F2A4D" w:rsidRPr="00CB3BD4" w:rsidRDefault="004F2A4D" w:rsidP="00AF5D62">
            <w:pPr>
              <w:pStyle w:val="Textpoznpodarou"/>
              <w:jc w:val="both"/>
              <w:rPr>
                <w:rFonts w:cs="Arial"/>
                <w:color w:val="333333"/>
                <w:spacing w:val="-4"/>
              </w:rPr>
            </w:pPr>
            <w:r w:rsidRPr="00162B42">
              <w:rPr>
                <w:rFonts w:cs="Arial"/>
                <w:spacing w:val="-4"/>
              </w:rPr>
              <w:t xml:space="preserve">Míra nezaměstnanosti se nadále snižovala, postupně však zřejmě narážela na své limity. Svědčí o tom slábnoucí dynamika poklesu </w:t>
            </w:r>
            <w:r w:rsidRPr="00162B42">
              <w:rPr>
                <w:rFonts w:cs="Arial"/>
                <w:color w:val="0D0D0D" w:themeColor="text1" w:themeTint="F2"/>
                <w:spacing w:val="-4"/>
              </w:rPr>
              <w:t xml:space="preserve">obecné míry nezaměstnanosti </w:t>
            </w:r>
            <w:r w:rsidRPr="00162B42">
              <w:rPr>
                <w:rFonts w:cs="Arial"/>
                <w:spacing w:val="-4"/>
              </w:rPr>
              <w:t>(ve věku 15</w:t>
            </w:r>
            <w:r w:rsidRPr="00162B42">
              <w:rPr>
                <w:rFonts w:cs="Arial"/>
                <w:color w:val="0D0D0D" w:themeColor="text1" w:themeTint="F2"/>
                <w:spacing w:val="-4"/>
              </w:rPr>
              <w:t>–</w:t>
            </w:r>
            <w:r w:rsidRPr="00162B42">
              <w:rPr>
                <w:rFonts w:cs="Arial"/>
                <w:spacing w:val="-4"/>
              </w:rPr>
              <w:t xml:space="preserve">64 let, očištěné od </w:t>
            </w:r>
            <w:r w:rsidRPr="00F835E1">
              <w:rPr>
                <w:rFonts w:cs="Arial"/>
                <w:color w:val="0D0D0D" w:themeColor="text1" w:themeTint="F2"/>
                <w:spacing w:val="-4"/>
              </w:rPr>
              <w:t xml:space="preserve">sezónních vlivů) – ta se mezi lednem a červnem roku 2016 snížila jen o 0,2 </w:t>
            </w:r>
            <w:proofErr w:type="spellStart"/>
            <w:proofErr w:type="gramStart"/>
            <w:r w:rsidRPr="00F835E1">
              <w:rPr>
                <w:rFonts w:cs="Arial"/>
                <w:color w:val="0D0D0D" w:themeColor="text1" w:themeTint="F2"/>
                <w:spacing w:val="-4"/>
              </w:rPr>
              <w:t>p.b</w:t>
            </w:r>
            <w:proofErr w:type="spellEnd"/>
            <w:r w:rsidRPr="00F835E1">
              <w:rPr>
                <w:rFonts w:cs="Arial"/>
                <w:color w:val="0D0D0D" w:themeColor="text1" w:themeTint="F2"/>
                <w:spacing w:val="-4"/>
              </w:rPr>
              <w:t>. (na</w:t>
            </w:r>
            <w:proofErr w:type="gramEnd"/>
            <w:r w:rsidRPr="00F835E1">
              <w:rPr>
                <w:rFonts w:cs="Arial"/>
                <w:color w:val="0D0D0D" w:themeColor="text1" w:themeTint="F2"/>
                <w:spacing w:val="-4"/>
              </w:rPr>
              <w:t xml:space="preserve"> 4,2 %). Míra nezaměstnanosti poklesla ve všech vzdělanostních skupinách, nejvíce u osob se středním vzděláním bez maturity vč. vyučených (ve 2. čtvrtletí 4,2 %, o rok dříve 5,7 %), naopak vysoká (a to i v rámci všech zemí EU) přetrvává v relativně méně početné skupině osob se základním vzděláním (20,9 %, od konce recese se snížila jen o 5,2 </w:t>
            </w:r>
            <w:proofErr w:type="spellStart"/>
            <w:proofErr w:type="gramStart"/>
            <w:r w:rsidRPr="00F835E1">
              <w:rPr>
                <w:rFonts w:cs="Arial"/>
                <w:color w:val="0D0D0D" w:themeColor="text1" w:themeTint="F2"/>
                <w:spacing w:val="-4"/>
              </w:rPr>
              <w:t>p.b</w:t>
            </w:r>
            <w:proofErr w:type="spellEnd"/>
            <w:r w:rsidRPr="00F835E1">
              <w:rPr>
                <w:rFonts w:cs="Arial"/>
                <w:color w:val="0D0D0D" w:themeColor="text1" w:themeTint="F2"/>
                <w:spacing w:val="-4"/>
              </w:rPr>
              <w:t>.).</w:t>
            </w:r>
            <w:proofErr w:type="gramEnd"/>
          </w:p>
          <w:p w:rsidR="004F2A4D" w:rsidRPr="00F2389A" w:rsidRDefault="004F2A4D" w:rsidP="00AF5D62">
            <w:pPr>
              <w:pStyle w:val="Textpoznpodarou"/>
              <w:jc w:val="both"/>
              <w:rPr>
                <w:sz w:val="13"/>
                <w:szCs w:val="13"/>
              </w:rPr>
            </w:pPr>
          </w:p>
        </w:tc>
      </w:tr>
      <w:tr w:rsidR="004F2A4D" w:rsidTr="00AF5D62">
        <w:tc>
          <w:tcPr>
            <w:tcW w:w="1054" w:type="pct"/>
          </w:tcPr>
          <w:p w:rsidR="004F2A4D" w:rsidRDefault="004F2A4D" w:rsidP="00AF5D62">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V 1. pololetí meziroční růst průměrných mezd zrychlil na 4,2 %, v rámci 1. pololetí šlo o nejvyšší tempo od roku 2008, kdy však byl silný nominální růst znehodnocen vysokou inflací</w:t>
            </w:r>
          </w:p>
          <w:p w:rsidR="004F2A4D" w:rsidRDefault="004F2A4D" w:rsidP="00AF5D62">
            <w:pPr>
              <w:spacing w:line="240" w:lineRule="auto"/>
              <w:rPr>
                <w:rFonts w:cs="Arial"/>
                <w:bCs/>
                <w:iCs/>
                <w:color w:val="0D0D0D" w:themeColor="text1" w:themeTint="F2"/>
                <w:spacing w:val="-4"/>
                <w:sz w:val="16"/>
                <w:szCs w:val="16"/>
              </w:rPr>
            </w:pPr>
          </w:p>
          <w:p w:rsidR="004F2A4D" w:rsidRDefault="004F2A4D" w:rsidP="00AF5D62">
            <w:pPr>
              <w:spacing w:line="240" w:lineRule="auto"/>
              <w:rPr>
                <w:rFonts w:cs="Arial"/>
                <w:bCs/>
                <w:iCs/>
                <w:color w:val="0D0D0D" w:themeColor="text1" w:themeTint="F2"/>
                <w:spacing w:val="-4"/>
                <w:sz w:val="16"/>
                <w:szCs w:val="16"/>
              </w:rPr>
            </w:pPr>
          </w:p>
          <w:p w:rsidR="004F2A4D" w:rsidRDefault="004F2A4D" w:rsidP="00AF5D62">
            <w:pPr>
              <w:spacing w:line="240" w:lineRule="auto"/>
              <w:rPr>
                <w:rFonts w:cs="Arial"/>
                <w:bCs/>
                <w:iCs/>
                <w:color w:val="0D0D0D" w:themeColor="text1" w:themeTint="F2"/>
                <w:spacing w:val="-4"/>
                <w:sz w:val="16"/>
                <w:szCs w:val="16"/>
              </w:rPr>
            </w:pPr>
          </w:p>
          <w:p w:rsidR="004F2A4D" w:rsidRDefault="004F2A4D" w:rsidP="00AF5D62">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Průměrné mzdy se nejvíce navyšovaly v Ústeckém kraji a na Vysočině (shodně o</w:t>
            </w:r>
            <w:r>
              <w:rPr>
                <w:sz w:val="16"/>
                <w:szCs w:val="16"/>
              </w:rPr>
              <w:t> </w:t>
            </w:r>
            <w:r>
              <w:rPr>
                <w:rFonts w:cs="Arial"/>
                <w:bCs/>
                <w:iCs/>
                <w:color w:val="0D0D0D" w:themeColor="text1" w:themeTint="F2"/>
                <w:spacing w:val="-4"/>
                <w:sz w:val="16"/>
                <w:szCs w:val="16"/>
              </w:rPr>
              <w:t>4,6 %), objem vyplacených mezd meziročně rostl nejvíce ve středních Čechách (i</w:t>
            </w:r>
            <w:r>
              <w:rPr>
                <w:sz w:val="16"/>
                <w:szCs w:val="16"/>
              </w:rPr>
              <w:t> </w:t>
            </w:r>
            <w:r>
              <w:rPr>
                <w:rFonts w:cs="Arial"/>
                <w:bCs/>
                <w:iCs/>
                <w:color w:val="0D0D0D" w:themeColor="text1" w:themeTint="F2"/>
                <w:spacing w:val="-4"/>
                <w:sz w:val="16"/>
                <w:szCs w:val="16"/>
              </w:rPr>
              <w:t>vlivem dynamickému růstu zaměstnanosti v průmyslu)</w:t>
            </w:r>
          </w:p>
          <w:p w:rsidR="004F2A4D" w:rsidRDefault="004F2A4D" w:rsidP="00AF5D62">
            <w:pPr>
              <w:spacing w:line="240" w:lineRule="auto"/>
              <w:rPr>
                <w:rFonts w:cs="Arial"/>
                <w:bCs/>
                <w:iCs/>
                <w:color w:val="0D0D0D" w:themeColor="text1" w:themeTint="F2"/>
                <w:spacing w:val="-4"/>
                <w:sz w:val="16"/>
                <w:szCs w:val="16"/>
              </w:rPr>
            </w:pPr>
          </w:p>
          <w:p w:rsidR="004F2A4D" w:rsidRDefault="004F2A4D" w:rsidP="00AF5D62">
            <w:pPr>
              <w:spacing w:line="240" w:lineRule="auto"/>
              <w:rPr>
                <w:rFonts w:cs="Arial"/>
                <w:bCs/>
                <w:iCs/>
                <w:color w:val="0D0D0D" w:themeColor="text1" w:themeTint="F2"/>
                <w:spacing w:val="-4"/>
                <w:sz w:val="16"/>
                <w:szCs w:val="16"/>
              </w:rPr>
            </w:pPr>
          </w:p>
          <w:p w:rsidR="004F2A4D" w:rsidRPr="00976BD9" w:rsidRDefault="004F2A4D" w:rsidP="00AF5D62">
            <w:pPr>
              <w:spacing w:line="240" w:lineRule="auto"/>
              <w:rPr>
                <w:rFonts w:cs="Arial"/>
                <w:bCs/>
                <w:iCs/>
                <w:color w:val="0D0D0D" w:themeColor="text1" w:themeTint="F2"/>
                <w:spacing w:val="-4"/>
                <w:sz w:val="16"/>
                <w:szCs w:val="16"/>
              </w:rPr>
            </w:pP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Pr="00581495" w:rsidRDefault="004F2A4D" w:rsidP="00AF5D62">
            <w:pPr>
              <w:pStyle w:val="Textpoznpodarou"/>
              <w:jc w:val="both"/>
              <w:rPr>
                <w:rFonts w:cs="Arial"/>
                <w:color w:val="0D0D0D" w:themeColor="text1" w:themeTint="F2"/>
                <w:spacing w:val="-4"/>
              </w:rPr>
            </w:pPr>
            <w:r>
              <w:rPr>
                <w:rFonts w:cs="Arial"/>
                <w:color w:val="0D0D0D" w:themeColor="text1" w:themeTint="F2"/>
                <w:spacing w:val="-4"/>
              </w:rPr>
              <w:t xml:space="preserve">Příznivý vývoj ekonomiky (odrážející se i v ziskovosti firem, ale i v pokračujícím růstu zakázek v klíčových odvětvích) společně </w:t>
            </w:r>
            <w:r w:rsidR="00F835E1">
              <w:rPr>
                <w:rFonts w:cs="Arial"/>
                <w:color w:val="0D0D0D" w:themeColor="text1" w:themeTint="F2"/>
                <w:spacing w:val="-4"/>
              </w:rPr>
              <w:t xml:space="preserve">s </w:t>
            </w:r>
            <w:r>
              <w:rPr>
                <w:rFonts w:cs="Arial"/>
                <w:color w:val="0D0D0D" w:themeColor="text1" w:themeTint="F2"/>
                <w:spacing w:val="-4"/>
              </w:rPr>
              <w:t xml:space="preserve">nízkou a dosud </w:t>
            </w:r>
            <w:r w:rsidR="00F835E1">
              <w:rPr>
                <w:rFonts w:cs="Arial"/>
                <w:color w:val="0D0D0D" w:themeColor="text1" w:themeTint="F2"/>
                <w:spacing w:val="-4"/>
              </w:rPr>
              <w:t xml:space="preserve">stále </w:t>
            </w:r>
            <w:r>
              <w:rPr>
                <w:rFonts w:cs="Arial"/>
                <w:color w:val="0D0D0D" w:themeColor="text1" w:themeTint="F2"/>
                <w:spacing w:val="-4"/>
              </w:rPr>
              <w:t xml:space="preserve">klesající mírou nezaměstnaností doprovázenou stále intenzivněji artikulovaným nedostatkem zaměstnanců (který zatím nebyl významně saturován ani zahraničními pracovníky) společně tlačí na růst mezd. Podnikovou sféru ovlivňuje i opakované navyšování platových tarifů ve veřejném sektoru, intenzivnější aktivita odborů při kolektivních vyjednáváních. V části mzdového spektra u podniků působí i vliv postupného navyšování minimální mzdy. Meziroční růst </w:t>
            </w:r>
            <w:r w:rsidRPr="003E7065">
              <w:rPr>
                <w:rFonts w:cs="Arial"/>
                <w:color w:val="0D0D0D" w:themeColor="text1" w:themeTint="F2"/>
                <w:spacing w:val="-4"/>
              </w:rPr>
              <w:t>průměrných mezd (</w:t>
            </w:r>
            <w:r w:rsidRPr="003E7065">
              <w:rPr>
                <w:spacing w:val="-4"/>
              </w:rPr>
              <w:t xml:space="preserve">na přepočtené počty zaměstnanců) </w:t>
            </w:r>
            <w:r>
              <w:rPr>
                <w:spacing w:val="-4"/>
              </w:rPr>
              <w:t>činil v 1.</w:t>
            </w:r>
            <w:r w:rsidRPr="003E7065">
              <w:rPr>
                <w:spacing w:val="-4"/>
              </w:rPr>
              <w:t> </w:t>
            </w:r>
            <w:r>
              <w:rPr>
                <w:spacing w:val="-4"/>
              </w:rPr>
              <w:t>pololetí 4,2 % a byl nejvyšší od konce roku 2009 (</w:t>
            </w:r>
            <w:r w:rsidRPr="003E7065">
              <w:rPr>
                <w:spacing w:val="-4"/>
              </w:rPr>
              <w:t>kdy však byl růst mezd doprovázen</w:t>
            </w:r>
            <w:r>
              <w:rPr>
                <w:spacing w:val="-4"/>
              </w:rPr>
              <w:t xml:space="preserve"> citelnou redukcí zejména </w:t>
            </w:r>
            <w:proofErr w:type="spellStart"/>
            <w:r>
              <w:rPr>
                <w:spacing w:val="-4"/>
              </w:rPr>
              <w:t>nízkokvalifikovaných</w:t>
            </w:r>
            <w:proofErr w:type="spellEnd"/>
            <w:r>
              <w:rPr>
                <w:spacing w:val="-4"/>
              </w:rPr>
              <w:t xml:space="preserve"> hůře placených pracovních míst). Relativně nejvíce si polepšili zaměstnanci v „</w:t>
            </w:r>
            <w:proofErr w:type="spellStart"/>
            <w:r>
              <w:rPr>
                <w:spacing w:val="-4"/>
              </w:rPr>
              <w:t>nízkopříjmových</w:t>
            </w:r>
            <w:proofErr w:type="spellEnd"/>
            <w:r>
              <w:rPr>
                <w:spacing w:val="-4"/>
              </w:rPr>
              <w:t>“ odvětvích – ubytování, stravování a pohostinství (+6,9 %), kulturních, zábavních a</w:t>
            </w:r>
            <w:r>
              <w:rPr>
                <w:rFonts w:cs="Arial"/>
                <w:color w:val="0D0D0D" w:themeColor="text1" w:themeTint="F2"/>
                <w:spacing w:val="-4"/>
              </w:rPr>
              <w:t> </w:t>
            </w:r>
            <w:r>
              <w:rPr>
                <w:spacing w:val="-4"/>
              </w:rPr>
              <w:t xml:space="preserve">rekreačních </w:t>
            </w:r>
            <w:proofErr w:type="gramStart"/>
            <w:r>
              <w:rPr>
                <w:spacing w:val="-4"/>
              </w:rPr>
              <w:t>činnostech</w:t>
            </w:r>
            <w:proofErr w:type="gramEnd"/>
            <w:r>
              <w:rPr>
                <w:spacing w:val="-4"/>
              </w:rPr>
              <w:t xml:space="preserve"> (+5,8 %) a</w:t>
            </w:r>
            <w:r>
              <w:rPr>
                <w:rFonts w:cs="Arial"/>
                <w:color w:val="0D0D0D" w:themeColor="text1" w:themeTint="F2"/>
                <w:spacing w:val="-4"/>
              </w:rPr>
              <w:t> </w:t>
            </w:r>
            <w:r>
              <w:rPr>
                <w:spacing w:val="-4"/>
              </w:rPr>
              <w:t>v administrativních a podpůrných činnostech (5,5</w:t>
            </w:r>
            <w:r>
              <w:rPr>
                <w:rFonts w:cs="Arial"/>
                <w:color w:val="0D0D0D" w:themeColor="text1" w:themeTint="F2"/>
                <w:spacing w:val="-4"/>
              </w:rPr>
              <w:t> </w:t>
            </w:r>
            <w:r>
              <w:rPr>
                <w:spacing w:val="-4"/>
              </w:rPr>
              <w:t>%). Z nejlépe placených odvětví si udrželo primát peněžnictví a pojišťovnictví, a to i díky výplatě vysokých mimořádných odměn ve 2. čtvrtletí. Ve zpracovat</w:t>
            </w:r>
            <w:r w:rsidR="00F835E1">
              <w:rPr>
                <w:spacing w:val="-4"/>
              </w:rPr>
              <w:t xml:space="preserve">elském průmyslu </w:t>
            </w:r>
            <w:r w:rsidR="00BD059A">
              <w:rPr>
                <w:spacing w:val="-4"/>
              </w:rPr>
              <w:t xml:space="preserve">kopíroval </w:t>
            </w:r>
            <w:r w:rsidR="00F835E1">
              <w:rPr>
                <w:spacing w:val="-4"/>
              </w:rPr>
              <w:t>růst mezd v 1. i</w:t>
            </w:r>
            <w:r>
              <w:rPr>
                <w:spacing w:val="-4"/>
              </w:rPr>
              <w:t xml:space="preserve"> 2. čtvrtletí tempa dosažená v celé ekonomice. </w:t>
            </w:r>
          </w:p>
          <w:p w:rsidR="004F2A4D" w:rsidRPr="00F2389A" w:rsidRDefault="004F2A4D" w:rsidP="00AF5D62">
            <w:pPr>
              <w:pStyle w:val="Textpoznpodarou"/>
              <w:jc w:val="both"/>
              <w:rPr>
                <w:rFonts w:cs="Arial"/>
                <w:color w:val="0D0D0D" w:themeColor="text1" w:themeTint="F2"/>
                <w:spacing w:val="-4"/>
                <w:sz w:val="13"/>
                <w:szCs w:val="13"/>
              </w:rPr>
            </w:pPr>
          </w:p>
        </w:tc>
      </w:tr>
      <w:tr w:rsidR="004F2A4D" w:rsidTr="00AF5D62">
        <w:tc>
          <w:tcPr>
            <w:tcW w:w="1054" w:type="pct"/>
          </w:tcPr>
          <w:p w:rsidR="004F2A4D" w:rsidRPr="00635065" w:rsidRDefault="004F2A4D" w:rsidP="00AF5D62">
            <w:pPr>
              <w:spacing w:line="240" w:lineRule="auto"/>
              <w:rPr>
                <w:rFonts w:cs="Arial"/>
                <w:bCs/>
                <w:iCs/>
                <w:color w:val="0D0D0D" w:themeColor="text1" w:themeTint="F2"/>
                <w:spacing w:val="-2"/>
                <w:sz w:val="16"/>
                <w:szCs w:val="16"/>
              </w:rPr>
            </w:pPr>
            <w:proofErr w:type="spellStart"/>
            <w:r w:rsidRPr="00635065">
              <w:rPr>
                <w:rFonts w:cs="Arial"/>
                <w:bCs/>
                <w:iCs/>
                <w:color w:val="0D0D0D" w:themeColor="text1" w:themeTint="F2"/>
                <w:spacing w:val="-2"/>
                <w:sz w:val="16"/>
                <w:szCs w:val="16"/>
              </w:rPr>
              <w:t>Nízkoi</w:t>
            </w:r>
            <w:r>
              <w:rPr>
                <w:rFonts w:cs="Arial"/>
                <w:bCs/>
                <w:iCs/>
                <w:color w:val="0D0D0D" w:themeColor="text1" w:themeTint="F2"/>
                <w:spacing w:val="-2"/>
                <w:sz w:val="16"/>
                <w:szCs w:val="16"/>
              </w:rPr>
              <w:t>nflační</w:t>
            </w:r>
            <w:proofErr w:type="spellEnd"/>
            <w:r>
              <w:rPr>
                <w:rFonts w:cs="Arial"/>
                <w:bCs/>
                <w:iCs/>
                <w:color w:val="0D0D0D" w:themeColor="text1" w:themeTint="F2"/>
                <w:spacing w:val="-2"/>
                <w:sz w:val="16"/>
                <w:szCs w:val="16"/>
              </w:rPr>
              <w:t xml:space="preserve"> prostředí zvýraznilo akcelerační efekt růstu mezd</w:t>
            </w:r>
          </w:p>
        </w:tc>
        <w:tc>
          <w:tcPr>
            <w:tcW w:w="142" w:type="pct"/>
          </w:tcPr>
          <w:p w:rsidR="004F2A4D" w:rsidRPr="009720D9" w:rsidRDefault="004F2A4D" w:rsidP="00AF5D62">
            <w:pPr>
              <w:pStyle w:val="Textpoznpodarou"/>
              <w:jc w:val="both"/>
              <w:rPr>
                <w:color w:val="0D0D0D" w:themeColor="text1" w:themeTint="F2"/>
              </w:rPr>
            </w:pPr>
          </w:p>
        </w:tc>
        <w:tc>
          <w:tcPr>
            <w:tcW w:w="3804" w:type="pct"/>
          </w:tcPr>
          <w:p w:rsidR="004F2A4D" w:rsidRPr="00E27AA1" w:rsidRDefault="004F2A4D" w:rsidP="00AF5D62">
            <w:pPr>
              <w:pStyle w:val="Textpoznpodarou"/>
              <w:jc w:val="both"/>
              <w:rPr>
                <w:rFonts w:cs="Arial"/>
                <w:color w:val="0D0D0D" w:themeColor="text1" w:themeTint="F2"/>
                <w:spacing w:val="-4"/>
                <w:sz w:val="14"/>
                <w:szCs w:val="14"/>
              </w:rPr>
            </w:pPr>
            <w:r>
              <w:rPr>
                <w:spacing w:val="-4"/>
              </w:rPr>
              <w:t xml:space="preserve">Mzdová diferenciace se mírně snižovala. Růst mzdového mediánu viditelně převyšoval dynamiku průměrných mezd již čtyři čtvrtletí v řadě. </w:t>
            </w:r>
            <w:r w:rsidRPr="003E7065">
              <w:rPr>
                <w:spacing w:val="-4"/>
              </w:rPr>
              <w:t xml:space="preserve">Nízká míra inflace a zrychlující růst průměrné mzdy se příznivě odrazily ve vývoji kupní síly </w:t>
            </w:r>
            <w:r>
              <w:rPr>
                <w:spacing w:val="-4"/>
              </w:rPr>
              <w:t xml:space="preserve">zaměstnaneckých </w:t>
            </w:r>
            <w:r w:rsidRPr="003E7065">
              <w:rPr>
                <w:spacing w:val="-4"/>
              </w:rPr>
              <w:t>výdělků. Dynam</w:t>
            </w:r>
            <w:r>
              <w:rPr>
                <w:spacing w:val="-4"/>
              </w:rPr>
              <w:t>ika reálných mezd v 1. pololetí zrychlila na 3,8</w:t>
            </w:r>
            <w:r w:rsidRPr="003E7065">
              <w:rPr>
                <w:spacing w:val="-4"/>
              </w:rPr>
              <w:t xml:space="preserve"> %</w:t>
            </w:r>
            <w:r>
              <w:rPr>
                <w:spacing w:val="-4"/>
              </w:rPr>
              <w:t xml:space="preserve">, tedy nejvyšším meziročním tempem od </w:t>
            </w:r>
            <w:r w:rsidRPr="003E7065">
              <w:rPr>
                <w:spacing w:val="-4"/>
              </w:rPr>
              <w:t>konce roku 2009</w:t>
            </w:r>
            <w:r>
              <w:rPr>
                <w:spacing w:val="-4"/>
              </w:rPr>
              <w:t>.</w:t>
            </w:r>
            <w:r w:rsidRPr="00E27AA1">
              <w:rPr>
                <w:rFonts w:cs="Arial"/>
                <w:color w:val="0D0D0D" w:themeColor="text1" w:themeTint="F2"/>
                <w:spacing w:val="-4"/>
                <w:sz w:val="14"/>
                <w:szCs w:val="14"/>
              </w:rPr>
              <w:t xml:space="preserve"> </w:t>
            </w:r>
          </w:p>
        </w:tc>
      </w:tr>
    </w:tbl>
    <w:p w:rsidR="000C5D56" w:rsidRPr="00F2389A" w:rsidRDefault="000C5D56" w:rsidP="004762D8">
      <w:pPr>
        <w:rPr>
          <w:sz w:val="10"/>
          <w:szCs w:val="10"/>
          <w:lang w:eastAsia="ar-SA"/>
        </w:rPr>
      </w:pPr>
    </w:p>
    <w:tbl>
      <w:tblPr>
        <w:tblW w:w="4986" w:type="pct"/>
        <w:tblLayout w:type="fixed"/>
        <w:tblCellMar>
          <w:left w:w="28" w:type="dxa"/>
          <w:right w:w="28" w:type="dxa"/>
        </w:tblCellMar>
        <w:tblLook w:val="04A0"/>
      </w:tblPr>
      <w:tblGrid>
        <w:gridCol w:w="758"/>
        <w:gridCol w:w="4091"/>
        <w:gridCol w:w="829"/>
        <w:gridCol w:w="3989"/>
      </w:tblGrid>
      <w:tr w:rsidR="004F2A4D" w:rsidTr="00AF5D62">
        <w:tc>
          <w:tcPr>
            <w:tcW w:w="392" w:type="pct"/>
          </w:tcPr>
          <w:p w:rsidR="004F2A4D" w:rsidRPr="007E77FB" w:rsidRDefault="004F2A4D" w:rsidP="00AF5D62">
            <w:pPr>
              <w:pStyle w:val="Textpoznpodarou"/>
              <w:rPr>
                <w:lang w:eastAsia="en-US"/>
              </w:rPr>
            </w:pPr>
            <w:r w:rsidRPr="007E77FB">
              <w:rPr>
                <w:lang w:eastAsia="en-US"/>
              </w:rPr>
              <w:t>Graf č. 15</w:t>
            </w:r>
          </w:p>
        </w:tc>
        <w:tc>
          <w:tcPr>
            <w:tcW w:w="2116" w:type="pct"/>
          </w:tcPr>
          <w:p w:rsidR="004F2A4D" w:rsidRPr="007E77FB" w:rsidRDefault="004F2A4D" w:rsidP="00AF5D62">
            <w:pPr>
              <w:pStyle w:val="Textpoznpodarou"/>
              <w:rPr>
                <w:lang w:eastAsia="en-US"/>
              </w:rPr>
            </w:pPr>
            <w:r w:rsidRPr="00886A8F">
              <w:rPr>
                <w:b/>
                <w:lang w:eastAsia="en-US"/>
              </w:rPr>
              <w:t xml:space="preserve">Počty zaměstnaných osob a zaměstnanců </w:t>
            </w:r>
            <w:r w:rsidRPr="00582DA0">
              <w:rPr>
                <w:spacing w:val="-4"/>
                <w:lang w:eastAsia="en-US"/>
              </w:rPr>
              <w:t>(</w:t>
            </w:r>
            <w:r>
              <w:rPr>
                <w:spacing w:val="-4"/>
                <w:lang w:eastAsia="en-US"/>
              </w:rPr>
              <w:t>po</w:t>
            </w:r>
            <w:r w:rsidRPr="00582DA0">
              <w:rPr>
                <w:spacing w:val="-4"/>
                <w:lang w:eastAsia="en-US"/>
              </w:rPr>
              <w:t>dle</w:t>
            </w:r>
            <w:r>
              <w:rPr>
                <w:spacing w:val="-4"/>
                <w:lang w:eastAsia="en-US"/>
              </w:rPr>
              <w:t xml:space="preserve"> národních účtů</w:t>
            </w:r>
            <w:r w:rsidRPr="00582DA0">
              <w:rPr>
                <w:spacing w:val="-4"/>
                <w:lang w:eastAsia="en-US"/>
              </w:rPr>
              <w:t xml:space="preserve">, </w:t>
            </w:r>
            <w:r>
              <w:rPr>
                <w:spacing w:val="-4"/>
                <w:lang w:eastAsia="en-US"/>
              </w:rPr>
              <w:t xml:space="preserve">sezónně oč., </w:t>
            </w:r>
            <w:r w:rsidRPr="00582DA0">
              <w:rPr>
                <w:spacing w:val="-4"/>
                <w:lang w:eastAsia="en-US"/>
              </w:rPr>
              <w:t>y/y v %)</w:t>
            </w:r>
          </w:p>
        </w:tc>
        <w:tc>
          <w:tcPr>
            <w:tcW w:w="429" w:type="pct"/>
          </w:tcPr>
          <w:p w:rsidR="004F2A4D" w:rsidRPr="007E77FB" w:rsidRDefault="004F2A4D" w:rsidP="00AF5D62">
            <w:pPr>
              <w:pStyle w:val="Textpoznpodarou"/>
              <w:rPr>
                <w:lang w:eastAsia="en-US"/>
              </w:rPr>
            </w:pPr>
            <w:r w:rsidRPr="007E77FB">
              <w:rPr>
                <w:lang w:eastAsia="en-US"/>
              </w:rPr>
              <w:t>Graf č. 16</w:t>
            </w:r>
          </w:p>
        </w:tc>
        <w:tc>
          <w:tcPr>
            <w:tcW w:w="2063" w:type="pct"/>
          </w:tcPr>
          <w:p w:rsidR="004F2A4D" w:rsidRPr="00886A8F" w:rsidRDefault="004F2A4D" w:rsidP="00AF5D62">
            <w:pPr>
              <w:pStyle w:val="Textpoznpodarou"/>
              <w:rPr>
                <w:spacing w:val="-2"/>
                <w:lang w:eastAsia="en-US"/>
              </w:rPr>
            </w:pPr>
            <w:r>
              <w:rPr>
                <w:b/>
                <w:spacing w:val="-2"/>
                <w:lang w:eastAsia="en-US"/>
              </w:rPr>
              <w:t>H</w:t>
            </w:r>
            <w:r w:rsidRPr="00886A8F">
              <w:rPr>
                <w:b/>
                <w:spacing w:val="-2"/>
                <w:lang w:eastAsia="en-US"/>
              </w:rPr>
              <w:t xml:space="preserve">rubá měsíční mzda nominálně a reálně </w:t>
            </w:r>
            <w:r w:rsidRPr="00582DA0">
              <w:rPr>
                <w:spacing w:val="-6"/>
                <w:lang w:eastAsia="en-US"/>
              </w:rPr>
              <w:t>(přepočtené počty zaměstnanců, y/y v %)</w:t>
            </w:r>
          </w:p>
        </w:tc>
      </w:tr>
      <w:tr w:rsidR="004F2A4D" w:rsidTr="00AF5D62">
        <w:tc>
          <w:tcPr>
            <w:tcW w:w="2508" w:type="pct"/>
            <w:gridSpan w:val="2"/>
          </w:tcPr>
          <w:p w:rsidR="004F2A4D" w:rsidRDefault="00247AC2" w:rsidP="00AF5D62">
            <w:pPr>
              <w:pStyle w:val="Textpoznpodarou"/>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7pt;height:177.7pt">
                  <v:imagedata r:id="rId8" o:title=""/>
                </v:shape>
              </w:pict>
            </w:r>
          </w:p>
        </w:tc>
        <w:tc>
          <w:tcPr>
            <w:tcW w:w="2492" w:type="pct"/>
            <w:gridSpan w:val="2"/>
          </w:tcPr>
          <w:p w:rsidR="004F2A4D" w:rsidRDefault="00247AC2" w:rsidP="00AF5D62">
            <w:pPr>
              <w:pStyle w:val="Textpoznpodarou"/>
              <w:jc w:val="both"/>
            </w:pPr>
            <w:r>
              <w:pict>
                <v:shape id="_x0000_i1026" type="#_x0000_t75" style="width:238.45pt;height:176.9pt">
                  <v:imagedata r:id="rId9" o:title=""/>
                </v:shape>
              </w:pict>
            </w:r>
          </w:p>
        </w:tc>
      </w:tr>
      <w:tr w:rsidR="004F2A4D" w:rsidTr="00AF5D62">
        <w:tc>
          <w:tcPr>
            <w:tcW w:w="5000" w:type="pct"/>
            <w:gridSpan w:val="4"/>
          </w:tcPr>
          <w:p w:rsidR="004F2A4D" w:rsidRPr="004C5813" w:rsidRDefault="004F2A4D" w:rsidP="00AF5D62">
            <w:pPr>
              <w:autoSpaceDE w:val="0"/>
              <w:autoSpaceDN w:val="0"/>
              <w:adjustRightInd w:val="0"/>
              <w:spacing w:line="240" w:lineRule="auto"/>
              <w:jc w:val="right"/>
              <w:rPr>
                <w:rFonts w:cs="Arial"/>
                <w:color w:val="000000" w:themeColor="text1"/>
                <w:spacing w:val="-2"/>
                <w:sz w:val="18"/>
                <w:szCs w:val="18"/>
              </w:rPr>
            </w:pPr>
            <w:r w:rsidRPr="00886A8F">
              <w:rPr>
                <w:sz w:val="18"/>
                <w:szCs w:val="18"/>
                <w:lang w:eastAsia="en-US"/>
              </w:rPr>
              <w:t>Zdroj: ČSÚ</w:t>
            </w:r>
          </w:p>
        </w:tc>
      </w:tr>
    </w:tbl>
    <w:p w:rsidR="00ED3A94" w:rsidRPr="007A4048" w:rsidRDefault="00ED3A94" w:rsidP="004762D8">
      <w:pPr>
        <w:rPr>
          <w:sz w:val="2"/>
          <w:szCs w:val="2"/>
          <w:lang w:eastAsia="ar-SA"/>
        </w:rPr>
      </w:pPr>
    </w:p>
    <w:sectPr w:rsidR="00ED3A94" w:rsidRPr="007A4048" w:rsidSect="000E3039">
      <w:headerReference w:type="even" r:id="rId10"/>
      <w:headerReference w:type="default" r:id="rId11"/>
      <w:footerReference w:type="even" r:id="rId12"/>
      <w:footerReference w:type="default" r:id="rId13"/>
      <w:type w:val="continuous"/>
      <w:pgSz w:w="11906" w:h="16838" w:code="9"/>
      <w:pgMar w:top="1134" w:right="1134" w:bottom="1418" w:left="1134" w:header="680" w:footer="680"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896" w:rsidRDefault="00785896" w:rsidP="00E71A58">
      <w:r>
        <w:separator/>
      </w:r>
    </w:p>
  </w:endnote>
  <w:endnote w:type="continuationSeparator" w:id="0">
    <w:p w:rsidR="00785896" w:rsidRDefault="00785896"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35" w:rsidRDefault="00AC584C" w:rsidP="00357449">
    <w:pPr>
      <w:pStyle w:val="Zpat"/>
      <w:tabs>
        <w:tab w:val="clear" w:pos="4536"/>
        <w:tab w:val="clear" w:pos="9072"/>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0" type="#_x0000_t75" alt="Description: 3" style="position:absolute;margin-left:445.7pt;margin-top:-4.1pt;width:36.75pt;height:17.25pt;z-index:1;visibility:visible">
          <v:imagedata r:id="rId1" o:title=""/>
        </v:shape>
      </w:pict>
    </w:r>
    <w:r w:rsidRPr="005A21E0">
      <w:rPr>
        <w:rFonts w:ascii="Arial" w:hAnsi="Arial" w:cs="Arial"/>
        <w:sz w:val="16"/>
        <w:szCs w:val="16"/>
      </w:rPr>
      <w:fldChar w:fldCharType="begin"/>
    </w:r>
    <w:r w:rsidR="00DD7435" w:rsidRPr="005A21E0">
      <w:rPr>
        <w:rFonts w:ascii="Arial" w:hAnsi="Arial" w:cs="Arial"/>
        <w:sz w:val="16"/>
        <w:szCs w:val="16"/>
      </w:rPr>
      <w:instrText>PAGE   \* MERGEFORMAT</w:instrText>
    </w:r>
    <w:r w:rsidRPr="005A21E0">
      <w:rPr>
        <w:rFonts w:ascii="Arial" w:hAnsi="Arial" w:cs="Arial"/>
        <w:sz w:val="16"/>
        <w:szCs w:val="16"/>
      </w:rPr>
      <w:fldChar w:fldCharType="separate"/>
    </w:r>
    <w:r w:rsidR="000E3039">
      <w:rPr>
        <w:rFonts w:ascii="Arial" w:hAnsi="Arial" w:cs="Arial"/>
        <w:noProof/>
        <w:sz w:val="16"/>
        <w:szCs w:val="16"/>
      </w:rPr>
      <w:t>18</w:t>
    </w:r>
    <w:r w:rsidRPr="005A21E0">
      <w:rPr>
        <w:rFonts w:ascii="Arial" w:hAnsi="Arial" w:cs="Arial"/>
        <w:sz w:val="16"/>
        <w:szCs w:val="16"/>
      </w:rPr>
      <w:fldChar w:fldCharType="end"/>
    </w:r>
    <w:r w:rsidR="00DD7435">
      <w:rPr>
        <w:rFonts w:ascii="Arial" w:hAnsi="Arial" w:cs="Arial"/>
        <w:sz w:val="16"/>
        <w:szCs w:val="16"/>
      </w:rPr>
      <w:tab/>
      <w:t>2016</w:t>
    </w:r>
    <w:r w:rsidR="00DD7435">
      <w:tab/>
    </w:r>
    <w:r w:rsidR="00DD7435">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35" w:rsidRDefault="00AC584C" w:rsidP="00357449">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Description: 3" style="position:absolute;margin-left:.3pt;margin-top:7.1pt;width:39pt;height:21pt;z-index:2;visibility:visible">
          <v:imagedata r:id="rId1" o:title=""/>
        </v:shape>
      </w:pict>
    </w:r>
    <w:r w:rsidR="00DD7435">
      <w:tab/>
    </w:r>
    <w:r w:rsidR="00DD7435">
      <w:tab/>
    </w:r>
    <w:r w:rsidR="00DD7435" w:rsidRPr="00DC5B3B">
      <w:t xml:space="preserve">                              </w:t>
    </w:r>
  </w:p>
  <w:p w:rsidR="00DD7435" w:rsidRPr="00223E00" w:rsidRDefault="00DD7435"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AC584C"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AC584C" w:rsidRPr="00223E00">
      <w:rPr>
        <w:rFonts w:ascii="Arial" w:hAnsi="Arial" w:cs="Arial"/>
        <w:sz w:val="16"/>
        <w:szCs w:val="16"/>
      </w:rPr>
      <w:fldChar w:fldCharType="separate"/>
    </w:r>
    <w:r w:rsidR="000E3039">
      <w:rPr>
        <w:rFonts w:ascii="Arial" w:hAnsi="Arial" w:cs="Arial"/>
        <w:noProof/>
        <w:sz w:val="16"/>
        <w:szCs w:val="16"/>
      </w:rPr>
      <w:t>17</w:t>
    </w:r>
    <w:r w:rsidR="00AC584C"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896" w:rsidRDefault="00785896" w:rsidP="00E71A58">
      <w:r>
        <w:separator/>
      </w:r>
    </w:p>
  </w:footnote>
  <w:footnote w:type="continuationSeparator" w:id="0">
    <w:p w:rsidR="00785896" w:rsidRDefault="00785896" w:rsidP="00E71A58">
      <w:r>
        <w:continuationSeparator/>
      </w:r>
    </w:p>
  </w:footnote>
  <w:footnote w:id="1">
    <w:p w:rsidR="00DD7435" w:rsidRPr="00B4223A" w:rsidRDefault="00DD7435" w:rsidP="004F2A4D">
      <w:pPr>
        <w:pStyle w:val="Textpoznpodarou"/>
        <w:jc w:val="both"/>
        <w:rPr>
          <w:sz w:val="16"/>
          <w:szCs w:val="16"/>
        </w:rPr>
      </w:pPr>
      <w:r w:rsidRPr="00B4223A">
        <w:rPr>
          <w:rStyle w:val="Znakapoznpodarou"/>
          <w:sz w:val="16"/>
          <w:szCs w:val="16"/>
        </w:rPr>
        <w:footnoteRef/>
      </w:r>
      <w:r w:rsidRPr="00B4223A">
        <w:rPr>
          <w:sz w:val="16"/>
          <w:szCs w:val="16"/>
        </w:rPr>
        <w:t xml:space="preserve"> Pokud není uvedeno jinak, jsou data v této kapitole v pojetí národních účtů v očištění o sezónní vlivy.</w:t>
      </w:r>
    </w:p>
  </w:footnote>
  <w:footnote w:id="2">
    <w:p w:rsidR="00DD7435" w:rsidRPr="0042372A" w:rsidRDefault="00DD7435" w:rsidP="004F2A4D">
      <w:pPr>
        <w:pStyle w:val="Textpoznpodarou"/>
        <w:jc w:val="both"/>
        <w:rPr>
          <w:sz w:val="16"/>
          <w:szCs w:val="16"/>
        </w:rPr>
      </w:pPr>
      <w:r w:rsidRPr="0042372A">
        <w:rPr>
          <w:rStyle w:val="Znakapoznpodarou"/>
          <w:sz w:val="16"/>
          <w:szCs w:val="16"/>
        </w:rPr>
        <w:footnoteRef/>
      </w:r>
      <w:r w:rsidRPr="0042372A">
        <w:rPr>
          <w:sz w:val="16"/>
          <w:szCs w:val="16"/>
        </w:rPr>
        <w:t xml:space="preserve"> </w:t>
      </w:r>
      <w:r>
        <w:rPr>
          <w:sz w:val="16"/>
          <w:szCs w:val="16"/>
        </w:rPr>
        <w:t xml:space="preserve">Např. na </w:t>
      </w:r>
      <w:proofErr w:type="spellStart"/>
      <w:r w:rsidRPr="0042372A">
        <w:rPr>
          <w:sz w:val="16"/>
          <w:szCs w:val="16"/>
        </w:rPr>
        <w:t>Bruntál</w:t>
      </w:r>
      <w:r>
        <w:rPr>
          <w:sz w:val="16"/>
          <w:szCs w:val="16"/>
        </w:rPr>
        <w:t>sku</w:t>
      </w:r>
      <w:proofErr w:type="spellEnd"/>
      <w:r w:rsidRPr="0042372A">
        <w:rPr>
          <w:sz w:val="16"/>
          <w:szCs w:val="16"/>
        </w:rPr>
        <w:t xml:space="preserve"> </w:t>
      </w:r>
      <w:r>
        <w:rPr>
          <w:sz w:val="16"/>
          <w:szCs w:val="16"/>
        </w:rPr>
        <w:t xml:space="preserve">se tento poměr snížil z 19,6 (červen 2015) na 7,6 (o rok později). Obdobně i na Mostecku (z 12,9 na 6,4) či v okrese Ústí nad Labem (z 18,7 na 11,7). Pouze v jedenácti okresech připadalo letos v červnu na 1 místo více než 5 uchazečů, naopak ve čtrnácti okresech méně než 1,5 (na Pardubicku, </w:t>
      </w:r>
      <w:proofErr w:type="spellStart"/>
      <w:r>
        <w:rPr>
          <w:sz w:val="16"/>
          <w:szCs w:val="16"/>
        </w:rPr>
        <w:t>Rokycansku</w:t>
      </w:r>
      <w:proofErr w:type="spellEnd"/>
      <w:r>
        <w:rPr>
          <w:sz w:val="16"/>
          <w:szCs w:val="16"/>
        </w:rPr>
        <w:t xml:space="preserve"> a </w:t>
      </w:r>
      <w:proofErr w:type="spellStart"/>
      <w:r>
        <w:rPr>
          <w:sz w:val="16"/>
          <w:szCs w:val="16"/>
        </w:rPr>
        <w:t>Rychnovsku</w:t>
      </w:r>
      <w:proofErr w:type="spellEnd"/>
      <w:r>
        <w:rPr>
          <w:sz w:val="16"/>
          <w:szCs w:val="16"/>
        </w:rPr>
        <w:t xml:space="preserve"> mohli být teoreticky uspokojeni všichni uchazeči).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35" w:rsidRPr="00D766EF" w:rsidRDefault="00DD7435"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1. pololetí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35" w:rsidRPr="00D766EF" w:rsidRDefault="00DD7435"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1. pololetí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866AB"/>
    <w:multiLevelType w:val="hybridMultilevel"/>
    <w:tmpl w:val="D5629B1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attachedTemplate r:id="rId1"/>
  <w:stylePaneFormatFilter w:val="1024"/>
  <w:doNotTrackMoves/>
  <w:defaultTabStop w:val="708"/>
  <w:hyphenationZone w:val="425"/>
  <w:evenAndOddHeaders/>
  <w:drawingGridHorizontalSpacing w:val="100"/>
  <w:displayHorizontalDrawingGridEvery w:val="2"/>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0BD"/>
    <w:rsid w:val="00000FA7"/>
    <w:rsid w:val="00001EFF"/>
    <w:rsid w:val="00003687"/>
    <w:rsid w:val="00003C43"/>
    <w:rsid w:val="00007498"/>
    <w:rsid w:val="0000767A"/>
    <w:rsid w:val="000101F5"/>
    <w:rsid w:val="000104B9"/>
    <w:rsid w:val="00010702"/>
    <w:rsid w:val="00011191"/>
    <w:rsid w:val="0001159B"/>
    <w:rsid w:val="00012986"/>
    <w:rsid w:val="00014028"/>
    <w:rsid w:val="00015195"/>
    <w:rsid w:val="0001519F"/>
    <w:rsid w:val="0001572B"/>
    <w:rsid w:val="0001573E"/>
    <w:rsid w:val="000157DA"/>
    <w:rsid w:val="000162DB"/>
    <w:rsid w:val="00017F05"/>
    <w:rsid w:val="000202C6"/>
    <w:rsid w:val="00020946"/>
    <w:rsid w:val="00022081"/>
    <w:rsid w:val="0002292C"/>
    <w:rsid w:val="00022B41"/>
    <w:rsid w:val="0002434F"/>
    <w:rsid w:val="00024887"/>
    <w:rsid w:val="00024CBA"/>
    <w:rsid w:val="00025501"/>
    <w:rsid w:val="00026998"/>
    <w:rsid w:val="000304C4"/>
    <w:rsid w:val="0003066A"/>
    <w:rsid w:val="00030F14"/>
    <w:rsid w:val="000311C5"/>
    <w:rsid w:val="00032838"/>
    <w:rsid w:val="00032C12"/>
    <w:rsid w:val="00032E0C"/>
    <w:rsid w:val="00035CCF"/>
    <w:rsid w:val="00035FC6"/>
    <w:rsid w:val="0003705E"/>
    <w:rsid w:val="00037667"/>
    <w:rsid w:val="0004075D"/>
    <w:rsid w:val="000411E1"/>
    <w:rsid w:val="00043E05"/>
    <w:rsid w:val="0004694F"/>
    <w:rsid w:val="000500DC"/>
    <w:rsid w:val="00052052"/>
    <w:rsid w:val="00052172"/>
    <w:rsid w:val="00053CBA"/>
    <w:rsid w:val="00054E43"/>
    <w:rsid w:val="00055059"/>
    <w:rsid w:val="000553E4"/>
    <w:rsid w:val="000567FA"/>
    <w:rsid w:val="00056B26"/>
    <w:rsid w:val="00057C16"/>
    <w:rsid w:val="00060F26"/>
    <w:rsid w:val="00062D43"/>
    <w:rsid w:val="00062EC5"/>
    <w:rsid w:val="00064256"/>
    <w:rsid w:val="000706A4"/>
    <w:rsid w:val="00070A0C"/>
    <w:rsid w:val="00071F80"/>
    <w:rsid w:val="00072118"/>
    <w:rsid w:val="00073173"/>
    <w:rsid w:val="000779AC"/>
    <w:rsid w:val="00080AA8"/>
    <w:rsid w:val="00083803"/>
    <w:rsid w:val="00084393"/>
    <w:rsid w:val="0008716A"/>
    <w:rsid w:val="00087634"/>
    <w:rsid w:val="00091237"/>
    <w:rsid w:val="0009191B"/>
    <w:rsid w:val="000920EC"/>
    <w:rsid w:val="00092208"/>
    <w:rsid w:val="00092505"/>
    <w:rsid w:val="00092C9A"/>
    <w:rsid w:val="00097D02"/>
    <w:rsid w:val="000A1183"/>
    <w:rsid w:val="000A2121"/>
    <w:rsid w:val="000A2484"/>
    <w:rsid w:val="000A36CE"/>
    <w:rsid w:val="000A59BF"/>
    <w:rsid w:val="000A66C2"/>
    <w:rsid w:val="000B1CFE"/>
    <w:rsid w:val="000B210A"/>
    <w:rsid w:val="000B249B"/>
    <w:rsid w:val="000B3B01"/>
    <w:rsid w:val="000B3DB9"/>
    <w:rsid w:val="000B3F02"/>
    <w:rsid w:val="000B48A2"/>
    <w:rsid w:val="000B48E7"/>
    <w:rsid w:val="000B4F41"/>
    <w:rsid w:val="000B7663"/>
    <w:rsid w:val="000C1106"/>
    <w:rsid w:val="000C11D3"/>
    <w:rsid w:val="000C12F5"/>
    <w:rsid w:val="000C3408"/>
    <w:rsid w:val="000C5C0F"/>
    <w:rsid w:val="000C5D56"/>
    <w:rsid w:val="000C6498"/>
    <w:rsid w:val="000D0D51"/>
    <w:rsid w:val="000D14B3"/>
    <w:rsid w:val="000D208B"/>
    <w:rsid w:val="000D263E"/>
    <w:rsid w:val="000D2B8D"/>
    <w:rsid w:val="000D2E41"/>
    <w:rsid w:val="000D342A"/>
    <w:rsid w:val="000D5E7A"/>
    <w:rsid w:val="000D5FAA"/>
    <w:rsid w:val="000D65A4"/>
    <w:rsid w:val="000D6AEF"/>
    <w:rsid w:val="000E025B"/>
    <w:rsid w:val="000E0ECB"/>
    <w:rsid w:val="000E153A"/>
    <w:rsid w:val="000E19A8"/>
    <w:rsid w:val="000E1EEA"/>
    <w:rsid w:val="000E3039"/>
    <w:rsid w:val="000E4A42"/>
    <w:rsid w:val="000E6476"/>
    <w:rsid w:val="000E78D2"/>
    <w:rsid w:val="000F3332"/>
    <w:rsid w:val="000F33EE"/>
    <w:rsid w:val="000F401E"/>
    <w:rsid w:val="000F5445"/>
    <w:rsid w:val="000F5673"/>
    <w:rsid w:val="000F67B2"/>
    <w:rsid w:val="000F74B6"/>
    <w:rsid w:val="000F790F"/>
    <w:rsid w:val="000F7E1B"/>
    <w:rsid w:val="00100014"/>
    <w:rsid w:val="0010039A"/>
    <w:rsid w:val="00101E94"/>
    <w:rsid w:val="00101FB2"/>
    <w:rsid w:val="00102CB8"/>
    <w:rsid w:val="00102F02"/>
    <w:rsid w:val="0010385D"/>
    <w:rsid w:val="00103E41"/>
    <w:rsid w:val="001041B6"/>
    <w:rsid w:val="001070EA"/>
    <w:rsid w:val="0011002A"/>
    <w:rsid w:val="001107CE"/>
    <w:rsid w:val="0011110A"/>
    <w:rsid w:val="001118AF"/>
    <w:rsid w:val="00111CA5"/>
    <w:rsid w:val="0011256E"/>
    <w:rsid w:val="0011352E"/>
    <w:rsid w:val="00114FC0"/>
    <w:rsid w:val="00115496"/>
    <w:rsid w:val="00116DB9"/>
    <w:rsid w:val="00116F28"/>
    <w:rsid w:val="00121C39"/>
    <w:rsid w:val="00123255"/>
    <w:rsid w:val="00124D2D"/>
    <w:rsid w:val="00124DA1"/>
    <w:rsid w:val="00125326"/>
    <w:rsid w:val="00125CB5"/>
    <w:rsid w:val="00127535"/>
    <w:rsid w:val="001307BE"/>
    <w:rsid w:val="00130C8F"/>
    <w:rsid w:val="001314F2"/>
    <w:rsid w:val="001317DA"/>
    <w:rsid w:val="001323BA"/>
    <w:rsid w:val="0013254D"/>
    <w:rsid w:val="00133AAC"/>
    <w:rsid w:val="00133FBD"/>
    <w:rsid w:val="00136561"/>
    <w:rsid w:val="001400E1"/>
    <w:rsid w:val="001405FA"/>
    <w:rsid w:val="001413B3"/>
    <w:rsid w:val="001425C3"/>
    <w:rsid w:val="00142F16"/>
    <w:rsid w:val="00143E03"/>
    <w:rsid w:val="00143E93"/>
    <w:rsid w:val="0014428D"/>
    <w:rsid w:val="001500FC"/>
    <w:rsid w:val="00151AC0"/>
    <w:rsid w:val="00151B27"/>
    <w:rsid w:val="00152046"/>
    <w:rsid w:val="00154147"/>
    <w:rsid w:val="001550F3"/>
    <w:rsid w:val="00155746"/>
    <w:rsid w:val="00156318"/>
    <w:rsid w:val="0015639A"/>
    <w:rsid w:val="0016081D"/>
    <w:rsid w:val="00160CF3"/>
    <w:rsid w:val="00160E61"/>
    <w:rsid w:val="001620FA"/>
    <w:rsid w:val="00162853"/>
    <w:rsid w:val="00163793"/>
    <w:rsid w:val="00167FB2"/>
    <w:rsid w:val="001707DE"/>
    <w:rsid w:val="00170B04"/>
    <w:rsid w:val="00170F47"/>
    <w:rsid w:val="001711F2"/>
    <w:rsid w:val="001714F2"/>
    <w:rsid w:val="00173642"/>
    <w:rsid w:val="00173AF4"/>
    <w:rsid w:val="00173CB0"/>
    <w:rsid w:val="00174CE8"/>
    <w:rsid w:val="00175351"/>
    <w:rsid w:val="00175F60"/>
    <w:rsid w:val="00176050"/>
    <w:rsid w:val="001764D8"/>
    <w:rsid w:val="00176A8F"/>
    <w:rsid w:val="00180D58"/>
    <w:rsid w:val="00182981"/>
    <w:rsid w:val="00184CF9"/>
    <w:rsid w:val="00185010"/>
    <w:rsid w:val="001852EC"/>
    <w:rsid w:val="00186447"/>
    <w:rsid w:val="001874CF"/>
    <w:rsid w:val="00190214"/>
    <w:rsid w:val="00190D9B"/>
    <w:rsid w:val="00191BAE"/>
    <w:rsid w:val="00193432"/>
    <w:rsid w:val="0019346C"/>
    <w:rsid w:val="00195444"/>
    <w:rsid w:val="001A199D"/>
    <w:rsid w:val="001A2BDB"/>
    <w:rsid w:val="001A30F4"/>
    <w:rsid w:val="001A4C0D"/>
    <w:rsid w:val="001A552F"/>
    <w:rsid w:val="001A56F3"/>
    <w:rsid w:val="001A737B"/>
    <w:rsid w:val="001A750C"/>
    <w:rsid w:val="001B1D89"/>
    <w:rsid w:val="001B3110"/>
    <w:rsid w:val="001B4198"/>
    <w:rsid w:val="001B44BC"/>
    <w:rsid w:val="001B5888"/>
    <w:rsid w:val="001B618F"/>
    <w:rsid w:val="001B6545"/>
    <w:rsid w:val="001B681B"/>
    <w:rsid w:val="001B6A49"/>
    <w:rsid w:val="001B7231"/>
    <w:rsid w:val="001B74FB"/>
    <w:rsid w:val="001B77A1"/>
    <w:rsid w:val="001C0422"/>
    <w:rsid w:val="001C0E0E"/>
    <w:rsid w:val="001C0EB9"/>
    <w:rsid w:val="001C1219"/>
    <w:rsid w:val="001C357A"/>
    <w:rsid w:val="001C3A37"/>
    <w:rsid w:val="001C4384"/>
    <w:rsid w:val="001C65FF"/>
    <w:rsid w:val="001D47E5"/>
    <w:rsid w:val="001D584C"/>
    <w:rsid w:val="001D5E1B"/>
    <w:rsid w:val="001D66C1"/>
    <w:rsid w:val="001D7C6F"/>
    <w:rsid w:val="001E0024"/>
    <w:rsid w:val="001E0C65"/>
    <w:rsid w:val="001E23E3"/>
    <w:rsid w:val="001E387A"/>
    <w:rsid w:val="001E3DA4"/>
    <w:rsid w:val="001E5830"/>
    <w:rsid w:val="001E684C"/>
    <w:rsid w:val="001E701C"/>
    <w:rsid w:val="001E7C03"/>
    <w:rsid w:val="001F02AF"/>
    <w:rsid w:val="001F0649"/>
    <w:rsid w:val="001F28F4"/>
    <w:rsid w:val="001F2CC6"/>
    <w:rsid w:val="001F3055"/>
    <w:rsid w:val="001F31BC"/>
    <w:rsid w:val="001F378E"/>
    <w:rsid w:val="001F3C79"/>
    <w:rsid w:val="001F3E68"/>
    <w:rsid w:val="001F4597"/>
    <w:rsid w:val="001F56A9"/>
    <w:rsid w:val="001F5C6A"/>
    <w:rsid w:val="001F63A7"/>
    <w:rsid w:val="001F670A"/>
    <w:rsid w:val="00200D15"/>
    <w:rsid w:val="0020223B"/>
    <w:rsid w:val="00203074"/>
    <w:rsid w:val="00203B46"/>
    <w:rsid w:val="002048E1"/>
    <w:rsid w:val="00207DB6"/>
    <w:rsid w:val="00210278"/>
    <w:rsid w:val="00210CC2"/>
    <w:rsid w:val="00210F5B"/>
    <w:rsid w:val="00210FFA"/>
    <w:rsid w:val="00211262"/>
    <w:rsid w:val="002115F5"/>
    <w:rsid w:val="00211AC9"/>
    <w:rsid w:val="0021355B"/>
    <w:rsid w:val="002179F9"/>
    <w:rsid w:val="002205F2"/>
    <w:rsid w:val="0022080E"/>
    <w:rsid w:val="0022139E"/>
    <w:rsid w:val="0022272B"/>
    <w:rsid w:val="00222A99"/>
    <w:rsid w:val="00223678"/>
    <w:rsid w:val="002236F7"/>
    <w:rsid w:val="00223E00"/>
    <w:rsid w:val="002252E0"/>
    <w:rsid w:val="002255F6"/>
    <w:rsid w:val="00226466"/>
    <w:rsid w:val="002266D0"/>
    <w:rsid w:val="00226887"/>
    <w:rsid w:val="00230DAD"/>
    <w:rsid w:val="0023229C"/>
    <w:rsid w:val="0023355C"/>
    <w:rsid w:val="00234280"/>
    <w:rsid w:val="00235000"/>
    <w:rsid w:val="002350E3"/>
    <w:rsid w:val="00235330"/>
    <w:rsid w:val="00236443"/>
    <w:rsid w:val="00240773"/>
    <w:rsid w:val="00240815"/>
    <w:rsid w:val="00240A5B"/>
    <w:rsid w:val="00240C76"/>
    <w:rsid w:val="002411EF"/>
    <w:rsid w:val="00241446"/>
    <w:rsid w:val="00242730"/>
    <w:rsid w:val="002436BA"/>
    <w:rsid w:val="002444ED"/>
    <w:rsid w:val="00244A15"/>
    <w:rsid w:val="00244D40"/>
    <w:rsid w:val="00246AE9"/>
    <w:rsid w:val="0024799E"/>
    <w:rsid w:val="00247AC2"/>
    <w:rsid w:val="00250C59"/>
    <w:rsid w:val="00250E0D"/>
    <w:rsid w:val="002518F6"/>
    <w:rsid w:val="00251D59"/>
    <w:rsid w:val="00252602"/>
    <w:rsid w:val="00252FDC"/>
    <w:rsid w:val="002532E2"/>
    <w:rsid w:val="002550D8"/>
    <w:rsid w:val="00257613"/>
    <w:rsid w:val="00261E5B"/>
    <w:rsid w:val="00262F34"/>
    <w:rsid w:val="00263470"/>
    <w:rsid w:val="00263733"/>
    <w:rsid w:val="00264676"/>
    <w:rsid w:val="00265536"/>
    <w:rsid w:val="00265E54"/>
    <w:rsid w:val="00266F3E"/>
    <w:rsid w:val="00270785"/>
    <w:rsid w:val="00272464"/>
    <w:rsid w:val="00273DCD"/>
    <w:rsid w:val="00274291"/>
    <w:rsid w:val="00276CFE"/>
    <w:rsid w:val="00277071"/>
    <w:rsid w:val="0027786C"/>
    <w:rsid w:val="00277BF7"/>
    <w:rsid w:val="00281416"/>
    <w:rsid w:val="00285CD3"/>
    <w:rsid w:val="0028686A"/>
    <w:rsid w:val="00286E66"/>
    <w:rsid w:val="002870B7"/>
    <w:rsid w:val="002919B5"/>
    <w:rsid w:val="00293441"/>
    <w:rsid w:val="00294238"/>
    <w:rsid w:val="0029493E"/>
    <w:rsid w:val="002962E0"/>
    <w:rsid w:val="00296C2E"/>
    <w:rsid w:val="002A1B05"/>
    <w:rsid w:val="002A267F"/>
    <w:rsid w:val="002A3354"/>
    <w:rsid w:val="002A35EA"/>
    <w:rsid w:val="002A37B6"/>
    <w:rsid w:val="002A3BD5"/>
    <w:rsid w:val="002A43A2"/>
    <w:rsid w:val="002A44ED"/>
    <w:rsid w:val="002A4612"/>
    <w:rsid w:val="002A4F70"/>
    <w:rsid w:val="002A5263"/>
    <w:rsid w:val="002A6821"/>
    <w:rsid w:val="002A74D2"/>
    <w:rsid w:val="002A7CDA"/>
    <w:rsid w:val="002A7F47"/>
    <w:rsid w:val="002B1544"/>
    <w:rsid w:val="002B1DC1"/>
    <w:rsid w:val="002B36C8"/>
    <w:rsid w:val="002B71B4"/>
    <w:rsid w:val="002B7240"/>
    <w:rsid w:val="002C0FF4"/>
    <w:rsid w:val="002C125A"/>
    <w:rsid w:val="002C2668"/>
    <w:rsid w:val="002C43BD"/>
    <w:rsid w:val="002C493D"/>
    <w:rsid w:val="002C5261"/>
    <w:rsid w:val="002C6091"/>
    <w:rsid w:val="002D0562"/>
    <w:rsid w:val="002D1B5A"/>
    <w:rsid w:val="002D2500"/>
    <w:rsid w:val="002D338A"/>
    <w:rsid w:val="002D3F00"/>
    <w:rsid w:val="002D4D59"/>
    <w:rsid w:val="002D54BF"/>
    <w:rsid w:val="002D5E94"/>
    <w:rsid w:val="002D632D"/>
    <w:rsid w:val="002D6FC7"/>
    <w:rsid w:val="002E02A1"/>
    <w:rsid w:val="002E0982"/>
    <w:rsid w:val="002E0DB9"/>
    <w:rsid w:val="002E2CE4"/>
    <w:rsid w:val="002E34F3"/>
    <w:rsid w:val="002E435E"/>
    <w:rsid w:val="002E73F2"/>
    <w:rsid w:val="002F33FB"/>
    <w:rsid w:val="002F663A"/>
    <w:rsid w:val="002F68A4"/>
    <w:rsid w:val="002F7594"/>
    <w:rsid w:val="00300D6F"/>
    <w:rsid w:val="00301357"/>
    <w:rsid w:val="00301D04"/>
    <w:rsid w:val="003035D4"/>
    <w:rsid w:val="00303DCB"/>
    <w:rsid w:val="00304771"/>
    <w:rsid w:val="00305736"/>
    <w:rsid w:val="00306C5B"/>
    <w:rsid w:val="00306E3B"/>
    <w:rsid w:val="003119B6"/>
    <w:rsid w:val="00312C3D"/>
    <w:rsid w:val="00314331"/>
    <w:rsid w:val="00317E31"/>
    <w:rsid w:val="00320214"/>
    <w:rsid w:val="003209D6"/>
    <w:rsid w:val="0032109A"/>
    <w:rsid w:val="0032214F"/>
    <w:rsid w:val="00322164"/>
    <w:rsid w:val="00323CF7"/>
    <w:rsid w:val="00323E61"/>
    <w:rsid w:val="0032513D"/>
    <w:rsid w:val="00326251"/>
    <w:rsid w:val="0032739C"/>
    <w:rsid w:val="00327DEE"/>
    <w:rsid w:val="003302DA"/>
    <w:rsid w:val="00330EB0"/>
    <w:rsid w:val="0033229B"/>
    <w:rsid w:val="003329F3"/>
    <w:rsid w:val="0033352E"/>
    <w:rsid w:val="00333690"/>
    <w:rsid w:val="00333D20"/>
    <w:rsid w:val="00333F53"/>
    <w:rsid w:val="003340EF"/>
    <w:rsid w:val="00334A49"/>
    <w:rsid w:val="0033536F"/>
    <w:rsid w:val="00335BB0"/>
    <w:rsid w:val="0033627B"/>
    <w:rsid w:val="003406BD"/>
    <w:rsid w:val="00343474"/>
    <w:rsid w:val="00343F84"/>
    <w:rsid w:val="00344135"/>
    <w:rsid w:val="003450E2"/>
    <w:rsid w:val="00351B63"/>
    <w:rsid w:val="00352E57"/>
    <w:rsid w:val="003541B0"/>
    <w:rsid w:val="0035457E"/>
    <w:rsid w:val="00355885"/>
    <w:rsid w:val="0035605E"/>
    <w:rsid w:val="00357449"/>
    <w:rsid w:val="0036238B"/>
    <w:rsid w:val="003651A4"/>
    <w:rsid w:val="00365680"/>
    <w:rsid w:val="003657F3"/>
    <w:rsid w:val="00366D4D"/>
    <w:rsid w:val="00367038"/>
    <w:rsid w:val="00370963"/>
    <w:rsid w:val="0037144E"/>
    <w:rsid w:val="003736B5"/>
    <w:rsid w:val="00374F1E"/>
    <w:rsid w:val="00376DEC"/>
    <w:rsid w:val="00377200"/>
    <w:rsid w:val="0038034A"/>
    <w:rsid w:val="00380E04"/>
    <w:rsid w:val="00380E6C"/>
    <w:rsid w:val="00383227"/>
    <w:rsid w:val="003839C9"/>
    <w:rsid w:val="00384D8F"/>
    <w:rsid w:val="00385D98"/>
    <w:rsid w:val="00385EC5"/>
    <w:rsid w:val="0038658E"/>
    <w:rsid w:val="0039066E"/>
    <w:rsid w:val="00391C95"/>
    <w:rsid w:val="00392110"/>
    <w:rsid w:val="00394D49"/>
    <w:rsid w:val="00396DAC"/>
    <w:rsid w:val="003A0214"/>
    <w:rsid w:val="003A027D"/>
    <w:rsid w:val="003A1D74"/>
    <w:rsid w:val="003A2B4D"/>
    <w:rsid w:val="003A2D2B"/>
    <w:rsid w:val="003A2DD4"/>
    <w:rsid w:val="003A3B1C"/>
    <w:rsid w:val="003A4088"/>
    <w:rsid w:val="003A478C"/>
    <w:rsid w:val="003A4F82"/>
    <w:rsid w:val="003A5525"/>
    <w:rsid w:val="003A6B38"/>
    <w:rsid w:val="003B2580"/>
    <w:rsid w:val="003B2E63"/>
    <w:rsid w:val="003B3189"/>
    <w:rsid w:val="003B3A9D"/>
    <w:rsid w:val="003B3DDD"/>
    <w:rsid w:val="003B5031"/>
    <w:rsid w:val="003B5A32"/>
    <w:rsid w:val="003B6105"/>
    <w:rsid w:val="003C03CC"/>
    <w:rsid w:val="003C04C4"/>
    <w:rsid w:val="003C26F4"/>
    <w:rsid w:val="003C3686"/>
    <w:rsid w:val="003C4852"/>
    <w:rsid w:val="003C5BC7"/>
    <w:rsid w:val="003C601E"/>
    <w:rsid w:val="003C66C4"/>
    <w:rsid w:val="003D2C4E"/>
    <w:rsid w:val="003D3600"/>
    <w:rsid w:val="003D3825"/>
    <w:rsid w:val="003D3EC4"/>
    <w:rsid w:val="003D4760"/>
    <w:rsid w:val="003D49DC"/>
    <w:rsid w:val="003D4DD9"/>
    <w:rsid w:val="003D5D7A"/>
    <w:rsid w:val="003D653F"/>
    <w:rsid w:val="003E0663"/>
    <w:rsid w:val="003E133F"/>
    <w:rsid w:val="003E49F6"/>
    <w:rsid w:val="003E699C"/>
    <w:rsid w:val="003E69F3"/>
    <w:rsid w:val="003E782E"/>
    <w:rsid w:val="003E7A0B"/>
    <w:rsid w:val="003E7B2B"/>
    <w:rsid w:val="003F181F"/>
    <w:rsid w:val="003F1A48"/>
    <w:rsid w:val="003F1E23"/>
    <w:rsid w:val="003F22F6"/>
    <w:rsid w:val="003F2B0A"/>
    <w:rsid w:val="003F313C"/>
    <w:rsid w:val="003F341B"/>
    <w:rsid w:val="003F37FC"/>
    <w:rsid w:val="003F3A26"/>
    <w:rsid w:val="003F49A6"/>
    <w:rsid w:val="003F5098"/>
    <w:rsid w:val="003F5568"/>
    <w:rsid w:val="003F5A95"/>
    <w:rsid w:val="003F6D19"/>
    <w:rsid w:val="004000D5"/>
    <w:rsid w:val="00400244"/>
    <w:rsid w:val="004005C1"/>
    <w:rsid w:val="00401716"/>
    <w:rsid w:val="00401A09"/>
    <w:rsid w:val="0040273A"/>
    <w:rsid w:val="00402C25"/>
    <w:rsid w:val="004050D7"/>
    <w:rsid w:val="004078BD"/>
    <w:rsid w:val="00410132"/>
    <w:rsid w:val="00410BCD"/>
    <w:rsid w:val="00410DE5"/>
    <w:rsid w:val="0041175D"/>
    <w:rsid w:val="004117CE"/>
    <w:rsid w:val="004123BE"/>
    <w:rsid w:val="00414CE5"/>
    <w:rsid w:val="00416673"/>
    <w:rsid w:val="0042160D"/>
    <w:rsid w:val="00423A3C"/>
    <w:rsid w:val="0042681B"/>
    <w:rsid w:val="00427193"/>
    <w:rsid w:val="0043068A"/>
    <w:rsid w:val="004306E0"/>
    <w:rsid w:val="00431D54"/>
    <w:rsid w:val="004329BE"/>
    <w:rsid w:val="00432C38"/>
    <w:rsid w:val="004342EC"/>
    <w:rsid w:val="00437C76"/>
    <w:rsid w:val="0044105C"/>
    <w:rsid w:val="00443E95"/>
    <w:rsid w:val="004441A0"/>
    <w:rsid w:val="00444268"/>
    <w:rsid w:val="00444326"/>
    <w:rsid w:val="004443BF"/>
    <w:rsid w:val="00444C19"/>
    <w:rsid w:val="00445218"/>
    <w:rsid w:val="00445CDD"/>
    <w:rsid w:val="00446892"/>
    <w:rsid w:val="00447E36"/>
    <w:rsid w:val="00450700"/>
    <w:rsid w:val="00450C30"/>
    <w:rsid w:val="004529C7"/>
    <w:rsid w:val="004540FF"/>
    <w:rsid w:val="004541F1"/>
    <w:rsid w:val="00455ECA"/>
    <w:rsid w:val="00457296"/>
    <w:rsid w:val="00457320"/>
    <w:rsid w:val="00460164"/>
    <w:rsid w:val="0046039A"/>
    <w:rsid w:val="00460A6B"/>
    <w:rsid w:val="00461977"/>
    <w:rsid w:val="00461A3F"/>
    <w:rsid w:val="004629FD"/>
    <w:rsid w:val="00462AD2"/>
    <w:rsid w:val="00463B4B"/>
    <w:rsid w:val="00463F4D"/>
    <w:rsid w:val="0046471F"/>
    <w:rsid w:val="00464BE8"/>
    <w:rsid w:val="00465019"/>
    <w:rsid w:val="00465FA4"/>
    <w:rsid w:val="0046613F"/>
    <w:rsid w:val="0046655D"/>
    <w:rsid w:val="00466AAE"/>
    <w:rsid w:val="0046765E"/>
    <w:rsid w:val="004676E2"/>
    <w:rsid w:val="00471EDD"/>
    <w:rsid w:val="00473E94"/>
    <w:rsid w:val="0047400C"/>
    <w:rsid w:val="004745D9"/>
    <w:rsid w:val="004762D8"/>
    <w:rsid w:val="004765B3"/>
    <w:rsid w:val="00476D29"/>
    <w:rsid w:val="00477241"/>
    <w:rsid w:val="00477EAF"/>
    <w:rsid w:val="00477EE0"/>
    <w:rsid w:val="00480AB8"/>
    <w:rsid w:val="0048139F"/>
    <w:rsid w:val="00481C00"/>
    <w:rsid w:val="00483053"/>
    <w:rsid w:val="00484874"/>
    <w:rsid w:val="00485230"/>
    <w:rsid w:val="004879E9"/>
    <w:rsid w:val="00487F81"/>
    <w:rsid w:val="00490247"/>
    <w:rsid w:val="0049104F"/>
    <w:rsid w:val="00491218"/>
    <w:rsid w:val="00491CFD"/>
    <w:rsid w:val="00493362"/>
    <w:rsid w:val="00494343"/>
    <w:rsid w:val="00496C2F"/>
    <w:rsid w:val="0049740D"/>
    <w:rsid w:val="004978D3"/>
    <w:rsid w:val="004A11F8"/>
    <w:rsid w:val="004A22BD"/>
    <w:rsid w:val="004A22FA"/>
    <w:rsid w:val="004A269A"/>
    <w:rsid w:val="004A30FB"/>
    <w:rsid w:val="004A35DD"/>
    <w:rsid w:val="004A37D3"/>
    <w:rsid w:val="004A3AD6"/>
    <w:rsid w:val="004A5865"/>
    <w:rsid w:val="004A77DF"/>
    <w:rsid w:val="004B0295"/>
    <w:rsid w:val="004B0803"/>
    <w:rsid w:val="004B10A8"/>
    <w:rsid w:val="004B22DA"/>
    <w:rsid w:val="004B3CB7"/>
    <w:rsid w:val="004B3D55"/>
    <w:rsid w:val="004B55B7"/>
    <w:rsid w:val="004B5836"/>
    <w:rsid w:val="004B5F05"/>
    <w:rsid w:val="004C00A6"/>
    <w:rsid w:val="004C0BBB"/>
    <w:rsid w:val="004C1AD6"/>
    <w:rsid w:val="004C1B86"/>
    <w:rsid w:val="004C3382"/>
    <w:rsid w:val="004C3867"/>
    <w:rsid w:val="004C4AB7"/>
    <w:rsid w:val="004C4B88"/>
    <w:rsid w:val="004C4CD0"/>
    <w:rsid w:val="004C57B5"/>
    <w:rsid w:val="004C5C25"/>
    <w:rsid w:val="004C6717"/>
    <w:rsid w:val="004C6CFF"/>
    <w:rsid w:val="004C70DC"/>
    <w:rsid w:val="004C7268"/>
    <w:rsid w:val="004D0211"/>
    <w:rsid w:val="004D1C9C"/>
    <w:rsid w:val="004D458D"/>
    <w:rsid w:val="004D504B"/>
    <w:rsid w:val="004D536E"/>
    <w:rsid w:val="004D76CC"/>
    <w:rsid w:val="004E1839"/>
    <w:rsid w:val="004E4A75"/>
    <w:rsid w:val="004E541A"/>
    <w:rsid w:val="004E5A5C"/>
    <w:rsid w:val="004E7007"/>
    <w:rsid w:val="004E76D6"/>
    <w:rsid w:val="004E7F57"/>
    <w:rsid w:val="004F06F5"/>
    <w:rsid w:val="004F191F"/>
    <w:rsid w:val="004F2A4D"/>
    <w:rsid w:val="004F2A73"/>
    <w:rsid w:val="004F33A0"/>
    <w:rsid w:val="004F4353"/>
    <w:rsid w:val="004F447D"/>
    <w:rsid w:val="004F4C28"/>
    <w:rsid w:val="004F4E82"/>
    <w:rsid w:val="004F5470"/>
    <w:rsid w:val="004F5CC5"/>
    <w:rsid w:val="004F6350"/>
    <w:rsid w:val="005028E1"/>
    <w:rsid w:val="0050692E"/>
    <w:rsid w:val="00507040"/>
    <w:rsid w:val="005079F8"/>
    <w:rsid w:val="00510189"/>
    <w:rsid w:val="005108C0"/>
    <w:rsid w:val="00511873"/>
    <w:rsid w:val="0051367B"/>
    <w:rsid w:val="00513B7E"/>
    <w:rsid w:val="005140DE"/>
    <w:rsid w:val="00514474"/>
    <w:rsid w:val="005147E9"/>
    <w:rsid w:val="0051778E"/>
    <w:rsid w:val="005215EF"/>
    <w:rsid w:val="00524637"/>
    <w:rsid w:val="00524FDD"/>
    <w:rsid w:val="00525137"/>
    <w:rsid w:val="005251DD"/>
    <w:rsid w:val="00526DB6"/>
    <w:rsid w:val="0053017A"/>
    <w:rsid w:val="00530492"/>
    <w:rsid w:val="00532854"/>
    <w:rsid w:val="005350F2"/>
    <w:rsid w:val="00535152"/>
    <w:rsid w:val="00535359"/>
    <w:rsid w:val="005357A2"/>
    <w:rsid w:val="005359E3"/>
    <w:rsid w:val="00535D87"/>
    <w:rsid w:val="00535EF0"/>
    <w:rsid w:val="005363DF"/>
    <w:rsid w:val="0053734B"/>
    <w:rsid w:val="005375B1"/>
    <w:rsid w:val="00537AFD"/>
    <w:rsid w:val="00537CB4"/>
    <w:rsid w:val="0054516B"/>
    <w:rsid w:val="0054559E"/>
    <w:rsid w:val="005513D5"/>
    <w:rsid w:val="005523B9"/>
    <w:rsid w:val="005545E0"/>
    <w:rsid w:val="00554865"/>
    <w:rsid w:val="00554E57"/>
    <w:rsid w:val="00562749"/>
    <w:rsid w:val="00562DE9"/>
    <w:rsid w:val="005638A5"/>
    <w:rsid w:val="00566381"/>
    <w:rsid w:val="00566A03"/>
    <w:rsid w:val="00571932"/>
    <w:rsid w:val="00573C97"/>
    <w:rsid w:val="00574240"/>
    <w:rsid w:val="00575CDC"/>
    <w:rsid w:val="005765D5"/>
    <w:rsid w:val="00576A3E"/>
    <w:rsid w:val="0057703D"/>
    <w:rsid w:val="0058366F"/>
    <w:rsid w:val="00583D5B"/>
    <w:rsid w:val="00583FFD"/>
    <w:rsid w:val="00587CCD"/>
    <w:rsid w:val="005908AE"/>
    <w:rsid w:val="0059176E"/>
    <w:rsid w:val="00592854"/>
    <w:rsid w:val="00593152"/>
    <w:rsid w:val="00593CA3"/>
    <w:rsid w:val="00594161"/>
    <w:rsid w:val="00594969"/>
    <w:rsid w:val="00594B91"/>
    <w:rsid w:val="00596C5E"/>
    <w:rsid w:val="005A2194"/>
    <w:rsid w:val="005A21E0"/>
    <w:rsid w:val="005A33A1"/>
    <w:rsid w:val="005A54EE"/>
    <w:rsid w:val="005A563B"/>
    <w:rsid w:val="005A7500"/>
    <w:rsid w:val="005A77E4"/>
    <w:rsid w:val="005B1BDB"/>
    <w:rsid w:val="005B2BAA"/>
    <w:rsid w:val="005B2D53"/>
    <w:rsid w:val="005B3247"/>
    <w:rsid w:val="005B3409"/>
    <w:rsid w:val="005B498A"/>
    <w:rsid w:val="005B7B12"/>
    <w:rsid w:val="005C16CB"/>
    <w:rsid w:val="005C21D6"/>
    <w:rsid w:val="005C3F9F"/>
    <w:rsid w:val="005C406F"/>
    <w:rsid w:val="005C4A23"/>
    <w:rsid w:val="005C562C"/>
    <w:rsid w:val="005C5812"/>
    <w:rsid w:val="005C6400"/>
    <w:rsid w:val="005C7F1E"/>
    <w:rsid w:val="005D25B4"/>
    <w:rsid w:val="005D374F"/>
    <w:rsid w:val="005D5802"/>
    <w:rsid w:val="005D6CFC"/>
    <w:rsid w:val="005D73E2"/>
    <w:rsid w:val="005D757A"/>
    <w:rsid w:val="005D7C4B"/>
    <w:rsid w:val="005E1E4B"/>
    <w:rsid w:val="005E362D"/>
    <w:rsid w:val="005E3A0C"/>
    <w:rsid w:val="005E3FAC"/>
    <w:rsid w:val="005E492C"/>
    <w:rsid w:val="005E4BAA"/>
    <w:rsid w:val="005E52EF"/>
    <w:rsid w:val="005E5B56"/>
    <w:rsid w:val="005E6088"/>
    <w:rsid w:val="005E61DF"/>
    <w:rsid w:val="005E6B65"/>
    <w:rsid w:val="005E6B78"/>
    <w:rsid w:val="005E75B8"/>
    <w:rsid w:val="005F0976"/>
    <w:rsid w:val="005F26CE"/>
    <w:rsid w:val="005F4057"/>
    <w:rsid w:val="005F4088"/>
    <w:rsid w:val="005F4C83"/>
    <w:rsid w:val="005F601D"/>
    <w:rsid w:val="005F6119"/>
    <w:rsid w:val="005F7940"/>
    <w:rsid w:val="0060107A"/>
    <w:rsid w:val="00601AFF"/>
    <w:rsid w:val="00602D1D"/>
    <w:rsid w:val="00604307"/>
    <w:rsid w:val="0060487F"/>
    <w:rsid w:val="00605814"/>
    <w:rsid w:val="00606B93"/>
    <w:rsid w:val="00607727"/>
    <w:rsid w:val="00610BD5"/>
    <w:rsid w:val="00611363"/>
    <w:rsid w:val="00611531"/>
    <w:rsid w:val="006118AA"/>
    <w:rsid w:val="006139C7"/>
    <w:rsid w:val="006153E3"/>
    <w:rsid w:val="006167AB"/>
    <w:rsid w:val="00617D2D"/>
    <w:rsid w:val="00617D83"/>
    <w:rsid w:val="00620430"/>
    <w:rsid w:val="00620AC5"/>
    <w:rsid w:val="00621575"/>
    <w:rsid w:val="006215FC"/>
    <w:rsid w:val="00624093"/>
    <w:rsid w:val="00630F66"/>
    <w:rsid w:val="00631FC2"/>
    <w:rsid w:val="00632171"/>
    <w:rsid w:val="0063332A"/>
    <w:rsid w:val="006347F9"/>
    <w:rsid w:val="0063494E"/>
    <w:rsid w:val="00634C90"/>
    <w:rsid w:val="00635E79"/>
    <w:rsid w:val="00636E5E"/>
    <w:rsid w:val="006379E0"/>
    <w:rsid w:val="006404A7"/>
    <w:rsid w:val="006407F3"/>
    <w:rsid w:val="006408EC"/>
    <w:rsid w:val="0064129B"/>
    <w:rsid w:val="00641DF7"/>
    <w:rsid w:val="00643A80"/>
    <w:rsid w:val="00644DFC"/>
    <w:rsid w:val="006451E4"/>
    <w:rsid w:val="006454B4"/>
    <w:rsid w:val="00645A9C"/>
    <w:rsid w:val="006460B8"/>
    <w:rsid w:val="006504A0"/>
    <w:rsid w:val="006520C7"/>
    <w:rsid w:val="006520D5"/>
    <w:rsid w:val="00652CBB"/>
    <w:rsid w:val="006530B8"/>
    <w:rsid w:val="006535D6"/>
    <w:rsid w:val="00656716"/>
    <w:rsid w:val="006572ED"/>
    <w:rsid w:val="00657E87"/>
    <w:rsid w:val="00660457"/>
    <w:rsid w:val="00660CB4"/>
    <w:rsid w:val="00660E1E"/>
    <w:rsid w:val="006637B1"/>
    <w:rsid w:val="00664B64"/>
    <w:rsid w:val="00665D67"/>
    <w:rsid w:val="00665D77"/>
    <w:rsid w:val="006660CD"/>
    <w:rsid w:val="00666EC8"/>
    <w:rsid w:val="00666F4B"/>
    <w:rsid w:val="006676D0"/>
    <w:rsid w:val="0066796E"/>
    <w:rsid w:val="00670FAC"/>
    <w:rsid w:val="006710C9"/>
    <w:rsid w:val="006716A5"/>
    <w:rsid w:val="00675E37"/>
    <w:rsid w:val="006764ED"/>
    <w:rsid w:val="00676AFC"/>
    <w:rsid w:val="00676F11"/>
    <w:rsid w:val="00680079"/>
    <w:rsid w:val="00680F68"/>
    <w:rsid w:val="0068260E"/>
    <w:rsid w:val="0068373D"/>
    <w:rsid w:val="00683BFE"/>
    <w:rsid w:val="0068437D"/>
    <w:rsid w:val="006857DF"/>
    <w:rsid w:val="00685E66"/>
    <w:rsid w:val="00686B72"/>
    <w:rsid w:val="00686BF1"/>
    <w:rsid w:val="00687AE5"/>
    <w:rsid w:val="00690A09"/>
    <w:rsid w:val="00690A25"/>
    <w:rsid w:val="006936AD"/>
    <w:rsid w:val="00693EA1"/>
    <w:rsid w:val="00693FEA"/>
    <w:rsid w:val="00694930"/>
    <w:rsid w:val="00695170"/>
    <w:rsid w:val="00695BEF"/>
    <w:rsid w:val="006960D6"/>
    <w:rsid w:val="00696AA5"/>
    <w:rsid w:val="006977F6"/>
    <w:rsid w:val="00697A13"/>
    <w:rsid w:val="006A109C"/>
    <w:rsid w:val="006A18AE"/>
    <w:rsid w:val="006A2EE8"/>
    <w:rsid w:val="006A3CF3"/>
    <w:rsid w:val="006A568F"/>
    <w:rsid w:val="006A65EF"/>
    <w:rsid w:val="006A672B"/>
    <w:rsid w:val="006B23A9"/>
    <w:rsid w:val="006B281D"/>
    <w:rsid w:val="006B3F8A"/>
    <w:rsid w:val="006B5CA3"/>
    <w:rsid w:val="006B6B3B"/>
    <w:rsid w:val="006B7248"/>
    <w:rsid w:val="006B7714"/>
    <w:rsid w:val="006B78D8"/>
    <w:rsid w:val="006C090F"/>
    <w:rsid w:val="006C0935"/>
    <w:rsid w:val="006C0BCE"/>
    <w:rsid w:val="006C113F"/>
    <w:rsid w:val="006C2AED"/>
    <w:rsid w:val="006C38DD"/>
    <w:rsid w:val="006C457F"/>
    <w:rsid w:val="006C53C7"/>
    <w:rsid w:val="006C5577"/>
    <w:rsid w:val="006C559A"/>
    <w:rsid w:val="006C58FA"/>
    <w:rsid w:val="006D042D"/>
    <w:rsid w:val="006D06EF"/>
    <w:rsid w:val="006D142E"/>
    <w:rsid w:val="006D4497"/>
    <w:rsid w:val="006D4E6F"/>
    <w:rsid w:val="006D61F6"/>
    <w:rsid w:val="006E0EB0"/>
    <w:rsid w:val="006E1F4C"/>
    <w:rsid w:val="006E22C8"/>
    <w:rsid w:val="006E279A"/>
    <w:rsid w:val="006E2F3F"/>
    <w:rsid w:val="006E313B"/>
    <w:rsid w:val="006E442A"/>
    <w:rsid w:val="006E4434"/>
    <w:rsid w:val="006E59FC"/>
    <w:rsid w:val="006E5CFD"/>
    <w:rsid w:val="006E7E2C"/>
    <w:rsid w:val="006F1326"/>
    <w:rsid w:val="006F2BEE"/>
    <w:rsid w:val="006F3708"/>
    <w:rsid w:val="006F3E6B"/>
    <w:rsid w:val="006F4619"/>
    <w:rsid w:val="006F4A59"/>
    <w:rsid w:val="00700232"/>
    <w:rsid w:val="007014C7"/>
    <w:rsid w:val="00702D6F"/>
    <w:rsid w:val="00703B6C"/>
    <w:rsid w:val="00703C6B"/>
    <w:rsid w:val="007047D5"/>
    <w:rsid w:val="00705D98"/>
    <w:rsid w:val="00707891"/>
    <w:rsid w:val="00707D43"/>
    <w:rsid w:val="00711EF1"/>
    <w:rsid w:val="0071229A"/>
    <w:rsid w:val="00712572"/>
    <w:rsid w:val="00713495"/>
    <w:rsid w:val="00713EEB"/>
    <w:rsid w:val="007159D2"/>
    <w:rsid w:val="0072050E"/>
    <w:rsid w:val="00720FA2"/>
    <w:rsid w:val="007211F5"/>
    <w:rsid w:val="00724666"/>
    <w:rsid w:val="00725492"/>
    <w:rsid w:val="00726043"/>
    <w:rsid w:val="0072704A"/>
    <w:rsid w:val="00730AE8"/>
    <w:rsid w:val="007315DA"/>
    <w:rsid w:val="00731963"/>
    <w:rsid w:val="00734321"/>
    <w:rsid w:val="0073532E"/>
    <w:rsid w:val="00740310"/>
    <w:rsid w:val="00740652"/>
    <w:rsid w:val="00740F02"/>
    <w:rsid w:val="00740FEC"/>
    <w:rsid w:val="0074132E"/>
    <w:rsid w:val="00741493"/>
    <w:rsid w:val="007426B3"/>
    <w:rsid w:val="007426FD"/>
    <w:rsid w:val="0074329D"/>
    <w:rsid w:val="00744376"/>
    <w:rsid w:val="007449EA"/>
    <w:rsid w:val="00744D00"/>
    <w:rsid w:val="00744D2B"/>
    <w:rsid w:val="00745273"/>
    <w:rsid w:val="00746DD9"/>
    <w:rsid w:val="0075057A"/>
    <w:rsid w:val="00751771"/>
    <w:rsid w:val="00751C1C"/>
    <w:rsid w:val="00752180"/>
    <w:rsid w:val="007521A1"/>
    <w:rsid w:val="00752BC3"/>
    <w:rsid w:val="0075315D"/>
    <w:rsid w:val="007538F9"/>
    <w:rsid w:val="00754253"/>
    <w:rsid w:val="007552BB"/>
    <w:rsid w:val="007558D3"/>
    <w:rsid w:val="007559D7"/>
    <w:rsid w:val="00755D3A"/>
    <w:rsid w:val="00760141"/>
    <w:rsid w:val="007609C6"/>
    <w:rsid w:val="007610A0"/>
    <w:rsid w:val="00762036"/>
    <w:rsid w:val="007620F2"/>
    <w:rsid w:val="00762EBA"/>
    <w:rsid w:val="0076359D"/>
    <w:rsid w:val="0077058D"/>
    <w:rsid w:val="00772536"/>
    <w:rsid w:val="00773613"/>
    <w:rsid w:val="00774782"/>
    <w:rsid w:val="00776476"/>
    <w:rsid w:val="00776527"/>
    <w:rsid w:val="007805E1"/>
    <w:rsid w:val="0078113E"/>
    <w:rsid w:val="00781834"/>
    <w:rsid w:val="007821DB"/>
    <w:rsid w:val="00782818"/>
    <w:rsid w:val="007838F1"/>
    <w:rsid w:val="00784C4A"/>
    <w:rsid w:val="00785896"/>
    <w:rsid w:val="00787432"/>
    <w:rsid w:val="00787507"/>
    <w:rsid w:val="007879F2"/>
    <w:rsid w:val="00791804"/>
    <w:rsid w:val="00791CF8"/>
    <w:rsid w:val="00791EF9"/>
    <w:rsid w:val="00792262"/>
    <w:rsid w:val="00793387"/>
    <w:rsid w:val="00793BAE"/>
    <w:rsid w:val="00794E0A"/>
    <w:rsid w:val="00796642"/>
    <w:rsid w:val="007A11D9"/>
    <w:rsid w:val="007A327B"/>
    <w:rsid w:val="007A4048"/>
    <w:rsid w:val="007A45B1"/>
    <w:rsid w:val="007A4606"/>
    <w:rsid w:val="007B0D67"/>
    <w:rsid w:val="007B1966"/>
    <w:rsid w:val="007B2779"/>
    <w:rsid w:val="007B3DCC"/>
    <w:rsid w:val="007B4518"/>
    <w:rsid w:val="007B5031"/>
    <w:rsid w:val="007B573F"/>
    <w:rsid w:val="007B78F8"/>
    <w:rsid w:val="007C0065"/>
    <w:rsid w:val="007C010B"/>
    <w:rsid w:val="007C3AE3"/>
    <w:rsid w:val="007C605B"/>
    <w:rsid w:val="007D2A5A"/>
    <w:rsid w:val="007D2AD8"/>
    <w:rsid w:val="007D2C47"/>
    <w:rsid w:val="007D2F81"/>
    <w:rsid w:val="007D3167"/>
    <w:rsid w:val="007D4128"/>
    <w:rsid w:val="007D4281"/>
    <w:rsid w:val="007D42F5"/>
    <w:rsid w:val="007D44C3"/>
    <w:rsid w:val="007D5947"/>
    <w:rsid w:val="007D65C1"/>
    <w:rsid w:val="007E030F"/>
    <w:rsid w:val="007E0E59"/>
    <w:rsid w:val="007E0F4B"/>
    <w:rsid w:val="007E3715"/>
    <w:rsid w:val="007E7E61"/>
    <w:rsid w:val="007F0845"/>
    <w:rsid w:val="007F16F9"/>
    <w:rsid w:val="007F3E3E"/>
    <w:rsid w:val="007F42E0"/>
    <w:rsid w:val="007F500D"/>
    <w:rsid w:val="007F5F14"/>
    <w:rsid w:val="007F7B54"/>
    <w:rsid w:val="00800073"/>
    <w:rsid w:val="008005D7"/>
    <w:rsid w:val="00801FDD"/>
    <w:rsid w:val="008020C2"/>
    <w:rsid w:val="0080255C"/>
    <w:rsid w:val="00806088"/>
    <w:rsid w:val="00806D07"/>
    <w:rsid w:val="0081019B"/>
    <w:rsid w:val="0081187C"/>
    <w:rsid w:val="00811E24"/>
    <w:rsid w:val="00812386"/>
    <w:rsid w:val="00812E2B"/>
    <w:rsid w:val="00813A70"/>
    <w:rsid w:val="00813FE6"/>
    <w:rsid w:val="00815C6E"/>
    <w:rsid w:val="0081645F"/>
    <w:rsid w:val="00817755"/>
    <w:rsid w:val="008178C2"/>
    <w:rsid w:val="008178CF"/>
    <w:rsid w:val="00817C98"/>
    <w:rsid w:val="00820C9F"/>
    <w:rsid w:val="00821FF6"/>
    <w:rsid w:val="00823AAF"/>
    <w:rsid w:val="00824081"/>
    <w:rsid w:val="0082409A"/>
    <w:rsid w:val="008252D7"/>
    <w:rsid w:val="00825C0F"/>
    <w:rsid w:val="00826ED1"/>
    <w:rsid w:val="00827181"/>
    <w:rsid w:val="0082733C"/>
    <w:rsid w:val="00827746"/>
    <w:rsid w:val="0083102D"/>
    <w:rsid w:val="0083143E"/>
    <w:rsid w:val="0083159D"/>
    <w:rsid w:val="008318FF"/>
    <w:rsid w:val="00832187"/>
    <w:rsid w:val="00832493"/>
    <w:rsid w:val="008329BD"/>
    <w:rsid w:val="008336D8"/>
    <w:rsid w:val="008339C4"/>
    <w:rsid w:val="00834F0A"/>
    <w:rsid w:val="00834FAA"/>
    <w:rsid w:val="00835181"/>
    <w:rsid w:val="00835991"/>
    <w:rsid w:val="00836086"/>
    <w:rsid w:val="00840699"/>
    <w:rsid w:val="00841D9F"/>
    <w:rsid w:val="00842604"/>
    <w:rsid w:val="00843ECF"/>
    <w:rsid w:val="00845AB1"/>
    <w:rsid w:val="00846673"/>
    <w:rsid w:val="0085281A"/>
    <w:rsid w:val="00853F33"/>
    <w:rsid w:val="008559FE"/>
    <w:rsid w:val="00857339"/>
    <w:rsid w:val="00860706"/>
    <w:rsid w:val="00862A7A"/>
    <w:rsid w:val="00863104"/>
    <w:rsid w:val="008636CD"/>
    <w:rsid w:val="00863702"/>
    <w:rsid w:val="00863D9E"/>
    <w:rsid w:val="00863FDC"/>
    <w:rsid w:val="008642AF"/>
    <w:rsid w:val="00865729"/>
    <w:rsid w:val="00865ED4"/>
    <w:rsid w:val="008669A7"/>
    <w:rsid w:val="00867464"/>
    <w:rsid w:val="00867E29"/>
    <w:rsid w:val="00870F2B"/>
    <w:rsid w:val="00873B2E"/>
    <w:rsid w:val="008746E6"/>
    <w:rsid w:val="0087594C"/>
    <w:rsid w:val="00876086"/>
    <w:rsid w:val="008765FA"/>
    <w:rsid w:val="008768D6"/>
    <w:rsid w:val="008775D1"/>
    <w:rsid w:val="008777BB"/>
    <w:rsid w:val="00877D68"/>
    <w:rsid w:val="00877E5D"/>
    <w:rsid w:val="00880150"/>
    <w:rsid w:val="00880ABA"/>
    <w:rsid w:val="00883A67"/>
    <w:rsid w:val="00883D45"/>
    <w:rsid w:val="00884D69"/>
    <w:rsid w:val="0088503D"/>
    <w:rsid w:val="00886A8F"/>
    <w:rsid w:val="0088733A"/>
    <w:rsid w:val="00891BE0"/>
    <w:rsid w:val="00893302"/>
    <w:rsid w:val="00893648"/>
    <w:rsid w:val="00893F3C"/>
    <w:rsid w:val="008945A1"/>
    <w:rsid w:val="00894A63"/>
    <w:rsid w:val="00895A54"/>
    <w:rsid w:val="00896916"/>
    <w:rsid w:val="00896BDE"/>
    <w:rsid w:val="008A0861"/>
    <w:rsid w:val="008A0BB2"/>
    <w:rsid w:val="008A1AB3"/>
    <w:rsid w:val="008A1D5C"/>
    <w:rsid w:val="008A3292"/>
    <w:rsid w:val="008A3A85"/>
    <w:rsid w:val="008A43E9"/>
    <w:rsid w:val="008A4CB1"/>
    <w:rsid w:val="008A615E"/>
    <w:rsid w:val="008A632B"/>
    <w:rsid w:val="008A6BFE"/>
    <w:rsid w:val="008B00C2"/>
    <w:rsid w:val="008B07EF"/>
    <w:rsid w:val="008B16DE"/>
    <w:rsid w:val="008B190E"/>
    <w:rsid w:val="008B1A8A"/>
    <w:rsid w:val="008B1FC9"/>
    <w:rsid w:val="008B531F"/>
    <w:rsid w:val="008B54A3"/>
    <w:rsid w:val="008B6B67"/>
    <w:rsid w:val="008B7306"/>
    <w:rsid w:val="008B775F"/>
    <w:rsid w:val="008B7C02"/>
    <w:rsid w:val="008B7D13"/>
    <w:rsid w:val="008B7F9E"/>
    <w:rsid w:val="008C034E"/>
    <w:rsid w:val="008C0E88"/>
    <w:rsid w:val="008C1399"/>
    <w:rsid w:val="008C1AA8"/>
    <w:rsid w:val="008C22A8"/>
    <w:rsid w:val="008C5B43"/>
    <w:rsid w:val="008C63FD"/>
    <w:rsid w:val="008C6CB8"/>
    <w:rsid w:val="008C7815"/>
    <w:rsid w:val="008C7A07"/>
    <w:rsid w:val="008C7EB3"/>
    <w:rsid w:val="008D0171"/>
    <w:rsid w:val="008D13EA"/>
    <w:rsid w:val="008D2671"/>
    <w:rsid w:val="008D2A16"/>
    <w:rsid w:val="008D2ECF"/>
    <w:rsid w:val="008D347D"/>
    <w:rsid w:val="008D3F3D"/>
    <w:rsid w:val="008D4376"/>
    <w:rsid w:val="008E0367"/>
    <w:rsid w:val="008E308D"/>
    <w:rsid w:val="008E31FF"/>
    <w:rsid w:val="008E46A3"/>
    <w:rsid w:val="008E5DE6"/>
    <w:rsid w:val="008E6113"/>
    <w:rsid w:val="008E6AB3"/>
    <w:rsid w:val="008E6AD3"/>
    <w:rsid w:val="008E71A6"/>
    <w:rsid w:val="008E77B6"/>
    <w:rsid w:val="008E7C55"/>
    <w:rsid w:val="008F032E"/>
    <w:rsid w:val="008F0F14"/>
    <w:rsid w:val="008F2F44"/>
    <w:rsid w:val="008F4FCE"/>
    <w:rsid w:val="008F5301"/>
    <w:rsid w:val="008F6967"/>
    <w:rsid w:val="008F6A0C"/>
    <w:rsid w:val="008F6F38"/>
    <w:rsid w:val="008F7721"/>
    <w:rsid w:val="008F7D28"/>
    <w:rsid w:val="009003A8"/>
    <w:rsid w:val="009010A7"/>
    <w:rsid w:val="009010E3"/>
    <w:rsid w:val="00901AF3"/>
    <w:rsid w:val="00902CBE"/>
    <w:rsid w:val="00902D74"/>
    <w:rsid w:val="00902EFF"/>
    <w:rsid w:val="00903E06"/>
    <w:rsid w:val="00904B9D"/>
    <w:rsid w:val="00905A11"/>
    <w:rsid w:val="009066E1"/>
    <w:rsid w:val="00907A41"/>
    <w:rsid w:val="009102BD"/>
    <w:rsid w:val="00910F93"/>
    <w:rsid w:val="0091255A"/>
    <w:rsid w:val="00914426"/>
    <w:rsid w:val="0091675F"/>
    <w:rsid w:val="00917709"/>
    <w:rsid w:val="00917918"/>
    <w:rsid w:val="00920874"/>
    <w:rsid w:val="00921F14"/>
    <w:rsid w:val="00923750"/>
    <w:rsid w:val="009243A5"/>
    <w:rsid w:val="0092500F"/>
    <w:rsid w:val="009250D2"/>
    <w:rsid w:val="0092519D"/>
    <w:rsid w:val="0092540B"/>
    <w:rsid w:val="009256C5"/>
    <w:rsid w:val="00926283"/>
    <w:rsid w:val="009306BE"/>
    <w:rsid w:val="00937B11"/>
    <w:rsid w:val="00940F1F"/>
    <w:rsid w:val="00941250"/>
    <w:rsid w:val="0094427A"/>
    <w:rsid w:val="00944380"/>
    <w:rsid w:val="009459C5"/>
    <w:rsid w:val="0094626C"/>
    <w:rsid w:val="0095013A"/>
    <w:rsid w:val="00953AEF"/>
    <w:rsid w:val="009551E2"/>
    <w:rsid w:val="00955783"/>
    <w:rsid w:val="009558A6"/>
    <w:rsid w:val="00955E5F"/>
    <w:rsid w:val="009560B0"/>
    <w:rsid w:val="00956F23"/>
    <w:rsid w:val="009576AC"/>
    <w:rsid w:val="00957871"/>
    <w:rsid w:val="00960077"/>
    <w:rsid w:val="00960769"/>
    <w:rsid w:val="00962D2E"/>
    <w:rsid w:val="00963724"/>
    <w:rsid w:val="00964498"/>
    <w:rsid w:val="0096504D"/>
    <w:rsid w:val="00965795"/>
    <w:rsid w:val="00965A2D"/>
    <w:rsid w:val="009663EB"/>
    <w:rsid w:val="0096650F"/>
    <w:rsid w:val="00967801"/>
    <w:rsid w:val="00967AD2"/>
    <w:rsid w:val="009700DB"/>
    <w:rsid w:val="00971DC6"/>
    <w:rsid w:val="00972263"/>
    <w:rsid w:val="00972502"/>
    <w:rsid w:val="00972D8D"/>
    <w:rsid w:val="00973AAE"/>
    <w:rsid w:val="0097476C"/>
    <w:rsid w:val="00974923"/>
    <w:rsid w:val="00974D48"/>
    <w:rsid w:val="00974D5F"/>
    <w:rsid w:val="00975017"/>
    <w:rsid w:val="009759DF"/>
    <w:rsid w:val="00980373"/>
    <w:rsid w:val="00980621"/>
    <w:rsid w:val="0098095B"/>
    <w:rsid w:val="00982072"/>
    <w:rsid w:val="009833FA"/>
    <w:rsid w:val="00983DBB"/>
    <w:rsid w:val="00983ECF"/>
    <w:rsid w:val="00986745"/>
    <w:rsid w:val="009867BC"/>
    <w:rsid w:val="00987109"/>
    <w:rsid w:val="00987309"/>
    <w:rsid w:val="0099012D"/>
    <w:rsid w:val="00990363"/>
    <w:rsid w:val="009954FF"/>
    <w:rsid w:val="00995E2F"/>
    <w:rsid w:val="009961BC"/>
    <w:rsid w:val="00996355"/>
    <w:rsid w:val="009A2014"/>
    <w:rsid w:val="009A3A87"/>
    <w:rsid w:val="009A4E12"/>
    <w:rsid w:val="009A5C68"/>
    <w:rsid w:val="009A6EF7"/>
    <w:rsid w:val="009B04D0"/>
    <w:rsid w:val="009B052C"/>
    <w:rsid w:val="009B0EF2"/>
    <w:rsid w:val="009B23A3"/>
    <w:rsid w:val="009B2C0E"/>
    <w:rsid w:val="009B4925"/>
    <w:rsid w:val="009B4B4B"/>
    <w:rsid w:val="009B6FD3"/>
    <w:rsid w:val="009B70BD"/>
    <w:rsid w:val="009C07A5"/>
    <w:rsid w:val="009C3705"/>
    <w:rsid w:val="009C7388"/>
    <w:rsid w:val="009D0CFF"/>
    <w:rsid w:val="009D1551"/>
    <w:rsid w:val="009D2859"/>
    <w:rsid w:val="009D36EC"/>
    <w:rsid w:val="009D4173"/>
    <w:rsid w:val="009D6095"/>
    <w:rsid w:val="009D6306"/>
    <w:rsid w:val="009E048A"/>
    <w:rsid w:val="009E1FBA"/>
    <w:rsid w:val="009E2C54"/>
    <w:rsid w:val="009E3710"/>
    <w:rsid w:val="009E6F65"/>
    <w:rsid w:val="009E7340"/>
    <w:rsid w:val="009E7B1F"/>
    <w:rsid w:val="009F3FC3"/>
    <w:rsid w:val="009F41C4"/>
    <w:rsid w:val="009F5846"/>
    <w:rsid w:val="009F63D2"/>
    <w:rsid w:val="009F7B52"/>
    <w:rsid w:val="009F7D77"/>
    <w:rsid w:val="00A004D2"/>
    <w:rsid w:val="00A015EA"/>
    <w:rsid w:val="00A10D66"/>
    <w:rsid w:val="00A12BA8"/>
    <w:rsid w:val="00A13993"/>
    <w:rsid w:val="00A1420C"/>
    <w:rsid w:val="00A1456C"/>
    <w:rsid w:val="00A14821"/>
    <w:rsid w:val="00A17754"/>
    <w:rsid w:val="00A2055B"/>
    <w:rsid w:val="00A2253C"/>
    <w:rsid w:val="00A23545"/>
    <w:rsid w:val="00A23A55"/>
    <w:rsid w:val="00A23E43"/>
    <w:rsid w:val="00A23EF0"/>
    <w:rsid w:val="00A24F8C"/>
    <w:rsid w:val="00A262BF"/>
    <w:rsid w:val="00A271AD"/>
    <w:rsid w:val="00A276D5"/>
    <w:rsid w:val="00A30336"/>
    <w:rsid w:val="00A30BB5"/>
    <w:rsid w:val="00A3128F"/>
    <w:rsid w:val="00A326D0"/>
    <w:rsid w:val="00A35287"/>
    <w:rsid w:val="00A378F8"/>
    <w:rsid w:val="00A40B19"/>
    <w:rsid w:val="00A41D07"/>
    <w:rsid w:val="00A424F8"/>
    <w:rsid w:val="00A42883"/>
    <w:rsid w:val="00A437B7"/>
    <w:rsid w:val="00A46D48"/>
    <w:rsid w:val="00A46DE0"/>
    <w:rsid w:val="00A4778A"/>
    <w:rsid w:val="00A47C94"/>
    <w:rsid w:val="00A504C0"/>
    <w:rsid w:val="00A5067F"/>
    <w:rsid w:val="00A517C1"/>
    <w:rsid w:val="00A518E0"/>
    <w:rsid w:val="00A55301"/>
    <w:rsid w:val="00A572FB"/>
    <w:rsid w:val="00A57B3C"/>
    <w:rsid w:val="00A57F1B"/>
    <w:rsid w:val="00A600D2"/>
    <w:rsid w:val="00A6128E"/>
    <w:rsid w:val="00A62CE1"/>
    <w:rsid w:val="00A631FA"/>
    <w:rsid w:val="00A64203"/>
    <w:rsid w:val="00A64348"/>
    <w:rsid w:val="00A644E1"/>
    <w:rsid w:val="00A711B0"/>
    <w:rsid w:val="00A721FB"/>
    <w:rsid w:val="00A727BA"/>
    <w:rsid w:val="00A72D4B"/>
    <w:rsid w:val="00A732AE"/>
    <w:rsid w:val="00A75E40"/>
    <w:rsid w:val="00A77EB2"/>
    <w:rsid w:val="00A81094"/>
    <w:rsid w:val="00A82B66"/>
    <w:rsid w:val="00A83B58"/>
    <w:rsid w:val="00A84FAF"/>
    <w:rsid w:val="00A851B6"/>
    <w:rsid w:val="00A85729"/>
    <w:rsid w:val="00A8574B"/>
    <w:rsid w:val="00A857C0"/>
    <w:rsid w:val="00A90343"/>
    <w:rsid w:val="00A91336"/>
    <w:rsid w:val="00A9221C"/>
    <w:rsid w:val="00A94628"/>
    <w:rsid w:val="00A94954"/>
    <w:rsid w:val="00A96463"/>
    <w:rsid w:val="00A97E3F"/>
    <w:rsid w:val="00AA09D3"/>
    <w:rsid w:val="00AA23FB"/>
    <w:rsid w:val="00AA34FE"/>
    <w:rsid w:val="00AA42AB"/>
    <w:rsid w:val="00AA559A"/>
    <w:rsid w:val="00AA5F10"/>
    <w:rsid w:val="00AB104D"/>
    <w:rsid w:val="00AB1441"/>
    <w:rsid w:val="00AB2AF1"/>
    <w:rsid w:val="00AB440B"/>
    <w:rsid w:val="00AB47E3"/>
    <w:rsid w:val="00AB74C5"/>
    <w:rsid w:val="00AB7BEE"/>
    <w:rsid w:val="00AB7DF2"/>
    <w:rsid w:val="00AC1E3F"/>
    <w:rsid w:val="00AC219A"/>
    <w:rsid w:val="00AC4F18"/>
    <w:rsid w:val="00AC584C"/>
    <w:rsid w:val="00AD0B46"/>
    <w:rsid w:val="00AD1094"/>
    <w:rsid w:val="00AD2565"/>
    <w:rsid w:val="00AD306C"/>
    <w:rsid w:val="00AD3424"/>
    <w:rsid w:val="00AD50D1"/>
    <w:rsid w:val="00AD59BB"/>
    <w:rsid w:val="00AD5D68"/>
    <w:rsid w:val="00AD6C73"/>
    <w:rsid w:val="00AD7D49"/>
    <w:rsid w:val="00AE06D0"/>
    <w:rsid w:val="00AE1B8A"/>
    <w:rsid w:val="00AE39DC"/>
    <w:rsid w:val="00AE3CDA"/>
    <w:rsid w:val="00AE7968"/>
    <w:rsid w:val="00AE7B2B"/>
    <w:rsid w:val="00AE7DFF"/>
    <w:rsid w:val="00AF128B"/>
    <w:rsid w:val="00AF1AEA"/>
    <w:rsid w:val="00AF2852"/>
    <w:rsid w:val="00AF3225"/>
    <w:rsid w:val="00AF4983"/>
    <w:rsid w:val="00AF518B"/>
    <w:rsid w:val="00AF5275"/>
    <w:rsid w:val="00AF5D62"/>
    <w:rsid w:val="00AF6367"/>
    <w:rsid w:val="00AF6A79"/>
    <w:rsid w:val="00AF724E"/>
    <w:rsid w:val="00AF73A9"/>
    <w:rsid w:val="00B01436"/>
    <w:rsid w:val="00B01C2C"/>
    <w:rsid w:val="00B0231C"/>
    <w:rsid w:val="00B07C2A"/>
    <w:rsid w:val="00B13681"/>
    <w:rsid w:val="00B15DCD"/>
    <w:rsid w:val="00B17E71"/>
    <w:rsid w:val="00B17FDE"/>
    <w:rsid w:val="00B208FC"/>
    <w:rsid w:val="00B20C65"/>
    <w:rsid w:val="00B22E17"/>
    <w:rsid w:val="00B25567"/>
    <w:rsid w:val="00B266C5"/>
    <w:rsid w:val="00B27293"/>
    <w:rsid w:val="00B301BB"/>
    <w:rsid w:val="00B321E3"/>
    <w:rsid w:val="00B3229E"/>
    <w:rsid w:val="00B32DDB"/>
    <w:rsid w:val="00B34931"/>
    <w:rsid w:val="00B35174"/>
    <w:rsid w:val="00B35BEA"/>
    <w:rsid w:val="00B37915"/>
    <w:rsid w:val="00B3793D"/>
    <w:rsid w:val="00B41BE6"/>
    <w:rsid w:val="00B42831"/>
    <w:rsid w:val="00B428A4"/>
    <w:rsid w:val="00B457E7"/>
    <w:rsid w:val="00B45D1B"/>
    <w:rsid w:val="00B46D25"/>
    <w:rsid w:val="00B47430"/>
    <w:rsid w:val="00B47AC6"/>
    <w:rsid w:val="00B52D2D"/>
    <w:rsid w:val="00B534EF"/>
    <w:rsid w:val="00B55BA8"/>
    <w:rsid w:val="00B55F15"/>
    <w:rsid w:val="00B561A6"/>
    <w:rsid w:val="00B60062"/>
    <w:rsid w:val="00B62960"/>
    <w:rsid w:val="00B63A11"/>
    <w:rsid w:val="00B63FD0"/>
    <w:rsid w:val="00B65C84"/>
    <w:rsid w:val="00B6608F"/>
    <w:rsid w:val="00B74317"/>
    <w:rsid w:val="00B76D1E"/>
    <w:rsid w:val="00B77BC8"/>
    <w:rsid w:val="00B800EB"/>
    <w:rsid w:val="00B822D2"/>
    <w:rsid w:val="00B83D46"/>
    <w:rsid w:val="00B848B8"/>
    <w:rsid w:val="00B84A41"/>
    <w:rsid w:val="00B84D57"/>
    <w:rsid w:val="00B8504B"/>
    <w:rsid w:val="00B85689"/>
    <w:rsid w:val="00B86748"/>
    <w:rsid w:val="00B907EA"/>
    <w:rsid w:val="00B91EC9"/>
    <w:rsid w:val="00B924CA"/>
    <w:rsid w:val="00B92A4B"/>
    <w:rsid w:val="00B93384"/>
    <w:rsid w:val="00B93616"/>
    <w:rsid w:val="00B94417"/>
    <w:rsid w:val="00B95566"/>
    <w:rsid w:val="00B95940"/>
    <w:rsid w:val="00B95EF8"/>
    <w:rsid w:val="00B95F50"/>
    <w:rsid w:val="00B96BD9"/>
    <w:rsid w:val="00BB0274"/>
    <w:rsid w:val="00BB1CFD"/>
    <w:rsid w:val="00BB2C53"/>
    <w:rsid w:val="00BB32DA"/>
    <w:rsid w:val="00BB3A54"/>
    <w:rsid w:val="00BB4D26"/>
    <w:rsid w:val="00BB4E21"/>
    <w:rsid w:val="00BB7746"/>
    <w:rsid w:val="00BC22EB"/>
    <w:rsid w:val="00BC682B"/>
    <w:rsid w:val="00BC6B04"/>
    <w:rsid w:val="00BC6D27"/>
    <w:rsid w:val="00BD059A"/>
    <w:rsid w:val="00BD186B"/>
    <w:rsid w:val="00BD1EAC"/>
    <w:rsid w:val="00BD254C"/>
    <w:rsid w:val="00BD3428"/>
    <w:rsid w:val="00BD366B"/>
    <w:rsid w:val="00BD534C"/>
    <w:rsid w:val="00BD55A9"/>
    <w:rsid w:val="00BD56BC"/>
    <w:rsid w:val="00BD5D91"/>
    <w:rsid w:val="00BD6445"/>
    <w:rsid w:val="00BD6615"/>
    <w:rsid w:val="00BD6D50"/>
    <w:rsid w:val="00BE0D79"/>
    <w:rsid w:val="00BE0DB0"/>
    <w:rsid w:val="00BE3381"/>
    <w:rsid w:val="00BE3F09"/>
    <w:rsid w:val="00BE670A"/>
    <w:rsid w:val="00BE6906"/>
    <w:rsid w:val="00BF18F4"/>
    <w:rsid w:val="00BF1A69"/>
    <w:rsid w:val="00BF3BC8"/>
    <w:rsid w:val="00BF3DF1"/>
    <w:rsid w:val="00BF4C31"/>
    <w:rsid w:val="00BF4E57"/>
    <w:rsid w:val="00BF53B8"/>
    <w:rsid w:val="00BF786A"/>
    <w:rsid w:val="00BF7CB8"/>
    <w:rsid w:val="00C00F20"/>
    <w:rsid w:val="00C01700"/>
    <w:rsid w:val="00C034E6"/>
    <w:rsid w:val="00C05715"/>
    <w:rsid w:val="00C05926"/>
    <w:rsid w:val="00C0784A"/>
    <w:rsid w:val="00C10B28"/>
    <w:rsid w:val="00C10D62"/>
    <w:rsid w:val="00C10FAE"/>
    <w:rsid w:val="00C11DAF"/>
    <w:rsid w:val="00C123B4"/>
    <w:rsid w:val="00C12A69"/>
    <w:rsid w:val="00C13737"/>
    <w:rsid w:val="00C150BE"/>
    <w:rsid w:val="00C158B0"/>
    <w:rsid w:val="00C15A0C"/>
    <w:rsid w:val="00C15DCB"/>
    <w:rsid w:val="00C16208"/>
    <w:rsid w:val="00C1711F"/>
    <w:rsid w:val="00C17E38"/>
    <w:rsid w:val="00C20744"/>
    <w:rsid w:val="00C20B1C"/>
    <w:rsid w:val="00C20C4D"/>
    <w:rsid w:val="00C21D46"/>
    <w:rsid w:val="00C21F94"/>
    <w:rsid w:val="00C222A1"/>
    <w:rsid w:val="00C23371"/>
    <w:rsid w:val="00C23CBD"/>
    <w:rsid w:val="00C23D22"/>
    <w:rsid w:val="00C2463B"/>
    <w:rsid w:val="00C24E77"/>
    <w:rsid w:val="00C2732D"/>
    <w:rsid w:val="00C273C6"/>
    <w:rsid w:val="00C27913"/>
    <w:rsid w:val="00C300C6"/>
    <w:rsid w:val="00C30828"/>
    <w:rsid w:val="00C31DD8"/>
    <w:rsid w:val="00C3271C"/>
    <w:rsid w:val="00C34FDE"/>
    <w:rsid w:val="00C35C16"/>
    <w:rsid w:val="00C40F81"/>
    <w:rsid w:val="00C41463"/>
    <w:rsid w:val="00C41A72"/>
    <w:rsid w:val="00C42D45"/>
    <w:rsid w:val="00C4422D"/>
    <w:rsid w:val="00C476C5"/>
    <w:rsid w:val="00C503B0"/>
    <w:rsid w:val="00C511C2"/>
    <w:rsid w:val="00C527C6"/>
    <w:rsid w:val="00C53CDB"/>
    <w:rsid w:val="00C53D82"/>
    <w:rsid w:val="00C54748"/>
    <w:rsid w:val="00C575FB"/>
    <w:rsid w:val="00C60696"/>
    <w:rsid w:val="00C60943"/>
    <w:rsid w:val="00C60EEF"/>
    <w:rsid w:val="00C6121D"/>
    <w:rsid w:val="00C615F1"/>
    <w:rsid w:val="00C61627"/>
    <w:rsid w:val="00C63B1A"/>
    <w:rsid w:val="00C64E60"/>
    <w:rsid w:val="00C657A4"/>
    <w:rsid w:val="00C6736C"/>
    <w:rsid w:val="00C71A1D"/>
    <w:rsid w:val="00C71EC4"/>
    <w:rsid w:val="00C7591E"/>
    <w:rsid w:val="00C75C7E"/>
    <w:rsid w:val="00C75C9B"/>
    <w:rsid w:val="00C76D8E"/>
    <w:rsid w:val="00C77833"/>
    <w:rsid w:val="00C80C9B"/>
    <w:rsid w:val="00C8335E"/>
    <w:rsid w:val="00C83F9C"/>
    <w:rsid w:val="00C84CE3"/>
    <w:rsid w:val="00C85614"/>
    <w:rsid w:val="00C86127"/>
    <w:rsid w:val="00C90CF4"/>
    <w:rsid w:val="00C91C19"/>
    <w:rsid w:val="00C929A0"/>
    <w:rsid w:val="00C93389"/>
    <w:rsid w:val="00C937DB"/>
    <w:rsid w:val="00C94519"/>
    <w:rsid w:val="00C94E83"/>
    <w:rsid w:val="00C97038"/>
    <w:rsid w:val="00CA02B2"/>
    <w:rsid w:val="00CA0883"/>
    <w:rsid w:val="00CA1085"/>
    <w:rsid w:val="00CA140F"/>
    <w:rsid w:val="00CA25C2"/>
    <w:rsid w:val="00CA37BB"/>
    <w:rsid w:val="00CA37CA"/>
    <w:rsid w:val="00CA5724"/>
    <w:rsid w:val="00CA6508"/>
    <w:rsid w:val="00CA6BA1"/>
    <w:rsid w:val="00CA6CD5"/>
    <w:rsid w:val="00CB1910"/>
    <w:rsid w:val="00CB2150"/>
    <w:rsid w:val="00CB28EE"/>
    <w:rsid w:val="00CB43A7"/>
    <w:rsid w:val="00CB4DF1"/>
    <w:rsid w:val="00CB5996"/>
    <w:rsid w:val="00CB6809"/>
    <w:rsid w:val="00CB7452"/>
    <w:rsid w:val="00CC0E10"/>
    <w:rsid w:val="00CC1DAF"/>
    <w:rsid w:val="00CC2642"/>
    <w:rsid w:val="00CC2967"/>
    <w:rsid w:val="00CC2A36"/>
    <w:rsid w:val="00CC2E15"/>
    <w:rsid w:val="00CC3440"/>
    <w:rsid w:val="00CC3908"/>
    <w:rsid w:val="00CC62AD"/>
    <w:rsid w:val="00CC6CA2"/>
    <w:rsid w:val="00CC7B80"/>
    <w:rsid w:val="00CD2B3C"/>
    <w:rsid w:val="00CD30F6"/>
    <w:rsid w:val="00CD4B29"/>
    <w:rsid w:val="00CD6954"/>
    <w:rsid w:val="00CD6DA3"/>
    <w:rsid w:val="00CD6EF1"/>
    <w:rsid w:val="00CD7E35"/>
    <w:rsid w:val="00CE21C7"/>
    <w:rsid w:val="00CE2682"/>
    <w:rsid w:val="00CE2756"/>
    <w:rsid w:val="00CE442A"/>
    <w:rsid w:val="00CE57D8"/>
    <w:rsid w:val="00CE617A"/>
    <w:rsid w:val="00CE6E3C"/>
    <w:rsid w:val="00CE797F"/>
    <w:rsid w:val="00CF25D2"/>
    <w:rsid w:val="00CF28C2"/>
    <w:rsid w:val="00CF42BD"/>
    <w:rsid w:val="00CF51EC"/>
    <w:rsid w:val="00CF6A9D"/>
    <w:rsid w:val="00CF6CD7"/>
    <w:rsid w:val="00CF75EC"/>
    <w:rsid w:val="00D0037A"/>
    <w:rsid w:val="00D0061E"/>
    <w:rsid w:val="00D00DAF"/>
    <w:rsid w:val="00D017EC"/>
    <w:rsid w:val="00D01CDA"/>
    <w:rsid w:val="00D020FC"/>
    <w:rsid w:val="00D040DD"/>
    <w:rsid w:val="00D04E1B"/>
    <w:rsid w:val="00D0547B"/>
    <w:rsid w:val="00D076DB"/>
    <w:rsid w:val="00D07EFF"/>
    <w:rsid w:val="00D1067C"/>
    <w:rsid w:val="00D11CBB"/>
    <w:rsid w:val="00D136D4"/>
    <w:rsid w:val="00D13830"/>
    <w:rsid w:val="00D13ECF"/>
    <w:rsid w:val="00D142E5"/>
    <w:rsid w:val="00D148CD"/>
    <w:rsid w:val="00D1611E"/>
    <w:rsid w:val="00D163CC"/>
    <w:rsid w:val="00D16E69"/>
    <w:rsid w:val="00D17F4A"/>
    <w:rsid w:val="00D205A9"/>
    <w:rsid w:val="00D217EE"/>
    <w:rsid w:val="00D245BA"/>
    <w:rsid w:val="00D26923"/>
    <w:rsid w:val="00D27856"/>
    <w:rsid w:val="00D27D34"/>
    <w:rsid w:val="00D3006B"/>
    <w:rsid w:val="00D301CA"/>
    <w:rsid w:val="00D30740"/>
    <w:rsid w:val="00D31075"/>
    <w:rsid w:val="00D31445"/>
    <w:rsid w:val="00D31932"/>
    <w:rsid w:val="00D32AE0"/>
    <w:rsid w:val="00D360DA"/>
    <w:rsid w:val="00D37689"/>
    <w:rsid w:val="00D378CC"/>
    <w:rsid w:val="00D4042C"/>
    <w:rsid w:val="00D40B9E"/>
    <w:rsid w:val="00D41281"/>
    <w:rsid w:val="00D42312"/>
    <w:rsid w:val="00D433F5"/>
    <w:rsid w:val="00D43998"/>
    <w:rsid w:val="00D439C2"/>
    <w:rsid w:val="00D451E0"/>
    <w:rsid w:val="00D45A1D"/>
    <w:rsid w:val="00D4615E"/>
    <w:rsid w:val="00D478E2"/>
    <w:rsid w:val="00D5264C"/>
    <w:rsid w:val="00D547BA"/>
    <w:rsid w:val="00D55626"/>
    <w:rsid w:val="00D556BC"/>
    <w:rsid w:val="00D5626D"/>
    <w:rsid w:val="00D56631"/>
    <w:rsid w:val="00D60277"/>
    <w:rsid w:val="00D60336"/>
    <w:rsid w:val="00D61F88"/>
    <w:rsid w:val="00D62901"/>
    <w:rsid w:val="00D6470C"/>
    <w:rsid w:val="00D64853"/>
    <w:rsid w:val="00D64CB5"/>
    <w:rsid w:val="00D66D48"/>
    <w:rsid w:val="00D7162F"/>
    <w:rsid w:val="00D72897"/>
    <w:rsid w:val="00D73256"/>
    <w:rsid w:val="00D73A30"/>
    <w:rsid w:val="00D74C65"/>
    <w:rsid w:val="00D74F21"/>
    <w:rsid w:val="00D75DC2"/>
    <w:rsid w:val="00D766EF"/>
    <w:rsid w:val="00D76C03"/>
    <w:rsid w:val="00D77F8D"/>
    <w:rsid w:val="00D8119B"/>
    <w:rsid w:val="00D82462"/>
    <w:rsid w:val="00D868CE"/>
    <w:rsid w:val="00D86DAE"/>
    <w:rsid w:val="00D90116"/>
    <w:rsid w:val="00D90C1E"/>
    <w:rsid w:val="00D91BDF"/>
    <w:rsid w:val="00D91F2C"/>
    <w:rsid w:val="00D93F09"/>
    <w:rsid w:val="00D954C2"/>
    <w:rsid w:val="00D97BB8"/>
    <w:rsid w:val="00DA1318"/>
    <w:rsid w:val="00DA1382"/>
    <w:rsid w:val="00DA28B7"/>
    <w:rsid w:val="00DA2FE8"/>
    <w:rsid w:val="00DA4AF6"/>
    <w:rsid w:val="00DB016E"/>
    <w:rsid w:val="00DB06E9"/>
    <w:rsid w:val="00DB19BD"/>
    <w:rsid w:val="00DB1D55"/>
    <w:rsid w:val="00DB378E"/>
    <w:rsid w:val="00DB3E9D"/>
    <w:rsid w:val="00DB47B9"/>
    <w:rsid w:val="00DB4FB8"/>
    <w:rsid w:val="00DB53CE"/>
    <w:rsid w:val="00DB549D"/>
    <w:rsid w:val="00DB5792"/>
    <w:rsid w:val="00DB6A88"/>
    <w:rsid w:val="00DB7BA4"/>
    <w:rsid w:val="00DC226A"/>
    <w:rsid w:val="00DC257F"/>
    <w:rsid w:val="00DC2A9F"/>
    <w:rsid w:val="00DC350B"/>
    <w:rsid w:val="00DC3790"/>
    <w:rsid w:val="00DC408A"/>
    <w:rsid w:val="00DC436D"/>
    <w:rsid w:val="00DC519B"/>
    <w:rsid w:val="00DC5B3B"/>
    <w:rsid w:val="00DC6796"/>
    <w:rsid w:val="00DC78DF"/>
    <w:rsid w:val="00DC7D4C"/>
    <w:rsid w:val="00DD0821"/>
    <w:rsid w:val="00DD0E32"/>
    <w:rsid w:val="00DD2872"/>
    <w:rsid w:val="00DD2A62"/>
    <w:rsid w:val="00DD2BFE"/>
    <w:rsid w:val="00DD373E"/>
    <w:rsid w:val="00DD57AD"/>
    <w:rsid w:val="00DD7435"/>
    <w:rsid w:val="00DD7C6D"/>
    <w:rsid w:val="00DE009B"/>
    <w:rsid w:val="00DE08F8"/>
    <w:rsid w:val="00DE0C31"/>
    <w:rsid w:val="00DE2ED9"/>
    <w:rsid w:val="00DE319A"/>
    <w:rsid w:val="00DF0615"/>
    <w:rsid w:val="00DF0DC3"/>
    <w:rsid w:val="00DF21FD"/>
    <w:rsid w:val="00DF2873"/>
    <w:rsid w:val="00DF293C"/>
    <w:rsid w:val="00DF4C74"/>
    <w:rsid w:val="00DF5578"/>
    <w:rsid w:val="00DF78DD"/>
    <w:rsid w:val="00DF7FEC"/>
    <w:rsid w:val="00E01C0E"/>
    <w:rsid w:val="00E02086"/>
    <w:rsid w:val="00E02740"/>
    <w:rsid w:val="00E03B27"/>
    <w:rsid w:val="00E04694"/>
    <w:rsid w:val="00E049F6"/>
    <w:rsid w:val="00E04CA9"/>
    <w:rsid w:val="00E05B2B"/>
    <w:rsid w:val="00E06A2A"/>
    <w:rsid w:val="00E07F05"/>
    <w:rsid w:val="00E127E1"/>
    <w:rsid w:val="00E144D2"/>
    <w:rsid w:val="00E144D6"/>
    <w:rsid w:val="00E15346"/>
    <w:rsid w:val="00E15B7D"/>
    <w:rsid w:val="00E2097E"/>
    <w:rsid w:val="00E215EA"/>
    <w:rsid w:val="00E21CAB"/>
    <w:rsid w:val="00E221FC"/>
    <w:rsid w:val="00E22E78"/>
    <w:rsid w:val="00E24619"/>
    <w:rsid w:val="00E25223"/>
    <w:rsid w:val="00E25999"/>
    <w:rsid w:val="00E263A8"/>
    <w:rsid w:val="00E30BEA"/>
    <w:rsid w:val="00E31764"/>
    <w:rsid w:val="00E32BC2"/>
    <w:rsid w:val="00E34985"/>
    <w:rsid w:val="00E34E4A"/>
    <w:rsid w:val="00E365B3"/>
    <w:rsid w:val="00E366BB"/>
    <w:rsid w:val="00E37C45"/>
    <w:rsid w:val="00E40AAA"/>
    <w:rsid w:val="00E42444"/>
    <w:rsid w:val="00E438CF"/>
    <w:rsid w:val="00E43B06"/>
    <w:rsid w:val="00E43C41"/>
    <w:rsid w:val="00E4500E"/>
    <w:rsid w:val="00E450CE"/>
    <w:rsid w:val="00E45A00"/>
    <w:rsid w:val="00E45CE7"/>
    <w:rsid w:val="00E4631F"/>
    <w:rsid w:val="00E46A4A"/>
    <w:rsid w:val="00E47CB8"/>
    <w:rsid w:val="00E522BB"/>
    <w:rsid w:val="00E539E4"/>
    <w:rsid w:val="00E569C7"/>
    <w:rsid w:val="00E571F2"/>
    <w:rsid w:val="00E57429"/>
    <w:rsid w:val="00E61EA8"/>
    <w:rsid w:val="00E63221"/>
    <w:rsid w:val="00E64EA1"/>
    <w:rsid w:val="00E669C7"/>
    <w:rsid w:val="00E70510"/>
    <w:rsid w:val="00E71262"/>
    <w:rsid w:val="00E71A58"/>
    <w:rsid w:val="00E737F6"/>
    <w:rsid w:val="00E7568F"/>
    <w:rsid w:val="00E764AE"/>
    <w:rsid w:val="00E7724B"/>
    <w:rsid w:val="00E84F21"/>
    <w:rsid w:val="00E8618A"/>
    <w:rsid w:val="00E90A4B"/>
    <w:rsid w:val="00E90F73"/>
    <w:rsid w:val="00E910A7"/>
    <w:rsid w:val="00E91607"/>
    <w:rsid w:val="00E921C7"/>
    <w:rsid w:val="00E92995"/>
    <w:rsid w:val="00E94612"/>
    <w:rsid w:val="00E95797"/>
    <w:rsid w:val="00E9682F"/>
    <w:rsid w:val="00E96A8D"/>
    <w:rsid w:val="00E972BA"/>
    <w:rsid w:val="00E97FA2"/>
    <w:rsid w:val="00EA06CB"/>
    <w:rsid w:val="00EA0AF3"/>
    <w:rsid w:val="00EA0C68"/>
    <w:rsid w:val="00EA19E2"/>
    <w:rsid w:val="00EA3EBE"/>
    <w:rsid w:val="00EA3FAC"/>
    <w:rsid w:val="00EA4153"/>
    <w:rsid w:val="00EA5CD6"/>
    <w:rsid w:val="00EA76FD"/>
    <w:rsid w:val="00EB03D4"/>
    <w:rsid w:val="00EB0555"/>
    <w:rsid w:val="00EB20A0"/>
    <w:rsid w:val="00EB30B6"/>
    <w:rsid w:val="00EB4FA4"/>
    <w:rsid w:val="00EB5146"/>
    <w:rsid w:val="00EB522B"/>
    <w:rsid w:val="00EB55E9"/>
    <w:rsid w:val="00EB5641"/>
    <w:rsid w:val="00EB5CA9"/>
    <w:rsid w:val="00EB5ED4"/>
    <w:rsid w:val="00EB6537"/>
    <w:rsid w:val="00EB70E1"/>
    <w:rsid w:val="00EB7EB5"/>
    <w:rsid w:val="00EC0860"/>
    <w:rsid w:val="00EC424C"/>
    <w:rsid w:val="00EC454B"/>
    <w:rsid w:val="00EC6153"/>
    <w:rsid w:val="00EC7F92"/>
    <w:rsid w:val="00ED00A8"/>
    <w:rsid w:val="00ED0A79"/>
    <w:rsid w:val="00ED2989"/>
    <w:rsid w:val="00ED2CA5"/>
    <w:rsid w:val="00ED336F"/>
    <w:rsid w:val="00ED3A94"/>
    <w:rsid w:val="00ED40F0"/>
    <w:rsid w:val="00ED4AC0"/>
    <w:rsid w:val="00ED54D6"/>
    <w:rsid w:val="00ED5726"/>
    <w:rsid w:val="00EE0113"/>
    <w:rsid w:val="00EE0298"/>
    <w:rsid w:val="00EE0384"/>
    <w:rsid w:val="00EE1057"/>
    <w:rsid w:val="00EE10AA"/>
    <w:rsid w:val="00EE1637"/>
    <w:rsid w:val="00EE3B7A"/>
    <w:rsid w:val="00EE3E78"/>
    <w:rsid w:val="00EE495A"/>
    <w:rsid w:val="00EE5E02"/>
    <w:rsid w:val="00EE617D"/>
    <w:rsid w:val="00EE61BF"/>
    <w:rsid w:val="00EE6538"/>
    <w:rsid w:val="00EE6748"/>
    <w:rsid w:val="00EE6C6B"/>
    <w:rsid w:val="00EF0E75"/>
    <w:rsid w:val="00EF1F5A"/>
    <w:rsid w:val="00EF4685"/>
    <w:rsid w:val="00EF5397"/>
    <w:rsid w:val="00EF6BE3"/>
    <w:rsid w:val="00F00D0E"/>
    <w:rsid w:val="00F00D3C"/>
    <w:rsid w:val="00F04811"/>
    <w:rsid w:val="00F0488C"/>
    <w:rsid w:val="00F0496E"/>
    <w:rsid w:val="00F04D10"/>
    <w:rsid w:val="00F053EA"/>
    <w:rsid w:val="00F0625B"/>
    <w:rsid w:val="00F101FF"/>
    <w:rsid w:val="00F104DF"/>
    <w:rsid w:val="00F10A33"/>
    <w:rsid w:val="00F10B64"/>
    <w:rsid w:val="00F1186C"/>
    <w:rsid w:val="00F14ACD"/>
    <w:rsid w:val="00F15BEF"/>
    <w:rsid w:val="00F172BE"/>
    <w:rsid w:val="00F1776C"/>
    <w:rsid w:val="00F2037E"/>
    <w:rsid w:val="00F20D17"/>
    <w:rsid w:val="00F2103E"/>
    <w:rsid w:val="00F214FC"/>
    <w:rsid w:val="00F21C31"/>
    <w:rsid w:val="00F23825"/>
    <w:rsid w:val="00F2389A"/>
    <w:rsid w:val="00F23FFF"/>
    <w:rsid w:val="00F2441D"/>
    <w:rsid w:val="00F24FAA"/>
    <w:rsid w:val="00F26197"/>
    <w:rsid w:val="00F273D4"/>
    <w:rsid w:val="00F307DD"/>
    <w:rsid w:val="00F318FC"/>
    <w:rsid w:val="00F31F76"/>
    <w:rsid w:val="00F325A3"/>
    <w:rsid w:val="00F3364D"/>
    <w:rsid w:val="00F35ACD"/>
    <w:rsid w:val="00F365BF"/>
    <w:rsid w:val="00F36BF8"/>
    <w:rsid w:val="00F375BA"/>
    <w:rsid w:val="00F37760"/>
    <w:rsid w:val="00F403D1"/>
    <w:rsid w:val="00F43921"/>
    <w:rsid w:val="00F44E1B"/>
    <w:rsid w:val="00F4524F"/>
    <w:rsid w:val="00F45530"/>
    <w:rsid w:val="00F4591F"/>
    <w:rsid w:val="00F47321"/>
    <w:rsid w:val="00F4736B"/>
    <w:rsid w:val="00F47997"/>
    <w:rsid w:val="00F47D05"/>
    <w:rsid w:val="00F50030"/>
    <w:rsid w:val="00F502F5"/>
    <w:rsid w:val="00F50B9D"/>
    <w:rsid w:val="00F51FC9"/>
    <w:rsid w:val="00F53243"/>
    <w:rsid w:val="00F541ED"/>
    <w:rsid w:val="00F54B31"/>
    <w:rsid w:val="00F54FD3"/>
    <w:rsid w:val="00F55605"/>
    <w:rsid w:val="00F57CD7"/>
    <w:rsid w:val="00F62F02"/>
    <w:rsid w:val="00F6339F"/>
    <w:rsid w:val="00F63DDE"/>
    <w:rsid w:val="00F63FB7"/>
    <w:rsid w:val="00F64726"/>
    <w:rsid w:val="00F6561A"/>
    <w:rsid w:val="00F66243"/>
    <w:rsid w:val="00F70309"/>
    <w:rsid w:val="00F7078A"/>
    <w:rsid w:val="00F70E45"/>
    <w:rsid w:val="00F727D5"/>
    <w:rsid w:val="00F72F44"/>
    <w:rsid w:val="00F73A0C"/>
    <w:rsid w:val="00F759DC"/>
    <w:rsid w:val="00F7717C"/>
    <w:rsid w:val="00F771A5"/>
    <w:rsid w:val="00F817A4"/>
    <w:rsid w:val="00F81C3A"/>
    <w:rsid w:val="00F835E1"/>
    <w:rsid w:val="00F835FC"/>
    <w:rsid w:val="00F8373A"/>
    <w:rsid w:val="00F83E21"/>
    <w:rsid w:val="00F83FA4"/>
    <w:rsid w:val="00F84E18"/>
    <w:rsid w:val="00F852E5"/>
    <w:rsid w:val="00F90350"/>
    <w:rsid w:val="00F9310A"/>
    <w:rsid w:val="00F95117"/>
    <w:rsid w:val="00F97ED2"/>
    <w:rsid w:val="00FA05D7"/>
    <w:rsid w:val="00FA1992"/>
    <w:rsid w:val="00FA1C6C"/>
    <w:rsid w:val="00FA2447"/>
    <w:rsid w:val="00FA2C2A"/>
    <w:rsid w:val="00FA309A"/>
    <w:rsid w:val="00FA7644"/>
    <w:rsid w:val="00FB0A9A"/>
    <w:rsid w:val="00FB16AD"/>
    <w:rsid w:val="00FB483B"/>
    <w:rsid w:val="00FB56F1"/>
    <w:rsid w:val="00FB5FD4"/>
    <w:rsid w:val="00FB67F3"/>
    <w:rsid w:val="00FC0D8A"/>
    <w:rsid w:val="00FC0E5F"/>
    <w:rsid w:val="00FC135D"/>
    <w:rsid w:val="00FC3C84"/>
    <w:rsid w:val="00FC4660"/>
    <w:rsid w:val="00FC56DE"/>
    <w:rsid w:val="00FC5E01"/>
    <w:rsid w:val="00FD1261"/>
    <w:rsid w:val="00FD1627"/>
    <w:rsid w:val="00FD1BBD"/>
    <w:rsid w:val="00FD473D"/>
    <w:rsid w:val="00FD61C8"/>
    <w:rsid w:val="00FD63CE"/>
    <w:rsid w:val="00FD7D49"/>
    <w:rsid w:val="00FE1251"/>
    <w:rsid w:val="00FE16E6"/>
    <w:rsid w:val="00FE2F78"/>
    <w:rsid w:val="00FE3510"/>
    <w:rsid w:val="00FE371D"/>
    <w:rsid w:val="00FE375F"/>
    <w:rsid w:val="00FE3D8B"/>
    <w:rsid w:val="00FE4FCB"/>
    <w:rsid w:val="00FE688F"/>
    <w:rsid w:val="00FE705E"/>
    <w:rsid w:val="00FF02EB"/>
    <w:rsid w:val="00FF28E0"/>
    <w:rsid w:val="00FF2FB4"/>
    <w:rsid w:val="00FF30B3"/>
    <w:rsid w:val="00FF3DF3"/>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lang/>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lang/>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3733B-1767-4D6E-8684-D4FDD6CB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3</TotalTime>
  <Pages>2</Pages>
  <Words>1352</Words>
  <Characters>7983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3</cp:revision>
  <cp:lastPrinted>2015-06-19T06:21:00Z</cp:lastPrinted>
  <dcterms:created xsi:type="dcterms:W3CDTF">2016-09-23T10:05:00Z</dcterms:created>
  <dcterms:modified xsi:type="dcterms:W3CDTF">2016-09-23T10:08:00Z</dcterms:modified>
</cp:coreProperties>
</file>