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9B0DDB" w:rsidRPr="009B0DDB" w:rsidTr="009B0DDB">
        <w:trPr>
          <w:trHeight w:val="48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9B0DDB">
              <w:rPr>
                <w:rFonts w:cs="Arial"/>
                <w:b/>
                <w:bCs/>
                <w:color w:val="BC091B"/>
                <w:sz w:val="24"/>
              </w:rPr>
              <w:t>Tabulka 11 Časové řady vybraných ukazatelů sektoru kultury za léta 2010 - 15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0DDB" w:rsidRPr="009B0DDB" w:rsidTr="009B0DD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9B0DDB">
              <w:rPr>
                <w:rFonts w:cs="Arial"/>
                <w:b/>
                <w:bCs/>
                <w:color w:val="BC091B"/>
                <w:sz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B0DDB" w:rsidRPr="009B0DDB" w:rsidTr="009B0DDB">
        <w:trPr>
          <w:trHeight w:val="78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Index 2015/2014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Index 2015/2010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Veřejné zdroje celkem v mil.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36 283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34 739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34 322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34 644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35 881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34 282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94,5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Náklady celkem v mil.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219 816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204 341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205 850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198 111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193 500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201 846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91,8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Výnosy celkem v mil.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229 110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216 212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217 971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206 727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208 191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218 448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95,3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Stupeň soběstačnosti (v %)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100,9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Počet zaměstnanců v osobách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87 018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81 521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79 785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81 417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80 740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89 330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102,7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Průměrná hrubá měsíční mzda v 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24 406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24 704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24 982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24 431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25 588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25 966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106,4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Investice v mil.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13 748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11 416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10 369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10 676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12 067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13 578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98,8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Hrubá přidaná hodnota v mld. Kč</w:t>
            </w:r>
            <w:r w:rsidRPr="009B0DDB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101,5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Hrubý domácí produkt v mld. Kč</w:t>
            </w:r>
            <w:r w:rsidRPr="009B0DDB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110,3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Podíl kultury na hrubé přidané hodnotě (v %)</w:t>
            </w:r>
            <w:r w:rsidRPr="009B0DDB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88,8</w:t>
            </w:r>
          </w:p>
        </w:tc>
      </w:tr>
      <w:tr w:rsidR="009B0DDB" w:rsidRPr="009B0DDB" w:rsidTr="009B0DDB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Podíl kultury na HDP (v %)</w:t>
            </w:r>
            <w:r w:rsidRPr="009B0DDB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96</w:t>
            </w:r>
          </w:p>
        </w:tc>
      </w:tr>
      <w:tr w:rsidR="009B0DDB" w:rsidRPr="009B0DDB" w:rsidTr="009B0DDB">
        <w:trPr>
          <w:trHeight w:val="34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B0DDB">
              <w:rPr>
                <w:rFonts w:cs="Arial"/>
                <w:color w:val="000000"/>
                <w:sz w:val="16"/>
                <w:szCs w:val="16"/>
              </w:rPr>
              <w:t>1)</w:t>
            </w:r>
            <w:r w:rsidRPr="009B0DD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9B0DDB">
              <w:rPr>
                <w:rFonts w:cs="Arial"/>
                <w:color w:val="000000"/>
                <w:sz w:val="16"/>
                <w:szCs w:val="16"/>
              </w:rPr>
              <w:t>za rok 2015 – odhad z předběžných dat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B0DDB" w:rsidRDefault="009B0DDB" w:rsidP="004F69CE"/>
    <w:sectPr w:rsidR="009B0DDB" w:rsidSect="00ED111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74" w:rsidRDefault="00146674" w:rsidP="00E71A58">
      <w:r>
        <w:separator/>
      </w:r>
    </w:p>
  </w:endnote>
  <w:endnote w:type="continuationSeparator" w:id="0">
    <w:p w:rsidR="00146674" w:rsidRDefault="0014667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8C5AB7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7.4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ED111A">
      <w:rPr>
        <w:szCs w:val="16"/>
      </w:rPr>
      <w:t>2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8C5AB7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ED111A">
      <w:rPr>
        <w:rStyle w:val="ZpatChar"/>
        <w:szCs w:val="16"/>
      </w:rPr>
      <w:t>29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74" w:rsidRPr="00311229" w:rsidRDefault="00146674" w:rsidP="00311229">
      <w:pPr>
        <w:pStyle w:val="Zpat"/>
      </w:pPr>
    </w:p>
  </w:footnote>
  <w:footnote w:type="continuationSeparator" w:id="0">
    <w:p w:rsidR="00146674" w:rsidRPr="00311229" w:rsidRDefault="00146674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1846"/>
    <w:rsid w:val="001405FA"/>
    <w:rsid w:val="001425C3"/>
    <w:rsid w:val="00146674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F01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7E1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1610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5AB7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5E38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5DFA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84174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111A"/>
    <w:rsid w:val="00ED62C6"/>
    <w:rsid w:val="00ED64C1"/>
    <w:rsid w:val="00EE3446"/>
    <w:rsid w:val="00EE3E78"/>
    <w:rsid w:val="00EE4B1B"/>
    <w:rsid w:val="00EE6FF8"/>
    <w:rsid w:val="00EE7515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0C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4228A-8432-4ADE-8FE7-93DA0A99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2017-05-25T13:18:00Z</dcterms:created>
  <dcterms:modified xsi:type="dcterms:W3CDTF">2017-05-25T13:18:00Z</dcterms:modified>
</cp:coreProperties>
</file>