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9D" w:rsidRPr="00856E93" w:rsidRDefault="00F2609D" w:rsidP="00B35CF2">
      <w:pPr>
        <w:spacing w:after="240"/>
        <w:rPr>
          <w:rFonts w:ascii="Arial" w:hAnsi="Arial" w:cs="Arial"/>
          <w:b/>
          <w:sz w:val="24"/>
          <w:szCs w:val="24"/>
        </w:rPr>
      </w:pPr>
      <w:bookmarkStart w:id="0" w:name="_GoBack"/>
      <w:bookmarkEnd w:id="0"/>
      <w:r w:rsidRPr="00856E93">
        <w:rPr>
          <w:rFonts w:ascii="Arial" w:hAnsi="Arial" w:cs="Arial"/>
          <w:b/>
          <w:sz w:val="24"/>
          <w:szCs w:val="24"/>
        </w:rPr>
        <w:t xml:space="preserve">Zahraniční obchod České republiky </w:t>
      </w:r>
      <w:r w:rsidR="00A42047" w:rsidRPr="00856E93">
        <w:rPr>
          <w:rFonts w:ascii="Arial" w:hAnsi="Arial" w:cs="Arial"/>
          <w:b/>
          <w:sz w:val="24"/>
          <w:szCs w:val="24"/>
        </w:rPr>
        <w:t>se zbožím</w:t>
      </w:r>
      <w:r w:rsidR="00246346" w:rsidRPr="00856E93">
        <w:rPr>
          <w:rStyle w:val="Znakapoznpodarou"/>
          <w:rFonts w:ascii="Arial" w:hAnsi="Arial" w:cs="Arial"/>
          <w:b/>
          <w:sz w:val="24"/>
          <w:szCs w:val="24"/>
        </w:rPr>
        <w:footnoteReference w:id="1"/>
      </w:r>
      <w:r w:rsidRPr="00856E93">
        <w:rPr>
          <w:rFonts w:ascii="Arial" w:hAnsi="Arial" w:cs="Arial"/>
          <w:b/>
          <w:sz w:val="24"/>
          <w:szCs w:val="24"/>
        </w:rPr>
        <w:t xml:space="preserve"> v roce 201</w:t>
      </w:r>
      <w:r w:rsidR="00856E93" w:rsidRPr="00856E93">
        <w:rPr>
          <w:rFonts w:ascii="Arial" w:hAnsi="Arial" w:cs="Arial"/>
          <w:b/>
          <w:sz w:val="24"/>
          <w:szCs w:val="24"/>
        </w:rPr>
        <w:t>7</w:t>
      </w:r>
    </w:p>
    <w:p w:rsidR="00F2609D" w:rsidRPr="00856E93" w:rsidRDefault="00353F09" w:rsidP="00B35CF2">
      <w:pPr>
        <w:numPr>
          <w:ilvl w:val="0"/>
          <w:numId w:val="1"/>
        </w:numPr>
        <w:spacing w:after="120"/>
        <w:ind w:left="284" w:hanging="284"/>
        <w:rPr>
          <w:rFonts w:ascii="Arial" w:hAnsi="Arial" w:cs="Arial"/>
          <w:b/>
        </w:rPr>
      </w:pPr>
      <w:r w:rsidRPr="00856E93">
        <w:rPr>
          <w:rFonts w:ascii="Arial" w:hAnsi="Arial" w:cs="Arial"/>
          <w:b/>
        </w:rPr>
        <w:t>V</w:t>
      </w:r>
      <w:r w:rsidR="00F2609D" w:rsidRPr="00856E93">
        <w:rPr>
          <w:rFonts w:ascii="Arial" w:hAnsi="Arial" w:cs="Arial"/>
          <w:b/>
        </w:rPr>
        <w:t xml:space="preserve">ývoj zahraničního obchodu </w:t>
      </w:r>
    </w:p>
    <w:p w:rsidR="00856E93" w:rsidRPr="00856E93" w:rsidRDefault="00856E93" w:rsidP="003448F8">
      <w:pPr>
        <w:spacing w:after="160"/>
        <w:jc w:val="both"/>
        <w:rPr>
          <w:rFonts w:ascii="Arial" w:hAnsi="Arial" w:cs="Arial"/>
          <w:sz w:val="18"/>
          <w:szCs w:val="18"/>
        </w:rPr>
      </w:pPr>
      <w:r w:rsidRPr="00640E25">
        <w:rPr>
          <w:rFonts w:ascii="Arial" w:hAnsi="Arial" w:cs="Arial"/>
          <w:b/>
          <w:sz w:val="18"/>
          <w:szCs w:val="18"/>
        </w:rPr>
        <w:t>Obrat zahraničního obchodu</w:t>
      </w:r>
      <w:r>
        <w:rPr>
          <w:rFonts w:ascii="Arial" w:hAnsi="Arial" w:cs="Arial"/>
          <w:sz w:val="18"/>
          <w:szCs w:val="18"/>
        </w:rPr>
        <w:t xml:space="preserve"> České republiky se zbožím opět vzrostl. Meziroční nárůsty obratu pokračují nepřetržitě již od roku 2010, přičemž absolutní </w:t>
      </w:r>
      <w:r w:rsidR="00AB1119">
        <w:rPr>
          <w:rFonts w:ascii="Arial" w:hAnsi="Arial" w:cs="Arial"/>
          <w:sz w:val="18"/>
          <w:szCs w:val="18"/>
        </w:rPr>
        <w:t xml:space="preserve">meziroční </w:t>
      </w:r>
      <w:r>
        <w:rPr>
          <w:rFonts w:ascii="Arial" w:hAnsi="Arial" w:cs="Arial"/>
          <w:sz w:val="18"/>
          <w:szCs w:val="18"/>
        </w:rPr>
        <w:t xml:space="preserve">přírůstek 577,3 mld. Kč v roce 2017 byl srovnatelný s přírůstkem v roce 2015. V porovnání s rokem 2016 se součtová hodnota vývozu a dovozu zvýšila o 7,7 % a </w:t>
      </w:r>
      <w:r w:rsidR="00AB1119">
        <w:rPr>
          <w:rFonts w:ascii="Arial" w:hAnsi="Arial" w:cs="Arial"/>
          <w:sz w:val="18"/>
          <w:szCs w:val="18"/>
        </w:rPr>
        <w:t>dosáhla 8 046,0 mld. Kč.</w:t>
      </w:r>
    </w:p>
    <w:p w:rsidR="004C07BE" w:rsidRPr="001E325D" w:rsidRDefault="00F2609D" w:rsidP="00ED48FA">
      <w:pPr>
        <w:spacing w:after="80"/>
        <w:rPr>
          <w:rFonts w:ascii="Arial" w:hAnsi="Arial" w:cs="Arial"/>
          <w:b/>
          <w:sz w:val="18"/>
          <w:szCs w:val="18"/>
        </w:rPr>
      </w:pPr>
      <w:r w:rsidRPr="001E325D">
        <w:rPr>
          <w:rFonts w:ascii="Arial" w:hAnsi="Arial" w:cs="Arial"/>
          <w:b/>
          <w:sz w:val="18"/>
          <w:szCs w:val="18"/>
        </w:rPr>
        <w:t xml:space="preserve">Graf 1 </w:t>
      </w:r>
      <w:r w:rsidR="005654EF" w:rsidRPr="001E325D">
        <w:rPr>
          <w:rFonts w:ascii="Arial" w:hAnsi="Arial" w:cs="Arial"/>
          <w:b/>
          <w:sz w:val="18"/>
          <w:szCs w:val="18"/>
        </w:rPr>
        <w:t>-</w:t>
      </w:r>
      <w:r w:rsidRPr="001E325D">
        <w:rPr>
          <w:rFonts w:ascii="Arial" w:hAnsi="Arial" w:cs="Arial"/>
          <w:b/>
          <w:sz w:val="18"/>
          <w:szCs w:val="18"/>
        </w:rPr>
        <w:t xml:space="preserve"> </w:t>
      </w:r>
      <w:r w:rsidR="005654EF" w:rsidRPr="001E325D">
        <w:rPr>
          <w:rFonts w:ascii="Arial" w:hAnsi="Arial" w:cs="Arial"/>
          <w:b/>
          <w:sz w:val="18"/>
          <w:szCs w:val="18"/>
        </w:rPr>
        <w:t>Meziroční změny obratu zahraničního obchodu</w:t>
      </w:r>
      <w:r w:rsidRPr="001E325D">
        <w:rPr>
          <w:rFonts w:ascii="Arial" w:hAnsi="Arial" w:cs="Arial"/>
          <w:b/>
          <w:sz w:val="18"/>
          <w:szCs w:val="18"/>
        </w:rPr>
        <w:t xml:space="preserve"> </w:t>
      </w:r>
    </w:p>
    <w:p w:rsidR="005654EF" w:rsidRPr="00856E93" w:rsidRDefault="0012752A" w:rsidP="00DB1D98">
      <w:pPr>
        <w:spacing w:after="0"/>
        <w:rPr>
          <w:rFonts w:ascii="Arial" w:hAnsi="Arial" w:cs="Arial"/>
          <w:b/>
          <w:color w:val="FF0000"/>
          <w:sz w:val="18"/>
          <w:szCs w:val="18"/>
        </w:rPr>
      </w:pPr>
      <w:r>
        <w:rPr>
          <w:rFonts w:ascii="Arial" w:hAnsi="Arial" w:cs="Arial"/>
          <w:b/>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49.25pt">
            <v:imagedata r:id="rId9" o:title=""/>
          </v:shape>
        </w:pict>
      </w:r>
    </w:p>
    <w:p w:rsidR="00765D26" w:rsidRPr="00856E93" w:rsidRDefault="00765D26" w:rsidP="00765D26">
      <w:pPr>
        <w:spacing w:after="0"/>
        <w:jc w:val="both"/>
        <w:rPr>
          <w:rFonts w:ascii="Arial" w:hAnsi="Arial" w:cs="Arial"/>
          <w:b/>
          <w:color w:val="FF0000"/>
          <w:sz w:val="6"/>
          <w:szCs w:val="6"/>
        </w:rPr>
      </w:pPr>
    </w:p>
    <w:p w:rsidR="003C2F5C" w:rsidRPr="003C2F5C" w:rsidRDefault="003C2F5C" w:rsidP="001B0E3E">
      <w:pPr>
        <w:spacing w:before="240" w:after="160"/>
        <w:jc w:val="both"/>
        <w:rPr>
          <w:rFonts w:ascii="Arial" w:hAnsi="Arial" w:cs="Arial"/>
          <w:sz w:val="18"/>
          <w:szCs w:val="18"/>
        </w:rPr>
      </w:pPr>
      <w:r>
        <w:rPr>
          <w:rFonts w:ascii="Arial" w:hAnsi="Arial" w:cs="Arial"/>
          <w:sz w:val="18"/>
          <w:szCs w:val="18"/>
        </w:rPr>
        <w:t xml:space="preserve">Celková hodnota </w:t>
      </w:r>
      <w:r w:rsidRPr="00640E25">
        <w:rPr>
          <w:rFonts w:ascii="Arial" w:hAnsi="Arial" w:cs="Arial"/>
          <w:b/>
          <w:sz w:val="18"/>
          <w:szCs w:val="18"/>
        </w:rPr>
        <w:t>zboží vyvezeného</w:t>
      </w:r>
      <w:r>
        <w:rPr>
          <w:rFonts w:ascii="Arial" w:hAnsi="Arial" w:cs="Arial"/>
          <w:sz w:val="18"/>
          <w:szCs w:val="18"/>
        </w:rPr>
        <w:t xml:space="preserve"> z České republiky v roce 2017 </w:t>
      </w:r>
      <w:r w:rsidR="00966DB9">
        <w:rPr>
          <w:rFonts w:ascii="Arial" w:hAnsi="Arial" w:cs="Arial"/>
          <w:sz w:val="18"/>
          <w:szCs w:val="18"/>
        </w:rPr>
        <w:t>se rovnala</w:t>
      </w:r>
      <w:r>
        <w:rPr>
          <w:rFonts w:ascii="Arial" w:hAnsi="Arial" w:cs="Arial"/>
          <w:sz w:val="18"/>
          <w:szCs w:val="18"/>
        </w:rPr>
        <w:t xml:space="preserve"> 4 244,6 mld. Kč.</w:t>
      </w:r>
      <w:r w:rsidR="00802784">
        <w:rPr>
          <w:rFonts w:ascii="Arial" w:hAnsi="Arial" w:cs="Arial"/>
          <w:sz w:val="18"/>
          <w:szCs w:val="18"/>
        </w:rPr>
        <w:t xml:space="preserve"> V porovnání s rokem 2016 vývoz vzrostl o 6,8 %, tj. o 270,5 mld. Kč</w:t>
      </w:r>
      <w:r w:rsidR="00965DF0">
        <w:rPr>
          <w:rFonts w:ascii="Arial" w:hAnsi="Arial" w:cs="Arial"/>
          <w:sz w:val="18"/>
          <w:szCs w:val="18"/>
        </w:rPr>
        <w:t xml:space="preserve">. Tento </w:t>
      </w:r>
      <w:r w:rsidR="00797F99">
        <w:rPr>
          <w:rFonts w:ascii="Arial" w:hAnsi="Arial" w:cs="Arial"/>
          <w:sz w:val="18"/>
          <w:szCs w:val="18"/>
        </w:rPr>
        <w:t>relativní</w:t>
      </w:r>
      <w:r w:rsidR="00802784">
        <w:rPr>
          <w:rFonts w:ascii="Arial" w:hAnsi="Arial" w:cs="Arial"/>
          <w:sz w:val="18"/>
          <w:szCs w:val="18"/>
        </w:rPr>
        <w:t xml:space="preserve"> i </w:t>
      </w:r>
      <w:r w:rsidR="00797F99">
        <w:rPr>
          <w:rFonts w:ascii="Arial" w:hAnsi="Arial" w:cs="Arial"/>
          <w:sz w:val="18"/>
          <w:szCs w:val="18"/>
        </w:rPr>
        <w:t>absolutní</w:t>
      </w:r>
      <w:r w:rsidR="00802784">
        <w:rPr>
          <w:rFonts w:ascii="Arial" w:hAnsi="Arial" w:cs="Arial"/>
          <w:sz w:val="18"/>
          <w:szCs w:val="18"/>
        </w:rPr>
        <w:t xml:space="preserve"> meziroční přírůstek byl výrazně vyšší než v minulém roce</w:t>
      </w:r>
      <w:r w:rsidR="00965DF0">
        <w:rPr>
          <w:rFonts w:ascii="Arial" w:hAnsi="Arial" w:cs="Arial"/>
          <w:sz w:val="18"/>
          <w:szCs w:val="18"/>
        </w:rPr>
        <w:t xml:space="preserve">, kdy vývoz se navýšil pouze </w:t>
      </w:r>
      <w:r w:rsidR="00797F99">
        <w:rPr>
          <w:rFonts w:ascii="Arial" w:hAnsi="Arial" w:cs="Arial"/>
          <w:sz w:val="18"/>
          <w:szCs w:val="18"/>
        </w:rPr>
        <w:t>o 2,3 % (</w:t>
      </w:r>
      <w:r w:rsidR="00965DF0">
        <w:rPr>
          <w:rFonts w:ascii="Arial" w:hAnsi="Arial" w:cs="Arial"/>
          <w:sz w:val="18"/>
          <w:szCs w:val="18"/>
        </w:rPr>
        <w:t>o 90,8 mld. Kč).</w:t>
      </w:r>
    </w:p>
    <w:p w:rsidR="002D1D26" w:rsidRPr="007032AA" w:rsidRDefault="002D1D26" w:rsidP="00702897">
      <w:pPr>
        <w:spacing w:before="120" w:after="80"/>
        <w:jc w:val="both"/>
        <w:rPr>
          <w:rFonts w:ascii="Arial" w:hAnsi="Arial" w:cs="Arial"/>
          <w:b/>
          <w:sz w:val="18"/>
          <w:szCs w:val="18"/>
        </w:rPr>
      </w:pPr>
      <w:r w:rsidRPr="007032AA">
        <w:rPr>
          <w:rFonts w:ascii="Arial" w:hAnsi="Arial" w:cs="Arial"/>
          <w:b/>
          <w:sz w:val="18"/>
          <w:szCs w:val="18"/>
        </w:rPr>
        <w:t xml:space="preserve">Graf </w:t>
      </w:r>
      <w:r w:rsidR="00FA6C0C" w:rsidRPr="007032AA">
        <w:rPr>
          <w:rFonts w:ascii="Arial" w:hAnsi="Arial" w:cs="Arial"/>
          <w:b/>
          <w:sz w:val="18"/>
          <w:szCs w:val="18"/>
        </w:rPr>
        <w:t>2</w:t>
      </w:r>
      <w:r w:rsidRPr="007032AA">
        <w:rPr>
          <w:rFonts w:ascii="Arial" w:hAnsi="Arial" w:cs="Arial"/>
          <w:b/>
          <w:sz w:val="18"/>
          <w:szCs w:val="18"/>
        </w:rPr>
        <w:t xml:space="preserve"> - Meziroční změny vývozu a dovozu v % </w:t>
      </w:r>
    </w:p>
    <w:p w:rsidR="002D1D26" w:rsidRPr="007032AA" w:rsidRDefault="002D1D26" w:rsidP="002D1D26">
      <w:pPr>
        <w:spacing w:after="40"/>
        <w:jc w:val="both"/>
        <w:rPr>
          <w:rFonts w:ascii="Arial" w:hAnsi="Arial" w:cs="Arial"/>
          <w:sz w:val="18"/>
          <w:szCs w:val="18"/>
        </w:rPr>
      </w:pPr>
      <w:r w:rsidRPr="007032AA">
        <w:rPr>
          <w:rFonts w:ascii="Arial" w:hAnsi="Arial" w:cs="Arial"/>
          <w:sz w:val="18"/>
          <w:szCs w:val="18"/>
        </w:rPr>
        <w:tab/>
      </w:r>
      <w:r w:rsidRPr="007032AA">
        <w:rPr>
          <w:rFonts w:ascii="Arial" w:hAnsi="Arial" w:cs="Arial"/>
          <w:sz w:val="18"/>
          <w:szCs w:val="18"/>
        </w:rPr>
        <w:tab/>
      </w:r>
      <w:r w:rsidRPr="007032AA">
        <w:rPr>
          <w:rFonts w:ascii="Arial" w:hAnsi="Arial" w:cs="Arial"/>
          <w:sz w:val="18"/>
          <w:szCs w:val="18"/>
        </w:rPr>
        <w:tab/>
        <w:t xml:space="preserve"> vývoz</w:t>
      </w:r>
      <w:r w:rsidRPr="007032AA">
        <w:rPr>
          <w:rFonts w:ascii="Arial" w:hAnsi="Arial" w:cs="Arial"/>
          <w:sz w:val="18"/>
          <w:szCs w:val="18"/>
        </w:rPr>
        <w:tab/>
      </w:r>
      <w:r w:rsidRPr="007032AA">
        <w:rPr>
          <w:rFonts w:ascii="Arial" w:hAnsi="Arial" w:cs="Arial"/>
          <w:sz w:val="18"/>
          <w:szCs w:val="18"/>
        </w:rPr>
        <w:tab/>
      </w:r>
      <w:r w:rsidRPr="007032AA">
        <w:rPr>
          <w:rFonts w:ascii="Arial" w:hAnsi="Arial" w:cs="Arial"/>
          <w:sz w:val="18"/>
          <w:szCs w:val="18"/>
        </w:rPr>
        <w:tab/>
      </w:r>
      <w:r w:rsidRPr="007032AA">
        <w:rPr>
          <w:rFonts w:ascii="Arial" w:hAnsi="Arial" w:cs="Arial"/>
          <w:sz w:val="18"/>
          <w:szCs w:val="18"/>
        </w:rPr>
        <w:tab/>
      </w:r>
      <w:r w:rsidRPr="007032AA">
        <w:rPr>
          <w:rFonts w:ascii="Arial" w:hAnsi="Arial" w:cs="Arial"/>
          <w:sz w:val="18"/>
          <w:szCs w:val="18"/>
        </w:rPr>
        <w:tab/>
      </w:r>
      <w:r w:rsidRPr="007032AA">
        <w:rPr>
          <w:rFonts w:ascii="Arial" w:hAnsi="Arial" w:cs="Arial"/>
          <w:sz w:val="18"/>
          <w:szCs w:val="18"/>
        </w:rPr>
        <w:tab/>
      </w:r>
      <w:r w:rsidRPr="007032AA">
        <w:rPr>
          <w:rFonts w:ascii="Arial" w:hAnsi="Arial" w:cs="Arial"/>
          <w:sz w:val="18"/>
          <w:szCs w:val="18"/>
        </w:rPr>
        <w:tab/>
        <w:t>dovoz</w:t>
      </w:r>
    </w:p>
    <w:p w:rsidR="002D1D26" w:rsidRPr="00856E93" w:rsidRDefault="0012752A" w:rsidP="001B0E3E">
      <w:pPr>
        <w:spacing w:after="240"/>
        <w:rPr>
          <w:rFonts w:ascii="Arial" w:hAnsi="Arial" w:cs="Arial"/>
          <w:color w:val="FF0000"/>
        </w:rPr>
      </w:pPr>
      <w:r>
        <w:rPr>
          <w:rFonts w:ascii="Arial" w:hAnsi="Arial" w:cs="Arial"/>
          <w:noProof/>
          <w:color w:val="FF0000"/>
          <w:lang w:eastAsia="cs-CZ"/>
        </w:rPr>
        <w:pict>
          <v:shape id="_x0000_i1026" type="#_x0000_t75" style="width:237.75pt;height:180.75pt">
            <v:imagedata r:id="rId10" o:title=""/>
          </v:shape>
        </w:pict>
      </w:r>
      <w:r w:rsidR="007C3E3C">
        <w:rPr>
          <w:rFonts w:ascii="Arial" w:hAnsi="Arial" w:cs="Arial"/>
          <w:noProof/>
          <w:color w:val="FF0000"/>
          <w:lang w:eastAsia="cs-CZ"/>
        </w:rPr>
        <w:t xml:space="preserve">  </w:t>
      </w:r>
      <w:r>
        <w:rPr>
          <w:rFonts w:ascii="Arial" w:hAnsi="Arial" w:cs="Arial"/>
          <w:noProof/>
          <w:color w:val="FF0000"/>
          <w:lang w:eastAsia="cs-CZ"/>
        </w:rPr>
        <w:pict>
          <v:shape id="_x0000_i1027" type="#_x0000_t75" style="width:237.75pt;height:180.75pt">
            <v:imagedata r:id="rId11" o:title=""/>
          </v:shape>
        </w:pict>
      </w:r>
      <w:r w:rsidR="00FE08E0" w:rsidRPr="00856E93">
        <w:rPr>
          <w:rFonts w:ascii="Arial" w:hAnsi="Arial" w:cs="Arial"/>
          <w:noProof/>
          <w:color w:val="FF0000"/>
          <w:lang w:eastAsia="cs-CZ"/>
        </w:rPr>
        <w:t xml:space="preserve"> </w:t>
      </w:r>
    </w:p>
    <w:p w:rsidR="000A6F26" w:rsidRDefault="002D1D26" w:rsidP="001B0E3E">
      <w:pPr>
        <w:spacing w:before="240" w:after="120"/>
        <w:jc w:val="both"/>
        <w:rPr>
          <w:rFonts w:ascii="Arial" w:hAnsi="Arial" w:cs="Arial"/>
          <w:sz w:val="18"/>
          <w:szCs w:val="18"/>
        </w:rPr>
      </w:pPr>
      <w:r w:rsidRPr="00965DF0">
        <w:rPr>
          <w:rFonts w:ascii="Arial" w:hAnsi="Arial" w:cs="Arial"/>
          <w:sz w:val="18"/>
          <w:szCs w:val="18"/>
        </w:rPr>
        <w:t xml:space="preserve">Vývoz </w:t>
      </w:r>
      <w:r w:rsidR="00F56A8F" w:rsidRPr="00965DF0">
        <w:rPr>
          <w:rFonts w:ascii="Arial" w:hAnsi="Arial" w:cs="Arial"/>
          <w:sz w:val="18"/>
          <w:szCs w:val="18"/>
        </w:rPr>
        <w:t xml:space="preserve">i dovoz </w:t>
      </w:r>
      <w:r w:rsidRPr="00965DF0">
        <w:rPr>
          <w:rFonts w:ascii="Arial" w:hAnsi="Arial" w:cs="Arial"/>
          <w:sz w:val="18"/>
          <w:szCs w:val="18"/>
        </w:rPr>
        <w:t>vyjádřený v eurech zaznamenal v roce 201</w:t>
      </w:r>
      <w:r w:rsidR="00965DF0">
        <w:rPr>
          <w:rFonts w:ascii="Arial" w:hAnsi="Arial" w:cs="Arial"/>
          <w:sz w:val="18"/>
          <w:szCs w:val="18"/>
        </w:rPr>
        <w:t>7</w:t>
      </w:r>
      <w:r w:rsidR="001E37C4" w:rsidRPr="00965DF0">
        <w:rPr>
          <w:rFonts w:ascii="Arial" w:hAnsi="Arial" w:cs="Arial"/>
          <w:sz w:val="18"/>
          <w:szCs w:val="18"/>
        </w:rPr>
        <w:t xml:space="preserve"> </w:t>
      </w:r>
      <w:r w:rsidRPr="00965DF0">
        <w:rPr>
          <w:rFonts w:ascii="Arial" w:hAnsi="Arial" w:cs="Arial"/>
          <w:sz w:val="18"/>
          <w:szCs w:val="18"/>
        </w:rPr>
        <w:t>meziroční navýšení o </w:t>
      </w:r>
      <w:r w:rsidR="00965DF0" w:rsidRPr="00965DF0">
        <w:rPr>
          <w:rFonts w:ascii="Arial" w:hAnsi="Arial" w:cs="Arial"/>
          <w:sz w:val="18"/>
          <w:szCs w:val="18"/>
        </w:rPr>
        <w:t>9,7</w:t>
      </w:r>
      <w:r w:rsidRPr="00965DF0">
        <w:rPr>
          <w:rFonts w:ascii="Arial" w:hAnsi="Arial" w:cs="Arial"/>
          <w:sz w:val="18"/>
          <w:szCs w:val="18"/>
        </w:rPr>
        <w:t xml:space="preserve"> % a </w:t>
      </w:r>
      <w:r w:rsidR="00965DF0" w:rsidRPr="00965DF0">
        <w:rPr>
          <w:rFonts w:ascii="Arial" w:hAnsi="Arial" w:cs="Arial"/>
          <w:sz w:val="18"/>
          <w:szCs w:val="18"/>
        </w:rPr>
        <w:t>11,8</w:t>
      </w:r>
      <w:r w:rsidR="00F56A8F" w:rsidRPr="00965DF0">
        <w:rPr>
          <w:rFonts w:ascii="Arial" w:hAnsi="Arial" w:cs="Arial"/>
          <w:sz w:val="18"/>
          <w:szCs w:val="18"/>
        </w:rPr>
        <w:t xml:space="preserve"> %. </w:t>
      </w:r>
      <w:r w:rsidR="00965DF0" w:rsidRPr="00965DF0">
        <w:rPr>
          <w:rFonts w:ascii="Arial" w:hAnsi="Arial" w:cs="Arial"/>
          <w:sz w:val="18"/>
          <w:szCs w:val="18"/>
        </w:rPr>
        <w:t>Rychleji</w:t>
      </w:r>
      <w:r w:rsidR="00215FA5" w:rsidRPr="00965DF0">
        <w:rPr>
          <w:rFonts w:ascii="Arial" w:hAnsi="Arial" w:cs="Arial"/>
          <w:sz w:val="18"/>
          <w:szCs w:val="18"/>
        </w:rPr>
        <w:t xml:space="preserve"> rostl vývoz a </w:t>
      </w:r>
      <w:r w:rsidR="000A6F26" w:rsidRPr="00965DF0">
        <w:rPr>
          <w:rFonts w:ascii="Arial" w:hAnsi="Arial" w:cs="Arial"/>
          <w:sz w:val="18"/>
          <w:szCs w:val="18"/>
        </w:rPr>
        <w:t>dovoz vyjádřený v</w:t>
      </w:r>
      <w:r w:rsidR="00A8529B">
        <w:rPr>
          <w:rFonts w:ascii="Arial" w:hAnsi="Arial" w:cs="Arial"/>
          <w:sz w:val="18"/>
          <w:szCs w:val="18"/>
        </w:rPr>
        <w:t> amerických dolarech</w:t>
      </w:r>
      <w:r w:rsidR="00A8529B" w:rsidRPr="00965DF0">
        <w:rPr>
          <w:rStyle w:val="Znakapoznpodarou"/>
          <w:rFonts w:ascii="Arial" w:hAnsi="Arial" w:cs="Arial"/>
          <w:sz w:val="18"/>
          <w:szCs w:val="18"/>
        </w:rPr>
        <w:footnoteReference w:id="2"/>
      </w:r>
      <w:r w:rsidR="000A6F26" w:rsidRPr="00965DF0">
        <w:rPr>
          <w:rFonts w:ascii="Arial" w:hAnsi="Arial" w:cs="Arial"/>
          <w:sz w:val="18"/>
          <w:szCs w:val="18"/>
        </w:rPr>
        <w:t xml:space="preserve"> </w:t>
      </w:r>
      <w:r w:rsidR="00965DF0" w:rsidRPr="00965DF0">
        <w:rPr>
          <w:rFonts w:ascii="Arial" w:hAnsi="Arial" w:cs="Arial"/>
          <w:sz w:val="18"/>
          <w:szCs w:val="18"/>
        </w:rPr>
        <w:t>(</w:t>
      </w:r>
      <w:r w:rsidR="000A6F26" w:rsidRPr="00965DF0">
        <w:rPr>
          <w:rFonts w:ascii="Arial" w:hAnsi="Arial" w:cs="Arial"/>
          <w:sz w:val="18"/>
          <w:szCs w:val="18"/>
        </w:rPr>
        <w:t xml:space="preserve">o </w:t>
      </w:r>
      <w:r w:rsidR="00965DF0" w:rsidRPr="00965DF0">
        <w:rPr>
          <w:rFonts w:ascii="Arial" w:hAnsi="Arial" w:cs="Arial"/>
          <w:sz w:val="18"/>
          <w:szCs w:val="18"/>
        </w:rPr>
        <w:t>12,0</w:t>
      </w:r>
      <w:r w:rsidR="000A6F26" w:rsidRPr="00965DF0">
        <w:rPr>
          <w:rFonts w:ascii="Arial" w:hAnsi="Arial" w:cs="Arial"/>
          <w:sz w:val="18"/>
          <w:szCs w:val="18"/>
        </w:rPr>
        <w:t xml:space="preserve"> % a o </w:t>
      </w:r>
      <w:r w:rsidR="00965DF0" w:rsidRPr="00965DF0">
        <w:rPr>
          <w:rFonts w:ascii="Arial" w:hAnsi="Arial" w:cs="Arial"/>
          <w:sz w:val="18"/>
          <w:szCs w:val="18"/>
        </w:rPr>
        <w:t>14</w:t>
      </w:r>
      <w:r w:rsidR="000A6F26" w:rsidRPr="00965DF0">
        <w:rPr>
          <w:rFonts w:ascii="Arial" w:hAnsi="Arial" w:cs="Arial"/>
          <w:sz w:val="18"/>
          <w:szCs w:val="18"/>
        </w:rPr>
        <w:t>,2 %</w:t>
      </w:r>
      <w:r w:rsidR="00965DF0" w:rsidRPr="00965DF0">
        <w:rPr>
          <w:rFonts w:ascii="Arial" w:hAnsi="Arial" w:cs="Arial"/>
          <w:sz w:val="18"/>
          <w:szCs w:val="18"/>
        </w:rPr>
        <w:t>)</w:t>
      </w:r>
      <w:r w:rsidR="000A6F26" w:rsidRPr="00965DF0">
        <w:rPr>
          <w:rFonts w:ascii="Arial" w:hAnsi="Arial" w:cs="Arial"/>
          <w:sz w:val="18"/>
          <w:szCs w:val="18"/>
        </w:rPr>
        <w:t>.</w:t>
      </w:r>
    </w:p>
    <w:p w:rsidR="00966DB9" w:rsidRPr="00965DF0" w:rsidRDefault="00966DB9" w:rsidP="001B0E3E">
      <w:pPr>
        <w:spacing w:after="120"/>
        <w:jc w:val="both"/>
        <w:rPr>
          <w:rFonts w:ascii="Arial" w:hAnsi="Arial" w:cs="Arial"/>
          <w:sz w:val="18"/>
          <w:szCs w:val="18"/>
        </w:rPr>
      </w:pPr>
      <w:r w:rsidRPr="00640E25">
        <w:rPr>
          <w:rFonts w:ascii="Arial" w:hAnsi="Arial" w:cs="Arial"/>
          <w:b/>
          <w:sz w:val="18"/>
          <w:szCs w:val="18"/>
        </w:rPr>
        <w:t>Dovoz zboží</w:t>
      </w:r>
      <w:r>
        <w:rPr>
          <w:rFonts w:ascii="Arial" w:hAnsi="Arial" w:cs="Arial"/>
          <w:sz w:val="18"/>
          <w:szCs w:val="18"/>
        </w:rPr>
        <w:t xml:space="preserve"> v roce 2017 </w:t>
      </w:r>
      <w:r w:rsidR="003124A0">
        <w:rPr>
          <w:rFonts w:ascii="Arial" w:hAnsi="Arial" w:cs="Arial"/>
          <w:sz w:val="18"/>
          <w:szCs w:val="18"/>
        </w:rPr>
        <w:t xml:space="preserve">byl stejně jako vývoz rekordní a </w:t>
      </w:r>
      <w:r>
        <w:rPr>
          <w:rFonts w:ascii="Arial" w:hAnsi="Arial" w:cs="Arial"/>
          <w:sz w:val="18"/>
          <w:szCs w:val="18"/>
        </w:rPr>
        <w:t>vzrostl na 3 801,4 mld. Kč z 3 494,7 mld. Kč v roce 2016. Tempo růstu dovozu předstihl</w:t>
      </w:r>
      <w:r w:rsidR="001B0E3E">
        <w:rPr>
          <w:rFonts w:ascii="Arial" w:hAnsi="Arial" w:cs="Arial"/>
          <w:sz w:val="18"/>
          <w:szCs w:val="18"/>
        </w:rPr>
        <w:t>o vývoz, což znamenalo zvýšení dovozu o 8,8 % (v roce 2016 jen o 0,5 %) a v absolutním vyjádření o 306,8 mld. Kč.</w:t>
      </w:r>
      <w:r>
        <w:rPr>
          <w:rFonts w:ascii="Arial" w:hAnsi="Arial" w:cs="Arial"/>
          <w:sz w:val="18"/>
          <w:szCs w:val="18"/>
        </w:rPr>
        <w:t xml:space="preserve"> </w:t>
      </w:r>
    </w:p>
    <w:p w:rsidR="002D1D26" w:rsidRPr="00856D9C" w:rsidRDefault="002D1D26" w:rsidP="002D1D26">
      <w:pPr>
        <w:spacing w:before="120" w:after="80"/>
        <w:jc w:val="both"/>
        <w:rPr>
          <w:rFonts w:ascii="Arial" w:hAnsi="Arial" w:cs="Arial"/>
          <w:b/>
          <w:sz w:val="18"/>
          <w:szCs w:val="18"/>
        </w:rPr>
      </w:pPr>
      <w:r w:rsidRPr="00856D9C">
        <w:rPr>
          <w:rFonts w:ascii="Arial" w:hAnsi="Arial" w:cs="Arial"/>
          <w:b/>
          <w:sz w:val="18"/>
          <w:szCs w:val="18"/>
        </w:rPr>
        <w:lastRenderedPageBreak/>
        <w:t xml:space="preserve">Graf 3 - Meziroční změny vývozu a dovozu v % </w:t>
      </w:r>
    </w:p>
    <w:p w:rsidR="002D1D26" w:rsidRPr="00856E93" w:rsidRDefault="0012752A" w:rsidP="002D1D26">
      <w:pPr>
        <w:spacing w:after="80"/>
        <w:jc w:val="both"/>
        <w:rPr>
          <w:rFonts w:ascii="Arial" w:hAnsi="Arial" w:cs="Arial"/>
          <w:b/>
          <w:color w:val="FF0000"/>
          <w:sz w:val="18"/>
          <w:szCs w:val="18"/>
        </w:rPr>
      </w:pPr>
      <w:r>
        <w:rPr>
          <w:rFonts w:ascii="Arial" w:hAnsi="Arial" w:cs="Arial"/>
          <w:b/>
          <w:noProof/>
          <w:color w:val="FF0000"/>
          <w:sz w:val="18"/>
          <w:szCs w:val="18"/>
          <w:lang w:eastAsia="cs-CZ"/>
        </w:rPr>
        <w:pict>
          <v:shape id="_x0000_i1028" type="#_x0000_t75" style="width:478.5pt;height:143.25pt">
            <v:imagedata r:id="rId12" o:title=""/>
          </v:shape>
        </w:pict>
      </w:r>
    </w:p>
    <w:p w:rsidR="00CD41EB" w:rsidRPr="00565E79" w:rsidRDefault="00CD41EB" w:rsidP="00454DD8">
      <w:pPr>
        <w:spacing w:before="240" w:after="240"/>
        <w:jc w:val="both"/>
        <w:rPr>
          <w:rFonts w:ascii="Arial" w:hAnsi="Arial" w:cs="Arial"/>
          <w:sz w:val="18"/>
          <w:szCs w:val="18"/>
        </w:rPr>
      </w:pPr>
      <w:r w:rsidRPr="001B0E3E">
        <w:rPr>
          <w:rFonts w:ascii="Arial" w:hAnsi="Arial" w:cs="Arial"/>
          <w:sz w:val="18"/>
          <w:szCs w:val="18"/>
        </w:rPr>
        <w:t xml:space="preserve">Z krátkodobějšího pohledu na vývoj zahraničního obchodu </w:t>
      </w:r>
      <w:r w:rsidRPr="001B0E3E">
        <w:rPr>
          <w:rFonts w:ascii="Arial" w:hAnsi="Arial" w:cs="Arial"/>
          <w:b/>
          <w:sz w:val="18"/>
          <w:szCs w:val="18"/>
        </w:rPr>
        <w:t>v jednotlivých měsících</w:t>
      </w:r>
      <w:r w:rsidRPr="001B0E3E">
        <w:rPr>
          <w:rFonts w:ascii="Arial" w:hAnsi="Arial" w:cs="Arial"/>
          <w:sz w:val="18"/>
          <w:szCs w:val="18"/>
        </w:rPr>
        <w:t xml:space="preserve"> roku 201</w:t>
      </w:r>
      <w:r w:rsidR="001B0E3E">
        <w:rPr>
          <w:rFonts w:ascii="Arial" w:hAnsi="Arial" w:cs="Arial"/>
          <w:sz w:val="18"/>
          <w:szCs w:val="18"/>
        </w:rPr>
        <w:t>7</w:t>
      </w:r>
      <w:r w:rsidRPr="001B0E3E">
        <w:rPr>
          <w:rFonts w:ascii="Arial" w:hAnsi="Arial" w:cs="Arial"/>
          <w:sz w:val="18"/>
          <w:szCs w:val="18"/>
        </w:rPr>
        <w:t xml:space="preserve"> vyplývá, že nejvíce se vyváželo </w:t>
      </w:r>
      <w:r w:rsidR="000E788F">
        <w:rPr>
          <w:rFonts w:ascii="Arial" w:hAnsi="Arial" w:cs="Arial"/>
          <w:sz w:val="18"/>
          <w:szCs w:val="18"/>
        </w:rPr>
        <w:t xml:space="preserve">zboží v březnu (399,6 mld. Kč) a </w:t>
      </w:r>
      <w:r w:rsidRPr="000E788F">
        <w:rPr>
          <w:rFonts w:ascii="Arial" w:hAnsi="Arial" w:cs="Arial"/>
          <w:sz w:val="18"/>
          <w:szCs w:val="18"/>
        </w:rPr>
        <w:t>dováželo v </w:t>
      </w:r>
      <w:r w:rsidR="000E788F" w:rsidRPr="000E788F">
        <w:rPr>
          <w:rFonts w:ascii="Arial" w:hAnsi="Arial" w:cs="Arial"/>
          <w:sz w:val="18"/>
          <w:szCs w:val="18"/>
        </w:rPr>
        <w:t>říjnu</w:t>
      </w:r>
      <w:r w:rsidRPr="000E788F">
        <w:rPr>
          <w:rFonts w:ascii="Arial" w:hAnsi="Arial" w:cs="Arial"/>
          <w:sz w:val="18"/>
          <w:szCs w:val="18"/>
        </w:rPr>
        <w:t xml:space="preserve"> (</w:t>
      </w:r>
      <w:r w:rsidR="000E788F" w:rsidRPr="000E788F">
        <w:rPr>
          <w:rFonts w:ascii="Arial" w:hAnsi="Arial" w:cs="Arial"/>
          <w:sz w:val="18"/>
          <w:szCs w:val="18"/>
        </w:rPr>
        <w:t>355,6</w:t>
      </w:r>
      <w:r w:rsidRPr="000E788F">
        <w:rPr>
          <w:rFonts w:ascii="Arial" w:hAnsi="Arial" w:cs="Arial"/>
          <w:sz w:val="18"/>
          <w:szCs w:val="18"/>
        </w:rPr>
        <w:t xml:space="preserve"> mld. Kč).</w:t>
      </w:r>
      <w:r w:rsidRPr="00856E93">
        <w:rPr>
          <w:rFonts w:ascii="Arial" w:hAnsi="Arial" w:cs="Arial"/>
          <w:color w:val="FF0000"/>
          <w:sz w:val="18"/>
          <w:szCs w:val="18"/>
        </w:rPr>
        <w:t xml:space="preserve"> </w:t>
      </w:r>
      <w:r w:rsidR="00427BB2" w:rsidRPr="001B0E3E">
        <w:rPr>
          <w:rFonts w:ascii="Arial" w:hAnsi="Arial" w:cs="Arial"/>
          <w:sz w:val="18"/>
          <w:szCs w:val="18"/>
        </w:rPr>
        <w:t>Vlivem čerpání celozávodních dovolených ve významných podnicích byly n</w:t>
      </w:r>
      <w:r w:rsidRPr="001B0E3E">
        <w:rPr>
          <w:rFonts w:ascii="Arial" w:hAnsi="Arial" w:cs="Arial"/>
          <w:sz w:val="18"/>
          <w:szCs w:val="18"/>
        </w:rPr>
        <w:t>ejnižší hodnoty vývozu i dovozu dosaženy shodně v</w:t>
      </w:r>
      <w:r w:rsidR="00427BB2" w:rsidRPr="001B0E3E">
        <w:rPr>
          <w:rFonts w:ascii="Arial" w:hAnsi="Arial" w:cs="Arial"/>
          <w:sz w:val="18"/>
          <w:szCs w:val="18"/>
        </w:rPr>
        <w:t> </w:t>
      </w:r>
      <w:r w:rsidRPr="000E788F">
        <w:rPr>
          <w:rFonts w:ascii="Arial" w:hAnsi="Arial" w:cs="Arial"/>
          <w:sz w:val="18"/>
          <w:szCs w:val="18"/>
        </w:rPr>
        <w:t>červenci</w:t>
      </w:r>
      <w:r w:rsidR="00427BB2" w:rsidRPr="000E788F">
        <w:rPr>
          <w:rFonts w:ascii="Arial" w:hAnsi="Arial" w:cs="Arial"/>
          <w:sz w:val="18"/>
          <w:szCs w:val="18"/>
        </w:rPr>
        <w:t xml:space="preserve"> (</w:t>
      </w:r>
      <w:r w:rsidR="000E788F" w:rsidRPr="000E788F">
        <w:rPr>
          <w:rFonts w:ascii="Arial" w:hAnsi="Arial" w:cs="Arial"/>
          <w:sz w:val="18"/>
          <w:szCs w:val="18"/>
        </w:rPr>
        <w:t>299,8</w:t>
      </w:r>
      <w:r w:rsidR="00427BB2" w:rsidRPr="000E788F">
        <w:rPr>
          <w:rFonts w:ascii="Arial" w:hAnsi="Arial" w:cs="Arial"/>
          <w:sz w:val="18"/>
          <w:szCs w:val="18"/>
        </w:rPr>
        <w:t xml:space="preserve"> mld. Kč a </w:t>
      </w:r>
      <w:r w:rsidR="000E788F" w:rsidRPr="000E788F">
        <w:rPr>
          <w:rFonts w:ascii="Arial" w:hAnsi="Arial" w:cs="Arial"/>
          <w:sz w:val="18"/>
          <w:szCs w:val="18"/>
        </w:rPr>
        <w:t>280,5</w:t>
      </w:r>
      <w:r w:rsidR="00427BB2" w:rsidRPr="000E788F">
        <w:rPr>
          <w:rFonts w:ascii="Arial" w:hAnsi="Arial" w:cs="Arial"/>
          <w:sz w:val="18"/>
          <w:szCs w:val="18"/>
        </w:rPr>
        <w:t> mld. Kč).</w:t>
      </w:r>
    </w:p>
    <w:p w:rsidR="002D1D26" w:rsidRPr="00565E79" w:rsidRDefault="002D1D26" w:rsidP="002D1D26">
      <w:pPr>
        <w:spacing w:after="80"/>
        <w:jc w:val="both"/>
        <w:rPr>
          <w:rFonts w:ascii="Arial" w:hAnsi="Arial" w:cs="Arial"/>
          <w:b/>
          <w:sz w:val="18"/>
          <w:szCs w:val="18"/>
        </w:rPr>
      </w:pPr>
      <w:r w:rsidRPr="00565E79">
        <w:rPr>
          <w:rFonts w:ascii="Arial" w:hAnsi="Arial" w:cs="Arial"/>
          <w:b/>
          <w:sz w:val="18"/>
          <w:szCs w:val="18"/>
        </w:rPr>
        <w:t xml:space="preserve">Graf </w:t>
      </w:r>
      <w:r w:rsidR="00FA6C0C" w:rsidRPr="00565E79">
        <w:rPr>
          <w:rFonts w:ascii="Arial" w:hAnsi="Arial" w:cs="Arial"/>
          <w:b/>
          <w:sz w:val="18"/>
          <w:szCs w:val="18"/>
        </w:rPr>
        <w:t>4</w:t>
      </w:r>
      <w:r w:rsidRPr="00565E79">
        <w:rPr>
          <w:rFonts w:ascii="Arial" w:hAnsi="Arial" w:cs="Arial"/>
          <w:b/>
          <w:sz w:val="18"/>
          <w:szCs w:val="18"/>
        </w:rPr>
        <w:t xml:space="preserve"> - Zahraniční obchod v jednotlivých měsících roku 201</w:t>
      </w:r>
      <w:r w:rsidR="00565E79" w:rsidRPr="00565E79">
        <w:rPr>
          <w:rFonts w:ascii="Arial" w:hAnsi="Arial" w:cs="Arial"/>
          <w:b/>
          <w:sz w:val="18"/>
          <w:szCs w:val="18"/>
        </w:rPr>
        <w:t>7</w:t>
      </w:r>
      <w:r w:rsidRPr="00565E79">
        <w:rPr>
          <w:rFonts w:ascii="Arial" w:hAnsi="Arial" w:cs="Arial"/>
          <w:b/>
          <w:sz w:val="18"/>
          <w:szCs w:val="18"/>
        </w:rPr>
        <w:t xml:space="preserve"> (v mld. Kč)</w:t>
      </w:r>
    </w:p>
    <w:p w:rsidR="00124501" w:rsidRPr="00856E93" w:rsidRDefault="0012752A" w:rsidP="00124501">
      <w:pPr>
        <w:spacing w:before="120" w:after="0"/>
        <w:jc w:val="both"/>
        <w:rPr>
          <w:rFonts w:ascii="Arial" w:hAnsi="Arial" w:cs="Arial"/>
          <w:b/>
          <w:noProof/>
          <w:color w:val="FF0000"/>
          <w:sz w:val="18"/>
          <w:szCs w:val="18"/>
          <w:lang w:eastAsia="cs-CZ"/>
        </w:rPr>
      </w:pPr>
      <w:r>
        <w:rPr>
          <w:rFonts w:ascii="Arial" w:hAnsi="Arial" w:cs="Arial"/>
          <w:b/>
          <w:noProof/>
          <w:color w:val="FF0000"/>
          <w:sz w:val="18"/>
          <w:szCs w:val="18"/>
          <w:lang w:eastAsia="cs-CZ"/>
        </w:rPr>
        <w:pict>
          <v:shape id="_x0000_i1029" type="#_x0000_t75" style="width:482.25pt;height:226.5pt">
            <v:imagedata r:id="rId13" o:title=""/>
          </v:shape>
        </w:pict>
      </w:r>
    </w:p>
    <w:p w:rsidR="004354AC" w:rsidRPr="00856D9C" w:rsidRDefault="004354AC" w:rsidP="00AF084D">
      <w:pPr>
        <w:spacing w:before="240" w:after="240"/>
        <w:jc w:val="both"/>
        <w:rPr>
          <w:rFonts w:ascii="Arial" w:hAnsi="Arial" w:cs="Arial"/>
          <w:sz w:val="18"/>
          <w:szCs w:val="18"/>
        </w:rPr>
      </w:pPr>
      <w:r w:rsidRPr="00856D9C">
        <w:rPr>
          <w:rFonts w:ascii="Arial" w:hAnsi="Arial" w:cs="Arial"/>
          <w:sz w:val="18"/>
          <w:szCs w:val="18"/>
        </w:rPr>
        <w:t xml:space="preserve">Celoroční vývoj vývozu </w:t>
      </w:r>
      <w:r w:rsidR="00856D9C" w:rsidRPr="00856D9C">
        <w:rPr>
          <w:rFonts w:ascii="Arial" w:hAnsi="Arial" w:cs="Arial"/>
          <w:sz w:val="18"/>
          <w:szCs w:val="18"/>
        </w:rPr>
        <w:t xml:space="preserve">a dovozu </w:t>
      </w:r>
      <w:r w:rsidRPr="00856D9C">
        <w:rPr>
          <w:rFonts w:ascii="Arial" w:hAnsi="Arial" w:cs="Arial"/>
          <w:sz w:val="18"/>
          <w:szCs w:val="18"/>
        </w:rPr>
        <w:t>by</w:t>
      </w:r>
      <w:r w:rsidR="005F30D1">
        <w:rPr>
          <w:rFonts w:ascii="Arial" w:hAnsi="Arial" w:cs="Arial"/>
          <w:sz w:val="18"/>
          <w:szCs w:val="18"/>
        </w:rPr>
        <w:t>l</w:t>
      </w:r>
      <w:r w:rsidRPr="00856D9C">
        <w:rPr>
          <w:rFonts w:ascii="Arial" w:hAnsi="Arial" w:cs="Arial"/>
          <w:sz w:val="18"/>
          <w:szCs w:val="18"/>
        </w:rPr>
        <w:t xml:space="preserve"> ovlivněn rozdílnou dynamikou </w:t>
      </w:r>
      <w:r w:rsidRPr="00AA7659">
        <w:rPr>
          <w:rFonts w:ascii="Arial" w:hAnsi="Arial" w:cs="Arial"/>
          <w:b/>
          <w:sz w:val="18"/>
          <w:szCs w:val="18"/>
        </w:rPr>
        <w:t>v jednotlivých čtvrtletích</w:t>
      </w:r>
      <w:r w:rsidRPr="00856D9C">
        <w:rPr>
          <w:rFonts w:ascii="Arial" w:hAnsi="Arial" w:cs="Arial"/>
          <w:sz w:val="18"/>
          <w:szCs w:val="18"/>
        </w:rPr>
        <w:t xml:space="preserve"> roku 201</w:t>
      </w:r>
      <w:r w:rsidR="00856D9C" w:rsidRPr="00856D9C">
        <w:rPr>
          <w:rFonts w:ascii="Arial" w:hAnsi="Arial" w:cs="Arial"/>
          <w:sz w:val="18"/>
          <w:szCs w:val="18"/>
        </w:rPr>
        <w:t>7, přičemž všechna ob</w:t>
      </w:r>
      <w:r w:rsidR="005F30D1">
        <w:rPr>
          <w:rFonts w:ascii="Arial" w:hAnsi="Arial" w:cs="Arial"/>
          <w:sz w:val="18"/>
          <w:szCs w:val="18"/>
        </w:rPr>
        <w:t>d</w:t>
      </w:r>
      <w:r w:rsidR="00856D9C" w:rsidRPr="00856D9C">
        <w:rPr>
          <w:rFonts w:ascii="Arial" w:hAnsi="Arial" w:cs="Arial"/>
          <w:sz w:val="18"/>
          <w:szCs w:val="18"/>
        </w:rPr>
        <w:t>o</w:t>
      </w:r>
      <w:r w:rsidR="00110939">
        <w:rPr>
          <w:rFonts w:ascii="Arial" w:hAnsi="Arial" w:cs="Arial"/>
          <w:sz w:val="18"/>
          <w:szCs w:val="18"/>
        </w:rPr>
        <w:t>b</w:t>
      </w:r>
      <w:r w:rsidR="00856D9C" w:rsidRPr="00856D9C">
        <w:rPr>
          <w:rFonts w:ascii="Arial" w:hAnsi="Arial" w:cs="Arial"/>
          <w:sz w:val="18"/>
          <w:szCs w:val="18"/>
        </w:rPr>
        <w:t xml:space="preserve">í </w:t>
      </w:r>
      <w:r w:rsidR="00732CDC">
        <w:rPr>
          <w:rFonts w:ascii="Arial" w:hAnsi="Arial" w:cs="Arial"/>
          <w:sz w:val="18"/>
          <w:szCs w:val="18"/>
        </w:rPr>
        <w:t>zaznamenala výjimečně</w:t>
      </w:r>
      <w:r w:rsidR="00856D9C" w:rsidRPr="00856D9C">
        <w:rPr>
          <w:rFonts w:ascii="Arial" w:hAnsi="Arial" w:cs="Arial"/>
          <w:sz w:val="18"/>
          <w:szCs w:val="18"/>
        </w:rPr>
        <w:t xml:space="preserve"> meziroční růst</w:t>
      </w:r>
      <w:r w:rsidRPr="00856D9C">
        <w:rPr>
          <w:rFonts w:ascii="Arial" w:hAnsi="Arial" w:cs="Arial"/>
          <w:sz w:val="18"/>
          <w:szCs w:val="18"/>
        </w:rPr>
        <w:t xml:space="preserve">. </w:t>
      </w:r>
    </w:p>
    <w:p w:rsidR="00D645F5" w:rsidRDefault="009E4E62" w:rsidP="009E4E62">
      <w:pPr>
        <w:spacing w:before="120" w:after="80"/>
        <w:rPr>
          <w:rFonts w:ascii="Arial" w:hAnsi="Arial" w:cs="Arial"/>
          <w:b/>
          <w:sz w:val="18"/>
          <w:szCs w:val="18"/>
        </w:rPr>
      </w:pPr>
      <w:r w:rsidRPr="00551A49">
        <w:rPr>
          <w:rFonts w:ascii="Arial" w:hAnsi="Arial" w:cs="Arial"/>
          <w:b/>
          <w:sz w:val="18"/>
          <w:szCs w:val="18"/>
        </w:rPr>
        <w:t xml:space="preserve">Graf </w:t>
      </w:r>
      <w:r w:rsidR="00F12CFB" w:rsidRPr="00551A49">
        <w:rPr>
          <w:rFonts w:ascii="Arial" w:hAnsi="Arial" w:cs="Arial"/>
          <w:b/>
          <w:sz w:val="18"/>
          <w:szCs w:val="18"/>
        </w:rPr>
        <w:t>5</w:t>
      </w:r>
      <w:r w:rsidRPr="00551A49">
        <w:rPr>
          <w:rFonts w:ascii="Arial" w:hAnsi="Arial" w:cs="Arial"/>
          <w:b/>
          <w:sz w:val="18"/>
          <w:szCs w:val="18"/>
        </w:rPr>
        <w:t xml:space="preserve"> </w:t>
      </w:r>
      <w:r w:rsidR="00D645F5">
        <w:rPr>
          <w:rFonts w:ascii="Arial" w:hAnsi="Arial" w:cs="Arial"/>
          <w:b/>
          <w:sz w:val="18"/>
          <w:szCs w:val="18"/>
        </w:rPr>
        <w:t>-</w:t>
      </w:r>
      <w:r w:rsidRPr="00551A49">
        <w:rPr>
          <w:rFonts w:ascii="Arial" w:hAnsi="Arial" w:cs="Arial"/>
          <w:b/>
          <w:sz w:val="18"/>
          <w:szCs w:val="18"/>
        </w:rPr>
        <w:t xml:space="preserve"> </w:t>
      </w:r>
      <w:r w:rsidR="00D645F5">
        <w:rPr>
          <w:rFonts w:ascii="Arial" w:hAnsi="Arial" w:cs="Arial"/>
          <w:b/>
          <w:sz w:val="18"/>
          <w:szCs w:val="18"/>
        </w:rPr>
        <w:t>Zahraniční obchod</w:t>
      </w:r>
      <w:r w:rsidR="004D0CA0" w:rsidRPr="00551A49">
        <w:rPr>
          <w:rFonts w:ascii="Arial" w:hAnsi="Arial" w:cs="Arial"/>
          <w:b/>
          <w:sz w:val="18"/>
          <w:szCs w:val="18"/>
        </w:rPr>
        <w:t xml:space="preserve"> České republiky</w:t>
      </w:r>
      <w:r w:rsidR="00D645F5">
        <w:rPr>
          <w:rFonts w:ascii="Arial" w:hAnsi="Arial" w:cs="Arial"/>
          <w:b/>
          <w:sz w:val="18"/>
          <w:szCs w:val="18"/>
        </w:rPr>
        <w:t xml:space="preserve"> v jednotlivých čtvrtletích (v mld. Kč)</w:t>
      </w:r>
    </w:p>
    <w:p w:rsidR="009E4E62" w:rsidRPr="00D645F5" w:rsidRDefault="00D645F5" w:rsidP="00D645F5">
      <w:pPr>
        <w:spacing w:after="40"/>
        <w:rPr>
          <w:rFonts w:ascii="Arial" w:hAnsi="Arial" w:cs="Arial"/>
          <w:sz w:val="18"/>
          <w:szCs w:val="18"/>
        </w:rPr>
      </w:pPr>
      <w:r>
        <w:rPr>
          <w:rFonts w:ascii="Arial" w:hAnsi="Arial" w:cs="Arial"/>
          <w:sz w:val="18"/>
          <w:szCs w:val="18"/>
        </w:rPr>
        <w:t xml:space="preserve">                                               v</w:t>
      </w:r>
      <w:r w:rsidRPr="00D645F5">
        <w:rPr>
          <w:rFonts w:ascii="Arial" w:hAnsi="Arial" w:cs="Arial"/>
          <w:sz w:val="18"/>
          <w:szCs w:val="18"/>
        </w:rPr>
        <w:t>ývoz</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645F5">
        <w:rPr>
          <w:rFonts w:ascii="Arial" w:hAnsi="Arial" w:cs="Arial"/>
          <w:sz w:val="18"/>
          <w:szCs w:val="18"/>
        </w:rPr>
        <w:t>dovoz</w:t>
      </w:r>
      <w:r w:rsidR="00D945AD" w:rsidRPr="00D645F5">
        <w:rPr>
          <w:rFonts w:ascii="Arial" w:hAnsi="Arial" w:cs="Arial"/>
          <w:sz w:val="18"/>
          <w:szCs w:val="18"/>
        </w:rPr>
        <w:t xml:space="preserve"> </w:t>
      </w:r>
    </w:p>
    <w:p w:rsidR="00454DD8" w:rsidRDefault="0012752A" w:rsidP="00D645F5">
      <w:pPr>
        <w:spacing w:before="120" w:after="100" w:afterAutospacing="1"/>
        <w:rPr>
          <w:rFonts w:ascii="Arial" w:hAnsi="Arial" w:cs="Arial"/>
          <w:noProof/>
          <w:color w:val="FF0000"/>
          <w:lang w:eastAsia="cs-CZ"/>
        </w:rPr>
      </w:pPr>
      <w:r>
        <w:rPr>
          <w:rFonts w:ascii="Arial" w:hAnsi="Arial" w:cs="Arial"/>
          <w:noProof/>
          <w:color w:val="FF0000"/>
          <w:lang w:eastAsia="cs-CZ"/>
        </w:rPr>
        <w:pict>
          <v:shape id="_x0000_i1049" type="#_x0000_t75" style="width:253.5pt;height:151.5pt">
            <v:imagedata r:id="rId14" o:title=""/>
          </v:shape>
        </w:pict>
      </w:r>
      <w:r w:rsidR="00D645F5">
        <w:rPr>
          <w:rFonts w:ascii="Arial" w:hAnsi="Arial" w:cs="Arial"/>
          <w:noProof/>
          <w:color w:val="FF0000"/>
          <w:lang w:eastAsia="cs-CZ"/>
        </w:rPr>
        <w:t xml:space="preserve">   </w:t>
      </w:r>
      <w:r>
        <w:rPr>
          <w:rFonts w:ascii="Arial" w:hAnsi="Arial" w:cs="Arial"/>
          <w:noProof/>
          <w:color w:val="FF0000"/>
          <w:lang w:eastAsia="cs-CZ"/>
        </w:rPr>
        <w:pict>
          <v:shape id="_x0000_i1050" type="#_x0000_t75" style="width:219pt;height:151.5pt">
            <v:imagedata r:id="rId15" o:title=""/>
          </v:shape>
        </w:pict>
      </w:r>
    </w:p>
    <w:p w:rsidR="000759EC" w:rsidRPr="006C0559" w:rsidRDefault="000759EC" w:rsidP="000759EC">
      <w:pPr>
        <w:numPr>
          <w:ilvl w:val="0"/>
          <w:numId w:val="1"/>
        </w:numPr>
        <w:spacing w:after="120"/>
        <w:ind w:left="284" w:hanging="284"/>
        <w:rPr>
          <w:rFonts w:ascii="Arial" w:hAnsi="Arial" w:cs="Arial"/>
          <w:b/>
        </w:rPr>
      </w:pPr>
      <w:r w:rsidRPr="006C0559">
        <w:rPr>
          <w:rFonts w:ascii="Arial" w:hAnsi="Arial" w:cs="Arial"/>
          <w:b/>
        </w:rPr>
        <w:lastRenderedPageBreak/>
        <w:t>Teritoriální struktura</w:t>
      </w:r>
    </w:p>
    <w:p w:rsidR="000759EC" w:rsidRPr="006C0559" w:rsidRDefault="000759EC" w:rsidP="000759EC">
      <w:pPr>
        <w:numPr>
          <w:ilvl w:val="1"/>
          <w:numId w:val="1"/>
        </w:numPr>
        <w:spacing w:after="120"/>
        <w:ind w:left="426"/>
        <w:rPr>
          <w:rFonts w:ascii="Arial" w:hAnsi="Arial" w:cs="Arial"/>
          <w:b/>
          <w:sz w:val="21"/>
          <w:szCs w:val="21"/>
        </w:rPr>
      </w:pPr>
      <w:r w:rsidRPr="006C0559">
        <w:rPr>
          <w:rFonts w:ascii="Arial" w:hAnsi="Arial" w:cs="Arial"/>
          <w:b/>
          <w:sz w:val="19"/>
          <w:szCs w:val="19"/>
        </w:rPr>
        <w:t xml:space="preserve"> </w:t>
      </w:r>
      <w:r w:rsidRPr="006C0559">
        <w:rPr>
          <w:rFonts w:ascii="Arial" w:hAnsi="Arial" w:cs="Arial"/>
          <w:b/>
          <w:sz w:val="21"/>
          <w:szCs w:val="21"/>
        </w:rPr>
        <w:t>Zahraniční obchod České republiky se státy EU</w:t>
      </w:r>
      <w:r w:rsidRPr="006C0559">
        <w:rPr>
          <w:rStyle w:val="Znakapoznpodarou"/>
          <w:rFonts w:ascii="Arial" w:hAnsi="Arial" w:cs="Arial"/>
          <w:sz w:val="21"/>
          <w:szCs w:val="21"/>
        </w:rPr>
        <w:footnoteReference w:id="3"/>
      </w:r>
      <w:r w:rsidRPr="006C0559">
        <w:rPr>
          <w:rFonts w:ascii="Arial" w:hAnsi="Arial" w:cs="Arial"/>
          <w:b/>
          <w:sz w:val="21"/>
          <w:szCs w:val="21"/>
        </w:rPr>
        <w:t xml:space="preserve"> a mimo EU</w:t>
      </w:r>
    </w:p>
    <w:p w:rsidR="000759EC" w:rsidRPr="00856E93" w:rsidRDefault="000759EC" w:rsidP="00B51DA6">
      <w:pPr>
        <w:jc w:val="both"/>
        <w:rPr>
          <w:rFonts w:ascii="Arial" w:hAnsi="Arial" w:cs="Arial"/>
          <w:color w:val="FF0000"/>
          <w:sz w:val="18"/>
          <w:szCs w:val="18"/>
        </w:rPr>
      </w:pPr>
      <w:r w:rsidRPr="006C0559">
        <w:rPr>
          <w:rFonts w:ascii="Arial" w:hAnsi="Arial" w:cs="Arial"/>
          <w:sz w:val="18"/>
          <w:szCs w:val="18"/>
        </w:rPr>
        <w:t xml:space="preserve">Podíl zahraničního obchodu se státy EU na celkovém </w:t>
      </w:r>
      <w:r w:rsidRPr="006C0559">
        <w:rPr>
          <w:rFonts w:ascii="Arial" w:hAnsi="Arial" w:cs="Arial"/>
          <w:b/>
          <w:sz w:val="18"/>
          <w:szCs w:val="18"/>
        </w:rPr>
        <w:t>obratu</w:t>
      </w:r>
      <w:r w:rsidRPr="006C0559">
        <w:rPr>
          <w:rFonts w:ascii="Arial" w:hAnsi="Arial" w:cs="Arial"/>
          <w:sz w:val="18"/>
          <w:szCs w:val="18"/>
        </w:rPr>
        <w:t xml:space="preserve"> zahraničního obchodu České republiky v roce 201</w:t>
      </w:r>
      <w:r w:rsidR="006C0559">
        <w:rPr>
          <w:rFonts w:ascii="Arial" w:hAnsi="Arial" w:cs="Arial"/>
          <w:sz w:val="18"/>
          <w:szCs w:val="18"/>
        </w:rPr>
        <w:t>7</w:t>
      </w:r>
      <w:r w:rsidRPr="006C0559">
        <w:rPr>
          <w:rFonts w:ascii="Arial" w:hAnsi="Arial" w:cs="Arial"/>
          <w:sz w:val="18"/>
          <w:szCs w:val="18"/>
        </w:rPr>
        <w:t xml:space="preserve"> dosáhl</w:t>
      </w:r>
      <w:r w:rsidRPr="00856E93">
        <w:rPr>
          <w:rFonts w:ascii="Arial" w:hAnsi="Arial" w:cs="Arial"/>
          <w:color w:val="FF0000"/>
          <w:sz w:val="18"/>
          <w:szCs w:val="18"/>
        </w:rPr>
        <w:t xml:space="preserve"> </w:t>
      </w:r>
      <w:r w:rsidR="00CB0375" w:rsidRPr="00167048">
        <w:rPr>
          <w:rFonts w:ascii="Arial" w:hAnsi="Arial" w:cs="Arial"/>
          <w:sz w:val="18"/>
          <w:szCs w:val="18"/>
        </w:rPr>
        <w:t>7</w:t>
      </w:r>
      <w:r w:rsidR="00124501" w:rsidRPr="00167048">
        <w:rPr>
          <w:rFonts w:ascii="Arial" w:hAnsi="Arial" w:cs="Arial"/>
          <w:sz w:val="18"/>
          <w:szCs w:val="18"/>
        </w:rPr>
        <w:t>5,</w:t>
      </w:r>
      <w:r w:rsidR="00167048" w:rsidRPr="00167048">
        <w:rPr>
          <w:rFonts w:ascii="Arial" w:hAnsi="Arial" w:cs="Arial"/>
          <w:sz w:val="18"/>
          <w:szCs w:val="18"/>
        </w:rPr>
        <w:t>4</w:t>
      </w:r>
      <w:r w:rsidRPr="00167048">
        <w:rPr>
          <w:rFonts w:ascii="Arial" w:hAnsi="Arial" w:cs="Arial"/>
          <w:sz w:val="18"/>
          <w:szCs w:val="18"/>
        </w:rPr>
        <w:t xml:space="preserve"> % (</w:t>
      </w:r>
      <w:r w:rsidR="00167048" w:rsidRPr="00167048">
        <w:rPr>
          <w:rFonts w:ascii="Arial" w:hAnsi="Arial" w:cs="Arial"/>
          <w:sz w:val="18"/>
          <w:szCs w:val="18"/>
        </w:rPr>
        <w:t>6 063,0</w:t>
      </w:r>
      <w:r w:rsidRPr="00167048">
        <w:rPr>
          <w:rFonts w:ascii="Arial" w:hAnsi="Arial" w:cs="Arial"/>
          <w:sz w:val="18"/>
          <w:szCs w:val="18"/>
        </w:rPr>
        <w:t xml:space="preserve"> mld. Kč) proti podílu předchozího roku </w:t>
      </w:r>
      <w:r w:rsidR="00167048" w:rsidRPr="00167048">
        <w:rPr>
          <w:rFonts w:ascii="Arial" w:hAnsi="Arial" w:cs="Arial"/>
          <w:sz w:val="18"/>
          <w:szCs w:val="18"/>
        </w:rPr>
        <w:t>75,9</w:t>
      </w:r>
      <w:r w:rsidRPr="00167048">
        <w:rPr>
          <w:rFonts w:ascii="Arial" w:hAnsi="Arial" w:cs="Arial"/>
          <w:sz w:val="18"/>
          <w:szCs w:val="18"/>
        </w:rPr>
        <w:t xml:space="preserve"> % (</w:t>
      </w:r>
      <w:r w:rsidR="00C06206" w:rsidRPr="00167048">
        <w:rPr>
          <w:rFonts w:ascii="Arial" w:hAnsi="Arial" w:cs="Arial"/>
          <w:sz w:val="18"/>
          <w:szCs w:val="18"/>
        </w:rPr>
        <w:t>5</w:t>
      </w:r>
      <w:r w:rsidR="00167048" w:rsidRPr="00167048">
        <w:rPr>
          <w:rFonts w:ascii="Arial" w:hAnsi="Arial" w:cs="Arial"/>
          <w:sz w:val="18"/>
          <w:szCs w:val="18"/>
        </w:rPr>
        <w:t> 668,7</w:t>
      </w:r>
      <w:r w:rsidR="002951E0" w:rsidRPr="00167048">
        <w:rPr>
          <w:rFonts w:ascii="Arial" w:hAnsi="Arial" w:cs="Arial"/>
          <w:sz w:val="18"/>
          <w:szCs w:val="18"/>
        </w:rPr>
        <w:t xml:space="preserve"> </w:t>
      </w:r>
      <w:r w:rsidRPr="00167048">
        <w:rPr>
          <w:rFonts w:ascii="Arial" w:hAnsi="Arial" w:cs="Arial"/>
          <w:sz w:val="18"/>
          <w:szCs w:val="18"/>
        </w:rPr>
        <w:t xml:space="preserve">mld. Kč), přičemž na obchod se státy mimo EU připadlo </w:t>
      </w:r>
      <w:r w:rsidR="00167048" w:rsidRPr="00167048">
        <w:rPr>
          <w:rFonts w:ascii="Arial" w:hAnsi="Arial" w:cs="Arial"/>
          <w:sz w:val="18"/>
          <w:szCs w:val="18"/>
        </w:rPr>
        <w:t>24,3</w:t>
      </w:r>
      <w:r w:rsidRPr="00167048">
        <w:rPr>
          <w:rFonts w:ascii="Arial" w:hAnsi="Arial" w:cs="Arial"/>
          <w:sz w:val="18"/>
          <w:szCs w:val="18"/>
        </w:rPr>
        <w:t xml:space="preserve"> %</w:t>
      </w:r>
      <w:r w:rsidR="00B26EB3" w:rsidRPr="00167048">
        <w:rPr>
          <w:rStyle w:val="Znakapoznpodarou"/>
          <w:rFonts w:ascii="Arial" w:hAnsi="Arial" w:cs="Arial"/>
          <w:sz w:val="18"/>
          <w:szCs w:val="18"/>
        </w:rPr>
        <w:footnoteReference w:id="4"/>
      </w:r>
      <w:r w:rsidR="000C6001" w:rsidRPr="00167048">
        <w:rPr>
          <w:rFonts w:ascii="Arial" w:hAnsi="Arial" w:cs="Arial"/>
          <w:sz w:val="18"/>
          <w:szCs w:val="18"/>
        </w:rPr>
        <w:t xml:space="preserve"> </w:t>
      </w:r>
      <w:r w:rsidRPr="00167048">
        <w:rPr>
          <w:rFonts w:ascii="Arial" w:hAnsi="Arial" w:cs="Arial"/>
          <w:sz w:val="18"/>
          <w:szCs w:val="18"/>
        </w:rPr>
        <w:t>(1</w:t>
      </w:r>
      <w:r w:rsidR="00167048" w:rsidRPr="00167048">
        <w:rPr>
          <w:rFonts w:ascii="Arial" w:hAnsi="Arial" w:cs="Arial"/>
          <w:sz w:val="18"/>
          <w:szCs w:val="18"/>
        </w:rPr>
        <w:t> 958,2</w:t>
      </w:r>
      <w:r w:rsidRPr="00167048">
        <w:rPr>
          <w:rFonts w:ascii="Arial" w:hAnsi="Arial" w:cs="Arial"/>
          <w:sz w:val="18"/>
          <w:szCs w:val="18"/>
        </w:rPr>
        <w:t xml:space="preserve"> mld. Kč) </w:t>
      </w:r>
      <w:r w:rsidR="0099171C" w:rsidRPr="00167048">
        <w:rPr>
          <w:rFonts w:ascii="Arial" w:hAnsi="Arial" w:cs="Arial"/>
          <w:sz w:val="18"/>
          <w:szCs w:val="18"/>
        </w:rPr>
        <w:t>ve srovnání s</w:t>
      </w:r>
      <w:r w:rsidRPr="00167048">
        <w:rPr>
          <w:rFonts w:ascii="Arial" w:hAnsi="Arial" w:cs="Arial"/>
          <w:sz w:val="18"/>
          <w:szCs w:val="18"/>
        </w:rPr>
        <w:t xml:space="preserve"> </w:t>
      </w:r>
      <w:r w:rsidR="00C06206" w:rsidRPr="00167048">
        <w:rPr>
          <w:rFonts w:ascii="Arial" w:hAnsi="Arial" w:cs="Arial"/>
          <w:sz w:val="18"/>
          <w:szCs w:val="18"/>
        </w:rPr>
        <w:t>2</w:t>
      </w:r>
      <w:r w:rsidR="00167048" w:rsidRPr="00167048">
        <w:rPr>
          <w:rFonts w:ascii="Arial" w:hAnsi="Arial" w:cs="Arial"/>
          <w:sz w:val="18"/>
          <w:szCs w:val="18"/>
        </w:rPr>
        <w:t>3</w:t>
      </w:r>
      <w:r w:rsidR="00C06206" w:rsidRPr="00167048">
        <w:rPr>
          <w:rFonts w:ascii="Arial" w:hAnsi="Arial" w:cs="Arial"/>
          <w:sz w:val="18"/>
          <w:szCs w:val="18"/>
        </w:rPr>
        <w:t>,8 % (</w:t>
      </w:r>
      <w:r w:rsidR="00167048" w:rsidRPr="00167048">
        <w:rPr>
          <w:rFonts w:ascii="Arial" w:hAnsi="Arial" w:cs="Arial"/>
          <w:sz w:val="18"/>
          <w:szCs w:val="18"/>
        </w:rPr>
        <w:t xml:space="preserve">1 774,6 </w:t>
      </w:r>
      <w:r w:rsidR="00C06206" w:rsidRPr="00167048">
        <w:rPr>
          <w:rFonts w:ascii="Arial" w:hAnsi="Arial" w:cs="Arial"/>
          <w:sz w:val="18"/>
          <w:szCs w:val="18"/>
        </w:rPr>
        <w:t xml:space="preserve">mld. Kč) </w:t>
      </w:r>
      <w:r w:rsidRPr="00167048">
        <w:rPr>
          <w:rFonts w:ascii="Arial" w:hAnsi="Arial" w:cs="Arial"/>
          <w:sz w:val="18"/>
          <w:szCs w:val="18"/>
        </w:rPr>
        <w:t>v roce 201</w:t>
      </w:r>
      <w:r w:rsidR="00167048" w:rsidRPr="00167048">
        <w:rPr>
          <w:rFonts w:ascii="Arial" w:hAnsi="Arial" w:cs="Arial"/>
          <w:sz w:val="18"/>
          <w:szCs w:val="18"/>
        </w:rPr>
        <w:t>6</w:t>
      </w:r>
      <w:r w:rsidRPr="00167048">
        <w:rPr>
          <w:rFonts w:ascii="Arial" w:hAnsi="Arial" w:cs="Arial"/>
          <w:sz w:val="18"/>
          <w:szCs w:val="18"/>
        </w:rPr>
        <w:t>.</w:t>
      </w:r>
    </w:p>
    <w:p w:rsidR="000759EC" w:rsidRPr="004952C0" w:rsidRDefault="000759EC" w:rsidP="000759EC">
      <w:pPr>
        <w:spacing w:after="80"/>
        <w:jc w:val="both"/>
        <w:rPr>
          <w:rFonts w:ascii="Arial" w:hAnsi="Arial" w:cs="Arial"/>
          <w:b/>
          <w:sz w:val="18"/>
          <w:szCs w:val="18"/>
        </w:rPr>
      </w:pPr>
      <w:r w:rsidRPr="004952C0">
        <w:rPr>
          <w:rFonts w:ascii="Arial" w:hAnsi="Arial" w:cs="Arial"/>
          <w:b/>
          <w:sz w:val="18"/>
          <w:szCs w:val="18"/>
        </w:rPr>
        <w:t xml:space="preserve">Graf </w:t>
      </w:r>
      <w:r w:rsidR="003602C2" w:rsidRPr="004952C0">
        <w:rPr>
          <w:rFonts w:ascii="Arial" w:hAnsi="Arial" w:cs="Arial"/>
          <w:b/>
          <w:sz w:val="18"/>
          <w:szCs w:val="18"/>
        </w:rPr>
        <w:t>6</w:t>
      </w:r>
      <w:r w:rsidRPr="004952C0">
        <w:rPr>
          <w:rFonts w:ascii="Arial" w:hAnsi="Arial" w:cs="Arial"/>
          <w:b/>
          <w:sz w:val="18"/>
          <w:szCs w:val="18"/>
        </w:rPr>
        <w:t xml:space="preserve"> - Teritoriální struktura </w:t>
      </w:r>
      <w:r w:rsidR="00C00A67" w:rsidRPr="004952C0">
        <w:rPr>
          <w:rFonts w:ascii="Arial" w:hAnsi="Arial" w:cs="Arial"/>
          <w:b/>
          <w:sz w:val="18"/>
          <w:szCs w:val="18"/>
        </w:rPr>
        <w:t>zahraničního obchodu</w:t>
      </w:r>
      <w:r w:rsidRPr="004952C0">
        <w:rPr>
          <w:rFonts w:ascii="Arial" w:hAnsi="Arial" w:cs="Arial"/>
          <w:b/>
          <w:sz w:val="18"/>
          <w:szCs w:val="18"/>
        </w:rPr>
        <w:t xml:space="preserve"> v roce 201</w:t>
      </w:r>
      <w:r w:rsidR="004952C0" w:rsidRPr="004952C0">
        <w:rPr>
          <w:rFonts w:ascii="Arial" w:hAnsi="Arial" w:cs="Arial"/>
          <w:b/>
          <w:sz w:val="18"/>
          <w:szCs w:val="18"/>
        </w:rPr>
        <w:t>7</w:t>
      </w:r>
      <w:r w:rsidRPr="004952C0">
        <w:rPr>
          <w:rFonts w:ascii="Arial" w:hAnsi="Arial" w:cs="Arial"/>
          <w:b/>
          <w:sz w:val="18"/>
          <w:szCs w:val="18"/>
        </w:rPr>
        <w:t xml:space="preserve"> (podíly v %)</w:t>
      </w:r>
    </w:p>
    <w:p w:rsidR="000759EC" w:rsidRPr="00856E93" w:rsidRDefault="0012752A" w:rsidP="00514722">
      <w:pPr>
        <w:spacing w:after="120"/>
        <w:jc w:val="both"/>
        <w:rPr>
          <w:rFonts w:ascii="Arial" w:hAnsi="Arial" w:cs="Arial"/>
          <w:color w:val="FF0000"/>
          <w:sz w:val="18"/>
          <w:szCs w:val="18"/>
        </w:rPr>
      </w:pPr>
      <w:r>
        <w:rPr>
          <w:rFonts w:ascii="Arial" w:hAnsi="Arial" w:cs="Arial"/>
          <w:color w:val="FF0000"/>
          <w:sz w:val="18"/>
          <w:szCs w:val="18"/>
        </w:rPr>
        <w:pict>
          <v:shape id="_x0000_i1030" type="#_x0000_t75" style="width:483.75pt;height:152.25pt">
            <v:imagedata r:id="rId16" o:title=""/>
          </v:shape>
        </w:pict>
      </w:r>
      <w:r w:rsidR="000759EC" w:rsidRPr="00856E93">
        <w:rPr>
          <w:rFonts w:ascii="Arial" w:hAnsi="Arial" w:cs="Arial"/>
          <w:color w:val="FF0000"/>
          <w:sz w:val="18"/>
          <w:szCs w:val="18"/>
        </w:rPr>
        <w:tab/>
      </w:r>
      <w:r w:rsidR="000759EC" w:rsidRPr="00856E93">
        <w:rPr>
          <w:rFonts w:ascii="Arial" w:hAnsi="Arial" w:cs="Arial"/>
          <w:color w:val="FF0000"/>
          <w:sz w:val="18"/>
          <w:szCs w:val="18"/>
        </w:rPr>
        <w:tab/>
      </w:r>
      <w:r w:rsidR="000759EC" w:rsidRPr="00856E93">
        <w:rPr>
          <w:rFonts w:ascii="Arial" w:hAnsi="Arial" w:cs="Arial"/>
          <w:color w:val="FF0000"/>
          <w:sz w:val="18"/>
          <w:szCs w:val="18"/>
        </w:rPr>
        <w:tab/>
      </w:r>
    </w:p>
    <w:p w:rsidR="009E2714" w:rsidRDefault="00E87EC7" w:rsidP="00C37BD3">
      <w:pPr>
        <w:spacing w:after="120"/>
        <w:jc w:val="both"/>
        <w:rPr>
          <w:rFonts w:ascii="Arial" w:hAnsi="Arial" w:cs="Arial"/>
          <w:spacing w:val="4"/>
          <w:sz w:val="18"/>
          <w:szCs w:val="18"/>
        </w:rPr>
      </w:pPr>
      <w:r w:rsidRPr="00167048">
        <w:rPr>
          <w:rFonts w:ascii="Arial" w:hAnsi="Arial" w:cs="Arial"/>
          <w:b/>
          <w:spacing w:val="4"/>
          <w:sz w:val="18"/>
          <w:szCs w:val="18"/>
        </w:rPr>
        <w:t xml:space="preserve">Vývoz </w:t>
      </w:r>
      <w:r w:rsidRPr="00167048">
        <w:rPr>
          <w:rFonts w:ascii="Arial" w:hAnsi="Arial" w:cs="Arial"/>
          <w:spacing w:val="4"/>
          <w:sz w:val="18"/>
          <w:szCs w:val="18"/>
        </w:rPr>
        <w:t xml:space="preserve">zboží do </w:t>
      </w:r>
      <w:r w:rsidRPr="00167048">
        <w:rPr>
          <w:rFonts w:ascii="Arial" w:hAnsi="Arial" w:cs="Arial"/>
          <w:b/>
          <w:spacing w:val="4"/>
          <w:sz w:val="18"/>
          <w:szCs w:val="18"/>
        </w:rPr>
        <w:t>států EU</w:t>
      </w:r>
      <w:r w:rsidRPr="00167048">
        <w:rPr>
          <w:rFonts w:ascii="Arial" w:hAnsi="Arial" w:cs="Arial"/>
          <w:spacing w:val="4"/>
          <w:sz w:val="18"/>
          <w:szCs w:val="18"/>
        </w:rPr>
        <w:t xml:space="preserve"> v roce 201</w:t>
      </w:r>
      <w:r w:rsidR="00167048" w:rsidRPr="00167048">
        <w:rPr>
          <w:rFonts w:ascii="Arial" w:hAnsi="Arial" w:cs="Arial"/>
          <w:spacing w:val="4"/>
          <w:sz w:val="18"/>
          <w:szCs w:val="18"/>
        </w:rPr>
        <w:t>7</w:t>
      </w:r>
      <w:r w:rsidRPr="00167048">
        <w:rPr>
          <w:rFonts w:ascii="Arial" w:hAnsi="Arial" w:cs="Arial"/>
          <w:spacing w:val="4"/>
          <w:sz w:val="18"/>
          <w:szCs w:val="18"/>
        </w:rPr>
        <w:t xml:space="preserve"> vzrostl o </w:t>
      </w:r>
      <w:r w:rsidR="00167048" w:rsidRPr="00167048">
        <w:rPr>
          <w:rFonts w:ascii="Arial" w:hAnsi="Arial" w:cs="Arial"/>
          <w:spacing w:val="4"/>
          <w:sz w:val="18"/>
          <w:szCs w:val="18"/>
        </w:rPr>
        <w:t>7,1</w:t>
      </w:r>
      <w:r w:rsidRPr="00167048">
        <w:rPr>
          <w:rFonts w:ascii="Arial" w:hAnsi="Arial" w:cs="Arial"/>
          <w:spacing w:val="4"/>
          <w:sz w:val="18"/>
          <w:szCs w:val="18"/>
        </w:rPr>
        <w:t xml:space="preserve"> % </w:t>
      </w:r>
      <w:r w:rsidRPr="00B241C4">
        <w:rPr>
          <w:rFonts w:ascii="Arial" w:hAnsi="Arial" w:cs="Arial"/>
          <w:spacing w:val="4"/>
          <w:sz w:val="18"/>
          <w:szCs w:val="18"/>
        </w:rPr>
        <w:t>na 3</w:t>
      </w:r>
      <w:r w:rsidR="00B241C4" w:rsidRPr="00B241C4">
        <w:rPr>
          <w:rFonts w:ascii="Arial" w:hAnsi="Arial" w:cs="Arial"/>
          <w:spacing w:val="4"/>
          <w:sz w:val="18"/>
          <w:szCs w:val="18"/>
        </w:rPr>
        <w:t> 559,2</w:t>
      </w:r>
      <w:r w:rsidRPr="00B241C4">
        <w:rPr>
          <w:rFonts w:ascii="Arial" w:hAnsi="Arial" w:cs="Arial"/>
          <w:spacing w:val="4"/>
          <w:sz w:val="18"/>
          <w:szCs w:val="18"/>
        </w:rPr>
        <w:t xml:space="preserve"> mld. Kč. Absolutní </w:t>
      </w:r>
      <w:r w:rsidRPr="004952C0">
        <w:rPr>
          <w:rFonts w:ascii="Arial" w:hAnsi="Arial" w:cs="Arial"/>
          <w:spacing w:val="4"/>
          <w:sz w:val="18"/>
          <w:szCs w:val="18"/>
        </w:rPr>
        <w:t xml:space="preserve">přírůstek </w:t>
      </w:r>
      <w:r w:rsidR="00E11BCB">
        <w:rPr>
          <w:rFonts w:ascii="Arial" w:hAnsi="Arial" w:cs="Arial"/>
          <w:spacing w:val="4"/>
          <w:sz w:val="18"/>
          <w:szCs w:val="18"/>
        </w:rPr>
        <w:t>235</w:t>
      </w:r>
      <w:r w:rsidRPr="004952C0">
        <w:rPr>
          <w:rFonts w:ascii="Arial" w:hAnsi="Arial" w:cs="Arial"/>
          <w:spacing w:val="4"/>
          <w:sz w:val="18"/>
          <w:szCs w:val="18"/>
        </w:rPr>
        <w:t xml:space="preserve">,5 mld. Kč </w:t>
      </w:r>
      <w:r w:rsidR="004B5AC0">
        <w:rPr>
          <w:rFonts w:ascii="Arial" w:hAnsi="Arial" w:cs="Arial"/>
          <w:spacing w:val="4"/>
          <w:sz w:val="18"/>
          <w:szCs w:val="18"/>
        </w:rPr>
        <w:t xml:space="preserve">kladně </w:t>
      </w:r>
      <w:r w:rsidRPr="004952C0">
        <w:rPr>
          <w:rFonts w:ascii="Arial" w:hAnsi="Arial" w:cs="Arial"/>
          <w:spacing w:val="4"/>
          <w:sz w:val="18"/>
          <w:szCs w:val="18"/>
        </w:rPr>
        <w:t>ovlivnil</w:t>
      </w:r>
      <w:r w:rsidR="004B5AC0">
        <w:rPr>
          <w:rFonts w:ascii="Arial" w:hAnsi="Arial" w:cs="Arial"/>
          <w:spacing w:val="4"/>
          <w:sz w:val="18"/>
          <w:szCs w:val="18"/>
        </w:rPr>
        <w:t xml:space="preserve">o navýšení </w:t>
      </w:r>
      <w:r w:rsidRPr="004952C0">
        <w:rPr>
          <w:rFonts w:ascii="Arial" w:hAnsi="Arial" w:cs="Arial"/>
          <w:spacing w:val="4"/>
          <w:sz w:val="18"/>
          <w:szCs w:val="18"/>
        </w:rPr>
        <w:t>obchod</w:t>
      </w:r>
      <w:r w:rsidR="004B5AC0">
        <w:rPr>
          <w:rFonts w:ascii="Arial" w:hAnsi="Arial" w:cs="Arial"/>
          <w:spacing w:val="4"/>
          <w:sz w:val="18"/>
          <w:szCs w:val="18"/>
        </w:rPr>
        <w:t>u</w:t>
      </w:r>
      <w:r w:rsidRPr="004952C0">
        <w:rPr>
          <w:rFonts w:ascii="Arial" w:hAnsi="Arial" w:cs="Arial"/>
          <w:spacing w:val="4"/>
          <w:sz w:val="18"/>
          <w:szCs w:val="18"/>
        </w:rPr>
        <w:t xml:space="preserve"> </w:t>
      </w:r>
      <w:r w:rsidR="004B5AC0" w:rsidRPr="004952C0">
        <w:rPr>
          <w:rFonts w:ascii="Arial" w:hAnsi="Arial" w:cs="Arial"/>
          <w:spacing w:val="4"/>
          <w:sz w:val="18"/>
          <w:szCs w:val="18"/>
        </w:rPr>
        <w:t>především</w:t>
      </w:r>
      <w:r w:rsidR="004B5AC0" w:rsidRPr="00E11BCB">
        <w:rPr>
          <w:rFonts w:ascii="Arial" w:hAnsi="Arial" w:cs="Arial"/>
          <w:spacing w:val="4"/>
          <w:sz w:val="18"/>
          <w:szCs w:val="18"/>
        </w:rPr>
        <w:t xml:space="preserve"> </w:t>
      </w:r>
      <w:r w:rsidRPr="00E11BCB">
        <w:rPr>
          <w:rFonts w:ascii="Arial" w:hAnsi="Arial" w:cs="Arial"/>
          <w:spacing w:val="4"/>
          <w:sz w:val="18"/>
          <w:szCs w:val="18"/>
        </w:rPr>
        <w:t>s</w:t>
      </w:r>
      <w:r w:rsidR="00115370" w:rsidRPr="00E11BCB">
        <w:rPr>
          <w:rFonts w:ascii="Arial" w:hAnsi="Arial" w:cs="Arial"/>
          <w:spacing w:val="4"/>
          <w:sz w:val="18"/>
          <w:szCs w:val="18"/>
        </w:rPr>
        <w:t> </w:t>
      </w:r>
      <w:r w:rsidRPr="00E11BCB">
        <w:rPr>
          <w:rFonts w:ascii="Arial" w:hAnsi="Arial" w:cs="Arial"/>
          <w:spacing w:val="4"/>
          <w:sz w:val="18"/>
          <w:szCs w:val="18"/>
        </w:rPr>
        <w:t>Německem</w:t>
      </w:r>
      <w:r w:rsidR="004B5AC0">
        <w:rPr>
          <w:rFonts w:ascii="Arial" w:hAnsi="Arial" w:cs="Arial"/>
          <w:spacing w:val="4"/>
          <w:sz w:val="18"/>
          <w:szCs w:val="18"/>
        </w:rPr>
        <w:t xml:space="preserve"> (</w:t>
      </w:r>
      <w:r w:rsidR="00115370" w:rsidRPr="00E11BCB">
        <w:rPr>
          <w:rFonts w:ascii="Arial" w:hAnsi="Arial" w:cs="Arial"/>
          <w:spacing w:val="4"/>
          <w:sz w:val="18"/>
          <w:szCs w:val="18"/>
        </w:rPr>
        <w:t xml:space="preserve">o </w:t>
      </w:r>
      <w:r w:rsidR="00E11BCB" w:rsidRPr="00E11BCB">
        <w:rPr>
          <w:rFonts w:ascii="Arial" w:hAnsi="Arial" w:cs="Arial"/>
          <w:spacing w:val="4"/>
          <w:sz w:val="18"/>
          <w:szCs w:val="18"/>
        </w:rPr>
        <w:t>97,2</w:t>
      </w:r>
      <w:r w:rsidR="00115370" w:rsidRPr="00E11BCB">
        <w:rPr>
          <w:rFonts w:ascii="Arial" w:hAnsi="Arial" w:cs="Arial"/>
          <w:spacing w:val="4"/>
          <w:sz w:val="18"/>
          <w:szCs w:val="18"/>
        </w:rPr>
        <w:t xml:space="preserve"> mld. Kč), </w:t>
      </w:r>
      <w:r w:rsidR="00E11BCB" w:rsidRPr="00E11BCB">
        <w:rPr>
          <w:rFonts w:ascii="Arial" w:hAnsi="Arial" w:cs="Arial"/>
          <w:spacing w:val="4"/>
          <w:sz w:val="18"/>
          <w:szCs w:val="18"/>
        </w:rPr>
        <w:t>Nizozemskem</w:t>
      </w:r>
      <w:r w:rsidR="00115370" w:rsidRPr="00E11BCB">
        <w:rPr>
          <w:rFonts w:ascii="Arial" w:hAnsi="Arial" w:cs="Arial"/>
          <w:spacing w:val="4"/>
          <w:sz w:val="18"/>
          <w:szCs w:val="18"/>
        </w:rPr>
        <w:t xml:space="preserve"> (o </w:t>
      </w:r>
      <w:r w:rsidR="00E11BCB" w:rsidRPr="00E11BCB">
        <w:rPr>
          <w:rFonts w:ascii="Arial" w:hAnsi="Arial" w:cs="Arial"/>
          <w:spacing w:val="4"/>
          <w:sz w:val="18"/>
          <w:szCs w:val="18"/>
        </w:rPr>
        <w:t>33,6</w:t>
      </w:r>
      <w:r w:rsidR="00115370" w:rsidRPr="00E11BCB">
        <w:rPr>
          <w:rFonts w:ascii="Arial" w:hAnsi="Arial" w:cs="Arial"/>
          <w:spacing w:val="4"/>
          <w:sz w:val="18"/>
          <w:szCs w:val="18"/>
        </w:rPr>
        <w:t xml:space="preserve"> mld. Kč),</w:t>
      </w:r>
      <w:r w:rsidR="00970810" w:rsidRPr="00E11BCB">
        <w:rPr>
          <w:rFonts w:ascii="Arial" w:hAnsi="Arial" w:cs="Arial"/>
          <w:spacing w:val="4"/>
          <w:sz w:val="18"/>
          <w:szCs w:val="18"/>
        </w:rPr>
        <w:t xml:space="preserve"> </w:t>
      </w:r>
      <w:r w:rsidR="00E11BCB" w:rsidRPr="00E11BCB">
        <w:rPr>
          <w:rFonts w:ascii="Arial" w:hAnsi="Arial" w:cs="Arial"/>
          <w:spacing w:val="4"/>
          <w:sz w:val="18"/>
          <w:szCs w:val="18"/>
        </w:rPr>
        <w:t>Polskem</w:t>
      </w:r>
      <w:r w:rsidR="00970810" w:rsidRPr="00E11BCB">
        <w:rPr>
          <w:rFonts w:ascii="Arial" w:hAnsi="Arial" w:cs="Arial"/>
          <w:spacing w:val="4"/>
          <w:sz w:val="18"/>
          <w:szCs w:val="18"/>
        </w:rPr>
        <w:t xml:space="preserve"> (o </w:t>
      </w:r>
      <w:r w:rsidR="00E11BCB" w:rsidRPr="00E11BCB">
        <w:rPr>
          <w:rFonts w:ascii="Arial" w:hAnsi="Arial" w:cs="Arial"/>
          <w:spacing w:val="4"/>
          <w:sz w:val="18"/>
          <w:szCs w:val="18"/>
        </w:rPr>
        <w:t>24,9</w:t>
      </w:r>
      <w:r w:rsidR="00970810" w:rsidRPr="00E11BCB">
        <w:rPr>
          <w:rFonts w:ascii="Arial" w:hAnsi="Arial" w:cs="Arial"/>
          <w:spacing w:val="4"/>
          <w:sz w:val="18"/>
          <w:szCs w:val="18"/>
        </w:rPr>
        <w:t> mld. </w:t>
      </w:r>
      <w:r w:rsidR="00115370" w:rsidRPr="00E11BCB">
        <w:rPr>
          <w:rFonts w:ascii="Arial" w:hAnsi="Arial" w:cs="Arial"/>
          <w:spacing w:val="4"/>
          <w:sz w:val="18"/>
          <w:szCs w:val="18"/>
        </w:rPr>
        <w:t>Kč)</w:t>
      </w:r>
      <w:r w:rsidR="00E11BCB">
        <w:rPr>
          <w:rFonts w:ascii="Arial" w:hAnsi="Arial" w:cs="Arial"/>
          <w:spacing w:val="4"/>
          <w:sz w:val="18"/>
          <w:szCs w:val="18"/>
        </w:rPr>
        <w:t>,</w:t>
      </w:r>
      <w:r w:rsidR="00115370" w:rsidRPr="00E11BCB">
        <w:rPr>
          <w:rFonts w:ascii="Arial" w:hAnsi="Arial" w:cs="Arial"/>
          <w:spacing w:val="4"/>
          <w:sz w:val="18"/>
          <w:szCs w:val="18"/>
        </w:rPr>
        <w:t xml:space="preserve"> </w:t>
      </w:r>
      <w:r w:rsidR="00E11BCB" w:rsidRPr="00E11BCB">
        <w:rPr>
          <w:rFonts w:ascii="Arial" w:hAnsi="Arial" w:cs="Arial"/>
          <w:spacing w:val="4"/>
          <w:sz w:val="18"/>
          <w:szCs w:val="18"/>
        </w:rPr>
        <w:t>Rakouskem</w:t>
      </w:r>
      <w:r w:rsidR="00115370" w:rsidRPr="00E11BCB">
        <w:rPr>
          <w:rFonts w:ascii="Arial" w:hAnsi="Arial" w:cs="Arial"/>
          <w:spacing w:val="4"/>
          <w:sz w:val="18"/>
          <w:szCs w:val="18"/>
        </w:rPr>
        <w:t xml:space="preserve"> (o </w:t>
      </w:r>
      <w:r w:rsidR="00E11BCB" w:rsidRPr="00E11BCB">
        <w:rPr>
          <w:rFonts w:ascii="Arial" w:hAnsi="Arial" w:cs="Arial"/>
          <w:spacing w:val="4"/>
          <w:sz w:val="18"/>
          <w:szCs w:val="18"/>
        </w:rPr>
        <w:t>18,1</w:t>
      </w:r>
      <w:r w:rsidR="00115370" w:rsidRPr="00E11BCB">
        <w:rPr>
          <w:rFonts w:ascii="Arial" w:hAnsi="Arial" w:cs="Arial"/>
          <w:spacing w:val="4"/>
          <w:sz w:val="18"/>
          <w:szCs w:val="18"/>
        </w:rPr>
        <w:t xml:space="preserve"> mld. Kč)</w:t>
      </w:r>
      <w:r w:rsidR="00E11BCB">
        <w:rPr>
          <w:rFonts w:ascii="Arial" w:hAnsi="Arial" w:cs="Arial"/>
          <w:spacing w:val="4"/>
          <w:sz w:val="18"/>
          <w:szCs w:val="18"/>
        </w:rPr>
        <w:t xml:space="preserve"> a Maďarskem (o 12,5 mld. Kč)</w:t>
      </w:r>
      <w:r w:rsidR="00115370" w:rsidRPr="00E11BCB">
        <w:rPr>
          <w:rFonts w:ascii="Arial" w:hAnsi="Arial" w:cs="Arial"/>
          <w:spacing w:val="4"/>
          <w:sz w:val="18"/>
          <w:szCs w:val="18"/>
        </w:rPr>
        <w:t xml:space="preserve">. </w:t>
      </w:r>
    </w:p>
    <w:p w:rsidR="00E87EC7" w:rsidRPr="00E11BCB" w:rsidRDefault="00115370" w:rsidP="00C37BD3">
      <w:pPr>
        <w:spacing w:after="120"/>
        <w:jc w:val="both"/>
        <w:rPr>
          <w:rFonts w:ascii="Arial" w:hAnsi="Arial" w:cs="Arial"/>
          <w:spacing w:val="4"/>
          <w:sz w:val="18"/>
          <w:szCs w:val="18"/>
        </w:rPr>
      </w:pPr>
      <w:r w:rsidRPr="00E11BCB">
        <w:rPr>
          <w:rFonts w:ascii="Arial" w:hAnsi="Arial" w:cs="Arial"/>
          <w:spacing w:val="4"/>
          <w:sz w:val="18"/>
          <w:szCs w:val="18"/>
        </w:rPr>
        <w:t xml:space="preserve">Negativně se projevil </w:t>
      </w:r>
      <w:r w:rsidR="00C20FA9">
        <w:rPr>
          <w:rFonts w:ascii="Arial" w:hAnsi="Arial" w:cs="Arial"/>
          <w:spacing w:val="4"/>
          <w:sz w:val="18"/>
          <w:szCs w:val="18"/>
        </w:rPr>
        <w:t xml:space="preserve">pokračující </w:t>
      </w:r>
      <w:r w:rsidRPr="00E11BCB">
        <w:rPr>
          <w:rFonts w:ascii="Arial" w:hAnsi="Arial" w:cs="Arial"/>
          <w:spacing w:val="4"/>
          <w:sz w:val="18"/>
          <w:szCs w:val="18"/>
        </w:rPr>
        <w:t xml:space="preserve">pokles vývozu </w:t>
      </w:r>
      <w:r w:rsidR="00970810" w:rsidRPr="00E11BCB">
        <w:rPr>
          <w:rFonts w:ascii="Arial" w:hAnsi="Arial" w:cs="Arial"/>
          <w:spacing w:val="4"/>
          <w:sz w:val="18"/>
          <w:szCs w:val="18"/>
        </w:rPr>
        <w:t xml:space="preserve">Česka </w:t>
      </w:r>
      <w:r w:rsidRPr="00E11BCB">
        <w:rPr>
          <w:rFonts w:ascii="Arial" w:hAnsi="Arial" w:cs="Arial"/>
          <w:spacing w:val="4"/>
          <w:sz w:val="18"/>
          <w:szCs w:val="18"/>
        </w:rPr>
        <w:t>na Slovensko o</w:t>
      </w:r>
      <w:r w:rsidR="00E11BCB" w:rsidRPr="00E11BCB">
        <w:rPr>
          <w:rFonts w:ascii="Arial" w:hAnsi="Arial" w:cs="Arial"/>
          <w:spacing w:val="4"/>
          <w:sz w:val="18"/>
          <w:szCs w:val="18"/>
        </w:rPr>
        <w:t> 7,6 </w:t>
      </w:r>
      <w:r w:rsidRPr="00E11BCB">
        <w:rPr>
          <w:rFonts w:ascii="Arial" w:hAnsi="Arial" w:cs="Arial"/>
          <w:spacing w:val="4"/>
          <w:sz w:val="18"/>
          <w:szCs w:val="18"/>
        </w:rPr>
        <w:t xml:space="preserve">mld. Kč. </w:t>
      </w:r>
    </w:p>
    <w:p w:rsidR="004122A0" w:rsidRPr="00B241C4" w:rsidRDefault="00B241C4" w:rsidP="00EE153F">
      <w:pPr>
        <w:spacing w:after="120"/>
        <w:jc w:val="both"/>
        <w:rPr>
          <w:rFonts w:ascii="Arial" w:hAnsi="Arial" w:cs="Arial"/>
          <w:spacing w:val="4"/>
          <w:sz w:val="18"/>
          <w:szCs w:val="18"/>
        </w:rPr>
      </w:pPr>
      <w:r>
        <w:rPr>
          <w:rFonts w:ascii="Arial" w:hAnsi="Arial" w:cs="Arial"/>
          <w:spacing w:val="4"/>
          <w:sz w:val="18"/>
          <w:szCs w:val="18"/>
        </w:rPr>
        <w:t xml:space="preserve">Mírný </w:t>
      </w:r>
      <w:r w:rsidRPr="00B241C4">
        <w:rPr>
          <w:rFonts w:ascii="Arial" w:hAnsi="Arial" w:cs="Arial"/>
          <w:spacing w:val="4"/>
          <w:sz w:val="18"/>
          <w:szCs w:val="18"/>
        </w:rPr>
        <w:t xml:space="preserve">meziroční pokles vývozu České republiky </w:t>
      </w:r>
      <w:r w:rsidRPr="00C20FA9">
        <w:rPr>
          <w:rFonts w:ascii="Arial" w:hAnsi="Arial" w:cs="Arial"/>
          <w:b/>
          <w:spacing w:val="4"/>
          <w:sz w:val="18"/>
          <w:szCs w:val="18"/>
        </w:rPr>
        <w:t>do mimo</w:t>
      </w:r>
      <w:r w:rsidR="005A0709">
        <w:rPr>
          <w:rFonts w:ascii="Arial" w:hAnsi="Arial" w:cs="Arial"/>
          <w:b/>
          <w:spacing w:val="4"/>
          <w:sz w:val="18"/>
          <w:szCs w:val="18"/>
        </w:rPr>
        <w:t xml:space="preserve">unijních </w:t>
      </w:r>
      <w:r w:rsidRPr="00C20FA9">
        <w:rPr>
          <w:rFonts w:ascii="Arial" w:hAnsi="Arial" w:cs="Arial"/>
          <w:b/>
          <w:spacing w:val="4"/>
          <w:sz w:val="18"/>
          <w:szCs w:val="18"/>
        </w:rPr>
        <w:t>států</w:t>
      </w:r>
      <w:r>
        <w:rPr>
          <w:rFonts w:ascii="Arial" w:hAnsi="Arial" w:cs="Arial"/>
          <w:spacing w:val="4"/>
          <w:sz w:val="18"/>
          <w:szCs w:val="18"/>
        </w:rPr>
        <w:t xml:space="preserve"> o 0,1 % v roce 2016 byl v následujícím roce vystřídán</w:t>
      </w:r>
      <w:r w:rsidR="00B16257">
        <w:rPr>
          <w:rFonts w:ascii="Arial" w:hAnsi="Arial" w:cs="Arial"/>
          <w:spacing w:val="4"/>
          <w:sz w:val="18"/>
          <w:szCs w:val="18"/>
        </w:rPr>
        <w:t xml:space="preserve"> růstem o 5,3 % (</w:t>
      </w:r>
      <w:r w:rsidR="005F0A99">
        <w:rPr>
          <w:rFonts w:ascii="Arial" w:hAnsi="Arial" w:cs="Arial"/>
          <w:spacing w:val="4"/>
          <w:sz w:val="18"/>
          <w:szCs w:val="18"/>
        </w:rPr>
        <w:t>34,4</w:t>
      </w:r>
      <w:r w:rsidR="00B16257">
        <w:rPr>
          <w:rFonts w:ascii="Arial" w:hAnsi="Arial" w:cs="Arial"/>
          <w:spacing w:val="4"/>
          <w:sz w:val="18"/>
          <w:szCs w:val="18"/>
        </w:rPr>
        <w:t xml:space="preserve"> mld. Kč).</w:t>
      </w:r>
      <w:r>
        <w:rPr>
          <w:rFonts w:ascii="Arial" w:hAnsi="Arial" w:cs="Arial"/>
          <w:spacing w:val="4"/>
          <w:sz w:val="18"/>
          <w:szCs w:val="18"/>
        </w:rPr>
        <w:t xml:space="preserve"> </w:t>
      </w:r>
      <w:r w:rsidR="00CD38B1">
        <w:rPr>
          <w:rFonts w:ascii="Arial" w:hAnsi="Arial" w:cs="Arial"/>
          <w:spacing w:val="4"/>
          <w:sz w:val="18"/>
          <w:szCs w:val="18"/>
        </w:rPr>
        <w:t>Mezi státy, které zaznamenaly nejvýraznější meziroční absolutní nárůst</w:t>
      </w:r>
      <w:r w:rsidR="00C20FA9">
        <w:rPr>
          <w:rFonts w:ascii="Arial" w:hAnsi="Arial" w:cs="Arial"/>
          <w:spacing w:val="4"/>
          <w:sz w:val="18"/>
          <w:szCs w:val="18"/>
        </w:rPr>
        <w:t>,</w:t>
      </w:r>
      <w:r w:rsidR="00CD38B1">
        <w:rPr>
          <w:rFonts w:ascii="Arial" w:hAnsi="Arial" w:cs="Arial"/>
          <w:spacing w:val="4"/>
          <w:sz w:val="18"/>
          <w:szCs w:val="18"/>
        </w:rPr>
        <w:t xml:space="preserve"> patřila Čína (o 9,4 mld. Kč), Ruská federace</w:t>
      </w:r>
      <w:r w:rsidR="00C20FA9">
        <w:rPr>
          <w:rFonts w:ascii="Arial" w:hAnsi="Arial" w:cs="Arial"/>
          <w:spacing w:val="4"/>
          <w:sz w:val="18"/>
          <w:szCs w:val="18"/>
        </w:rPr>
        <w:t xml:space="preserve"> (o 7</w:t>
      </w:r>
      <w:r w:rsidR="003015B9">
        <w:rPr>
          <w:rFonts w:ascii="Arial" w:hAnsi="Arial" w:cs="Arial"/>
          <w:spacing w:val="4"/>
          <w:sz w:val="18"/>
          <w:szCs w:val="18"/>
        </w:rPr>
        <w:t>,0</w:t>
      </w:r>
      <w:r w:rsidR="00C20FA9">
        <w:rPr>
          <w:rFonts w:ascii="Arial" w:hAnsi="Arial" w:cs="Arial"/>
          <w:spacing w:val="4"/>
          <w:sz w:val="18"/>
          <w:szCs w:val="18"/>
        </w:rPr>
        <w:t xml:space="preserve"> mld. Kč)</w:t>
      </w:r>
      <w:r w:rsidR="00CD38B1">
        <w:rPr>
          <w:rFonts w:ascii="Arial" w:hAnsi="Arial" w:cs="Arial"/>
          <w:spacing w:val="4"/>
          <w:sz w:val="18"/>
          <w:szCs w:val="18"/>
        </w:rPr>
        <w:t xml:space="preserve"> a Ukrajina</w:t>
      </w:r>
      <w:r w:rsidR="00C20FA9">
        <w:rPr>
          <w:rFonts w:ascii="Arial" w:hAnsi="Arial" w:cs="Arial"/>
          <w:spacing w:val="4"/>
          <w:sz w:val="18"/>
          <w:szCs w:val="18"/>
        </w:rPr>
        <w:t xml:space="preserve"> (o 6,2 mld. Kč)</w:t>
      </w:r>
      <w:r w:rsidR="00CD38B1">
        <w:rPr>
          <w:rFonts w:ascii="Arial" w:hAnsi="Arial" w:cs="Arial"/>
          <w:spacing w:val="4"/>
          <w:sz w:val="18"/>
          <w:szCs w:val="18"/>
        </w:rPr>
        <w:t xml:space="preserve">. </w:t>
      </w:r>
      <w:r w:rsidR="004122A0">
        <w:rPr>
          <w:rFonts w:ascii="Arial" w:hAnsi="Arial" w:cs="Arial"/>
          <w:spacing w:val="4"/>
          <w:sz w:val="18"/>
          <w:szCs w:val="18"/>
        </w:rPr>
        <w:t>Naopak v roce 2017 nastal pokles vývozu do Japonska (relativně o 20,2 %, absolutně o 4,6 mld. Kč).</w:t>
      </w:r>
    </w:p>
    <w:p w:rsidR="0005410E" w:rsidRDefault="004122A0" w:rsidP="00B51DA6">
      <w:pPr>
        <w:jc w:val="both"/>
        <w:rPr>
          <w:rFonts w:ascii="Arial" w:hAnsi="Arial" w:cs="Arial"/>
          <w:spacing w:val="4"/>
          <w:sz w:val="18"/>
          <w:szCs w:val="18"/>
        </w:rPr>
      </w:pPr>
      <w:r>
        <w:rPr>
          <w:rFonts w:ascii="Arial" w:hAnsi="Arial" w:cs="Arial"/>
          <w:spacing w:val="4"/>
          <w:sz w:val="18"/>
          <w:szCs w:val="18"/>
        </w:rPr>
        <w:t xml:space="preserve">Růst vývozu zboží z České republiky do Turecka v roce 2016 (o 6,2 mld. Kč) byl </w:t>
      </w:r>
      <w:r w:rsidR="00E832B1">
        <w:rPr>
          <w:rFonts w:ascii="Arial" w:hAnsi="Arial" w:cs="Arial"/>
          <w:spacing w:val="4"/>
          <w:sz w:val="18"/>
          <w:szCs w:val="18"/>
        </w:rPr>
        <w:t>následován</w:t>
      </w:r>
      <w:r>
        <w:rPr>
          <w:rFonts w:ascii="Arial" w:hAnsi="Arial" w:cs="Arial"/>
          <w:spacing w:val="4"/>
          <w:sz w:val="18"/>
          <w:szCs w:val="18"/>
        </w:rPr>
        <w:t xml:space="preserve"> poklesem v roce 2017 (o 0,2 mld. Kč).</w:t>
      </w:r>
    </w:p>
    <w:p w:rsidR="00D32637" w:rsidRPr="009E2714" w:rsidRDefault="00C77352" w:rsidP="00C77352">
      <w:pPr>
        <w:spacing w:after="80"/>
        <w:jc w:val="both"/>
        <w:rPr>
          <w:rFonts w:ascii="Arial" w:hAnsi="Arial" w:cs="Arial"/>
          <w:b/>
          <w:sz w:val="18"/>
          <w:szCs w:val="18"/>
        </w:rPr>
      </w:pPr>
      <w:r w:rsidRPr="009E2714">
        <w:rPr>
          <w:rFonts w:ascii="Arial" w:hAnsi="Arial" w:cs="Arial"/>
          <w:b/>
          <w:sz w:val="18"/>
          <w:szCs w:val="18"/>
        </w:rPr>
        <w:t xml:space="preserve">Graf </w:t>
      </w:r>
      <w:r w:rsidR="00FC7AE3" w:rsidRPr="009E2714">
        <w:rPr>
          <w:rFonts w:ascii="Arial" w:hAnsi="Arial" w:cs="Arial"/>
          <w:b/>
          <w:sz w:val="18"/>
          <w:szCs w:val="18"/>
        </w:rPr>
        <w:t>7</w:t>
      </w:r>
      <w:r w:rsidRPr="009E2714">
        <w:rPr>
          <w:rFonts w:ascii="Arial" w:hAnsi="Arial" w:cs="Arial"/>
          <w:b/>
          <w:sz w:val="18"/>
          <w:szCs w:val="18"/>
        </w:rPr>
        <w:t xml:space="preserve"> </w:t>
      </w:r>
      <w:r w:rsidR="00E267F8" w:rsidRPr="009E2714">
        <w:rPr>
          <w:rFonts w:ascii="Arial" w:hAnsi="Arial" w:cs="Arial"/>
          <w:b/>
          <w:sz w:val="18"/>
          <w:szCs w:val="18"/>
        </w:rPr>
        <w:t>-</w:t>
      </w:r>
      <w:r w:rsidRPr="009E2714">
        <w:rPr>
          <w:rFonts w:ascii="Arial" w:hAnsi="Arial" w:cs="Arial"/>
          <w:b/>
          <w:sz w:val="18"/>
          <w:szCs w:val="18"/>
        </w:rPr>
        <w:t xml:space="preserve"> </w:t>
      </w:r>
      <w:r w:rsidR="00E267F8" w:rsidRPr="009E2714">
        <w:rPr>
          <w:rFonts w:ascii="Arial" w:hAnsi="Arial" w:cs="Arial"/>
          <w:b/>
          <w:sz w:val="18"/>
          <w:szCs w:val="18"/>
        </w:rPr>
        <w:t>Zahraniční obchod se státy</w:t>
      </w:r>
      <w:r w:rsidRPr="009E2714">
        <w:rPr>
          <w:rFonts w:ascii="Arial" w:hAnsi="Arial" w:cs="Arial"/>
          <w:b/>
          <w:sz w:val="18"/>
          <w:szCs w:val="18"/>
        </w:rPr>
        <w:t xml:space="preserve"> EU v roce 201</w:t>
      </w:r>
      <w:r w:rsidR="009E2714" w:rsidRPr="009E2714">
        <w:rPr>
          <w:rFonts w:ascii="Arial" w:hAnsi="Arial" w:cs="Arial"/>
          <w:b/>
          <w:sz w:val="18"/>
          <w:szCs w:val="18"/>
        </w:rPr>
        <w:t>7</w:t>
      </w:r>
      <w:r w:rsidR="00AE096D" w:rsidRPr="009E2714">
        <w:rPr>
          <w:rFonts w:ascii="Arial" w:hAnsi="Arial" w:cs="Arial"/>
          <w:b/>
          <w:sz w:val="18"/>
          <w:szCs w:val="18"/>
        </w:rPr>
        <w:t xml:space="preserve"> (podíly v %)</w:t>
      </w:r>
    </w:p>
    <w:p w:rsidR="00EF5458" w:rsidRPr="009E2714" w:rsidRDefault="00EF5458" w:rsidP="00C9676F">
      <w:pPr>
        <w:spacing w:after="40"/>
        <w:jc w:val="both"/>
        <w:rPr>
          <w:rFonts w:ascii="Arial" w:hAnsi="Arial" w:cs="Arial"/>
          <w:b/>
          <w:sz w:val="18"/>
          <w:szCs w:val="18"/>
        </w:rPr>
      </w:pPr>
      <w:r w:rsidRPr="009E2714">
        <w:rPr>
          <w:rFonts w:ascii="Arial" w:hAnsi="Arial" w:cs="Arial"/>
          <w:b/>
          <w:sz w:val="18"/>
          <w:szCs w:val="18"/>
        </w:rPr>
        <w:tab/>
      </w:r>
      <w:r w:rsidRPr="009E2714">
        <w:rPr>
          <w:rFonts w:ascii="Arial" w:hAnsi="Arial" w:cs="Arial"/>
          <w:b/>
          <w:sz w:val="18"/>
          <w:szCs w:val="18"/>
        </w:rPr>
        <w:tab/>
      </w:r>
      <w:r w:rsidR="00D32637" w:rsidRPr="009E2714">
        <w:rPr>
          <w:rFonts w:ascii="Arial" w:hAnsi="Arial" w:cs="Arial"/>
          <w:b/>
          <w:sz w:val="18"/>
          <w:szCs w:val="18"/>
        </w:rPr>
        <w:tab/>
        <w:t xml:space="preserve">     </w:t>
      </w:r>
      <w:r w:rsidR="009E2714">
        <w:rPr>
          <w:rFonts w:ascii="Arial" w:hAnsi="Arial" w:cs="Arial"/>
          <w:b/>
          <w:sz w:val="18"/>
          <w:szCs w:val="18"/>
        </w:rPr>
        <w:t xml:space="preserve">  </w:t>
      </w:r>
      <w:r w:rsidR="002A4E60" w:rsidRPr="009E2714">
        <w:rPr>
          <w:rFonts w:ascii="Arial" w:hAnsi="Arial" w:cs="Arial"/>
          <w:b/>
          <w:sz w:val="18"/>
          <w:szCs w:val="18"/>
        </w:rPr>
        <w:t xml:space="preserve">  </w:t>
      </w:r>
      <w:r w:rsidR="00E03C95" w:rsidRPr="009E2714">
        <w:rPr>
          <w:rFonts w:ascii="Arial" w:hAnsi="Arial" w:cs="Arial"/>
          <w:sz w:val="18"/>
          <w:szCs w:val="18"/>
        </w:rPr>
        <w:t>v</w:t>
      </w:r>
      <w:r w:rsidRPr="009E2714">
        <w:rPr>
          <w:rFonts w:ascii="Arial" w:hAnsi="Arial" w:cs="Arial"/>
          <w:sz w:val="18"/>
          <w:szCs w:val="18"/>
        </w:rPr>
        <w:t>ývoz</w:t>
      </w:r>
      <w:r w:rsidRPr="009E2714">
        <w:rPr>
          <w:rFonts w:ascii="Arial" w:hAnsi="Arial" w:cs="Arial"/>
          <w:sz w:val="18"/>
          <w:szCs w:val="18"/>
        </w:rPr>
        <w:tab/>
      </w:r>
      <w:r w:rsidRPr="009E2714">
        <w:rPr>
          <w:rFonts w:ascii="Arial" w:hAnsi="Arial" w:cs="Arial"/>
          <w:sz w:val="18"/>
          <w:szCs w:val="18"/>
        </w:rPr>
        <w:tab/>
      </w:r>
      <w:r w:rsidRPr="009E2714">
        <w:rPr>
          <w:rFonts w:ascii="Arial" w:hAnsi="Arial" w:cs="Arial"/>
          <w:b/>
          <w:sz w:val="18"/>
          <w:szCs w:val="18"/>
        </w:rPr>
        <w:tab/>
      </w:r>
      <w:r w:rsidRPr="009E2714">
        <w:rPr>
          <w:rFonts w:ascii="Arial" w:hAnsi="Arial" w:cs="Arial"/>
          <w:b/>
          <w:sz w:val="18"/>
          <w:szCs w:val="18"/>
        </w:rPr>
        <w:tab/>
      </w:r>
      <w:r w:rsidRPr="009E2714">
        <w:rPr>
          <w:rFonts w:ascii="Arial" w:hAnsi="Arial" w:cs="Arial"/>
          <w:b/>
          <w:sz w:val="18"/>
          <w:szCs w:val="18"/>
        </w:rPr>
        <w:tab/>
      </w:r>
      <w:r w:rsidRPr="009E2714">
        <w:rPr>
          <w:rFonts w:ascii="Arial" w:hAnsi="Arial" w:cs="Arial"/>
          <w:b/>
          <w:sz w:val="18"/>
          <w:szCs w:val="18"/>
        </w:rPr>
        <w:tab/>
      </w:r>
      <w:r w:rsidR="00D32637" w:rsidRPr="009E2714">
        <w:rPr>
          <w:rFonts w:ascii="Arial" w:hAnsi="Arial" w:cs="Arial"/>
          <w:b/>
          <w:sz w:val="18"/>
          <w:szCs w:val="18"/>
        </w:rPr>
        <w:t xml:space="preserve">   </w:t>
      </w:r>
      <w:r w:rsidR="009E2714">
        <w:rPr>
          <w:rFonts w:ascii="Arial" w:hAnsi="Arial" w:cs="Arial"/>
          <w:b/>
          <w:sz w:val="18"/>
          <w:szCs w:val="18"/>
        </w:rPr>
        <w:t xml:space="preserve"> </w:t>
      </w:r>
      <w:r w:rsidR="00D32637" w:rsidRPr="009E2714">
        <w:rPr>
          <w:rFonts w:ascii="Arial" w:hAnsi="Arial" w:cs="Arial"/>
          <w:b/>
          <w:sz w:val="18"/>
          <w:szCs w:val="18"/>
        </w:rPr>
        <w:t xml:space="preserve"> </w:t>
      </w:r>
      <w:r w:rsidR="002A4E60" w:rsidRPr="009E2714">
        <w:rPr>
          <w:rFonts w:ascii="Arial" w:hAnsi="Arial" w:cs="Arial"/>
          <w:b/>
          <w:sz w:val="18"/>
          <w:szCs w:val="18"/>
        </w:rPr>
        <w:t xml:space="preserve"> </w:t>
      </w:r>
      <w:r w:rsidR="00D32637" w:rsidRPr="009E2714">
        <w:rPr>
          <w:rFonts w:ascii="Arial" w:hAnsi="Arial" w:cs="Arial"/>
          <w:b/>
          <w:sz w:val="18"/>
          <w:szCs w:val="18"/>
        </w:rPr>
        <w:t xml:space="preserve">   </w:t>
      </w:r>
      <w:r w:rsidRPr="009E2714">
        <w:rPr>
          <w:rFonts w:ascii="Arial" w:hAnsi="Arial" w:cs="Arial"/>
          <w:sz w:val="18"/>
          <w:szCs w:val="18"/>
        </w:rPr>
        <w:t>dovoz</w:t>
      </w:r>
    </w:p>
    <w:p w:rsidR="007E725F" w:rsidRPr="00856E93" w:rsidRDefault="006D6E69" w:rsidP="00B51DA6">
      <w:pPr>
        <w:spacing w:after="0"/>
        <w:jc w:val="both"/>
        <w:rPr>
          <w:rFonts w:ascii="Arial" w:hAnsi="Arial" w:cs="Arial"/>
          <w:color w:val="FF0000"/>
          <w:sz w:val="18"/>
          <w:szCs w:val="18"/>
        </w:rPr>
      </w:pPr>
      <w:r w:rsidRPr="00856E93">
        <w:rPr>
          <w:rFonts w:ascii="Arial" w:hAnsi="Arial" w:cs="Arial"/>
          <w:color w:val="FF0000"/>
          <w:sz w:val="18"/>
          <w:szCs w:val="18"/>
        </w:rPr>
        <w:t xml:space="preserve"> </w:t>
      </w:r>
      <w:r w:rsidR="0012752A">
        <w:rPr>
          <w:rFonts w:ascii="Arial" w:hAnsi="Arial" w:cs="Arial"/>
          <w:color w:val="FF0000"/>
          <w:sz w:val="18"/>
          <w:szCs w:val="18"/>
        </w:rPr>
        <w:pict>
          <v:shape id="_x0000_i1031" type="#_x0000_t75" style="width:235.5pt;height:195.75pt">
            <v:imagedata r:id="rId17" o:title=""/>
          </v:shape>
        </w:pict>
      </w:r>
      <w:r w:rsidR="00943987">
        <w:rPr>
          <w:rFonts w:ascii="Arial" w:hAnsi="Arial" w:cs="Arial"/>
          <w:color w:val="FF0000"/>
          <w:sz w:val="18"/>
          <w:szCs w:val="18"/>
        </w:rPr>
        <w:t xml:space="preserve">   </w:t>
      </w:r>
      <w:r w:rsidR="0012752A">
        <w:rPr>
          <w:rFonts w:ascii="Arial" w:hAnsi="Arial" w:cs="Arial"/>
          <w:color w:val="FF0000"/>
          <w:sz w:val="18"/>
          <w:szCs w:val="18"/>
        </w:rPr>
        <w:pict>
          <v:shape id="_x0000_i1032" type="#_x0000_t75" style="width:235.5pt;height:195.75pt">
            <v:imagedata r:id="rId18" o:title=""/>
          </v:shape>
        </w:pict>
      </w:r>
      <w:r w:rsidRPr="00856E93">
        <w:rPr>
          <w:rFonts w:ascii="Arial" w:hAnsi="Arial" w:cs="Arial"/>
          <w:color w:val="FF0000"/>
          <w:sz w:val="18"/>
          <w:szCs w:val="18"/>
        </w:rPr>
        <w:t xml:space="preserve">  </w:t>
      </w:r>
    </w:p>
    <w:p w:rsidR="00F93CC4" w:rsidRPr="004E7969" w:rsidRDefault="00D84CF3" w:rsidP="009D38DD">
      <w:pPr>
        <w:spacing w:before="200"/>
        <w:jc w:val="both"/>
        <w:rPr>
          <w:rFonts w:ascii="Arial" w:hAnsi="Arial" w:cs="Arial"/>
          <w:sz w:val="18"/>
          <w:szCs w:val="18"/>
        </w:rPr>
      </w:pPr>
      <w:r>
        <w:rPr>
          <w:rFonts w:ascii="Arial" w:hAnsi="Arial" w:cs="Arial"/>
          <w:b/>
          <w:sz w:val="18"/>
          <w:szCs w:val="18"/>
        </w:rPr>
        <w:lastRenderedPageBreak/>
        <w:t>D</w:t>
      </w:r>
      <w:r w:rsidR="00F93CC4" w:rsidRPr="00167048">
        <w:rPr>
          <w:rFonts w:ascii="Arial" w:hAnsi="Arial" w:cs="Arial"/>
          <w:b/>
          <w:sz w:val="18"/>
          <w:szCs w:val="18"/>
        </w:rPr>
        <w:t xml:space="preserve">ovoz </w:t>
      </w:r>
      <w:r w:rsidR="00ED4166" w:rsidRPr="00167048">
        <w:rPr>
          <w:rFonts w:ascii="Arial" w:hAnsi="Arial" w:cs="Arial"/>
          <w:sz w:val="18"/>
          <w:szCs w:val="18"/>
        </w:rPr>
        <w:t xml:space="preserve">zboží </w:t>
      </w:r>
      <w:r w:rsidR="00F93CC4" w:rsidRPr="00167048">
        <w:rPr>
          <w:rFonts w:ascii="Arial" w:hAnsi="Arial" w:cs="Arial"/>
          <w:sz w:val="18"/>
          <w:szCs w:val="18"/>
        </w:rPr>
        <w:t xml:space="preserve">ze </w:t>
      </w:r>
      <w:r w:rsidR="00F93CC4" w:rsidRPr="00167048">
        <w:rPr>
          <w:rFonts w:ascii="Arial" w:hAnsi="Arial" w:cs="Arial"/>
          <w:b/>
          <w:sz w:val="18"/>
          <w:szCs w:val="18"/>
        </w:rPr>
        <w:t xml:space="preserve">států EU </w:t>
      </w:r>
      <w:r w:rsidR="00F93CC4" w:rsidRPr="00B16257">
        <w:rPr>
          <w:rFonts w:ascii="Arial" w:hAnsi="Arial" w:cs="Arial"/>
          <w:sz w:val="18"/>
          <w:szCs w:val="18"/>
        </w:rPr>
        <w:t xml:space="preserve">meziročně vzrostl o </w:t>
      </w:r>
      <w:r w:rsidR="00B16257" w:rsidRPr="00C20FA9">
        <w:rPr>
          <w:rFonts w:ascii="Arial" w:hAnsi="Arial" w:cs="Arial"/>
          <w:sz w:val="18"/>
          <w:szCs w:val="18"/>
        </w:rPr>
        <w:t>6,8</w:t>
      </w:r>
      <w:r w:rsidR="00F93CC4" w:rsidRPr="00C20FA9">
        <w:rPr>
          <w:rFonts w:ascii="Arial" w:hAnsi="Arial" w:cs="Arial"/>
          <w:sz w:val="18"/>
          <w:szCs w:val="18"/>
        </w:rPr>
        <w:t xml:space="preserve"> % (</w:t>
      </w:r>
      <w:r w:rsidR="00C20FA9" w:rsidRPr="00C20FA9">
        <w:rPr>
          <w:rFonts w:ascii="Arial" w:hAnsi="Arial" w:cs="Arial"/>
          <w:sz w:val="18"/>
          <w:szCs w:val="18"/>
        </w:rPr>
        <w:t>158,8</w:t>
      </w:r>
      <w:r w:rsidR="00F93CC4" w:rsidRPr="00C20FA9">
        <w:rPr>
          <w:rFonts w:ascii="Arial" w:hAnsi="Arial" w:cs="Arial"/>
          <w:sz w:val="18"/>
          <w:szCs w:val="18"/>
        </w:rPr>
        <w:t xml:space="preserve"> mld. Kč) a </w:t>
      </w:r>
      <w:r>
        <w:rPr>
          <w:rFonts w:ascii="Arial" w:hAnsi="Arial" w:cs="Arial"/>
          <w:sz w:val="18"/>
          <w:szCs w:val="18"/>
        </w:rPr>
        <w:t xml:space="preserve">v roce 2017 </w:t>
      </w:r>
      <w:r w:rsidR="00F93CC4" w:rsidRPr="00C20FA9">
        <w:rPr>
          <w:rFonts w:ascii="Arial" w:hAnsi="Arial" w:cs="Arial"/>
          <w:sz w:val="18"/>
          <w:szCs w:val="18"/>
        </w:rPr>
        <w:t>činil 2</w:t>
      </w:r>
      <w:r w:rsidR="00C20FA9" w:rsidRPr="00C20FA9">
        <w:rPr>
          <w:rFonts w:ascii="Arial" w:hAnsi="Arial" w:cs="Arial"/>
          <w:sz w:val="18"/>
          <w:szCs w:val="18"/>
        </w:rPr>
        <w:t> 503,8</w:t>
      </w:r>
      <w:r w:rsidR="00F93CC4" w:rsidRPr="00C20FA9">
        <w:rPr>
          <w:rFonts w:ascii="Arial" w:hAnsi="Arial" w:cs="Arial"/>
          <w:sz w:val="18"/>
          <w:szCs w:val="18"/>
        </w:rPr>
        <w:t xml:space="preserve"> mld. Kč.</w:t>
      </w:r>
      <w:r w:rsidR="00F93CC4" w:rsidRPr="00856E93">
        <w:rPr>
          <w:rFonts w:ascii="Arial" w:hAnsi="Arial" w:cs="Arial"/>
          <w:color w:val="FF0000"/>
          <w:sz w:val="18"/>
          <w:szCs w:val="18"/>
        </w:rPr>
        <w:t xml:space="preserve"> </w:t>
      </w:r>
      <w:r w:rsidR="001A46F0" w:rsidRPr="00B16257">
        <w:rPr>
          <w:rFonts w:ascii="Arial" w:hAnsi="Arial" w:cs="Arial"/>
          <w:sz w:val="18"/>
          <w:szCs w:val="18"/>
        </w:rPr>
        <w:t>Zatímco</w:t>
      </w:r>
      <w:r w:rsidR="00F93CC4" w:rsidRPr="00B16257">
        <w:rPr>
          <w:rFonts w:ascii="Arial" w:hAnsi="Arial" w:cs="Arial"/>
          <w:sz w:val="18"/>
          <w:szCs w:val="18"/>
        </w:rPr>
        <w:t xml:space="preserve"> dovoz ze států </w:t>
      </w:r>
      <w:r w:rsidR="00F93CC4" w:rsidRPr="0043058B">
        <w:rPr>
          <w:rFonts w:ascii="Arial" w:hAnsi="Arial" w:cs="Arial"/>
          <w:sz w:val="18"/>
          <w:szCs w:val="18"/>
        </w:rPr>
        <w:t>mimo EU</w:t>
      </w:r>
      <w:r w:rsidR="00F93CC4" w:rsidRPr="00B16257">
        <w:rPr>
          <w:rFonts w:ascii="Arial" w:hAnsi="Arial" w:cs="Arial"/>
          <w:sz w:val="18"/>
          <w:szCs w:val="18"/>
        </w:rPr>
        <w:t xml:space="preserve"> v roce </w:t>
      </w:r>
      <w:r w:rsidR="00F93CC4" w:rsidRPr="00C20FA9">
        <w:rPr>
          <w:rFonts w:ascii="Arial" w:hAnsi="Arial" w:cs="Arial"/>
          <w:sz w:val="18"/>
          <w:szCs w:val="18"/>
        </w:rPr>
        <w:t>201</w:t>
      </w:r>
      <w:r w:rsidR="00B16257" w:rsidRPr="00C20FA9">
        <w:rPr>
          <w:rFonts w:ascii="Arial" w:hAnsi="Arial" w:cs="Arial"/>
          <w:sz w:val="18"/>
          <w:szCs w:val="18"/>
        </w:rPr>
        <w:t>6 klesl o 4,3 % (50,2 mld. Kč)</w:t>
      </w:r>
      <w:r w:rsidR="00F93CC4" w:rsidRPr="00C20FA9">
        <w:rPr>
          <w:rFonts w:ascii="Arial" w:hAnsi="Arial" w:cs="Arial"/>
          <w:sz w:val="18"/>
          <w:szCs w:val="18"/>
        </w:rPr>
        <w:t xml:space="preserve">, </w:t>
      </w:r>
      <w:r w:rsidR="00ED4166" w:rsidRPr="00C20FA9">
        <w:rPr>
          <w:rFonts w:ascii="Arial" w:hAnsi="Arial" w:cs="Arial"/>
          <w:sz w:val="18"/>
          <w:szCs w:val="18"/>
        </w:rPr>
        <w:t>tak</w:t>
      </w:r>
      <w:r w:rsidR="00F93CC4" w:rsidRPr="00C20FA9">
        <w:rPr>
          <w:rFonts w:ascii="Arial" w:hAnsi="Arial" w:cs="Arial"/>
          <w:sz w:val="18"/>
          <w:szCs w:val="18"/>
        </w:rPr>
        <w:t xml:space="preserve"> v roce 201</w:t>
      </w:r>
      <w:r w:rsidR="00B16257" w:rsidRPr="00C20FA9">
        <w:rPr>
          <w:rFonts w:ascii="Arial" w:hAnsi="Arial" w:cs="Arial"/>
          <w:sz w:val="18"/>
          <w:szCs w:val="18"/>
        </w:rPr>
        <w:t>7</w:t>
      </w:r>
      <w:r w:rsidR="00F93CC4" w:rsidRPr="00C20FA9">
        <w:rPr>
          <w:rFonts w:ascii="Arial" w:hAnsi="Arial" w:cs="Arial"/>
          <w:sz w:val="18"/>
          <w:szCs w:val="18"/>
        </w:rPr>
        <w:t xml:space="preserve"> naopak zaznamenal </w:t>
      </w:r>
      <w:r w:rsidR="00B16257" w:rsidRPr="004E7969">
        <w:rPr>
          <w:rFonts w:ascii="Arial" w:hAnsi="Arial" w:cs="Arial"/>
          <w:sz w:val="18"/>
          <w:szCs w:val="18"/>
        </w:rPr>
        <w:t>nárůst</w:t>
      </w:r>
      <w:r w:rsidR="00F93CC4" w:rsidRPr="004E7969">
        <w:rPr>
          <w:rFonts w:ascii="Arial" w:hAnsi="Arial" w:cs="Arial"/>
          <w:sz w:val="18"/>
          <w:szCs w:val="18"/>
        </w:rPr>
        <w:t xml:space="preserve"> o </w:t>
      </w:r>
      <w:r w:rsidR="00B16257" w:rsidRPr="004E7969">
        <w:rPr>
          <w:rFonts w:ascii="Arial" w:hAnsi="Arial" w:cs="Arial"/>
          <w:sz w:val="18"/>
          <w:szCs w:val="18"/>
        </w:rPr>
        <w:t>13,2</w:t>
      </w:r>
      <w:r w:rsidR="00F93CC4" w:rsidRPr="004E7969">
        <w:rPr>
          <w:rFonts w:ascii="Arial" w:hAnsi="Arial" w:cs="Arial"/>
          <w:sz w:val="18"/>
          <w:szCs w:val="18"/>
        </w:rPr>
        <w:t xml:space="preserve"> %</w:t>
      </w:r>
      <w:r w:rsidR="00F93CC4" w:rsidRPr="00856E93">
        <w:rPr>
          <w:rFonts w:ascii="Arial" w:hAnsi="Arial" w:cs="Arial"/>
          <w:color w:val="FF0000"/>
          <w:sz w:val="18"/>
          <w:szCs w:val="18"/>
        </w:rPr>
        <w:t xml:space="preserve"> </w:t>
      </w:r>
      <w:r w:rsidR="00F93CC4" w:rsidRPr="004E7969">
        <w:rPr>
          <w:rFonts w:ascii="Arial" w:hAnsi="Arial" w:cs="Arial"/>
          <w:sz w:val="18"/>
          <w:szCs w:val="18"/>
        </w:rPr>
        <w:t>(</w:t>
      </w:r>
      <w:r w:rsidR="004E7969" w:rsidRPr="004E7969">
        <w:rPr>
          <w:rFonts w:ascii="Arial" w:hAnsi="Arial" w:cs="Arial"/>
          <w:sz w:val="18"/>
          <w:szCs w:val="18"/>
        </w:rPr>
        <w:t>149,2</w:t>
      </w:r>
      <w:r w:rsidR="00F93CC4" w:rsidRPr="004E7969">
        <w:rPr>
          <w:rFonts w:ascii="Arial" w:hAnsi="Arial" w:cs="Arial"/>
          <w:sz w:val="18"/>
          <w:szCs w:val="18"/>
        </w:rPr>
        <w:t> mld. Kč)</w:t>
      </w:r>
      <w:r w:rsidR="00B16257" w:rsidRPr="004E7969">
        <w:rPr>
          <w:rFonts w:ascii="Arial" w:hAnsi="Arial" w:cs="Arial"/>
          <w:sz w:val="18"/>
          <w:szCs w:val="18"/>
        </w:rPr>
        <w:t xml:space="preserve"> na 1 275,6 mld. Kč</w:t>
      </w:r>
      <w:r w:rsidR="00F93CC4" w:rsidRPr="004E7969">
        <w:rPr>
          <w:rFonts w:ascii="Arial" w:hAnsi="Arial" w:cs="Arial"/>
          <w:sz w:val="18"/>
          <w:szCs w:val="18"/>
        </w:rPr>
        <w:t>.</w:t>
      </w:r>
    </w:p>
    <w:p w:rsidR="00AF499C" w:rsidRPr="00AF72C0" w:rsidRDefault="00AF499C" w:rsidP="00AF72C0">
      <w:pPr>
        <w:spacing w:before="120" w:after="80"/>
        <w:jc w:val="both"/>
        <w:rPr>
          <w:rFonts w:ascii="Arial" w:hAnsi="Arial" w:cs="Arial"/>
          <w:b/>
          <w:sz w:val="18"/>
          <w:szCs w:val="18"/>
        </w:rPr>
      </w:pPr>
      <w:r w:rsidRPr="00AF72C0">
        <w:rPr>
          <w:rFonts w:ascii="Arial" w:hAnsi="Arial" w:cs="Arial"/>
          <w:b/>
          <w:sz w:val="18"/>
          <w:szCs w:val="18"/>
        </w:rPr>
        <w:t>Graf 8 - Zahraniční obchod se státy EU a se státy mimo EU (v mld. Kč)</w:t>
      </w:r>
    </w:p>
    <w:p w:rsidR="00AF499C" w:rsidRDefault="00AF499C" w:rsidP="00C925C9">
      <w:pPr>
        <w:spacing w:after="80"/>
        <w:ind w:left="1416" w:firstLine="708"/>
        <w:jc w:val="both"/>
        <w:rPr>
          <w:rFonts w:ascii="Arial" w:hAnsi="Arial" w:cs="Arial"/>
          <w:sz w:val="18"/>
          <w:szCs w:val="18"/>
        </w:rPr>
      </w:pPr>
      <w:r w:rsidRPr="00AF72C0">
        <w:rPr>
          <w:rFonts w:ascii="Arial" w:hAnsi="Arial" w:cs="Arial"/>
          <w:sz w:val="18"/>
          <w:szCs w:val="18"/>
        </w:rPr>
        <w:t xml:space="preserve">     </w:t>
      </w:r>
      <w:r w:rsidR="004C15FC">
        <w:rPr>
          <w:rFonts w:ascii="Arial" w:hAnsi="Arial" w:cs="Arial"/>
          <w:sz w:val="18"/>
          <w:szCs w:val="18"/>
        </w:rPr>
        <w:t xml:space="preserve"> </w:t>
      </w:r>
      <w:r w:rsidRPr="00AF72C0">
        <w:rPr>
          <w:rFonts w:ascii="Arial" w:hAnsi="Arial" w:cs="Arial"/>
          <w:sz w:val="18"/>
          <w:szCs w:val="18"/>
        </w:rPr>
        <w:t xml:space="preserve"> vývoz</w:t>
      </w:r>
      <w:r w:rsidRPr="00AF72C0">
        <w:rPr>
          <w:rFonts w:ascii="Arial" w:hAnsi="Arial" w:cs="Arial"/>
          <w:sz w:val="18"/>
          <w:szCs w:val="18"/>
        </w:rPr>
        <w:tab/>
      </w:r>
      <w:r w:rsidRPr="00AF72C0">
        <w:rPr>
          <w:rFonts w:ascii="Arial" w:hAnsi="Arial" w:cs="Arial"/>
          <w:sz w:val="18"/>
          <w:szCs w:val="18"/>
        </w:rPr>
        <w:tab/>
      </w:r>
      <w:r w:rsidRPr="00AF72C0">
        <w:rPr>
          <w:rFonts w:ascii="Arial" w:hAnsi="Arial" w:cs="Arial"/>
          <w:sz w:val="18"/>
          <w:szCs w:val="18"/>
        </w:rPr>
        <w:tab/>
      </w:r>
      <w:r w:rsidRPr="00AF72C0">
        <w:rPr>
          <w:rFonts w:ascii="Arial" w:hAnsi="Arial" w:cs="Arial"/>
          <w:sz w:val="18"/>
          <w:szCs w:val="18"/>
        </w:rPr>
        <w:tab/>
      </w:r>
      <w:r w:rsidRPr="00AF72C0">
        <w:rPr>
          <w:rFonts w:ascii="Arial" w:hAnsi="Arial" w:cs="Arial"/>
          <w:sz w:val="18"/>
          <w:szCs w:val="18"/>
        </w:rPr>
        <w:tab/>
      </w:r>
      <w:r w:rsidRPr="00AF72C0">
        <w:rPr>
          <w:rFonts w:ascii="Arial" w:hAnsi="Arial" w:cs="Arial"/>
          <w:sz w:val="18"/>
          <w:szCs w:val="18"/>
        </w:rPr>
        <w:tab/>
      </w:r>
      <w:r w:rsidR="004C15FC">
        <w:rPr>
          <w:rFonts w:ascii="Arial" w:hAnsi="Arial" w:cs="Arial"/>
          <w:sz w:val="18"/>
          <w:szCs w:val="18"/>
        </w:rPr>
        <w:t xml:space="preserve"> </w:t>
      </w:r>
      <w:r w:rsidRPr="00AF72C0">
        <w:rPr>
          <w:rFonts w:ascii="Arial" w:hAnsi="Arial" w:cs="Arial"/>
          <w:sz w:val="18"/>
          <w:szCs w:val="18"/>
        </w:rPr>
        <w:t>dovoz</w:t>
      </w:r>
    </w:p>
    <w:p w:rsidR="00AF499C" w:rsidRPr="00856E93" w:rsidRDefault="0012752A" w:rsidP="006206A9">
      <w:pPr>
        <w:spacing w:after="0"/>
        <w:jc w:val="both"/>
        <w:rPr>
          <w:rFonts w:ascii="Arial" w:hAnsi="Arial" w:cs="Arial"/>
          <w:color w:val="FF0000"/>
          <w:sz w:val="18"/>
          <w:szCs w:val="18"/>
        </w:rPr>
      </w:pPr>
      <w:r>
        <w:rPr>
          <w:rFonts w:ascii="Arial" w:hAnsi="Arial" w:cs="Arial"/>
          <w:color w:val="FF0000"/>
          <w:sz w:val="18"/>
          <w:szCs w:val="18"/>
        </w:rPr>
        <w:pict>
          <v:shape id="_x0000_i1033" type="#_x0000_t75" style="width:251.25pt;height:180.75pt">
            <v:imagedata r:id="rId19" o:title=""/>
          </v:shape>
        </w:pict>
      </w:r>
      <w:r w:rsidR="004C15FC">
        <w:rPr>
          <w:rFonts w:ascii="Arial" w:hAnsi="Arial" w:cs="Arial"/>
          <w:color w:val="FF0000"/>
          <w:sz w:val="18"/>
          <w:szCs w:val="18"/>
        </w:rPr>
        <w:t xml:space="preserve">    </w:t>
      </w:r>
      <w:r>
        <w:rPr>
          <w:rFonts w:ascii="Arial" w:hAnsi="Arial" w:cs="Arial"/>
          <w:color w:val="FF0000"/>
          <w:sz w:val="18"/>
          <w:szCs w:val="18"/>
        </w:rPr>
        <w:pict>
          <v:shape id="_x0000_i1034" type="#_x0000_t75" style="width:219.75pt;height:180.75pt">
            <v:imagedata r:id="rId20" o:title=""/>
          </v:shape>
        </w:pict>
      </w:r>
      <w:r w:rsidR="00AF72C0">
        <w:rPr>
          <w:rFonts w:ascii="Arial" w:hAnsi="Arial" w:cs="Arial"/>
          <w:color w:val="FF0000"/>
          <w:sz w:val="18"/>
          <w:szCs w:val="18"/>
        </w:rPr>
        <w:t xml:space="preserve">      </w:t>
      </w:r>
    </w:p>
    <w:p w:rsidR="00C77352" w:rsidRPr="00856E93" w:rsidRDefault="00BA352B" w:rsidP="00EF5458">
      <w:pPr>
        <w:spacing w:after="0"/>
        <w:jc w:val="both"/>
        <w:rPr>
          <w:rFonts w:ascii="Arial" w:hAnsi="Arial" w:cs="Arial"/>
          <w:color w:val="FF0000"/>
          <w:sz w:val="18"/>
          <w:szCs w:val="18"/>
        </w:rPr>
      </w:pPr>
      <w:r w:rsidRPr="00856E93">
        <w:rPr>
          <w:rFonts w:ascii="Arial" w:hAnsi="Arial" w:cs="Arial"/>
          <w:color w:val="FF0000"/>
          <w:sz w:val="18"/>
          <w:szCs w:val="18"/>
        </w:rPr>
        <w:t xml:space="preserve">   </w:t>
      </w:r>
      <w:r w:rsidR="00FC7AE3" w:rsidRPr="00856E93">
        <w:rPr>
          <w:rFonts w:ascii="Arial" w:hAnsi="Arial" w:cs="Arial"/>
          <w:color w:val="FF0000"/>
          <w:sz w:val="18"/>
          <w:szCs w:val="18"/>
        </w:rPr>
        <w:t xml:space="preserve">    </w:t>
      </w:r>
    </w:p>
    <w:p w:rsidR="005A0709" w:rsidRPr="0043058B" w:rsidRDefault="005A0709" w:rsidP="005A0709">
      <w:pPr>
        <w:spacing w:after="160"/>
        <w:jc w:val="both"/>
        <w:rPr>
          <w:rFonts w:ascii="Arial" w:hAnsi="Arial" w:cs="Arial"/>
          <w:sz w:val="18"/>
          <w:szCs w:val="18"/>
        </w:rPr>
      </w:pPr>
      <w:r w:rsidRPr="0043058B">
        <w:rPr>
          <w:rFonts w:ascii="Arial" w:hAnsi="Arial" w:cs="Arial"/>
          <w:sz w:val="18"/>
          <w:szCs w:val="18"/>
        </w:rPr>
        <w:t>V roce</w:t>
      </w:r>
      <w:r>
        <w:rPr>
          <w:rFonts w:ascii="Arial" w:hAnsi="Arial" w:cs="Arial"/>
          <w:sz w:val="18"/>
          <w:szCs w:val="18"/>
        </w:rPr>
        <w:t xml:space="preserve"> 2017 rostl dovoz </w:t>
      </w:r>
      <w:r w:rsidR="006206A9">
        <w:rPr>
          <w:rFonts w:ascii="Arial" w:hAnsi="Arial" w:cs="Arial"/>
          <w:sz w:val="18"/>
          <w:szCs w:val="18"/>
        </w:rPr>
        <w:t xml:space="preserve">zboží </w:t>
      </w:r>
      <w:r>
        <w:rPr>
          <w:rFonts w:ascii="Arial" w:hAnsi="Arial" w:cs="Arial"/>
          <w:sz w:val="18"/>
          <w:szCs w:val="18"/>
        </w:rPr>
        <w:t>České republiky ze všech států Evropské unie s výjimkou Malty, Kypru a Lucemburska</w:t>
      </w:r>
      <w:r w:rsidR="006206A9">
        <w:rPr>
          <w:rFonts w:ascii="Arial" w:hAnsi="Arial" w:cs="Arial"/>
          <w:sz w:val="18"/>
          <w:szCs w:val="18"/>
        </w:rPr>
        <w:t>.</w:t>
      </w:r>
      <w:r>
        <w:rPr>
          <w:rFonts w:ascii="Arial" w:hAnsi="Arial" w:cs="Arial"/>
          <w:sz w:val="18"/>
          <w:szCs w:val="18"/>
        </w:rPr>
        <w:t xml:space="preserve"> </w:t>
      </w:r>
      <w:r w:rsidRPr="0043058B">
        <w:rPr>
          <w:rFonts w:ascii="Arial" w:hAnsi="Arial" w:cs="Arial"/>
          <w:sz w:val="18"/>
          <w:szCs w:val="18"/>
        </w:rPr>
        <w:t xml:space="preserve">Na navýšení celkové roční hodnoty </w:t>
      </w:r>
      <w:r w:rsidRPr="0043058B">
        <w:rPr>
          <w:rFonts w:ascii="Arial" w:hAnsi="Arial" w:cs="Arial"/>
          <w:b/>
          <w:sz w:val="18"/>
          <w:szCs w:val="18"/>
        </w:rPr>
        <w:t>dovozu ze států Evropské unie</w:t>
      </w:r>
      <w:r w:rsidRPr="0043058B">
        <w:rPr>
          <w:rFonts w:ascii="Arial" w:hAnsi="Arial" w:cs="Arial"/>
          <w:sz w:val="18"/>
          <w:szCs w:val="18"/>
        </w:rPr>
        <w:t xml:space="preserve"> kladně působil především růst dovozu z Německa (o 57,4 mld. Kč), Rakouska (o 18,3 mld. Kč), Irska (o 10,3 mld</w:t>
      </w:r>
      <w:r w:rsidR="009D38DD">
        <w:rPr>
          <w:rFonts w:ascii="Arial" w:hAnsi="Arial" w:cs="Arial"/>
          <w:sz w:val="18"/>
          <w:szCs w:val="18"/>
        </w:rPr>
        <w:t>. Kč), Itálie (o 9,4 mld. Kč)</w:t>
      </w:r>
      <w:r w:rsidR="006206A9">
        <w:rPr>
          <w:rFonts w:ascii="Arial" w:hAnsi="Arial" w:cs="Arial"/>
          <w:sz w:val="18"/>
          <w:szCs w:val="18"/>
        </w:rPr>
        <w:t>,</w:t>
      </w:r>
      <w:r w:rsidR="009D38DD">
        <w:rPr>
          <w:rFonts w:ascii="Arial" w:hAnsi="Arial" w:cs="Arial"/>
          <w:sz w:val="18"/>
          <w:szCs w:val="18"/>
        </w:rPr>
        <w:t> </w:t>
      </w:r>
      <w:r w:rsidRPr="0043058B">
        <w:rPr>
          <w:rFonts w:ascii="Arial" w:hAnsi="Arial" w:cs="Arial"/>
          <w:sz w:val="18"/>
          <w:szCs w:val="18"/>
        </w:rPr>
        <w:t xml:space="preserve">Maďarska </w:t>
      </w:r>
      <w:r>
        <w:rPr>
          <w:rFonts w:ascii="Arial" w:hAnsi="Arial" w:cs="Arial"/>
          <w:sz w:val="18"/>
          <w:szCs w:val="18"/>
        </w:rPr>
        <w:t>(o 8,7 </w:t>
      </w:r>
      <w:r w:rsidRPr="0043058B">
        <w:rPr>
          <w:rFonts w:ascii="Arial" w:hAnsi="Arial" w:cs="Arial"/>
          <w:sz w:val="18"/>
          <w:szCs w:val="18"/>
        </w:rPr>
        <w:t>mld. Kč)</w:t>
      </w:r>
      <w:r w:rsidR="006206A9">
        <w:rPr>
          <w:rFonts w:ascii="Arial" w:hAnsi="Arial" w:cs="Arial"/>
          <w:sz w:val="18"/>
          <w:szCs w:val="18"/>
        </w:rPr>
        <w:t xml:space="preserve"> a Francie (8,6 mld. Kč)</w:t>
      </w:r>
      <w:r w:rsidRPr="0043058B">
        <w:rPr>
          <w:rFonts w:ascii="Arial" w:hAnsi="Arial" w:cs="Arial"/>
          <w:sz w:val="18"/>
          <w:szCs w:val="18"/>
        </w:rPr>
        <w:t>.</w:t>
      </w:r>
    </w:p>
    <w:p w:rsidR="0043058B" w:rsidRDefault="0043058B" w:rsidP="0043058B">
      <w:pPr>
        <w:spacing w:before="120" w:after="160"/>
        <w:jc w:val="both"/>
        <w:rPr>
          <w:rFonts w:ascii="Arial" w:hAnsi="Arial" w:cs="Arial"/>
          <w:sz w:val="18"/>
          <w:szCs w:val="18"/>
        </w:rPr>
      </w:pPr>
      <w:r w:rsidRPr="00B90005">
        <w:rPr>
          <w:rFonts w:ascii="Arial" w:hAnsi="Arial" w:cs="Arial"/>
          <w:b/>
          <w:sz w:val="18"/>
          <w:szCs w:val="18"/>
        </w:rPr>
        <w:t>Ze států mimo EU</w:t>
      </w:r>
      <w:r w:rsidRPr="00B90005">
        <w:rPr>
          <w:rFonts w:ascii="Arial" w:hAnsi="Arial" w:cs="Arial"/>
          <w:sz w:val="18"/>
          <w:szCs w:val="18"/>
        </w:rPr>
        <w:t xml:space="preserve"> stojí za zaznamenání meziroční změna </w:t>
      </w:r>
      <w:r w:rsidRPr="00B90005">
        <w:rPr>
          <w:rFonts w:ascii="Arial" w:hAnsi="Arial" w:cs="Arial"/>
          <w:b/>
          <w:sz w:val="18"/>
          <w:szCs w:val="18"/>
        </w:rPr>
        <w:t>dovozu</w:t>
      </w:r>
      <w:r w:rsidRPr="00B90005">
        <w:rPr>
          <w:rFonts w:ascii="Arial" w:hAnsi="Arial" w:cs="Arial"/>
          <w:sz w:val="18"/>
          <w:szCs w:val="18"/>
        </w:rPr>
        <w:t xml:space="preserve"> z Číny (nárůst o</w:t>
      </w:r>
      <w:r w:rsidR="00B90005" w:rsidRPr="00B90005">
        <w:rPr>
          <w:rFonts w:ascii="Arial" w:hAnsi="Arial" w:cs="Arial"/>
          <w:sz w:val="18"/>
          <w:szCs w:val="18"/>
        </w:rPr>
        <w:t xml:space="preserve"> </w:t>
      </w:r>
      <w:r w:rsidRPr="00B90005">
        <w:rPr>
          <w:rFonts w:ascii="Arial" w:hAnsi="Arial" w:cs="Arial"/>
          <w:sz w:val="18"/>
          <w:szCs w:val="18"/>
        </w:rPr>
        <w:t xml:space="preserve">10,1 % </w:t>
      </w:r>
      <w:r w:rsidR="00B90005" w:rsidRPr="00B90005">
        <w:rPr>
          <w:rFonts w:ascii="Arial" w:hAnsi="Arial" w:cs="Arial"/>
          <w:sz w:val="18"/>
          <w:szCs w:val="18"/>
        </w:rPr>
        <w:t xml:space="preserve">v roce 2017 </w:t>
      </w:r>
      <w:r w:rsidR="00D84CF3">
        <w:rPr>
          <w:rFonts w:ascii="Arial" w:hAnsi="Arial" w:cs="Arial"/>
          <w:sz w:val="18"/>
          <w:szCs w:val="18"/>
        </w:rPr>
        <w:t>proti poklesu o </w:t>
      </w:r>
      <w:r w:rsidRPr="00B90005">
        <w:rPr>
          <w:rFonts w:ascii="Arial" w:hAnsi="Arial" w:cs="Arial"/>
          <w:sz w:val="18"/>
          <w:szCs w:val="18"/>
        </w:rPr>
        <w:t>7,6 % v roce 2016)</w:t>
      </w:r>
      <w:r w:rsidR="00B90005" w:rsidRPr="00B90005">
        <w:rPr>
          <w:rFonts w:ascii="Arial" w:hAnsi="Arial" w:cs="Arial"/>
          <w:sz w:val="18"/>
          <w:szCs w:val="18"/>
        </w:rPr>
        <w:t xml:space="preserve"> a</w:t>
      </w:r>
      <w:r w:rsidRPr="00B90005">
        <w:rPr>
          <w:rFonts w:ascii="Arial" w:hAnsi="Arial" w:cs="Arial"/>
          <w:sz w:val="18"/>
          <w:szCs w:val="18"/>
        </w:rPr>
        <w:t xml:space="preserve"> </w:t>
      </w:r>
      <w:r w:rsidR="00B90005" w:rsidRPr="00B90005">
        <w:rPr>
          <w:rFonts w:ascii="Arial" w:hAnsi="Arial" w:cs="Arial"/>
          <w:sz w:val="18"/>
          <w:szCs w:val="18"/>
        </w:rPr>
        <w:t>přerušený</w:t>
      </w:r>
      <w:r w:rsidRPr="00B90005">
        <w:rPr>
          <w:rFonts w:ascii="Arial" w:hAnsi="Arial" w:cs="Arial"/>
          <w:sz w:val="18"/>
          <w:szCs w:val="18"/>
        </w:rPr>
        <w:t xml:space="preserve"> pokles obchodu s Ruskou federací </w:t>
      </w:r>
      <w:r w:rsidR="00B90005" w:rsidRPr="00B90005">
        <w:rPr>
          <w:rFonts w:ascii="Arial" w:hAnsi="Arial" w:cs="Arial"/>
          <w:sz w:val="18"/>
          <w:szCs w:val="18"/>
        </w:rPr>
        <w:t xml:space="preserve">(nárůst </w:t>
      </w:r>
      <w:r w:rsidR="00D84CF3">
        <w:rPr>
          <w:rFonts w:ascii="Arial" w:hAnsi="Arial" w:cs="Arial"/>
          <w:sz w:val="18"/>
          <w:szCs w:val="18"/>
        </w:rPr>
        <w:t xml:space="preserve">hodnoty dovozu </w:t>
      </w:r>
      <w:r w:rsidR="00B90005" w:rsidRPr="00B90005">
        <w:rPr>
          <w:rFonts w:ascii="Arial" w:hAnsi="Arial" w:cs="Arial"/>
          <w:sz w:val="18"/>
          <w:szCs w:val="18"/>
        </w:rPr>
        <w:t>až o 38,5</w:t>
      </w:r>
      <w:r w:rsidRPr="00B90005">
        <w:rPr>
          <w:rFonts w:ascii="Arial" w:hAnsi="Arial" w:cs="Arial"/>
          <w:sz w:val="18"/>
          <w:szCs w:val="18"/>
        </w:rPr>
        <w:t xml:space="preserve"> %</w:t>
      </w:r>
      <w:r w:rsidR="00B90005" w:rsidRPr="00B90005">
        <w:rPr>
          <w:rFonts w:ascii="Arial" w:hAnsi="Arial" w:cs="Arial"/>
          <w:sz w:val="18"/>
          <w:szCs w:val="18"/>
        </w:rPr>
        <w:t xml:space="preserve"> v roce 2017</w:t>
      </w:r>
      <w:r w:rsidR="00D84CF3">
        <w:rPr>
          <w:rFonts w:ascii="Arial" w:hAnsi="Arial" w:cs="Arial"/>
          <w:sz w:val="18"/>
          <w:szCs w:val="18"/>
        </w:rPr>
        <w:t xml:space="preserve"> proti poklesu o 19,1 % v roce 2016</w:t>
      </w:r>
      <w:r w:rsidR="00B90005" w:rsidRPr="00B90005">
        <w:rPr>
          <w:rFonts w:ascii="Arial" w:hAnsi="Arial" w:cs="Arial"/>
          <w:sz w:val="18"/>
          <w:szCs w:val="18"/>
        </w:rPr>
        <w:t>).</w:t>
      </w:r>
    </w:p>
    <w:p w:rsidR="00B90005" w:rsidRDefault="00B90005" w:rsidP="0043058B">
      <w:pPr>
        <w:spacing w:before="120" w:after="160"/>
        <w:jc w:val="both"/>
        <w:rPr>
          <w:rFonts w:ascii="Arial" w:hAnsi="Arial" w:cs="Arial"/>
          <w:sz w:val="18"/>
          <w:szCs w:val="18"/>
        </w:rPr>
      </w:pPr>
      <w:r>
        <w:rPr>
          <w:rFonts w:ascii="Arial" w:hAnsi="Arial" w:cs="Arial"/>
          <w:sz w:val="18"/>
          <w:szCs w:val="18"/>
        </w:rPr>
        <w:t>V roce 2017 pouze u 19 mi</w:t>
      </w:r>
      <w:r w:rsidR="005A0709">
        <w:rPr>
          <w:rFonts w:ascii="Arial" w:hAnsi="Arial" w:cs="Arial"/>
          <w:sz w:val="18"/>
          <w:szCs w:val="18"/>
        </w:rPr>
        <w:t>m</w:t>
      </w:r>
      <w:r>
        <w:rPr>
          <w:rFonts w:ascii="Arial" w:hAnsi="Arial" w:cs="Arial"/>
          <w:sz w:val="18"/>
          <w:szCs w:val="18"/>
        </w:rPr>
        <w:t xml:space="preserve">ounijních států došlo k poklesu dovozu (např. Norsko, Kostarika a Singapur), u všech ostatních zaznamenal </w:t>
      </w:r>
      <w:r w:rsidR="00A145F1">
        <w:rPr>
          <w:rFonts w:ascii="Arial" w:hAnsi="Arial" w:cs="Arial"/>
          <w:sz w:val="18"/>
          <w:szCs w:val="18"/>
        </w:rPr>
        <w:t>dovoz do Česka</w:t>
      </w:r>
      <w:r w:rsidR="005A0709">
        <w:rPr>
          <w:rFonts w:ascii="Arial" w:hAnsi="Arial" w:cs="Arial"/>
          <w:sz w:val="18"/>
          <w:szCs w:val="18"/>
        </w:rPr>
        <w:t xml:space="preserve"> růst. Nejvyšší meziroční absolutní nárůsty dovozu zboží vykázala již zmíněná Čína (o 43,7 mld. Kč) a Ruská federace (o 32,3 mld. Kč), dále pak zejména Korejská republika (o 13,1 mld. Kč), Spojené státy (o 12,6 mld. Kč) a Ázerbájdžán (o 12,1 mld. Kč).</w:t>
      </w:r>
    </w:p>
    <w:p w:rsidR="004C15FC" w:rsidRDefault="004C15FC" w:rsidP="0043058B">
      <w:pPr>
        <w:spacing w:before="120" w:after="160"/>
        <w:jc w:val="both"/>
        <w:rPr>
          <w:rFonts w:ascii="Arial" w:hAnsi="Arial" w:cs="Arial"/>
          <w:sz w:val="18"/>
          <w:szCs w:val="18"/>
        </w:rPr>
      </w:pPr>
      <w:r>
        <w:rPr>
          <w:rFonts w:ascii="Arial" w:hAnsi="Arial" w:cs="Arial"/>
          <w:sz w:val="18"/>
          <w:szCs w:val="18"/>
        </w:rPr>
        <w:t>Saldo zahraničního obchodu podle pohybu zboží se státy E</w:t>
      </w:r>
      <w:r w:rsidR="006206A9">
        <w:rPr>
          <w:rFonts w:ascii="Arial" w:hAnsi="Arial" w:cs="Arial"/>
          <w:sz w:val="18"/>
          <w:szCs w:val="18"/>
        </w:rPr>
        <w:t>vropské unie</w:t>
      </w:r>
      <w:r>
        <w:rPr>
          <w:rFonts w:ascii="Arial" w:hAnsi="Arial" w:cs="Arial"/>
          <w:sz w:val="18"/>
          <w:szCs w:val="18"/>
        </w:rPr>
        <w:t xml:space="preserve"> skončilo přebytkem 1 055,4</w:t>
      </w:r>
      <w:r w:rsidR="009D38DD">
        <w:rPr>
          <w:rFonts w:ascii="Arial" w:hAnsi="Arial" w:cs="Arial"/>
          <w:sz w:val="18"/>
          <w:szCs w:val="18"/>
        </w:rPr>
        <w:t xml:space="preserve"> mld. Kč, který byl meziročně o </w:t>
      </w:r>
      <w:r>
        <w:rPr>
          <w:rFonts w:ascii="Arial" w:hAnsi="Arial" w:cs="Arial"/>
          <w:sz w:val="18"/>
          <w:szCs w:val="18"/>
        </w:rPr>
        <w:t>76,7 mld. Kč vyšší, a se státy mimo EU schodkem</w:t>
      </w:r>
      <w:r w:rsidR="009D38DD">
        <w:rPr>
          <w:rFonts w:ascii="Arial" w:hAnsi="Arial" w:cs="Arial"/>
          <w:sz w:val="18"/>
          <w:szCs w:val="18"/>
        </w:rPr>
        <w:t xml:space="preserve"> 593,0 mld. Kč, jenž se me</w:t>
      </w:r>
      <w:r w:rsidR="006206A9">
        <w:rPr>
          <w:rFonts w:ascii="Arial" w:hAnsi="Arial" w:cs="Arial"/>
          <w:sz w:val="18"/>
          <w:szCs w:val="18"/>
        </w:rPr>
        <w:t>ziročně prohloubil o 114,8 mld. </w:t>
      </w:r>
      <w:r w:rsidR="009D38DD">
        <w:rPr>
          <w:rFonts w:ascii="Arial" w:hAnsi="Arial" w:cs="Arial"/>
          <w:sz w:val="18"/>
          <w:szCs w:val="18"/>
        </w:rPr>
        <w:t xml:space="preserve">Kč. Celková </w:t>
      </w:r>
      <w:r w:rsidR="009D38DD" w:rsidRPr="009D38DD">
        <w:rPr>
          <w:rFonts w:ascii="Arial" w:hAnsi="Arial" w:cs="Arial"/>
          <w:b/>
          <w:sz w:val="18"/>
          <w:szCs w:val="18"/>
        </w:rPr>
        <w:t>bilance zahraničního obchodu</w:t>
      </w:r>
      <w:r w:rsidR="009D38DD">
        <w:rPr>
          <w:rFonts w:ascii="Arial" w:hAnsi="Arial" w:cs="Arial"/>
          <w:sz w:val="18"/>
          <w:szCs w:val="18"/>
        </w:rPr>
        <w:t xml:space="preserve"> </w:t>
      </w:r>
      <w:r w:rsidR="006206A9">
        <w:rPr>
          <w:rFonts w:ascii="Arial" w:hAnsi="Arial" w:cs="Arial"/>
          <w:sz w:val="18"/>
          <w:szCs w:val="18"/>
        </w:rPr>
        <w:t xml:space="preserve">se zbožím </w:t>
      </w:r>
      <w:r w:rsidR="009D38DD">
        <w:rPr>
          <w:rFonts w:ascii="Arial" w:hAnsi="Arial" w:cs="Arial"/>
          <w:sz w:val="18"/>
          <w:szCs w:val="18"/>
        </w:rPr>
        <w:t>dosáhla 443,2 mld. Kč a v porovnání s rokem 2016 se snížila o 36,2 mld. Kč.</w:t>
      </w:r>
    </w:p>
    <w:p w:rsidR="00AF499C" w:rsidRPr="004C15FC" w:rsidRDefault="00AF499C" w:rsidP="00AF499C">
      <w:pPr>
        <w:spacing w:after="80"/>
        <w:jc w:val="both"/>
        <w:rPr>
          <w:rFonts w:ascii="Arial" w:hAnsi="Arial" w:cs="Arial"/>
          <w:b/>
          <w:sz w:val="18"/>
          <w:szCs w:val="18"/>
        </w:rPr>
      </w:pPr>
      <w:r w:rsidRPr="004C15FC">
        <w:rPr>
          <w:rFonts w:ascii="Arial" w:hAnsi="Arial" w:cs="Arial"/>
          <w:b/>
          <w:sz w:val="18"/>
          <w:szCs w:val="18"/>
        </w:rPr>
        <w:t>Graf 9 - Zahraniční obchod se státy mimo EU v roce 201</w:t>
      </w:r>
      <w:r w:rsidR="004F2A0F" w:rsidRPr="004C15FC">
        <w:rPr>
          <w:rFonts w:ascii="Arial" w:hAnsi="Arial" w:cs="Arial"/>
          <w:b/>
          <w:sz w:val="18"/>
          <w:szCs w:val="18"/>
        </w:rPr>
        <w:t>7</w:t>
      </w:r>
      <w:r w:rsidRPr="004C15FC">
        <w:rPr>
          <w:rFonts w:ascii="Arial" w:hAnsi="Arial" w:cs="Arial"/>
          <w:b/>
          <w:sz w:val="18"/>
          <w:szCs w:val="18"/>
        </w:rPr>
        <w:t xml:space="preserve"> (podíly v %)</w:t>
      </w:r>
    </w:p>
    <w:p w:rsidR="00AF499C" w:rsidRPr="004C15FC" w:rsidRDefault="00AF499C" w:rsidP="004C15FC">
      <w:pPr>
        <w:spacing w:after="0"/>
        <w:jc w:val="both"/>
        <w:rPr>
          <w:rFonts w:ascii="Arial" w:hAnsi="Arial" w:cs="Arial"/>
          <w:sz w:val="18"/>
          <w:szCs w:val="18"/>
        </w:rPr>
      </w:pPr>
      <w:r w:rsidRPr="004C15FC">
        <w:rPr>
          <w:rFonts w:ascii="Arial" w:hAnsi="Arial" w:cs="Arial"/>
          <w:b/>
          <w:sz w:val="18"/>
          <w:szCs w:val="18"/>
        </w:rPr>
        <w:tab/>
      </w:r>
      <w:r w:rsidRPr="004C15FC">
        <w:rPr>
          <w:rFonts w:ascii="Arial" w:hAnsi="Arial" w:cs="Arial"/>
          <w:b/>
          <w:sz w:val="18"/>
          <w:szCs w:val="18"/>
        </w:rPr>
        <w:tab/>
      </w:r>
      <w:r w:rsidRPr="004C15FC">
        <w:rPr>
          <w:rFonts w:ascii="Arial" w:hAnsi="Arial" w:cs="Arial"/>
          <w:sz w:val="18"/>
          <w:szCs w:val="18"/>
        </w:rPr>
        <w:t xml:space="preserve">    vývoz</w:t>
      </w:r>
      <w:r w:rsidRPr="004C15FC">
        <w:rPr>
          <w:rFonts w:ascii="Arial" w:hAnsi="Arial" w:cs="Arial"/>
          <w:sz w:val="18"/>
          <w:szCs w:val="18"/>
        </w:rPr>
        <w:tab/>
      </w:r>
      <w:r w:rsidRPr="004C15FC">
        <w:rPr>
          <w:rFonts w:ascii="Arial" w:hAnsi="Arial" w:cs="Arial"/>
          <w:b/>
          <w:sz w:val="18"/>
          <w:szCs w:val="18"/>
        </w:rPr>
        <w:tab/>
      </w:r>
      <w:r w:rsidRPr="004C15FC">
        <w:rPr>
          <w:rFonts w:ascii="Arial" w:hAnsi="Arial" w:cs="Arial"/>
          <w:b/>
          <w:sz w:val="18"/>
          <w:szCs w:val="18"/>
        </w:rPr>
        <w:tab/>
      </w:r>
      <w:r w:rsidRPr="004C15FC">
        <w:rPr>
          <w:rFonts w:ascii="Arial" w:hAnsi="Arial" w:cs="Arial"/>
          <w:b/>
          <w:sz w:val="18"/>
          <w:szCs w:val="18"/>
        </w:rPr>
        <w:tab/>
      </w:r>
      <w:r w:rsidRPr="004C15FC">
        <w:rPr>
          <w:rFonts w:ascii="Arial" w:hAnsi="Arial" w:cs="Arial"/>
          <w:b/>
          <w:sz w:val="18"/>
          <w:szCs w:val="18"/>
        </w:rPr>
        <w:tab/>
      </w:r>
      <w:r w:rsidRPr="004C15FC">
        <w:rPr>
          <w:rFonts w:ascii="Arial" w:hAnsi="Arial" w:cs="Arial"/>
          <w:b/>
          <w:sz w:val="18"/>
          <w:szCs w:val="18"/>
        </w:rPr>
        <w:tab/>
      </w:r>
      <w:r w:rsidRPr="004C15FC">
        <w:rPr>
          <w:rFonts w:ascii="Arial" w:hAnsi="Arial" w:cs="Arial"/>
          <w:b/>
          <w:sz w:val="18"/>
          <w:szCs w:val="18"/>
        </w:rPr>
        <w:tab/>
      </w:r>
      <w:r w:rsidRPr="004C15FC">
        <w:rPr>
          <w:rFonts w:ascii="Arial" w:hAnsi="Arial" w:cs="Arial"/>
          <w:b/>
          <w:sz w:val="18"/>
          <w:szCs w:val="18"/>
        </w:rPr>
        <w:tab/>
        <w:t xml:space="preserve">       </w:t>
      </w:r>
      <w:r w:rsidRPr="004C15FC">
        <w:rPr>
          <w:rFonts w:ascii="Arial" w:hAnsi="Arial" w:cs="Arial"/>
          <w:sz w:val="18"/>
          <w:szCs w:val="18"/>
        </w:rPr>
        <w:t>dovoz</w:t>
      </w:r>
    </w:p>
    <w:p w:rsidR="00E9010E" w:rsidRPr="00C925C9" w:rsidRDefault="00205813" w:rsidP="00E9010E">
      <w:pPr>
        <w:spacing w:after="0"/>
        <w:ind w:left="1416" w:hanging="1416"/>
        <w:jc w:val="both"/>
        <w:rPr>
          <w:rFonts w:ascii="Arial" w:hAnsi="Arial" w:cs="Arial"/>
          <w:color w:val="FF0000"/>
          <w:sz w:val="12"/>
          <w:szCs w:val="12"/>
        </w:rPr>
      </w:pPr>
      <w:r w:rsidRPr="00856E93">
        <w:rPr>
          <w:rFonts w:ascii="Arial" w:hAnsi="Arial" w:cs="Arial"/>
          <w:color w:val="FF0000"/>
          <w:sz w:val="18"/>
          <w:szCs w:val="18"/>
        </w:rPr>
        <w:t xml:space="preserve">  </w:t>
      </w:r>
      <w:r w:rsidR="00D72E17" w:rsidRPr="00856E93">
        <w:rPr>
          <w:rFonts w:ascii="Arial" w:hAnsi="Arial" w:cs="Arial"/>
          <w:color w:val="FF0000"/>
          <w:sz w:val="18"/>
          <w:szCs w:val="18"/>
        </w:rPr>
        <w:t xml:space="preserve">  </w:t>
      </w:r>
      <w:r w:rsidR="00E9010E" w:rsidRPr="00856E93">
        <w:rPr>
          <w:rFonts w:ascii="Arial" w:hAnsi="Arial" w:cs="Arial"/>
          <w:color w:val="FF0000"/>
          <w:sz w:val="18"/>
          <w:szCs w:val="18"/>
        </w:rPr>
        <w:t xml:space="preserve">  </w:t>
      </w:r>
    </w:p>
    <w:p w:rsidR="00C20FA9" w:rsidRDefault="0012752A">
      <w:pPr>
        <w:rPr>
          <w:rFonts w:ascii="Arial" w:hAnsi="Arial" w:cs="Arial"/>
          <w:b/>
          <w:color w:val="FF0000"/>
          <w:sz w:val="18"/>
          <w:szCs w:val="18"/>
        </w:rPr>
      </w:pPr>
      <w:r>
        <w:rPr>
          <w:rFonts w:ascii="Arial" w:hAnsi="Arial" w:cs="Arial"/>
          <w:b/>
          <w:color w:val="FF0000"/>
          <w:sz w:val="18"/>
          <w:szCs w:val="18"/>
        </w:rPr>
        <w:pict>
          <v:shape id="_x0000_i1035" type="#_x0000_t75" style="width:235.5pt;height:195.75pt">
            <v:imagedata r:id="rId21" o:title=""/>
          </v:shape>
        </w:pict>
      </w:r>
      <w:r w:rsidR="00EE153F">
        <w:rPr>
          <w:rFonts w:ascii="Arial" w:hAnsi="Arial" w:cs="Arial"/>
          <w:b/>
          <w:color w:val="FF0000"/>
          <w:sz w:val="18"/>
          <w:szCs w:val="18"/>
        </w:rPr>
        <w:t xml:space="preserve">    </w:t>
      </w:r>
      <w:r>
        <w:rPr>
          <w:rFonts w:ascii="Arial" w:hAnsi="Arial" w:cs="Arial"/>
          <w:b/>
          <w:color w:val="FF0000"/>
          <w:sz w:val="18"/>
          <w:szCs w:val="18"/>
        </w:rPr>
        <w:pict>
          <v:shape id="_x0000_i1036" type="#_x0000_t75" style="width:235.5pt;height:195.75pt">
            <v:imagedata r:id="rId22" o:title=""/>
          </v:shape>
        </w:pict>
      </w:r>
      <w:r w:rsidR="00EE153F">
        <w:rPr>
          <w:rFonts w:ascii="Arial" w:hAnsi="Arial" w:cs="Arial"/>
          <w:b/>
          <w:color w:val="FF0000"/>
          <w:sz w:val="18"/>
          <w:szCs w:val="18"/>
        </w:rPr>
        <w:t xml:space="preserve">    </w:t>
      </w:r>
      <w:r w:rsidR="00C20FA9">
        <w:rPr>
          <w:rFonts w:ascii="Arial" w:hAnsi="Arial" w:cs="Arial"/>
          <w:b/>
          <w:color w:val="FF0000"/>
          <w:sz w:val="18"/>
          <w:szCs w:val="18"/>
        </w:rPr>
        <w:br w:type="page"/>
      </w:r>
    </w:p>
    <w:p w:rsidR="00BA7845" w:rsidRPr="006C0559" w:rsidRDefault="00BA7845" w:rsidP="00BA7845">
      <w:pPr>
        <w:numPr>
          <w:ilvl w:val="1"/>
          <w:numId w:val="1"/>
        </w:numPr>
        <w:spacing w:after="120"/>
        <w:ind w:left="426"/>
        <w:rPr>
          <w:rFonts w:ascii="Arial" w:hAnsi="Arial" w:cs="Arial"/>
          <w:b/>
          <w:sz w:val="21"/>
          <w:szCs w:val="21"/>
        </w:rPr>
      </w:pPr>
      <w:r w:rsidRPr="006C0559">
        <w:rPr>
          <w:rFonts w:ascii="Arial" w:hAnsi="Arial" w:cs="Arial"/>
          <w:b/>
          <w:sz w:val="21"/>
          <w:szCs w:val="21"/>
        </w:rPr>
        <w:lastRenderedPageBreak/>
        <w:t xml:space="preserve">Zahraniční obchod se sousedními státy </w:t>
      </w:r>
    </w:p>
    <w:p w:rsidR="00167D1F" w:rsidRPr="00856E93" w:rsidRDefault="00167D1F" w:rsidP="00167D1F">
      <w:pPr>
        <w:spacing w:after="120"/>
        <w:jc w:val="both"/>
        <w:rPr>
          <w:rFonts w:ascii="Arial" w:hAnsi="Arial" w:cs="Arial"/>
          <w:color w:val="FF0000"/>
          <w:sz w:val="18"/>
          <w:szCs w:val="18"/>
        </w:rPr>
      </w:pPr>
      <w:r w:rsidRPr="006C0559">
        <w:rPr>
          <w:rFonts w:ascii="Arial" w:hAnsi="Arial" w:cs="Arial"/>
          <w:sz w:val="18"/>
          <w:szCs w:val="18"/>
        </w:rPr>
        <w:t xml:space="preserve">Rozhodující část zahraničního obchodu České republiky připadá na </w:t>
      </w:r>
      <w:r w:rsidR="003911A7">
        <w:rPr>
          <w:rFonts w:ascii="Arial" w:hAnsi="Arial" w:cs="Arial"/>
          <w:sz w:val="18"/>
          <w:szCs w:val="18"/>
        </w:rPr>
        <w:t xml:space="preserve">čtyři </w:t>
      </w:r>
      <w:r w:rsidRPr="006C0559">
        <w:rPr>
          <w:rFonts w:ascii="Arial" w:hAnsi="Arial" w:cs="Arial"/>
          <w:sz w:val="18"/>
          <w:szCs w:val="18"/>
        </w:rPr>
        <w:t xml:space="preserve">sousední státy </w:t>
      </w:r>
      <w:r w:rsidR="00C925C9">
        <w:rPr>
          <w:rFonts w:ascii="Arial" w:hAnsi="Arial" w:cs="Arial"/>
          <w:sz w:val="18"/>
          <w:szCs w:val="18"/>
        </w:rPr>
        <w:t xml:space="preserve">- </w:t>
      </w:r>
      <w:r w:rsidRPr="006C0559">
        <w:rPr>
          <w:rFonts w:ascii="Arial" w:hAnsi="Arial" w:cs="Arial"/>
          <w:sz w:val="18"/>
          <w:szCs w:val="18"/>
        </w:rPr>
        <w:t xml:space="preserve">Německo, </w:t>
      </w:r>
      <w:r w:rsidR="00B51DA6" w:rsidRPr="006C0559">
        <w:rPr>
          <w:rFonts w:ascii="Arial" w:hAnsi="Arial" w:cs="Arial"/>
          <w:sz w:val="18"/>
          <w:szCs w:val="18"/>
        </w:rPr>
        <w:t>Polsko, Rakousko a </w:t>
      </w:r>
      <w:r w:rsidRPr="006C0559">
        <w:rPr>
          <w:rFonts w:ascii="Arial" w:hAnsi="Arial" w:cs="Arial"/>
          <w:sz w:val="18"/>
          <w:szCs w:val="18"/>
        </w:rPr>
        <w:t>Slovensko. Uvedené státy významně ovlivňují dynamiku celkového vývozu a dovozu a tím i celkovou bilanci zahraničního obchodu. V roce 201</w:t>
      </w:r>
      <w:r w:rsidR="006C0559">
        <w:rPr>
          <w:rFonts w:ascii="Arial" w:hAnsi="Arial" w:cs="Arial"/>
          <w:sz w:val="18"/>
          <w:szCs w:val="18"/>
        </w:rPr>
        <w:t>7</w:t>
      </w:r>
      <w:r w:rsidRPr="006C0559">
        <w:rPr>
          <w:rFonts w:ascii="Arial" w:hAnsi="Arial" w:cs="Arial"/>
          <w:sz w:val="18"/>
          <w:szCs w:val="18"/>
        </w:rPr>
        <w:t xml:space="preserve"> činil podíl zahraničního obchodu se sousedními státy na celkovém obratu zahraničního obchodu České </w:t>
      </w:r>
      <w:r w:rsidRPr="00797F99">
        <w:rPr>
          <w:rFonts w:ascii="Arial" w:hAnsi="Arial" w:cs="Arial"/>
          <w:sz w:val="18"/>
          <w:szCs w:val="18"/>
        </w:rPr>
        <w:t xml:space="preserve">republiky </w:t>
      </w:r>
      <w:r w:rsidR="00797F99" w:rsidRPr="00797F99">
        <w:rPr>
          <w:rFonts w:ascii="Arial" w:hAnsi="Arial" w:cs="Arial"/>
          <w:sz w:val="18"/>
          <w:szCs w:val="18"/>
        </w:rPr>
        <w:t>46,3</w:t>
      </w:r>
      <w:r w:rsidRPr="00797F99">
        <w:rPr>
          <w:rFonts w:ascii="Arial" w:hAnsi="Arial" w:cs="Arial"/>
          <w:sz w:val="18"/>
          <w:szCs w:val="18"/>
        </w:rPr>
        <w:t xml:space="preserve"> % (z toho na celkovém vývozu </w:t>
      </w:r>
      <w:r w:rsidR="00C7375C" w:rsidRPr="00797F99">
        <w:rPr>
          <w:rFonts w:ascii="Arial" w:hAnsi="Arial" w:cs="Arial"/>
          <w:sz w:val="18"/>
          <w:szCs w:val="18"/>
        </w:rPr>
        <w:t>50,</w:t>
      </w:r>
      <w:r w:rsidR="00797F99" w:rsidRPr="00797F99">
        <w:rPr>
          <w:rFonts w:ascii="Arial" w:hAnsi="Arial" w:cs="Arial"/>
          <w:sz w:val="18"/>
          <w:szCs w:val="18"/>
        </w:rPr>
        <w:t>6</w:t>
      </w:r>
      <w:r w:rsidRPr="00797F99">
        <w:rPr>
          <w:rFonts w:ascii="Arial" w:hAnsi="Arial" w:cs="Arial"/>
          <w:sz w:val="18"/>
          <w:szCs w:val="18"/>
        </w:rPr>
        <w:t xml:space="preserve"> % a na celkovém dovozu </w:t>
      </w:r>
      <w:r w:rsidR="00797F99" w:rsidRPr="00797F99">
        <w:rPr>
          <w:rFonts w:ascii="Arial" w:hAnsi="Arial" w:cs="Arial"/>
          <w:sz w:val="18"/>
          <w:szCs w:val="18"/>
        </w:rPr>
        <w:t>41,5</w:t>
      </w:r>
      <w:r w:rsidRPr="00797F99">
        <w:rPr>
          <w:rFonts w:ascii="Arial" w:hAnsi="Arial" w:cs="Arial"/>
          <w:sz w:val="18"/>
          <w:szCs w:val="18"/>
        </w:rPr>
        <w:t xml:space="preserve"> %).</w:t>
      </w:r>
      <w:r w:rsidRPr="00856E93">
        <w:rPr>
          <w:rFonts w:ascii="Arial" w:hAnsi="Arial" w:cs="Arial"/>
          <w:color w:val="FF0000"/>
          <w:sz w:val="18"/>
          <w:szCs w:val="18"/>
        </w:rPr>
        <w:t xml:space="preserve"> </w:t>
      </w:r>
    </w:p>
    <w:p w:rsidR="003911A7" w:rsidRDefault="00167D1F" w:rsidP="003911A7">
      <w:pPr>
        <w:spacing w:after="120"/>
        <w:jc w:val="both"/>
        <w:rPr>
          <w:rFonts w:ascii="Arial" w:hAnsi="Arial" w:cs="Arial"/>
          <w:spacing w:val="-2"/>
          <w:sz w:val="18"/>
          <w:szCs w:val="18"/>
        </w:rPr>
      </w:pPr>
      <w:r w:rsidRPr="00797F99">
        <w:rPr>
          <w:rFonts w:ascii="Arial" w:hAnsi="Arial" w:cs="Arial"/>
          <w:sz w:val="18"/>
          <w:szCs w:val="18"/>
        </w:rPr>
        <w:t>V roce 201</w:t>
      </w:r>
      <w:r w:rsidR="00797F99" w:rsidRPr="00797F99">
        <w:rPr>
          <w:rFonts w:ascii="Arial" w:hAnsi="Arial" w:cs="Arial"/>
          <w:sz w:val="18"/>
          <w:szCs w:val="18"/>
        </w:rPr>
        <w:t>7</w:t>
      </w:r>
      <w:r w:rsidRPr="00797F99">
        <w:rPr>
          <w:rFonts w:ascii="Arial" w:hAnsi="Arial" w:cs="Arial"/>
          <w:sz w:val="18"/>
          <w:szCs w:val="18"/>
        </w:rPr>
        <w:t xml:space="preserve"> proti roku 201</w:t>
      </w:r>
      <w:r w:rsidR="00797F99" w:rsidRPr="00797F99">
        <w:rPr>
          <w:rFonts w:ascii="Arial" w:hAnsi="Arial" w:cs="Arial"/>
          <w:sz w:val="18"/>
          <w:szCs w:val="18"/>
        </w:rPr>
        <w:t>6</w:t>
      </w:r>
      <w:r w:rsidRPr="00797F99">
        <w:rPr>
          <w:rFonts w:ascii="Arial" w:hAnsi="Arial" w:cs="Arial"/>
          <w:sz w:val="18"/>
          <w:szCs w:val="18"/>
        </w:rPr>
        <w:t xml:space="preserve"> vzrostl obrat zahraničního obchodu České republiky se sousedními státy o </w:t>
      </w:r>
      <w:r w:rsidR="00797F99" w:rsidRPr="00797F99">
        <w:rPr>
          <w:rFonts w:ascii="Arial" w:hAnsi="Arial" w:cs="Arial"/>
          <w:sz w:val="18"/>
          <w:szCs w:val="18"/>
        </w:rPr>
        <w:t>6,3</w:t>
      </w:r>
      <w:r w:rsidRPr="00797F99">
        <w:rPr>
          <w:rFonts w:ascii="Arial" w:hAnsi="Arial" w:cs="Arial"/>
          <w:sz w:val="18"/>
          <w:szCs w:val="18"/>
        </w:rPr>
        <w:t xml:space="preserve"> % </w:t>
      </w:r>
      <w:r w:rsidRPr="00797F99">
        <w:rPr>
          <w:rFonts w:ascii="Arial" w:hAnsi="Arial" w:cs="Arial"/>
          <w:spacing w:val="-2"/>
          <w:sz w:val="18"/>
          <w:szCs w:val="18"/>
        </w:rPr>
        <w:t>(z </w:t>
      </w:r>
      <w:r w:rsidR="00797F99" w:rsidRPr="00797F99">
        <w:rPr>
          <w:rFonts w:ascii="Arial" w:hAnsi="Arial" w:cs="Arial"/>
          <w:spacing w:val="-2"/>
          <w:sz w:val="18"/>
          <w:szCs w:val="18"/>
        </w:rPr>
        <w:t>3 507,6 </w:t>
      </w:r>
      <w:r w:rsidRPr="00797F99">
        <w:rPr>
          <w:rFonts w:ascii="Arial" w:hAnsi="Arial" w:cs="Arial"/>
          <w:spacing w:val="-2"/>
          <w:sz w:val="18"/>
          <w:szCs w:val="18"/>
        </w:rPr>
        <w:t>mld. Kč na 3</w:t>
      </w:r>
      <w:r w:rsidR="00797F99" w:rsidRPr="00797F99">
        <w:rPr>
          <w:rFonts w:ascii="Arial" w:hAnsi="Arial" w:cs="Arial"/>
          <w:spacing w:val="-2"/>
          <w:sz w:val="18"/>
          <w:szCs w:val="18"/>
        </w:rPr>
        <w:t> 72</w:t>
      </w:r>
      <w:r w:rsidR="00AA5D6C">
        <w:rPr>
          <w:rFonts w:ascii="Arial" w:hAnsi="Arial" w:cs="Arial"/>
          <w:spacing w:val="-2"/>
          <w:sz w:val="18"/>
          <w:szCs w:val="18"/>
        </w:rPr>
        <w:t>7</w:t>
      </w:r>
      <w:r w:rsidR="00797F99" w:rsidRPr="00797F99">
        <w:rPr>
          <w:rFonts w:ascii="Arial" w:hAnsi="Arial" w:cs="Arial"/>
          <w:spacing w:val="-2"/>
          <w:sz w:val="18"/>
          <w:szCs w:val="18"/>
        </w:rPr>
        <w:t>,</w:t>
      </w:r>
      <w:r w:rsidR="00AA5D6C">
        <w:rPr>
          <w:rFonts w:ascii="Arial" w:hAnsi="Arial" w:cs="Arial"/>
          <w:spacing w:val="-2"/>
          <w:sz w:val="18"/>
          <w:szCs w:val="18"/>
        </w:rPr>
        <w:t>0</w:t>
      </w:r>
      <w:r w:rsidRPr="00797F99">
        <w:rPr>
          <w:rFonts w:ascii="Arial" w:hAnsi="Arial" w:cs="Arial"/>
          <w:spacing w:val="-2"/>
          <w:sz w:val="18"/>
          <w:szCs w:val="18"/>
        </w:rPr>
        <w:t xml:space="preserve"> mld. Kč</w:t>
      </w:r>
      <w:r w:rsidRPr="00E74651">
        <w:rPr>
          <w:rFonts w:ascii="Arial" w:hAnsi="Arial" w:cs="Arial"/>
          <w:spacing w:val="-2"/>
          <w:sz w:val="18"/>
          <w:szCs w:val="18"/>
        </w:rPr>
        <w:t xml:space="preserve">). </w:t>
      </w:r>
    </w:p>
    <w:p w:rsidR="00167D1F" w:rsidRPr="00E74651" w:rsidRDefault="00167D1F" w:rsidP="00167D1F">
      <w:pPr>
        <w:spacing w:after="240"/>
        <w:jc w:val="both"/>
        <w:rPr>
          <w:rFonts w:ascii="Arial" w:hAnsi="Arial" w:cs="Arial"/>
          <w:sz w:val="18"/>
          <w:szCs w:val="18"/>
        </w:rPr>
      </w:pPr>
      <w:r w:rsidRPr="00E74651">
        <w:rPr>
          <w:rFonts w:ascii="Arial" w:hAnsi="Arial" w:cs="Arial"/>
          <w:spacing w:val="-2"/>
          <w:sz w:val="18"/>
          <w:szCs w:val="18"/>
        </w:rPr>
        <w:t xml:space="preserve">Růst vývozu do sousedních států o </w:t>
      </w:r>
      <w:r w:rsidR="00E74651" w:rsidRPr="00E74651">
        <w:rPr>
          <w:rFonts w:ascii="Arial" w:hAnsi="Arial" w:cs="Arial"/>
          <w:spacing w:val="-2"/>
          <w:sz w:val="18"/>
          <w:szCs w:val="18"/>
        </w:rPr>
        <w:t>6,6</w:t>
      </w:r>
      <w:r w:rsidRPr="00E74651">
        <w:rPr>
          <w:rFonts w:ascii="Arial" w:hAnsi="Arial" w:cs="Arial"/>
          <w:spacing w:val="-2"/>
          <w:sz w:val="18"/>
          <w:szCs w:val="18"/>
        </w:rPr>
        <w:t xml:space="preserve"> % (z </w:t>
      </w:r>
      <w:r w:rsidR="00E74651" w:rsidRPr="00E74651">
        <w:rPr>
          <w:rFonts w:ascii="Arial" w:hAnsi="Arial" w:cs="Arial"/>
          <w:spacing w:val="-2"/>
          <w:sz w:val="18"/>
          <w:szCs w:val="18"/>
        </w:rPr>
        <w:t xml:space="preserve">2 015,7 </w:t>
      </w:r>
      <w:r w:rsidRPr="00E74651">
        <w:rPr>
          <w:rFonts w:ascii="Arial" w:hAnsi="Arial" w:cs="Arial"/>
          <w:spacing w:val="-2"/>
          <w:sz w:val="18"/>
          <w:szCs w:val="18"/>
        </w:rPr>
        <w:t xml:space="preserve">mld. Kč na </w:t>
      </w:r>
      <w:r w:rsidR="00C7375C" w:rsidRPr="00E74651">
        <w:rPr>
          <w:rFonts w:ascii="Arial" w:hAnsi="Arial" w:cs="Arial"/>
          <w:spacing w:val="-2"/>
          <w:sz w:val="18"/>
          <w:szCs w:val="18"/>
        </w:rPr>
        <w:t>2</w:t>
      </w:r>
      <w:r w:rsidR="00E74651" w:rsidRPr="00E74651">
        <w:rPr>
          <w:rFonts w:ascii="Arial" w:hAnsi="Arial" w:cs="Arial"/>
          <w:spacing w:val="-2"/>
          <w:sz w:val="18"/>
          <w:szCs w:val="18"/>
        </w:rPr>
        <w:t> 148,3</w:t>
      </w:r>
      <w:r w:rsidRPr="00E74651">
        <w:rPr>
          <w:rFonts w:ascii="Arial" w:hAnsi="Arial" w:cs="Arial"/>
          <w:spacing w:val="-2"/>
          <w:sz w:val="18"/>
          <w:szCs w:val="18"/>
        </w:rPr>
        <w:t xml:space="preserve"> mld. Kč)</w:t>
      </w:r>
      <w:r w:rsidRPr="00E74651">
        <w:rPr>
          <w:rFonts w:ascii="Arial" w:hAnsi="Arial" w:cs="Arial"/>
          <w:sz w:val="18"/>
          <w:szCs w:val="18"/>
        </w:rPr>
        <w:t xml:space="preserve"> a současně dovozu ze sousedních států o </w:t>
      </w:r>
      <w:r w:rsidR="00E74651" w:rsidRPr="00E74651">
        <w:rPr>
          <w:rFonts w:ascii="Arial" w:hAnsi="Arial" w:cs="Arial"/>
          <w:sz w:val="18"/>
          <w:szCs w:val="18"/>
        </w:rPr>
        <w:t>5,8</w:t>
      </w:r>
      <w:r w:rsidRPr="00E74651">
        <w:rPr>
          <w:rFonts w:ascii="Arial" w:hAnsi="Arial" w:cs="Arial"/>
          <w:sz w:val="18"/>
          <w:szCs w:val="18"/>
        </w:rPr>
        <w:t xml:space="preserve"> % (z </w:t>
      </w:r>
      <w:r w:rsidR="00E74651" w:rsidRPr="00E74651">
        <w:rPr>
          <w:rFonts w:ascii="Arial" w:hAnsi="Arial" w:cs="Arial"/>
          <w:sz w:val="18"/>
          <w:szCs w:val="18"/>
        </w:rPr>
        <w:t xml:space="preserve">1 492,0 </w:t>
      </w:r>
      <w:r w:rsidRPr="00E74651">
        <w:rPr>
          <w:rFonts w:ascii="Arial" w:hAnsi="Arial" w:cs="Arial"/>
          <w:sz w:val="18"/>
          <w:szCs w:val="18"/>
        </w:rPr>
        <w:t>mld. Kč na 1</w:t>
      </w:r>
      <w:r w:rsidR="00E74651" w:rsidRPr="00E74651">
        <w:rPr>
          <w:rFonts w:ascii="Arial" w:hAnsi="Arial" w:cs="Arial"/>
          <w:sz w:val="18"/>
          <w:szCs w:val="18"/>
        </w:rPr>
        <w:t> 578,6</w:t>
      </w:r>
      <w:r w:rsidRPr="00E74651">
        <w:rPr>
          <w:rFonts w:ascii="Arial" w:hAnsi="Arial" w:cs="Arial"/>
          <w:sz w:val="18"/>
          <w:szCs w:val="18"/>
        </w:rPr>
        <w:t xml:space="preserve"> mld. Kč) vedl v roce 201</w:t>
      </w:r>
      <w:r w:rsidR="00E74651" w:rsidRPr="00E74651">
        <w:rPr>
          <w:rFonts w:ascii="Arial" w:hAnsi="Arial" w:cs="Arial"/>
          <w:sz w:val="18"/>
          <w:szCs w:val="18"/>
        </w:rPr>
        <w:t>7</w:t>
      </w:r>
      <w:r w:rsidRPr="00E74651">
        <w:rPr>
          <w:rFonts w:ascii="Arial" w:hAnsi="Arial" w:cs="Arial"/>
          <w:sz w:val="18"/>
          <w:szCs w:val="18"/>
        </w:rPr>
        <w:t xml:space="preserve"> k navýšení přebytku celkové obchodní bilance se sousedními státy proti roku 201</w:t>
      </w:r>
      <w:r w:rsidR="00E74651" w:rsidRPr="00E74651">
        <w:rPr>
          <w:rFonts w:ascii="Arial" w:hAnsi="Arial" w:cs="Arial"/>
          <w:sz w:val="18"/>
          <w:szCs w:val="18"/>
        </w:rPr>
        <w:t>6</w:t>
      </w:r>
      <w:r w:rsidRPr="00E74651">
        <w:rPr>
          <w:rFonts w:ascii="Arial" w:hAnsi="Arial" w:cs="Arial"/>
          <w:sz w:val="18"/>
          <w:szCs w:val="18"/>
        </w:rPr>
        <w:t xml:space="preserve"> o </w:t>
      </w:r>
      <w:r w:rsidR="00E74651" w:rsidRPr="00E74651">
        <w:rPr>
          <w:rFonts w:ascii="Arial" w:hAnsi="Arial" w:cs="Arial"/>
          <w:sz w:val="18"/>
          <w:szCs w:val="18"/>
        </w:rPr>
        <w:t>46,0</w:t>
      </w:r>
      <w:r w:rsidRPr="00E74651">
        <w:rPr>
          <w:rFonts w:ascii="Arial" w:hAnsi="Arial" w:cs="Arial"/>
          <w:sz w:val="18"/>
          <w:szCs w:val="18"/>
        </w:rPr>
        <w:t xml:space="preserve"> mld. Kč. </w:t>
      </w:r>
    </w:p>
    <w:p w:rsidR="00167D1F" w:rsidRPr="009D38DD" w:rsidRDefault="00167D1F" w:rsidP="00167D1F">
      <w:pPr>
        <w:spacing w:after="80"/>
        <w:jc w:val="both"/>
        <w:rPr>
          <w:rFonts w:ascii="Arial" w:hAnsi="Arial" w:cs="Arial"/>
          <w:b/>
          <w:sz w:val="18"/>
          <w:szCs w:val="18"/>
        </w:rPr>
      </w:pPr>
      <w:r w:rsidRPr="009D38DD">
        <w:rPr>
          <w:rFonts w:ascii="Arial" w:hAnsi="Arial" w:cs="Arial"/>
          <w:b/>
          <w:sz w:val="18"/>
          <w:szCs w:val="18"/>
        </w:rPr>
        <w:t>Graf 1</w:t>
      </w:r>
      <w:r w:rsidR="00CE6BFC">
        <w:rPr>
          <w:rFonts w:ascii="Arial" w:hAnsi="Arial" w:cs="Arial"/>
          <w:b/>
          <w:sz w:val="18"/>
          <w:szCs w:val="18"/>
        </w:rPr>
        <w:t>0</w:t>
      </w:r>
      <w:r w:rsidRPr="009D38DD">
        <w:rPr>
          <w:rFonts w:ascii="Arial" w:hAnsi="Arial" w:cs="Arial"/>
          <w:b/>
          <w:sz w:val="18"/>
          <w:szCs w:val="18"/>
        </w:rPr>
        <w:t xml:space="preserve"> - Zahraniční obchod se sousedními státy ČR v roce 201</w:t>
      </w:r>
      <w:r w:rsidR="009D38DD" w:rsidRPr="009D38DD">
        <w:rPr>
          <w:rFonts w:ascii="Arial" w:hAnsi="Arial" w:cs="Arial"/>
          <w:b/>
          <w:sz w:val="18"/>
          <w:szCs w:val="18"/>
        </w:rPr>
        <w:t>7</w:t>
      </w:r>
      <w:r w:rsidRPr="009D38DD">
        <w:rPr>
          <w:rFonts w:ascii="Arial" w:hAnsi="Arial" w:cs="Arial"/>
          <w:b/>
          <w:sz w:val="18"/>
          <w:szCs w:val="18"/>
        </w:rPr>
        <w:t xml:space="preserve"> (podíly v %) </w:t>
      </w:r>
    </w:p>
    <w:p w:rsidR="00167D1F" w:rsidRPr="009D38DD" w:rsidRDefault="0012752A" w:rsidP="00CE57E0">
      <w:pPr>
        <w:spacing w:after="0"/>
        <w:jc w:val="both"/>
        <w:rPr>
          <w:rFonts w:ascii="Arial" w:hAnsi="Arial" w:cs="Arial"/>
          <w:b/>
          <w:sz w:val="18"/>
          <w:szCs w:val="18"/>
        </w:rPr>
      </w:pPr>
      <w:r>
        <w:rPr>
          <w:rFonts w:ascii="Arial" w:hAnsi="Arial" w:cs="Arial"/>
          <w:b/>
          <w:noProof/>
          <w:sz w:val="18"/>
          <w:szCs w:val="18"/>
          <w:lang w:eastAsia="cs-CZ"/>
        </w:rPr>
        <w:pict>
          <v:shape id="_x0000_i1037" type="#_x0000_t75" style="width:483.75pt;height:125.25pt">
            <v:imagedata r:id="rId23" o:title=""/>
          </v:shape>
        </w:pict>
      </w:r>
    </w:p>
    <w:p w:rsidR="00167D1F" w:rsidRPr="00856E93" w:rsidRDefault="00167D1F" w:rsidP="00167D1F">
      <w:pPr>
        <w:spacing w:after="0"/>
        <w:jc w:val="both"/>
        <w:rPr>
          <w:rFonts w:ascii="Arial" w:hAnsi="Arial" w:cs="Arial"/>
          <w:color w:val="FF0000"/>
          <w:sz w:val="18"/>
          <w:szCs w:val="18"/>
        </w:rPr>
      </w:pPr>
      <w:r w:rsidRPr="00856E93">
        <w:rPr>
          <w:rFonts w:ascii="Arial" w:hAnsi="Arial" w:cs="Arial"/>
          <w:b/>
          <w:color w:val="FF0000"/>
          <w:sz w:val="18"/>
          <w:szCs w:val="18"/>
        </w:rPr>
        <w:tab/>
      </w:r>
      <w:r w:rsidRPr="00856E93">
        <w:rPr>
          <w:rFonts w:ascii="Arial" w:hAnsi="Arial" w:cs="Arial"/>
          <w:b/>
          <w:color w:val="FF0000"/>
          <w:sz w:val="18"/>
          <w:szCs w:val="18"/>
        </w:rPr>
        <w:tab/>
      </w:r>
      <w:r w:rsidRPr="00856E93">
        <w:rPr>
          <w:rFonts w:ascii="Arial" w:hAnsi="Arial" w:cs="Arial"/>
          <w:b/>
          <w:color w:val="FF0000"/>
          <w:sz w:val="18"/>
          <w:szCs w:val="18"/>
        </w:rPr>
        <w:tab/>
      </w:r>
      <w:r w:rsidRPr="00856E93">
        <w:rPr>
          <w:rFonts w:ascii="Arial" w:hAnsi="Arial" w:cs="Arial"/>
          <w:b/>
          <w:color w:val="FF0000"/>
          <w:sz w:val="18"/>
          <w:szCs w:val="18"/>
        </w:rPr>
        <w:tab/>
      </w:r>
    </w:p>
    <w:p w:rsidR="00167D1F" w:rsidRPr="00E74651" w:rsidRDefault="00167D1F" w:rsidP="00732CDC">
      <w:pPr>
        <w:jc w:val="both"/>
        <w:rPr>
          <w:rFonts w:ascii="Arial" w:hAnsi="Arial" w:cs="Arial"/>
          <w:spacing w:val="-2"/>
          <w:sz w:val="18"/>
          <w:szCs w:val="18"/>
        </w:rPr>
      </w:pPr>
      <w:r w:rsidRPr="00E74651">
        <w:rPr>
          <w:rFonts w:ascii="Arial" w:hAnsi="Arial" w:cs="Arial"/>
          <w:b/>
          <w:sz w:val="18"/>
          <w:szCs w:val="18"/>
        </w:rPr>
        <w:t>Hlavním</w:t>
      </w:r>
      <w:r w:rsidRPr="00E74651">
        <w:rPr>
          <w:rFonts w:ascii="Arial" w:hAnsi="Arial" w:cs="Arial"/>
          <w:sz w:val="18"/>
          <w:szCs w:val="18"/>
        </w:rPr>
        <w:t xml:space="preserve"> obchodním </w:t>
      </w:r>
      <w:r w:rsidRPr="00E74651">
        <w:rPr>
          <w:rFonts w:ascii="Arial" w:hAnsi="Arial" w:cs="Arial"/>
          <w:b/>
          <w:sz w:val="18"/>
          <w:szCs w:val="18"/>
        </w:rPr>
        <w:t>partnerem</w:t>
      </w:r>
      <w:r w:rsidRPr="00E74651">
        <w:rPr>
          <w:rFonts w:ascii="Arial" w:hAnsi="Arial" w:cs="Arial"/>
          <w:sz w:val="18"/>
          <w:szCs w:val="18"/>
        </w:rPr>
        <w:t xml:space="preserve"> České republiky ze sousedních států je </w:t>
      </w:r>
      <w:r w:rsidRPr="00E74651">
        <w:rPr>
          <w:rFonts w:ascii="Arial" w:hAnsi="Arial" w:cs="Arial"/>
          <w:b/>
          <w:sz w:val="18"/>
          <w:szCs w:val="18"/>
        </w:rPr>
        <w:t>Německo</w:t>
      </w:r>
      <w:r w:rsidRPr="00E74651">
        <w:rPr>
          <w:rFonts w:ascii="Arial" w:hAnsi="Arial" w:cs="Arial"/>
          <w:sz w:val="18"/>
          <w:szCs w:val="18"/>
        </w:rPr>
        <w:t>, které je pochopitelně současně i nejvýznamnějším zahraničněobchodním partnerem České republiky. Na celkovém obratu zahraničního obchodu v roce 201</w:t>
      </w:r>
      <w:r w:rsidR="00E74651">
        <w:rPr>
          <w:rFonts w:ascii="Arial" w:hAnsi="Arial" w:cs="Arial"/>
          <w:sz w:val="18"/>
          <w:szCs w:val="18"/>
        </w:rPr>
        <w:t>7</w:t>
      </w:r>
      <w:r w:rsidRPr="00E74651">
        <w:rPr>
          <w:rFonts w:ascii="Arial" w:hAnsi="Arial" w:cs="Arial"/>
          <w:sz w:val="18"/>
          <w:szCs w:val="18"/>
        </w:rPr>
        <w:t xml:space="preserve"> se podílelo 29,</w:t>
      </w:r>
      <w:r w:rsidR="00E74651" w:rsidRPr="00E74651">
        <w:rPr>
          <w:rFonts w:ascii="Arial" w:hAnsi="Arial" w:cs="Arial"/>
          <w:sz w:val="18"/>
          <w:szCs w:val="18"/>
        </w:rPr>
        <w:t>4</w:t>
      </w:r>
      <w:r w:rsidRPr="00E74651">
        <w:rPr>
          <w:rFonts w:ascii="Arial" w:hAnsi="Arial" w:cs="Arial"/>
          <w:sz w:val="18"/>
          <w:szCs w:val="18"/>
        </w:rPr>
        <w:t xml:space="preserve"> %, zatímco na celkovém obratu zahraničního obchodu se sousedními státy 6</w:t>
      </w:r>
      <w:r w:rsidR="00F8281C" w:rsidRPr="00E74651">
        <w:rPr>
          <w:rFonts w:ascii="Arial" w:hAnsi="Arial" w:cs="Arial"/>
          <w:sz w:val="18"/>
          <w:szCs w:val="18"/>
        </w:rPr>
        <w:t>3</w:t>
      </w:r>
      <w:r w:rsidRPr="00E74651">
        <w:rPr>
          <w:rFonts w:ascii="Arial" w:hAnsi="Arial" w:cs="Arial"/>
          <w:sz w:val="18"/>
          <w:szCs w:val="18"/>
        </w:rPr>
        <w:t>,</w:t>
      </w:r>
      <w:r w:rsidR="00E74651" w:rsidRPr="00E74651">
        <w:rPr>
          <w:rFonts w:ascii="Arial" w:hAnsi="Arial" w:cs="Arial"/>
          <w:sz w:val="18"/>
          <w:szCs w:val="18"/>
        </w:rPr>
        <w:t>5</w:t>
      </w:r>
      <w:r w:rsidRPr="00E74651">
        <w:rPr>
          <w:rFonts w:ascii="Arial" w:hAnsi="Arial" w:cs="Arial"/>
          <w:sz w:val="18"/>
          <w:szCs w:val="18"/>
        </w:rPr>
        <w:t xml:space="preserve"> %. Podíl </w:t>
      </w:r>
      <w:r w:rsidRPr="00E74651">
        <w:rPr>
          <w:rFonts w:ascii="Arial" w:hAnsi="Arial" w:cs="Arial"/>
          <w:spacing w:val="-2"/>
          <w:sz w:val="18"/>
          <w:szCs w:val="18"/>
        </w:rPr>
        <w:t xml:space="preserve">Německa na vývozu do sousedních států </w:t>
      </w:r>
      <w:r w:rsidR="00732CDC">
        <w:rPr>
          <w:rFonts w:ascii="Arial" w:hAnsi="Arial" w:cs="Arial"/>
          <w:spacing w:val="-2"/>
          <w:sz w:val="18"/>
          <w:szCs w:val="18"/>
        </w:rPr>
        <w:t xml:space="preserve">ČR </w:t>
      </w:r>
      <w:r w:rsidR="00AF0E90" w:rsidRPr="00E74651">
        <w:rPr>
          <w:rFonts w:ascii="Arial" w:hAnsi="Arial" w:cs="Arial"/>
          <w:spacing w:val="-2"/>
          <w:sz w:val="18"/>
          <w:szCs w:val="18"/>
        </w:rPr>
        <w:t xml:space="preserve">se rovnal </w:t>
      </w:r>
      <w:r w:rsidR="00E74651" w:rsidRPr="00E74651">
        <w:rPr>
          <w:rFonts w:ascii="Arial" w:hAnsi="Arial" w:cs="Arial"/>
          <w:spacing w:val="-2"/>
          <w:sz w:val="18"/>
          <w:szCs w:val="18"/>
        </w:rPr>
        <w:t>64,4</w:t>
      </w:r>
      <w:r w:rsidR="00AF0E90" w:rsidRPr="00E74651">
        <w:rPr>
          <w:rFonts w:ascii="Arial" w:hAnsi="Arial" w:cs="Arial"/>
          <w:spacing w:val="-2"/>
          <w:sz w:val="18"/>
          <w:szCs w:val="18"/>
        </w:rPr>
        <w:t xml:space="preserve"> % a na dovozu </w:t>
      </w:r>
      <w:r w:rsidR="00B51DA6" w:rsidRPr="00E74651">
        <w:rPr>
          <w:rFonts w:ascii="Arial" w:hAnsi="Arial" w:cs="Arial"/>
          <w:spacing w:val="-2"/>
          <w:sz w:val="18"/>
          <w:szCs w:val="18"/>
        </w:rPr>
        <w:t xml:space="preserve">ze sousedních států </w:t>
      </w:r>
      <w:r w:rsidR="00732CDC">
        <w:rPr>
          <w:rFonts w:ascii="Arial" w:hAnsi="Arial" w:cs="Arial"/>
          <w:spacing w:val="-2"/>
          <w:sz w:val="18"/>
          <w:szCs w:val="18"/>
        </w:rPr>
        <w:t xml:space="preserve">ČR </w:t>
      </w:r>
      <w:r w:rsidR="00E74651" w:rsidRPr="00E74651">
        <w:rPr>
          <w:rFonts w:ascii="Arial" w:hAnsi="Arial" w:cs="Arial"/>
          <w:spacing w:val="-2"/>
          <w:sz w:val="18"/>
          <w:szCs w:val="18"/>
        </w:rPr>
        <w:t>62,2</w:t>
      </w:r>
      <w:r w:rsidRPr="00E74651">
        <w:rPr>
          <w:rFonts w:ascii="Arial" w:hAnsi="Arial" w:cs="Arial"/>
          <w:spacing w:val="-2"/>
          <w:sz w:val="18"/>
          <w:szCs w:val="18"/>
        </w:rPr>
        <w:t xml:space="preserve"> %.</w:t>
      </w:r>
    </w:p>
    <w:p w:rsidR="00167D1F" w:rsidRPr="00601DA3" w:rsidRDefault="00167D1F" w:rsidP="00167D1F">
      <w:pPr>
        <w:spacing w:before="240" w:after="80"/>
        <w:jc w:val="both"/>
        <w:rPr>
          <w:rFonts w:ascii="Arial" w:hAnsi="Arial" w:cs="Arial"/>
          <w:b/>
          <w:sz w:val="18"/>
          <w:szCs w:val="18"/>
        </w:rPr>
      </w:pPr>
      <w:r w:rsidRPr="00601DA3">
        <w:rPr>
          <w:rFonts w:ascii="Arial" w:hAnsi="Arial" w:cs="Arial"/>
          <w:b/>
          <w:sz w:val="18"/>
          <w:szCs w:val="18"/>
        </w:rPr>
        <w:t>Graf 1</w:t>
      </w:r>
      <w:r w:rsidR="00AD7C59" w:rsidRPr="00601DA3">
        <w:rPr>
          <w:rFonts w:ascii="Arial" w:hAnsi="Arial" w:cs="Arial"/>
          <w:b/>
          <w:sz w:val="18"/>
          <w:szCs w:val="18"/>
        </w:rPr>
        <w:t>1</w:t>
      </w:r>
      <w:r w:rsidRPr="00601DA3">
        <w:rPr>
          <w:rFonts w:ascii="Arial" w:hAnsi="Arial" w:cs="Arial"/>
          <w:b/>
          <w:sz w:val="18"/>
          <w:szCs w:val="18"/>
        </w:rPr>
        <w:t xml:space="preserve"> - Zahraniční obchod ČR se sousedními státy v roce 201</w:t>
      </w:r>
      <w:r w:rsidR="00601DA3" w:rsidRPr="00601DA3">
        <w:rPr>
          <w:rFonts w:ascii="Arial" w:hAnsi="Arial" w:cs="Arial"/>
          <w:b/>
          <w:sz w:val="18"/>
          <w:szCs w:val="18"/>
        </w:rPr>
        <w:t>7</w:t>
      </w:r>
      <w:r w:rsidRPr="00601DA3">
        <w:rPr>
          <w:rFonts w:ascii="Arial" w:hAnsi="Arial" w:cs="Arial"/>
          <w:b/>
          <w:sz w:val="18"/>
          <w:szCs w:val="18"/>
        </w:rPr>
        <w:t xml:space="preserve"> </w:t>
      </w:r>
    </w:p>
    <w:p w:rsidR="00167D1F" w:rsidRPr="00856E93" w:rsidRDefault="0012752A" w:rsidP="00167D1F">
      <w:pPr>
        <w:spacing w:after="120"/>
        <w:jc w:val="both"/>
        <w:rPr>
          <w:rFonts w:ascii="Arial" w:hAnsi="Arial" w:cs="Arial"/>
          <w:color w:val="FF0000"/>
          <w:spacing w:val="-2"/>
          <w:sz w:val="18"/>
          <w:szCs w:val="18"/>
        </w:rPr>
      </w:pPr>
      <w:r>
        <w:rPr>
          <w:rFonts w:ascii="Arial" w:hAnsi="Arial" w:cs="Arial"/>
          <w:noProof/>
          <w:color w:val="FF0000"/>
          <w:spacing w:val="-2"/>
          <w:sz w:val="18"/>
          <w:szCs w:val="18"/>
          <w:lang w:eastAsia="cs-CZ"/>
        </w:rPr>
        <w:pict>
          <v:shape id="_x0000_i1038" type="#_x0000_t75" style="width:480.75pt;height:136.5pt">
            <v:imagedata r:id="rId24" o:title=""/>
          </v:shape>
        </w:pict>
      </w:r>
    </w:p>
    <w:p w:rsidR="000F335B" w:rsidRPr="00464168" w:rsidRDefault="00167D1F" w:rsidP="003911A7">
      <w:pPr>
        <w:spacing w:before="240" w:after="120"/>
        <w:jc w:val="both"/>
        <w:rPr>
          <w:rFonts w:ascii="Arial" w:hAnsi="Arial" w:cs="Arial"/>
          <w:sz w:val="18"/>
          <w:szCs w:val="18"/>
        </w:rPr>
      </w:pPr>
      <w:r w:rsidRPr="00464168">
        <w:rPr>
          <w:rFonts w:ascii="Arial" w:hAnsi="Arial" w:cs="Arial"/>
          <w:b/>
          <w:sz w:val="18"/>
          <w:szCs w:val="18"/>
        </w:rPr>
        <w:t>Druhý</w:t>
      </w:r>
      <w:r w:rsidR="00B715F4" w:rsidRPr="00464168">
        <w:rPr>
          <w:rFonts w:ascii="Arial" w:hAnsi="Arial" w:cs="Arial"/>
          <w:b/>
          <w:sz w:val="18"/>
          <w:szCs w:val="18"/>
        </w:rPr>
        <w:t>m</w:t>
      </w:r>
      <w:r w:rsidRPr="00464168">
        <w:rPr>
          <w:rFonts w:ascii="Arial" w:hAnsi="Arial" w:cs="Arial"/>
          <w:sz w:val="18"/>
          <w:szCs w:val="18"/>
        </w:rPr>
        <w:t xml:space="preserve"> největší</w:t>
      </w:r>
      <w:r w:rsidR="00B715F4" w:rsidRPr="00464168">
        <w:rPr>
          <w:rFonts w:ascii="Arial" w:hAnsi="Arial" w:cs="Arial"/>
          <w:sz w:val="18"/>
          <w:szCs w:val="18"/>
        </w:rPr>
        <w:t>m</w:t>
      </w:r>
      <w:r w:rsidR="00D31D34" w:rsidRPr="00464168">
        <w:rPr>
          <w:rFonts w:ascii="Arial" w:hAnsi="Arial" w:cs="Arial"/>
          <w:sz w:val="18"/>
          <w:szCs w:val="18"/>
        </w:rPr>
        <w:t xml:space="preserve"> </w:t>
      </w:r>
      <w:r w:rsidR="00B715F4" w:rsidRPr="00464168">
        <w:rPr>
          <w:rFonts w:ascii="Arial" w:hAnsi="Arial" w:cs="Arial"/>
          <w:sz w:val="18"/>
          <w:szCs w:val="18"/>
        </w:rPr>
        <w:t xml:space="preserve">zahraničněobchodním </w:t>
      </w:r>
      <w:r w:rsidR="00B715F4" w:rsidRPr="00464168">
        <w:rPr>
          <w:rFonts w:ascii="Arial" w:hAnsi="Arial" w:cs="Arial"/>
          <w:b/>
          <w:sz w:val="18"/>
          <w:szCs w:val="18"/>
        </w:rPr>
        <w:t>partnerem</w:t>
      </w:r>
      <w:r w:rsidRPr="00464168">
        <w:rPr>
          <w:rFonts w:ascii="Arial" w:hAnsi="Arial" w:cs="Arial"/>
          <w:sz w:val="18"/>
          <w:szCs w:val="18"/>
        </w:rPr>
        <w:t xml:space="preserve"> České republiky </w:t>
      </w:r>
      <w:r w:rsidR="00B715F4" w:rsidRPr="00464168">
        <w:rPr>
          <w:rFonts w:ascii="Arial" w:hAnsi="Arial" w:cs="Arial"/>
          <w:sz w:val="18"/>
          <w:szCs w:val="18"/>
        </w:rPr>
        <w:t>ze</w:t>
      </w:r>
      <w:r w:rsidRPr="00464168">
        <w:rPr>
          <w:rFonts w:ascii="Arial" w:hAnsi="Arial" w:cs="Arial"/>
          <w:sz w:val="18"/>
          <w:szCs w:val="18"/>
        </w:rPr>
        <w:t xml:space="preserve"> sousední</w:t>
      </w:r>
      <w:r w:rsidR="00B715F4" w:rsidRPr="00464168">
        <w:rPr>
          <w:rFonts w:ascii="Arial" w:hAnsi="Arial" w:cs="Arial"/>
          <w:sz w:val="18"/>
          <w:szCs w:val="18"/>
        </w:rPr>
        <w:t>ch</w:t>
      </w:r>
      <w:r w:rsidRPr="00464168">
        <w:rPr>
          <w:rFonts w:ascii="Arial" w:hAnsi="Arial" w:cs="Arial"/>
          <w:sz w:val="18"/>
          <w:szCs w:val="18"/>
        </w:rPr>
        <w:t xml:space="preserve"> stát</w:t>
      </w:r>
      <w:r w:rsidR="00B715F4" w:rsidRPr="00464168">
        <w:rPr>
          <w:rFonts w:ascii="Arial" w:hAnsi="Arial" w:cs="Arial"/>
          <w:sz w:val="18"/>
          <w:szCs w:val="18"/>
        </w:rPr>
        <w:t>ů je</w:t>
      </w:r>
      <w:r w:rsidRPr="00464168">
        <w:rPr>
          <w:rFonts w:ascii="Arial" w:hAnsi="Arial" w:cs="Arial"/>
          <w:sz w:val="18"/>
          <w:szCs w:val="18"/>
        </w:rPr>
        <w:t xml:space="preserve"> </w:t>
      </w:r>
      <w:r w:rsidR="00AF0E90" w:rsidRPr="00464168">
        <w:rPr>
          <w:rFonts w:ascii="Arial" w:hAnsi="Arial" w:cs="Arial"/>
          <w:b/>
          <w:sz w:val="18"/>
          <w:szCs w:val="18"/>
        </w:rPr>
        <w:t>Polsko</w:t>
      </w:r>
      <w:r w:rsidR="00B310D7" w:rsidRPr="00464168">
        <w:rPr>
          <w:rFonts w:ascii="Arial" w:hAnsi="Arial" w:cs="Arial"/>
          <w:sz w:val="18"/>
          <w:szCs w:val="18"/>
        </w:rPr>
        <w:t xml:space="preserve"> (14,</w:t>
      </w:r>
      <w:r w:rsidR="00464168" w:rsidRPr="00464168">
        <w:rPr>
          <w:rFonts w:ascii="Arial" w:hAnsi="Arial" w:cs="Arial"/>
          <w:sz w:val="18"/>
          <w:szCs w:val="18"/>
        </w:rPr>
        <w:t>7</w:t>
      </w:r>
      <w:r w:rsidR="00464168">
        <w:rPr>
          <w:rFonts w:ascii="Arial" w:hAnsi="Arial" w:cs="Arial"/>
          <w:sz w:val="18"/>
          <w:szCs w:val="18"/>
        </w:rPr>
        <w:t> </w:t>
      </w:r>
      <w:r w:rsidR="00B310D7" w:rsidRPr="00464168">
        <w:rPr>
          <w:rFonts w:ascii="Arial" w:hAnsi="Arial" w:cs="Arial"/>
          <w:sz w:val="18"/>
          <w:szCs w:val="18"/>
        </w:rPr>
        <w:t>%)</w:t>
      </w:r>
      <w:r w:rsidR="000F335B" w:rsidRPr="00464168">
        <w:rPr>
          <w:rFonts w:ascii="Arial" w:hAnsi="Arial" w:cs="Arial"/>
          <w:sz w:val="18"/>
          <w:szCs w:val="18"/>
        </w:rPr>
        <w:t>, které mělo i druhý největší podíl (6,</w:t>
      </w:r>
      <w:r w:rsidR="00464168" w:rsidRPr="00464168">
        <w:rPr>
          <w:rFonts w:ascii="Arial" w:hAnsi="Arial" w:cs="Arial"/>
          <w:sz w:val="18"/>
          <w:szCs w:val="18"/>
        </w:rPr>
        <w:t>8</w:t>
      </w:r>
      <w:r w:rsidR="00B51DA6" w:rsidRPr="00464168">
        <w:rPr>
          <w:rFonts w:ascii="Arial" w:hAnsi="Arial" w:cs="Arial"/>
          <w:sz w:val="18"/>
          <w:szCs w:val="18"/>
        </w:rPr>
        <w:t xml:space="preserve"> </w:t>
      </w:r>
      <w:r w:rsidR="00005885" w:rsidRPr="00464168">
        <w:rPr>
          <w:rFonts w:ascii="Arial" w:hAnsi="Arial" w:cs="Arial"/>
          <w:sz w:val="18"/>
          <w:szCs w:val="18"/>
        </w:rPr>
        <w:t>%</w:t>
      </w:r>
      <w:r w:rsidR="000F335B" w:rsidRPr="00464168">
        <w:rPr>
          <w:rFonts w:ascii="Arial" w:hAnsi="Arial" w:cs="Arial"/>
          <w:sz w:val="18"/>
          <w:szCs w:val="18"/>
        </w:rPr>
        <w:t>) na celkovém zahraničním obchodu ČR</w:t>
      </w:r>
      <w:r w:rsidR="00005885" w:rsidRPr="00464168">
        <w:rPr>
          <w:rFonts w:ascii="Arial" w:hAnsi="Arial" w:cs="Arial"/>
          <w:sz w:val="18"/>
          <w:szCs w:val="18"/>
        </w:rPr>
        <w:t xml:space="preserve"> v roce 201</w:t>
      </w:r>
      <w:r w:rsidR="00464168" w:rsidRPr="00464168">
        <w:rPr>
          <w:rFonts w:ascii="Arial" w:hAnsi="Arial" w:cs="Arial"/>
          <w:sz w:val="18"/>
          <w:szCs w:val="18"/>
        </w:rPr>
        <w:t>7</w:t>
      </w:r>
      <w:r w:rsidR="000F335B" w:rsidRPr="00464168">
        <w:rPr>
          <w:rFonts w:ascii="Arial" w:hAnsi="Arial" w:cs="Arial"/>
          <w:sz w:val="18"/>
          <w:szCs w:val="18"/>
        </w:rPr>
        <w:t xml:space="preserve">. Hodnota </w:t>
      </w:r>
      <w:r w:rsidR="000F335B" w:rsidRPr="00464168">
        <w:rPr>
          <w:rFonts w:ascii="Arial" w:hAnsi="Arial" w:cs="Arial"/>
          <w:b/>
          <w:sz w:val="18"/>
          <w:szCs w:val="18"/>
        </w:rPr>
        <w:t>obratu</w:t>
      </w:r>
      <w:r w:rsidR="000F335B" w:rsidRPr="00464168">
        <w:rPr>
          <w:rFonts w:ascii="Arial" w:hAnsi="Arial" w:cs="Arial"/>
          <w:sz w:val="18"/>
          <w:szCs w:val="18"/>
        </w:rPr>
        <w:t xml:space="preserve"> zahraničního obchodu Česka s </w:t>
      </w:r>
      <w:r w:rsidR="00B310D7" w:rsidRPr="00464168">
        <w:rPr>
          <w:rFonts w:ascii="Arial" w:hAnsi="Arial" w:cs="Arial"/>
          <w:sz w:val="18"/>
          <w:szCs w:val="18"/>
        </w:rPr>
        <w:t>Polskem</w:t>
      </w:r>
      <w:r w:rsidR="000F335B" w:rsidRPr="00464168">
        <w:rPr>
          <w:rFonts w:ascii="Arial" w:hAnsi="Arial" w:cs="Arial"/>
          <w:sz w:val="18"/>
          <w:szCs w:val="18"/>
        </w:rPr>
        <w:t xml:space="preserve"> byla však v porovnání s hodnotou obratu zahraničního obchodu s Německem výrazně nižší (zhruba na úrovni jedné čtvrtiny), takže i vliv obchodu s Polskem na celkový zahraniční obchod ČR byl podstatně slabší (ve srovnání s Německem). </w:t>
      </w:r>
    </w:p>
    <w:p w:rsidR="00167D1F" w:rsidRPr="006B3712" w:rsidRDefault="00144DB5" w:rsidP="00167D1F">
      <w:pPr>
        <w:spacing w:after="120"/>
        <w:jc w:val="both"/>
        <w:rPr>
          <w:rFonts w:ascii="Arial" w:hAnsi="Arial" w:cs="Arial"/>
          <w:sz w:val="18"/>
          <w:szCs w:val="18"/>
        </w:rPr>
      </w:pPr>
      <w:r w:rsidRPr="009F1889">
        <w:rPr>
          <w:rFonts w:ascii="Arial" w:hAnsi="Arial" w:cs="Arial"/>
          <w:b/>
          <w:sz w:val="18"/>
          <w:szCs w:val="18"/>
        </w:rPr>
        <w:t>Již podruhé</w:t>
      </w:r>
      <w:r w:rsidR="000F335B" w:rsidRPr="009F1889">
        <w:rPr>
          <w:rFonts w:ascii="Arial" w:hAnsi="Arial" w:cs="Arial"/>
          <w:b/>
          <w:sz w:val="18"/>
          <w:szCs w:val="18"/>
        </w:rPr>
        <w:t xml:space="preserve"> od vzniku samostatné České republiky v roce 1993 se </w:t>
      </w:r>
      <w:r w:rsidR="004422E7" w:rsidRPr="009F1889">
        <w:rPr>
          <w:rFonts w:ascii="Arial" w:hAnsi="Arial" w:cs="Arial"/>
          <w:b/>
          <w:sz w:val="18"/>
          <w:szCs w:val="18"/>
        </w:rPr>
        <w:t xml:space="preserve">Slovensko celkovým součtem hodnoty </w:t>
      </w:r>
      <w:r w:rsidR="00215FA5" w:rsidRPr="009F1889">
        <w:rPr>
          <w:rFonts w:ascii="Arial" w:hAnsi="Arial" w:cs="Arial"/>
          <w:b/>
          <w:sz w:val="18"/>
          <w:szCs w:val="18"/>
        </w:rPr>
        <w:t>vyvezeného a </w:t>
      </w:r>
      <w:r w:rsidR="00592D30" w:rsidRPr="009F1889">
        <w:rPr>
          <w:rFonts w:ascii="Arial" w:hAnsi="Arial" w:cs="Arial"/>
          <w:b/>
          <w:sz w:val="18"/>
          <w:szCs w:val="18"/>
        </w:rPr>
        <w:t>dovezeného zboží</w:t>
      </w:r>
      <w:r w:rsidR="004422E7" w:rsidRPr="009F1889">
        <w:rPr>
          <w:rFonts w:ascii="Arial" w:hAnsi="Arial" w:cs="Arial"/>
          <w:b/>
          <w:sz w:val="18"/>
          <w:szCs w:val="18"/>
        </w:rPr>
        <w:t xml:space="preserve"> nezařadilo na stabilní druhou příčku. </w:t>
      </w:r>
      <w:r w:rsidR="009F1889" w:rsidRPr="009F1889">
        <w:rPr>
          <w:rFonts w:ascii="Arial" w:hAnsi="Arial" w:cs="Arial"/>
          <w:b/>
          <w:sz w:val="18"/>
          <w:szCs w:val="18"/>
        </w:rPr>
        <w:t>Z hlediska pořadí</w:t>
      </w:r>
      <w:r w:rsidR="00B66816">
        <w:rPr>
          <w:rStyle w:val="Znakapoznpodarou"/>
          <w:rFonts w:ascii="Arial" w:hAnsi="Arial" w:cs="Arial"/>
          <w:b/>
          <w:sz w:val="18"/>
          <w:szCs w:val="18"/>
        </w:rPr>
        <w:footnoteReference w:id="5"/>
      </w:r>
      <w:r w:rsidR="00B66816">
        <w:rPr>
          <w:rFonts w:ascii="Arial" w:hAnsi="Arial" w:cs="Arial"/>
          <w:b/>
          <w:sz w:val="18"/>
          <w:szCs w:val="18"/>
        </w:rPr>
        <w:t xml:space="preserve"> </w:t>
      </w:r>
      <w:r w:rsidR="009F1889" w:rsidRPr="009F1889">
        <w:rPr>
          <w:rFonts w:ascii="Arial" w:hAnsi="Arial" w:cs="Arial"/>
          <w:b/>
          <w:sz w:val="18"/>
          <w:szCs w:val="18"/>
        </w:rPr>
        <w:t xml:space="preserve">jednotlivých států podle hodnoty obratu zahraničního obchodu klesl obchod se Slovenskem z třetího místa </w:t>
      </w:r>
      <w:r w:rsidR="00D84CF3">
        <w:rPr>
          <w:rFonts w:ascii="Arial" w:hAnsi="Arial" w:cs="Arial"/>
          <w:b/>
          <w:sz w:val="18"/>
          <w:szCs w:val="18"/>
        </w:rPr>
        <w:t xml:space="preserve">v roce 2016 </w:t>
      </w:r>
      <w:r w:rsidR="00B66816">
        <w:rPr>
          <w:rFonts w:ascii="Arial" w:hAnsi="Arial" w:cs="Arial"/>
          <w:b/>
          <w:sz w:val="18"/>
          <w:szCs w:val="18"/>
        </w:rPr>
        <w:t xml:space="preserve">na čtvrté. </w:t>
      </w:r>
      <w:r w:rsidR="004422E7" w:rsidRPr="009F1889">
        <w:rPr>
          <w:rFonts w:ascii="Arial" w:hAnsi="Arial" w:cs="Arial"/>
          <w:sz w:val="18"/>
          <w:szCs w:val="18"/>
        </w:rPr>
        <w:t>V</w:t>
      </w:r>
      <w:r w:rsidR="003911A7">
        <w:rPr>
          <w:rFonts w:ascii="Arial" w:hAnsi="Arial" w:cs="Arial"/>
          <w:sz w:val="18"/>
          <w:szCs w:val="18"/>
        </w:rPr>
        <w:t> </w:t>
      </w:r>
      <w:r w:rsidR="004422E7" w:rsidRPr="009F1889">
        <w:rPr>
          <w:rFonts w:ascii="Arial" w:hAnsi="Arial" w:cs="Arial"/>
          <w:sz w:val="18"/>
          <w:szCs w:val="18"/>
        </w:rPr>
        <w:t>roce</w:t>
      </w:r>
      <w:r w:rsidR="003911A7">
        <w:rPr>
          <w:rFonts w:ascii="Arial" w:hAnsi="Arial" w:cs="Arial"/>
          <w:sz w:val="18"/>
          <w:szCs w:val="18"/>
        </w:rPr>
        <w:t> </w:t>
      </w:r>
      <w:r w:rsidR="004422E7" w:rsidRPr="006B3712">
        <w:rPr>
          <w:rFonts w:ascii="Arial" w:hAnsi="Arial" w:cs="Arial"/>
          <w:sz w:val="18"/>
          <w:szCs w:val="18"/>
        </w:rPr>
        <w:t>201</w:t>
      </w:r>
      <w:r w:rsidR="006B3712" w:rsidRPr="006B3712">
        <w:rPr>
          <w:rFonts w:ascii="Arial" w:hAnsi="Arial" w:cs="Arial"/>
          <w:sz w:val="18"/>
          <w:szCs w:val="18"/>
        </w:rPr>
        <w:t>7</w:t>
      </w:r>
      <w:r w:rsidR="004422E7" w:rsidRPr="006B3712">
        <w:rPr>
          <w:rFonts w:ascii="Arial" w:hAnsi="Arial" w:cs="Arial"/>
          <w:sz w:val="18"/>
          <w:szCs w:val="18"/>
        </w:rPr>
        <w:t xml:space="preserve"> </w:t>
      </w:r>
      <w:r w:rsidR="009F1889">
        <w:rPr>
          <w:rFonts w:ascii="Arial" w:hAnsi="Arial" w:cs="Arial"/>
          <w:sz w:val="18"/>
          <w:szCs w:val="18"/>
        </w:rPr>
        <w:t>obrat</w:t>
      </w:r>
      <w:r w:rsidR="00876658" w:rsidRPr="006B3712">
        <w:rPr>
          <w:rFonts w:ascii="Arial" w:hAnsi="Arial" w:cs="Arial"/>
          <w:sz w:val="18"/>
          <w:szCs w:val="18"/>
        </w:rPr>
        <w:t xml:space="preserve"> s tímto státem </w:t>
      </w:r>
      <w:r w:rsidR="006B3712" w:rsidRPr="006B3712">
        <w:rPr>
          <w:rFonts w:ascii="Arial" w:hAnsi="Arial" w:cs="Arial"/>
          <w:sz w:val="18"/>
          <w:szCs w:val="18"/>
        </w:rPr>
        <w:t xml:space="preserve">opět </w:t>
      </w:r>
      <w:r w:rsidR="004422E7" w:rsidRPr="006B3712">
        <w:rPr>
          <w:rFonts w:ascii="Arial" w:hAnsi="Arial" w:cs="Arial"/>
          <w:sz w:val="18"/>
          <w:szCs w:val="18"/>
        </w:rPr>
        <w:t xml:space="preserve">nedosáhl hodnot předcházejícího roku a meziročně klesl o </w:t>
      </w:r>
      <w:r w:rsidR="006B3712" w:rsidRPr="006B3712">
        <w:rPr>
          <w:rFonts w:ascii="Arial" w:hAnsi="Arial" w:cs="Arial"/>
          <w:sz w:val="18"/>
          <w:szCs w:val="18"/>
        </w:rPr>
        <w:t>0</w:t>
      </w:r>
      <w:r w:rsidR="00876658" w:rsidRPr="006B3712">
        <w:rPr>
          <w:rFonts w:ascii="Arial" w:hAnsi="Arial" w:cs="Arial"/>
          <w:sz w:val="18"/>
          <w:szCs w:val="18"/>
        </w:rPr>
        <w:t>,3</w:t>
      </w:r>
      <w:r w:rsidR="00557A47">
        <w:rPr>
          <w:rFonts w:ascii="Arial" w:hAnsi="Arial" w:cs="Arial"/>
          <w:sz w:val="18"/>
          <w:szCs w:val="18"/>
        </w:rPr>
        <w:t xml:space="preserve"> </w:t>
      </w:r>
      <w:r w:rsidR="00592D30" w:rsidRPr="006B3712">
        <w:rPr>
          <w:rFonts w:ascii="Arial" w:hAnsi="Arial" w:cs="Arial"/>
          <w:sz w:val="18"/>
          <w:szCs w:val="18"/>
        </w:rPr>
        <w:t>%</w:t>
      </w:r>
      <w:r w:rsidR="009F1889">
        <w:rPr>
          <w:rFonts w:ascii="Arial" w:hAnsi="Arial" w:cs="Arial"/>
          <w:sz w:val="18"/>
          <w:szCs w:val="18"/>
        </w:rPr>
        <w:t xml:space="preserve">, přestože dovoz vzrostl o 3,4 %, ale hodnotově významnější vývoz klesl </w:t>
      </w:r>
      <w:r w:rsidR="00AA5D6C">
        <w:rPr>
          <w:rFonts w:ascii="Arial" w:hAnsi="Arial" w:cs="Arial"/>
          <w:sz w:val="18"/>
          <w:szCs w:val="18"/>
        </w:rPr>
        <w:t xml:space="preserve">o </w:t>
      </w:r>
      <w:r w:rsidR="009F1889">
        <w:rPr>
          <w:rFonts w:ascii="Arial" w:hAnsi="Arial" w:cs="Arial"/>
          <w:sz w:val="18"/>
          <w:szCs w:val="18"/>
        </w:rPr>
        <w:t>2,3 %.</w:t>
      </w:r>
    </w:p>
    <w:p w:rsidR="00BA7845" w:rsidRPr="00856E93" w:rsidRDefault="00167D1F" w:rsidP="00CE57E0">
      <w:pPr>
        <w:spacing w:after="0"/>
        <w:rPr>
          <w:rFonts w:ascii="Arial" w:hAnsi="Arial" w:cs="Arial"/>
          <w:b/>
          <w:color w:val="FF0000"/>
          <w:sz w:val="19"/>
          <w:szCs w:val="19"/>
        </w:rPr>
      </w:pPr>
      <w:r w:rsidRPr="00464168">
        <w:rPr>
          <w:rFonts w:ascii="Arial" w:hAnsi="Arial" w:cs="Arial"/>
          <w:b/>
          <w:sz w:val="18"/>
          <w:szCs w:val="18"/>
        </w:rPr>
        <w:t>Nejnižší</w:t>
      </w:r>
      <w:r w:rsidRPr="00464168">
        <w:rPr>
          <w:rFonts w:ascii="Arial" w:hAnsi="Arial" w:cs="Arial"/>
          <w:sz w:val="18"/>
          <w:szCs w:val="18"/>
        </w:rPr>
        <w:t xml:space="preserve"> zastoupení (</w:t>
      </w:r>
      <w:r w:rsidR="00464168" w:rsidRPr="00464168">
        <w:rPr>
          <w:rFonts w:ascii="Arial" w:hAnsi="Arial" w:cs="Arial"/>
          <w:sz w:val="18"/>
          <w:szCs w:val="18"/>
        </w:rPr>
        <w:t>8,2</w:t>
      </w:r>
      <w:r w:rsidRPr="00464168">
        <w:rPr>
          <w:rFonts w:ascii="Arial" w:hAnsi="Arial" w:cs="Arial"/>
          <w:sz w:val="18"/>
          <w:szCs w:val="18"/>
        </w:rPr>
        <w:t xml:space="preserve"> % v roce 201</w:t>
      </w:r>
      <w:r w:rsidR="00464168" w:rsidRPr="00464168">
        <w:rPr>
          <w:rFonts w:ascii="Arial" w:hAnsi="Arial" w:cs="Arial"/>
          <w:sz w:val="18"/>
          <w:szCs w:val="18"/>
        </w:rPr>
        <w:t>7</w:t>
      </w:r>
      <w:r w:rsidRPr="00464168">
        <w:rPr>
          <w:rFonts w:ascii="Arial" w:hAnsi="Arial" w:cs="Arial"/>
          <w:sz w:val="18"/>
          <w:szCs w:val="18"/>
        </w:rPr>
        <w:t xml:space="preserve">) na zahraničním obchodu České republiky se sousedními </w:t>
      </w:r>
      <w:r w:rsidRPr="004B2B73">
        <w:rPr>
          <w:rFonts w:ascii="Arial" w:hAnsi="Arial" w:cs="Arial"/>
          <w:sz w:val="18"/>
          <w:szCs w:val="18"/>
        </w:rPr>
        <w:t xml:space="preserve">státy mělo </w:t>
      </w:r>
      <w:r w:rsidRPr="004B2B73">
        <w:rPr>
          <w:rFonts w:ascii="Arial" w:hAnsi="Arial" w:cs="Arial"/>
          <w:b/>
          <w:sz w:val="18"/>
          <w:szCs w:val="18"/>
        </w:rPr>
        <w:t>Rakousko</w:t>
      </w:r>
      <w:r w:rsidRPr="004B2B73">
        <w:rPr>
          <w:rFonts w:ascii="Arial" w:hAnsi="Arial" w:cs="Arial"/>
          <w:sz w:val="18"/>
          <w:szCs w:val="18"/>
        </w:rPr>
        <w:t>,</w:t>
      </w:r>
      <w:r w:rsidRPr="00856E93">
        <w:rPr>
          <w:rFonts w:ascii="Arial" w:hAnsi="Arial" w:cs="Arial"/>
          <w:color w:val="FF0000"/>
          <w:sz w:val="18"/>
          <w:szCs w:val="18"/>
        </w:rPr>
        <w:t xml:space="preserve"> </w:t>
      </w:r>
      <w:r w:rsidRPr="00464168">
        <w:rPr>
          <w:rFonts w:ascii="Arial" w:hAnsi="Arial" w:cs="Arial"/>
          <w:sz w:val="18"/>
          <w:szCs w:val="18"/>
        </w:rPr>
        <w:t>které se s podílem 3,</w:t>
      </w:r>
      <w:r w:rsidR="00464168" w:rsidRPr="00464168">
        <w:rPr>
          <w:rFonts w:ascii="Arial" w:hAnsi="Arial" w:cs="Arial"/>
          <w:sz w:val="18"/>
          <w:szCs w:val="18"/>
        </w:rPr>
        <w:t>8</w:t>
      </w:r>
      <w:r w:rsidRPr="00464168">
        <w:rPr>
          <w:rFonts w:ascii="Arial" w:hAnsi="Arial" w:cs="Arial"/>
          <w:sz w:val="18"/>
          <w:szCs w:val="18"/>
        </w:rPr>
        <w:t xml:space="preserve"> % na celkovém obratu zahraničního obchodu ČR </w:t>
      </w:r>
      <w:r w:rsidRPr="006B3712">
        <w:rPr>
          <w:rFonts w:ascii="Arial" w:hAnsi="Arial" w:cs="Arial"/>
          <w:sz w:val="18"/>
          <w:szCs w:val="18"/>
        </w:rPr>
        <w:t>umístilo na osmém místě.</w:t>
      </w:r>
      <w:r w:rsidR="00803DE5" w:rsidRPr="00856E93">
        <w:rPr>
          <w:rFonts w:ascii="Arial" w:hAnsi="Arial" w:cs="Arial"/>
          <w:color w:val="FF0000"/>
          <w:sz w:val="18"/>
          <w:szCs w:val="18"/>
        </w:rPr>
        <w:t xml:space="preserve"> </w:t>
      </w:r>
      <w:r w:rsidR="0065350B" w:rsidRPr="00856E93">
        <w:rPr>
          <w:rFonts w:ascii="Arial" w:hAnsi="Arial" w:cs="Arial"/>
          <w:color w:val="FF0000"/>
          <w:sz w:val="18"/>
          <w:szCs w:val="18"/>
        </w:rPr>
        <w:t xml:space="preserve">    </w:t>
      </w:r>
      <w:r w:rsidR="00C670C7" w:rsidRPr="00856E93">
        <w:rPr>
          <w:rFonts w:ascii="Arial" w:hAnsi="Arial" w:cs="Arial"/>
          <w:noProof/>
          <w:color w:val="FF0000"/>
          <w:sz w:val="18"/>
          <w:szCs w:val="18"/>
          <w:lang w:eastAsia="cs-CZ"/>
        </w:rPr>
        <w:t xml:space="preserve">   </w:t>
      </w:r>
      <w:r w:rsidR="00BA7845" w:rsidRPr="00856E93">
        <w:rPr>
          <w:rFonts w:ascii="Arial" w:hAnsi="Arial" w:cs="Arial"/>
          <w:color w:val="FF0000"/>
          <w:sz w:val="18"/>
          <w:szCs w:val="18"/>
        </w:rPr>
        <w:t xml:space="preserve">   </w:t>
      </w:r>
    </w:p>
    <w:p w:rsidR="00330050" w:rsidRPr="00856E93" w:rsidRDefault="00330050" w:rsidP="004F3D8E">
      <w:pPr>
        <w:spacing w:after="0"/>
        <w:jc w:val="both"/>
        <w:rPr>
          <w:rFonts w:ascii="Arial" w:hAnsi="Arial" w:cs="Arial"/>
          <w:b/>
          <w:color w:val="FF0000"/>
          <w:sz w:val="4"/>
          <w:szCs w:val="4"/>
        </w:rPr>
      </w:pPr>
    </w:p>
    <w:p w:rsidR="00BA7845" w:rsidRPr="00D84CF3" w:rsidRDefault="00BA7845" w:rsidP="00352753">
      <w:pPr>
        <w:numPr>
          <w:ilvl w:val="0"/>
          <w:numId w:val="1"/>
        </w:numPr>
        <w:spacing w:after="120"/>
        <w:ind w:left="567" w:hanging="567"/>
        <w:rPr>
          <w:rFonts w:ascii="Arial" w:hAnsi="Arial" w:cs="Arial"/>
          <w:b/>
        </w:rPr>
      </w:pPr>
      <w:r w:rsidRPr="00D84CF3">
        <w:rPr>
          <w:rFonts w:ascii="Arial" w:hAnsi="Arial" w:cs="Arial"/>
          <w:b/>
        </w:rPr>
        <w:lastRenderedPageBreak/>
        <w:t>Zbožová struktura</w:t>
      </w:r>
      <w:r w:rsidR="00061F1B">
        <w:rPr>
          <w:rFonts w:ascii="Arial" w:hAnsi="Arial" w:cs="Arial"/>
          <w:b/>
        </w:rPr>
        <w:t xml:space="preserve"> </w:t>
      </w:r>
    </w:p>
    <w:p w:rsidR="00BA7845" w:rsidRPr="00D84CF3" w:rsidRDefault="00061F1B" w:rsidP="00BA7845">
      <w:pPr>
        <w:numPr>
          <w:ilvl w:val="1"/>
          <w:numId w:val="1"/>
        </w:numPr>
        <w:tabs>
          <w:tab w:val="left" w:pos="567"/>
        </w:tabs>
        <w:spacing w:after="120"/>
        <w:ind w:hanging="792"/>
        <w:rPr>
          <w:rFonts w:ascii="Arial" w:hAnsi="Arial" w:cs="Arial"/>
          <w:b/>
          <w:sz w:val="21"/>
          <w:szCs w:val="21"/>
        </w:rPr>
      </w:pPr>
      <w:r>
        <w:rPr>
          <w:rFonts w:ascii="Arial" w:hAnsi="Arial" w:cs="Arial"/>
          <w:b/>
          <w:sz w:val="21"/>
          <w:szCs w:val="21"/>
        </w:rPr>
        <w:t>Vývoz a dovoz podle tříd SITC</w:t>
      </w:r>
      <w:r w:rsidR="00BA7845" w:rsidRPr="00D84CF3">
        <w:rPr>
          <w:rFonts w:ascii="Arial" w:hAnsi="Arial" w:cs="Arial"/>
          <w:b/>
          <w:sz w:val="21"/>
          <w:szCs w:val="21"/>
        </w:rPr>
        <w:t xml:space="preserve"> </w:t>
      </w:r>
    </w:p>
    <w:p w:rsidR="006017DC" w:rsidRPr="00F722AC" w:rsidRDefault="006017DC" w:rsidP="00EE2983">
      <w:pPr>
        <w:spacing w:after="240"/>
        <w:jc w:val="both"/>
        <w:rPr>
          <w:rFonts w:ascii="Arial" w:hAnsi="Arial" w:cs="Arial"/>
          <w:sz w:val="18"/>
          <w:szCs w:val="18"/>
        </w:rPr>
      </w:pPr>
      <w:r w:rsidRPr="00D84CF3">
        <w:rPr>
          <w:rFonts w:ascii="Arial" w:hAnsi="Arial" w:cs="Arial"/>
          <w:b/>
          <w:sz w:val="18"/>
          <w:szCs w:val="18"/>
        </w:rPr>
        <w:t>Zbožová struktura</w:t>
      </w:r>
      <w:r w:rsidRPr="00D84CF3">
        <w:rPr>
          <w:rFonts w:ascii="Arial" w:hAnsi="Arial" w:cs="Arial"/>
          <w:sz w:val="18"/>
          <w:szCs w:val="18"/>
        </w:rPr>
        <w:t xml:space="preserve"> zahraničního obchodu </w:t>
      </w:r>
      <w:r w:rsidR="0060202C" w:rsidRPr="00D84CF3">
        <w:rPr>
          <w:rFonts w:ascii="Arial" w:hAnsi="Arial" w:cs="Arial"/>
          <w:sz w:val="18"/>
          <w:szCs w:val="18"/>
        </w:rPr>
        <w:t>v roce 201</w:t>
      </w:r>
      <w:r w:rsidR="00D84CF3" w:rsidRPr="00D84CF3">
        <w:rPr>
          <w:rFonts w:ascii="Arial" w:hAnsi="Arial" w:cs="Arial"/>
          <w:sz w:val="18"/>
          <w:szCs w:val="18"/>
        </w:rPr>
        <w:t>7</w:t>
      </w:r>
      <w:r w:rsidR="0060202C" w:rsidRPr="00D84CF3">
        <w:rPr>
          <w:rFonts w:ascii="Arial" w:hAnsi="Arial" w:cs="Arial"/>
          <w:sz w:val="18"/>
          <w:szCs w:val="18"/>
        </w:rPr>
        <w:t xml:space="preserve"> </w:t>
      </w:r>
      <w:r w:rsidRPr="00D84CF3">
        <w:rPr>
          <w:rFonts w:ascii="Arial" w:hAnsi="Arial" w:cs="Arial"/>
          <w:sz w:val="18"/>
          <w:szCs w:val="18"/>
        </w:rPr>
        <w:t xml:space="preserve">byla provázena </w:t>
      </w:r>
      <w:r w:rsidRPr="00F722AC">
        <w:rPr>
          <w:rFonts w:ascii="Arial" w:hAnsi="Arial" w:cs="Arial"/>
          <w:sz w:val="18"/>
          <w:szCs w:val="18"/>
        </w:rPr>
        <w:t xml:space="preserve">meziročním růstem </w:t>
      </w:r>
      <w:r w:rsidRPr="00F722AC">
        <w:rPr>
          <w:rFonts w:ascii="Arial" w:hAnsi="Arial" w:cs="Arial"/>
          <w:b/>
          <w:sz w:val="18"/>
          <w:szCs w:val="18"/>
        </w:rPr>
        <w:t xml:space="preserve">vývozu i dovozu </w:t>
      </w:r>
      <w:r w:rsidR="0099111E">
        <w:rPr>
          <w:rFonts w:ascii="Arial" w:hAnsi="Arial" w:cs="Arial"/>
          <w:sz w:val="18"/>
          <w:szCs w:val="18"/>
        </w:rPr>
        <w:t>většiny</w:t>
      </w:r>
      <w:r w:rsidR="00F722AC" w:rsidRPr="00F722AC">
        <w:rPr>
          <w:rFonts w:ascii="Arial" w:hAnsi="Arial" w:cs="Arial"/>
          <w:sz w:val="18"/>
          <w:szCs w:val="18"/>
        </w:rPr>
        <w:t xml:space="preserve"> agregovaných tříd zboží podle</w:t>
      </w:r>
      <w:r w:rsidRPr="00F722AC">
        <w:rPr>
          <w:rFonts w:ascii="Arial" w:hAnsi="Arial" w:cs="Arial"/>
          <w:sz w:val="18"/>
          <w:szCs w:val="18"/>
        </w:rPr>
        <w:t xml:space="preserve"> Standardní mezinárodní klasifikace zboží</w:t>
      </w:r>
      <w:r w:rsidR="00803DE5" w:rsidRPr="00F722AC">
        <w:rPr>
          <w:rStyle w:val="Znakapoznpodarou"/>
          <w:rFonts w:ascii="Arial" w:hAnsi="Arial" w:cs="Arial"/>
          <w:sz w:val="18"/>
          <w:szCs w:val="18"/>
        </w:rPr>
        <w:footnoteReference w:id="6"/>
      </w:r>
      <w:r w:rsidR="0099111E">
        <w:rPr>
          <w:rFonts w:ascii="Arial" w:hAnsi="Arial" w:cs="Arial"/>
          <w:sz w:val="18"/>
          <w:szCs w:val="18"/>
        </w:rPr>
        <w:t>.</w:t>
      </w:r>
    </w:p>
    <w:p w:rsidR="00BA7845" w:rsidRPr="00061F1B" w:rsidRDefault="00BA7845" w:rsidP="00BA7845">
      <w:pPr>
        <w:spacing w:after="80"/>
        <w:jc w:val="both"/>
        <w:rPr>
          <w:rFonts w:ascii="Arial" w:hAnsi="Arial" w:cs="Arial"/>
          <w:b/>
          <w:sz w:val="18"/>
          <w:szCs w:val="18"/>
        </w:rPr>
      </w:pPr>
      <w:r w:rsidRPr="00061F1B">
        <w:rPr>
          <w:rFonts w:ascii="Arial" w:hAnsi="Arial" w:cs="Arial"/>
          <w:b/>
          <w:sz w:val="18"/>
          <w:szCs w:val="18"/>
        </w:rPr>
        <w:t>Graf 1</w:t>
      </w:r>
      <w:r w:rsidR="005400B3" w:rsidRPr="00061F1B">
        <w:rPr>
          <w:rFonts w:ascii="Arial" w:hAnsi="Arial" w:cs="Arial"/>
          <w:b/>
          <w:sz w:val="18"/>
          <w:szCs w:val="18"/>
        </w:rPr>
        <w:t>2</w:t>
      </w:r>
      <w:r w:rsidRPr="00061F1B">
        <w:rPr>
          <w:rFonts w:ascii="Arial" w:hAnsi="Arial" w:cs="Arial"/>
          <w:b/>
          <w:sz w:val="18"/>
          <w:szCs w:val="18"/>
        </w:rPr>
        <w:t xml:space="preserve"> - Zbožová struktura zahraničního obchodu </w:t>
      </w:r>
      <w:r w:rsidR="00D225E2" w:rsidRPr="00061F1B">
        <w:rPr>
          <w:rFonts w:ascii="Arial" w:hAnsi="Arial" w:cs="Arial"/>
          <w:b/>
          <w:sz w:val="18"/>
          <w:szCs w:val="18"/>
        </w:rPr>
        <w:t xml:space="preserve">podle </w:t>
      </w:r>
      <w:r w:rsidR="00596654">
        <w:rPr>
          <w:rFonts w:ascii="Arial" w:hAnsi="Arial" w:cs="Arial"/>
          <w:b/>
          <w:sz w:val="18"/>
          <w:szCs w:val="18"/>
        </w:rPr>
        <w:t xml:space="preserve">deseti tříd </w:t>
      </w:r>
      <w:r w:rsidR="00D225E2" w:rsidRPr="00061F1B">
        <w:rPr>
          <w:rFonts w:ascii="Arial" w:hAnsi="Arial" w:cs="Arial"/>
          <w:b/>
          <w:sz w:val="18"/>
          <w:szCs w:val="18"/>
        </w:rPr>
        <w:t xml:space="preserve">SITC </w:t>
      </w:r>
      <w:r w:rsidRPr="00061F1B">
        <w:rPr>
          <w:rFonts w:ascii="Arial" w:hAnsi="Arial" w:cs="Arial"/>
          <w:b/>
          <w:sz w:val="18"/>
          <w:szCs w:val="18"/>
        </w:rPr>
        <w:t>v roce 201</w:t>
      </w:r>
      <w:r w:rsidR="00061F1B" w:rsidRPr="00061F1B">
        <w:rPr>
          <w:rFonts w:ascii="Arial" w:hAnsi="Arial" w:cs="Arial"/>
          <w:b/>
          <w:sz w:val="18"/>
          <w:szCs w:val="18"/>
        </w:rPr>
        <w:t>7</w:t>
      </w:r>
      <w:r w:rsidRPr="00061F1B">
        <w:rPr>
          <w:rFonts w:ascii="Arial" w:hAnsi="Arial" w:cs="Arial"/>
          <w:b/>
          <w:sz w:val="18"/>
          <w:szCs w:val="18"/>
        </w:rPr>
        <w:t xml:space="preserve"> (podíly v %)</w:t>
      </w:r>
    </w:p>
    <w:p w:rsidR="00BA7845" w:rsidRPr="00061F1B" w:rsidRDefault="0012752A" w:rsidP="00BA7845">
      <w:pPr>
        <w:spacing w:after="0"/>
        <w:jc w:val="both"/>
        <w:rPr>
          <w:rFonts w:ascii="Arial" w:hAnsi="Arial" w:cs="Arial"/>
          <w:sz w:val="16"/>
          <w:szCs w:val="16"/>
        </w:rPr>
      </w:pPr>
      <w:r>
        <w:rPr>
          <w:rFonts w:ascii="Arial" w:hAnsi="Arial" w:cs="Arial"/>
          <w:b/>
          <w:noProof/>
          <w:sz w:val="18"/>
          <w:szCs w:val="18"/>
          <w:lang w:eastAsia="cs-CZ"/>
        </w:rPr>
        <w:pict>
          <v:shape id="_x0000_i1039" type="#_x0000_t75" style="width:478.5pt;height:208.5pt">
            <v:imagedata r:id="rId25" o:title=""/>
          </v:shape>
        </w:pict>
      </w:r>
    </w:p>
    <w:p w:rsidR="009A7B8F" w:rsidRPr="00856E93" w:rsidRDefault="009A7B8F" w:rsidP="00596654">
      <w:pPr>
        <w:spacing w:after="0"/>
        <w:jc w:val="both"/>
        <w:rPr>
          <w:rFonts w:ascii="Arial" w:hAnsi="Arial" w:cs="Arial"/>
          <w:color w:val="FF0000"/>
          <w:sz w:val="18"/>
          <w:szCs w:val="18"/>
        </w:rPr>
      </w:pPr>
    </w:p>
    <w:p w:rsidR="00FC1C46" w:rsidRPr="00794092" w:rsidRDefault="009A7B8F" w:rsidP="008D0756">
      <w:pPr>
        <w:spacing w:after="240"/>
        <w:jc w:val="both"/>
        <w:rPr>
          <w:rFonts w:ascii="Arial" w:hAnsi="Arial" w:cs="Arial"/>
          <w:sz w:val="18"/>
          <w:szCs w:val="18"/>
        </w:rPr>
      </w:pPr>
      <w:r w:rsidRPr="00206CFA">
        <w:rPr>
          <w:rFonts w:ascii="Arial" w:hAnsi="Arial" w:cs="Arial"/>
          <w:sz w:val="18"/>
          <w:szCs w:val="18"/>
        </w:rPr>
        <w:t xml:space="preserve">Největší absolutní meziroční navýšení </w:t>
      </w:r>
      <w:r w:rsidR="00C06EB2" w:rsidRPr="00206CFA">
        <w:rPr>
          <w:rFonts w:ascii="Arial" w:hAnsi="Arial" w:cs="Arial"/>
          <w:sz w:val="18"/>
          <w:szCs w:val="18"/>
        </w:rPr>
        <w:t>nastalo</w:t>
      </w:r>
      <w:r w:rsidRPr="00206CFA">
        <w:rPr>
          <w:rFonts w:ascii="Arial" w:hAnsi="Arial" w:cs="Arial"/>
          <w:sz w:val="18"/>
          <w:szCs w:val="18"/>
        </w:rPr>
        <w:t xml:space="preserve"> u </w:t>
      </w:r>
      <w:r w:rsidRPr="00206CFA">
        <w:rPr>
          <w:rFonts w:ascii="Arial" w:hAnsi="Arial" w:cs="Arial"/>
          <w:b/>
          <w:sz w:val="18"/>
          <w:szCs w:val="18"/>
        </w:rPr>
        <w:t>vývozu strojů a dopravních prostředků</w:t>
      </w:r>
      <w:r w:rsidRPr="00206CFA">
        <w:rPr>
          <w:rFonts w:ascii="Arial" w:hAnsi="Arial" w:cs="Arial"/>
          <w:sz w:val="18"/>
          <w:szCs w:val="18"/>
        </w:rPr>
        <w:t xml:space="preserve"> (o </w:t>
      </w:r>
      <w:r w:rsidR="00206CFA">
        <w:rPr>
          <w:rFonts w:ascii="Arial" w:hAnsi="Arial" w:cs="Arial"/>
          <w:sz w:val="18"/>
          <w:szCs w:val="18"/>
        </w:rPr>
        <w:t>182,8</w:t>
      </w:r>
      <w:r w:rsidRPr="00206CFA">
        <w:rPr>
          <w:rFonts w:ascii="Arial" w:hAnsi="Arial" w:cs="Arial"/>
          <w:sz w:val="18"/>
          <w:szCs w:val="18"/>
        </w:rPr>
        <w:t xml:space="preserve"> mld. Kč). </w:t>
      </w:r>
      <w:r w:rsidR="00FC1C46" w:rsidRPr="00206CFA">
        <w:rPr>
          <w:rFonts w:ascii="Arial" w:hAnsi="Arial" w:cs="Arial"/>
          <w:sz w:val="18"/>
          <w:szCs w:val="18"/>
        </w:rPr>
        <w:t xml:space="preserve">Velká část tohoto </w:t>
      </w:r>
      <w:r w:rsidR="006D2262" w:rsidRPr="00206CFA">
        <w:rPr>
          <w:rFonts w:ascii="Arial" w:hAnsi="Arial" w:cs="Arial"/>
          <w:sz w:val="18"/>
          <w:szCs w:val="18"/>
        </w:rPr>
        <w:t>přírůstku</w:t>
      </w:r>
      <w:r w:rsidR="00FC1C46" w:rsidRPr="00206CFA">
        <w:rPr>
          <w:rFonts w:ascii="Arial" w:hAnsi="Arial" w:cs="Arial"/>
          <w:sz w:val="18"/>
          <w:szCs w:val="18"/>
        </w:rPr>
        <w:t xml:space="preserve"> </w:t>
      </w:r>
      <w:r w:rsidR="00471975" w:rsidRPr="00206CFA">
        <w:rPr>
          <w:rFonts w:ascii="Arial" w:hAnsi="Arial" w:cs="Arial"/>
          <w:sz w:val="18"/>
          <w:szCs w:val="18"/>
        </w:rPr>
        <w:t>(</w:t>
      </w:r>
      <w:r w:rsidR="00206CFA" w:rsidRPr="00206CFA">
        <w:rPr>
          <w:rFonts w:ascii="Arial" w:hAnsi="Arial" w:cs="Arial"/>
          <w:sz w:val="18"/>
          <w:szCs w:val="18"/>
        </w:rPr>
        <w:t>161,4</w:t>
      </w:r>
      <w:r w:rsidR="00471975" w:rsidRPr="00206CFA">
        <w:rPr>
          <w:rFonts w:ascii="Arial" w:hAnsi="Arial" w:cs="Arial"/>
          <w:sz w:val="18"/>
          <w:szCs w:val="18"/>
        </w:rPr>
        <w:t xml:space="preserve"> mld. Kč) </w:t>
      </w:r>
      <w:r w:rsidR="00FC1C46" w:rsidRPr="00206CFA">
        <w:rPr>
          <w:rFonts w:ascii="Arial" w:hAnsi="Arial" w:cs="Arial"/>
          <w:sz w:val="18"/>
          <w:szCs w:val="18"/>
        </w:rPr>
        <w:t>patřila vývozu zboží do států Evropské unie, jmenovitě hlavně do Německa,</w:t>
      </w:r>
      <w:r w:rsidR="00471975" w:rsidRPr="00206CFA">
        <w:rPr>
          <w:rFonts w:ascii="Arial" w:hAnsi="Arial" w:cs="Arial"/>
          <w:sz w:val="18"/>
          <w:szCs w:val="18"/>
        </w:rPr>
        <w:t xml:space="preserve"> </w:t>
      </w:r>
      <w:r w:rsidR="00206CFA" w:rsidRPr="00206CFA">
        <w:rPr>
          <w:rFonts w:ascii="Arial" w:hAnsi="Arial" w:cs="Arial"/>
          <w:sz w:val="18"/>
          <w:szCs w:val="18"/>
        </w:rPr>
        <w:t xml:space="preserve">Francie, </w:t>
      </w:r>
      <w:r w:rsidR="00471975" w:rsidRPr="00206CFA">
        <w:rPr>
          <w:rFonts w:ascii="Arial" w:hAnsi="Arial" w:cs="Arial"/>
          <w:sz w:val="18"/>
          <w:szCs w:val="18"/>
        </w:rPr>
        <w:t>Spojeného království, Slovenska a Polska. V roce 201</w:t>
      </w:r>
      <w:r w:rsidR="00206CFA" w:rsidRPr="00206CFA">
        <w:rPr>
          <w:rFonts w:ascii="Arial" w:hAnsi="Arial" w:cs="Arial"/>
          <w:sz w:val="18"/>
          <w:szCs w:val="18"/>
        </w:rPr>
        <w:t>7</w:t>
      </w:r>
      <w:r w:rsidR="00471975" w:rsidRPr="00206CFA">
        <w:rPr>
          <w:rFonts w:ascii="Arial" w:hAnsi="Arial" w:cs="Arial"/>
          <w:sz w:val="18"/>
          <w:szCs w:val="18"/>
        </w:rPr>
        <w:t xml:space="preserve"> se z České republiky </w:t>
      </w:r>
      <w:r w:rsidR="00471975" w:rsidRPr="00794092">
        <w:rPr>
          <w:rFonts w:ascii="Arial" w:hAnsi="Arial" w:cs="Arial"/>
          <w:sz w:val="18"/>
          <w:szCs w:val="18"/>
        </w:rPr>
        <w:t>odeslala hlavně motorová vozidla k dopravě osob, díly a příslušenství motorových vozidel, zařízení k automatizovanému zpracování dat, telefonní přístroje, klimatizační zařízení a čerpadla paliv.</w:t>
      </w:r>
    </w:p>
    <w:p w:rsidR="00B16E97" w:rsidRPr="00061F1B" w:rsidRDefault="00B16E97" w:rsidP="00B16E97">
      <w:pPr>
        <w:spacing w:after="80"/>
        <w:jc w:val="both"/>
        <w:rPr>
          <w:rFonts w:ascii="Arial" w:hAnsi="Arial" w:cs="Arial"/>
          <w:b/>
          <w:sz w:val="18"/>
          <w:szCs w:val="18"/>
        </w:rPr>
      </w:pPr>
      <w:r w:rsidRPr="00061F1B">
        <w:rPr>
          <w:rFonts w:ascii="Arial" w:hAnsi="Arial" w:cs="Arial"/>
          <w:b/>
          <w:sz w:val="18"/>
          <w:szCs w:val="18"/>
        </w:rPr>
        <w:t xml:space="preserve">Graf </w:t>
      </w:r>
      <w:r w:rsidR="00386472" w:rsidRPr="00061F1B">
        <w:rPr>
          <w:rFonts w:ascii="Arial" w:hAnsi="Arial" w:cs="Arial"/>
          <w:b/>
          <w:sz w:val="18"/>
          <w:szCs w:val="18"/>
        </w:rPr>
        <w:t>1</w:t>
      </w:r>
      <w:r w:rsidR="005400B3" w:rsidRPr="00061F1B">
        <w:rPr>
          <w:rFonts w:ascii="Arial" w:hAnsi="Arial" w:cs="Arial"/>
          <w:b/>
          <w:sz w:val="18"/>
          <w:szCs w:val="18"/>
        </w:rPr>
        <w:t>3</w:t>
      </w:r>
      <w:r w:rsidRPr="00061F1B">
        <w:rPr>
          <w:rFonts w:ascii="Arial" w:hAnsi="Arial" w:cs="Arial"/>
          <w:b/>
          <w:sz w:val="18"/>
          <w:szCs w:val="18"/>
        </w:rPr>
        <w:t xml:space="preserve"> </w:t>
      </w:r>
      <w:r w:rsidR="00793E3C" w:rsidRPr="00061F1B">
        <w:rPr>
          <w:rFonts w:ascii="Arial" w:hAnsi="Arial" w:cs="Arial"/>
          <w:b/>
          <w:sz w:val="18"/>
          <w:szCs w:val="18"/>
        </w:rPr>
        <w:t>-</w:t>
      </w:r>
      <w:r w:rsidRPr="00061F1B">
        <w:rPr>
          <w:rFonts w:ascii="Arial" w:hAnsi="Arial" w:cs="Arial"/>
          <w:b/>
          <w:sz w:val="18"/>
          <w:szCs w:val="18"/>
        </w:rPr>
        <w:t xml:space="preserve"> Teritoriální struktura obchodu se stroji a dopravními prostředky v roce 201</w:t>
      </w:r>
      <w:r w:rsidR="00061F1B" w:rsidRPr="00061F1B">
        <w:rPr>
          <w:rFonts w:ascii="Arial" w:hAnsi="Arial" w:cs="Arial"/>
          <w:b/>
          <w:sz w:val="18"/>
          <w:szCs w:val="18"/>
        </w:rPr>
        <w:t>7</w:t>
      </w:r>
      <w:r w:rsidRPr="00061F1B">
        <w:rPr>
          <w:rFonts w:ascii="Arial" w:hAnsi="Arial" w:cs="Arial"/>
          <w:b/>
          <w:sz w:val="18"/>
          <w:szCs w:val="18"/>
        </w:rPr>
        <w:t xml:space="preserve"> (podíly v %)</w:t>
      </w:r>
    </w:p>
    <w:p w:rsidR="004C5904" w:rsidRPr="00061F1B" w:rsidRDefault="0012752A" w:rsidP="00B16E97">
      <w:pPr>
        <w:spacing w:after="80"/>
        <w:jc w:val="both"/>
        <w:rPr>
          <w:rFonts w:ascii="Arial" w:hAnsi="Arial" w:cs="Arial"/>
          <w:b/>
          <w:sz w:val="18"/>
          <w:szCs w:val="18"/>
        </w:rPr>
      </w:pPr>
      <w:r>
        <w:rPr>
          <w:rFonts w:ascii="Arial" w:hAnsi="Arial" w:cs="Arial"/>
          <w:b/>
          <w:sz w:val="18"/>
          <w:szCs w:val="18"/>
        </w:rPr>
        <w:pict>
          <v:shape id="_x0000_i1040" type="#_x0000_t75" style="width:483.75pt;height:147.75pt">
            <v:imagedata r:id="rId26" o:title=""/>
          </v:shape>
        </w:pict>
      </w:r>
    </w:p>
    <w:p w:rsidR="009A7B8F" w:rsidRPr="00222B6E" w:rsidRDefault="009A7B8F" w:rsidP="00596654">
      <w:pPr>
        <w:spacing w:before="240" w:after="120"/>
        <w:jc w:val="both"/>
        <w:rPr>
          <w:rFonts w:ascii="Arial" w:hAnsi="Arial" w:cs="Arial"/>
          <w:sz w:val="18"/>
          <w:szCs w:val="18"/>
        </w:rPr>
      </w:pPr>
      <w:r w:rsidRPr="00794092">
        <w:rPr>
          <w:rFonts w:ascii="Arial" w:hAnsi="Arial" w:cs="Arial"/>
          <w:sz w:val="18"/>
          <w:szCs w:val="18"/>
        </w:rPr>
        <w:t xml:space="preserve">Druhý nejvyšší růst vývozu (o </w:t>
      </w:r>
      <w:r w:rsidR="00794092" w:rsidRPr="00794092">
        <w:rPr>
          <w:rFonts w:ascii="Arial" w:hAnsi="Arial" w:cs="Arial"/>
          <w:sz w:val="18"/>
          <w:szCs w:val="18"/>
        </w:rPr>
        <w:t>37,6</w:t>
      </w:r>
      <w:r w:rsidRPr="00794092">
        <w:rPr>
          <w:rFonts w:ascii="Arial" w:hAnsi="Arial" w:cs="Arial"/>
          <w:sz w:val="18"/>
          <w:szCs w:val="18"/>
        </w:rPr>
        <w:t xml:space="preserve"> mld. Kč) zaznamenalo </w:t>
      </w:r>
      <w:r w:rsidRPr="00794092">
        <w:rPr>
          <w:rFonts w:ascii="Arial" w:hAnsi="Arial" w:cs="Arial"/>
          <w:b/>
          <w:sz w:val="18"/>
          <w:szCs w:val="18"/>
        </w:rPr>
        <w:t>průmyslové spotřební zboží</w:t>
      </w:r>
      <w:r w:rsidRPr="00794092">
        <w:rPr>
          <w:rFonts w:ascii="Arial" w:hAnsi="Arial" w:cs="Arial"/>
          <w:sz w:val="18"/>
          <w:szCs w:val="18"/>
        </w:rPr>
        <w:t xml:space="preserve">, které </w:t>
      </w:r>
      <w:r w:rsidR="004904DD" w:rsidRPr="00794092">
        <w:rPr>
          <w:rFonts w:ascii="Arial" w:hAnsi="Arial" w:cs="Arial"/>
          <w:sz w:val="18"/>
          <w:szCs w:val="18"/>
        </w:rPr>
        <w:t>z</w:t>
      </w:r>
      <w:r w:rsidR="000B3576">
        <w:rPr>
          <w:rFonts w:ascii="Arial" w:hAnsi="Arial" w:cs="Arial"/>
          <w:sz w:val="18"/>
          <w:szCs w:val="18"/>
        </w:rPr>
        <w:t> </w:t>
      </w:r>
      <w:r w:rsidR="000C426B" w:rsidRPr="00794092">
        <w:rPr>
          <w:rFonts w:ascii="Arial" w:hAnsi="Arial" w:cs="Arial"/>
          <w:sz w:val="18"/>
          <w:szCs w:val="18"/>
        </w:rPr>
        <w:t>8</w:t>
      </w:r>
      <w:r w:rsidR="000B3576">
        <w:rPr>
          <w:rFonts w:ascii="Arial" w:hAnsi="Arial" w:cs="Arial"/>
          <w:sz w:val="18"/>
          <w:szCs w:val="18"/>
        </w:rPr>
        <w:t>5,6</w:t>
      </w:r>
      <w:r w:rsidR="00E66B5E">
        <w:rPr>
          <w:rFonts w:ascii="Arial" w:hAnsi="Arial" w:cs="Arial"/>
          <w:sz w:val="18"/>
          <w:szCs w:val="18"/>
        </w:rPr>
        <w:t xml:space="preserve"> % směřovalo do </w:t>
      </w:r>
      <w:r w:rsidRPr="00794092">
        <w:rPr>
          <w:rFonts w:ascii="Arial" w:hAnsi="Arial" w:cs="Arial"/>
          <w:sz w:val="18"/>
          <w:szCs w:val="18"/>
        </w:rPr>
        <w:t>států EU, nejvíce pak do</w:t>
      </w:r>
      <w:r w:rsidRPr="00856E93">
        <w:rPr>
          <w:rFonts w:ascii="Arial" w:hAnsi="Arial" w:cs="Arial"/>
          <w:color w:val="FF0000"/>
          <w:sz w:val="18"/>
          <w:szCs w:val="18"/>
        </w:rPr>
        <w:t xml:space="preserve"> </w:t>
      </w:r>
      <w:r w:rsidRPr="00794092">
        <w:rPr>
          <w:rFonts w:ascii="Arial" w:hAnsi="Arial" w:cs="Arial"/>
          <w:sz w:val="18"/>
          <w:szCs w:val="18"/>
        </w:rPr>
        <w:t xml:space="preserve">Německa, na Slovensko, do </w:t>
      </w:r>
      <w:r w:rsidR="00EC032F" w:rsidRPr="00794092">
        <w:rPr>
          <w:rFonts w:ascii="Arial" w:hAnsi="Arial" w:cs="Arial"/>
          <w:sz w:val="18"/>
          <w:szCs w:val="18"/>
        </w:rPr>
        <w:t>Rakouska</w:t>
      </w:r>
      <w:r w:rsidR="00794092" w:rsidRPr="00794092">
        <w:rPr>
          <w:rFonts w:ascii="Arial" w:hAnsi="Arial" w:cs="Arial"/>
          <w:sz w:val="18"/>
          <w:szCs w:val="18"/>
        </w:rPr>
        <w:t>, Spojeného království</w:t>
      </w:r>
      <w:r w:rsidR="00EC032F" w:rsidRPr="00794092">
        <w:rPr>
          <w:rFonts w:ascii="Arial" w:hAnsi="Arial" w:cs="Arial"/>
          <w:sz w:val="18"/>
          <w:szCs w:val="18"/>
        </w:rPr>
        <w:t xml:space="preserve"> a </w:t>
      </w:r>
      <w:r w:rsidRPr="00222B6E">
        <w:rPr>
          <w:rFonts w:ascii="Arial" w:hAnsi="Arial" w:cs="Arial"/>
          <w:sz w:val="18"/>
          <w:szCs w:val="18"/>
        </w:rPr>
        <w:t xml:space="preserve">Francie. Vyvážely </w:t>
      </w:r>
      <w:r w:rsidR="004904DD" w:rsidRPr="00222B6E">
        <w:rPr>
          <w:rFonts w:ascii="Arial" w:hAnsi="Arial" w:cs="Arial"/>
          <w:sz w:val="18"/>
          <w:szCs w:val="18"/>
        </w:rPr>
        <w:t xml:space="preserve">se </w:t>
      </w:r>
      <w:r w:rsidRPr="00222B6E">
        <w:rPr>
          <w:rFonts w:ascii="Arial" w:hAnsi="Arial" w:cs="Arial"/>
          <w:sz w:val="18"/>
          <w:szCs w:val="18"/>
        </w:rPr>
        <w:t>především sedadla do motorových vozidel</w:t>
      </w:r>
      <w:r w:rsidR="00B638C4" w:rsidRPr="00222B6E">
        <w:rPr>
          <w:rFonts w:ascii="Arial" w:hAnsi="Arial" w:cs="Arial"/>
          <w:sz w:val="18"/>
          <w:szCs w:val="18"/>
        </w:rPr>
        <w:t xml:space="preserve"> a jejich díly, hračky</w:t>
      </w:r>
      <w:r w:rsidRPr="00222B6E">
        <w:rPr>
          <w:rFonts w:ascii="Arial" w:hAnsi="Arial" w:cs="Arial"/>
          <w:sz w:val="18"/>
          <w:szCs w:val="18"/>
        </w:rPr>
        <w:t xml:space="preserve"> a </w:t>
      </w:r>
      <w:r w:rsidR="00222B6E" w:rsidRPr="00222B6E">
        <w:rPr>
          <w:rFonts w:ascii="Arial" w:hAnsi="Arial" w:cs="Arial"/>
          <w:sz w:val="18"/>
          <w:szCs w:val="18"/>
        </w:rPr>
        <w:t>média pro záznam zvuku</w:t>
      </w:r>
      <w:r w:rsidRPr="00222B6E">
        <w:rPr>
          <w:rFonts w:ascii="Arial" w:hAnsi="Arial" w:cs="Arial"/>
          <w:sz w:val="18"/>
          <w:szCs w:val="18"/>
        </w:rPr>
        <w:t>.</w:t>
      </w:r>
    </w:p>
    <w:p w:rsidR="00222B6E" w:rsidRPr="00222B6E" w:rsidRDefault="00222B6E" w:rsidP="00B66816">
      <w:pPr>
        <w:spacing w:after="0"/>
        <w:jc w:val="both"/>
        <w:rPr>
          <w:rFonts w:ascii="Arial" w:hAnsi="Arial" w:cs="Arial"/>
          <w:sz w:val="18"/>
          <w:szCs w:val="18"/>
        </w:rPr>
      </w:pPr>
      <w:r w:rsidRPr="00222B6E">
        <w:rPr>
          <w:rFonts w:ascii="Arial" w:hAnsi="Arial" w:cs="Arial"/>
          <w:sz w:val="18"/>
          <w:szCs w:val="18"/>
        </w:rPr>
        <w:t xml:space="preserve">V porovnání s předchozím rokem se </w:t>
      </w:r>
      <w:r>
        <w:rPr>
          <w:rFonts w:ascii="Arial" w:hAnsi="Arial" w:cs="Arial"/>
          <w:sz w:val="18"/>
          <w:szCs w:val="18"/>
        </w:rPr>
        <w:t xml:space="preserve">dále zvýšil vývoz </w:t>
      </w:r>
      <w:r w:rsidRPr="00222B6E">
        <w:rPr>
          <w:rFonts w:ascii="Arial" w:hAnsi="Arial" w:cs="Arial"/>
          <w:sz w:val="18"/>
          <w:szCs w:val="18"/>
        </w:rPr>
        <w:t xml:space="preserve">polotovarů a </w:t>
      </w:r>
      <w:r w:rsidRPr="004D070A">
        <w:rPr>
          <w:rFonts w:ascii="Arial" w:hAnsi="Arial" w:cs="Arial"/>
          <w:sz w:val="18"/>
          <w:szCs w:val="18"/>
        </w:rPr>
        <w:t>materiálu</w:t>
      </w:r>
      <w:r w:rsidR="0099111E" w:rsidRPr="004D070A">
        <w:rPr>
          <w:rStyle w:val="Znakapoznpodarou"/>
          <w:rFonts w:ascii="Arial" w:hAnsi="Arial" w:cs="Arial"/>
          <w:sz w:val="18"/>
          <w:szCs w:val="18"/>
        </w:rPr>
        <w:footnoteReference w:id="7"/>
      </w:r>
      <w:r w:rsidRPr="004D070A">
        <w:rPr>
          <w:rFonts w:ascii="Arial" w:hAnsi="Arial" w:cs="Arial"/>
          <w:sz w:val="18"/>
          <w:szCs w:val="18"/>
        </w:rPr>
        <w:t xml:space="preserve"> (o 21</w:t>
      </w:r>
      <w:r w:rsidRPr="00222B6E">
        <w:rPr>
          <w:rFonts w:ascii="Arial" w:hAnsi="Arial" w:cs="Arial"/>
          <w:sz w:val="18"/>
          <w:szCs w:val="18"/>
        </w:rPr>
        <w:t>,4 mld. Kč)</w:t>
      </w:r>
      <w:r>
        <w:rPr>
          <w:rFonts w:ascii="Arial" w:hAnsi="Arial" w:cs="Arial"/>
          <w:sz w:val="18"/>
          <w:szCs w:val="18"/>
        </w:rPr>
        <w:t xml:space="preserve">, </w:t>
      </w:r>
      <w:r w:rsidR="0099111E">
        <w:rPr>
          <w:rFonts w:ascii="Arial" w:hAnsi="Arial" w:cs="Arial"/>
          <w:sz w:val="18"/>
          <w:szCs w:val="18"/>
        </w:rPr>
        <w:t>chemikálií a příbuzných výrobků (o 20,2 mld. Kč) a nepoživatelných surovin. Vývoz minerálních paliv zůstal takřka na stejné úrovni, naopak pokles zaznamenaly živočišné a rostlinné oleje (o 3,8 mld. Kč) a potraviny a živá zvířata.</w:t>
      </w:r>
    </w:p>
    <w:p w:rsidR="000E65A6" w:rsidRDefault="004D070A" w:rsidP="004D070A">
      <w:pPr>
        <w:spacing w:before="200" w:after="120"/>
        <w:jc w:val="both"/>
        <w:rPr>
          <w:rFonts w:ascii="Arial" w:hAnsi="Arial" w:cs="Arial"/>
          <w:sz w:val="18"/>
          <w:szCs w:val="18"/>
        </w:rPr>
      </w:pPr>
      <w:r w:rsidRPr="004D070A">
        <w:rPr>
          <w:rFonts w:ascii="Arial" w:hAnsi="Arial" w:cs="Arial"/>
          <w:sz w:val="18"/>
          <w:szCs w:val="18"/>
        </w:rPr>
        <w:lastRenderedPageBreak/>
        <w:t xml:space="preserve">Nejvyšší meziroční navýšení </w:t>
      </w:r>
      <w:r w:rsidR="00E66B5E">
        <w:rPr>
          <w:rFonts w:ascii="Arial" w:hAnsi="Arial" w:cs="Arial"/>
          <w:sz w:val="18"/>
          <w:szCs w:val="18"/>
        </w:rPr>
        <w:t xml:space="preserve">českého </w:t>
      </w:r>
      <w:r w:rsidRPr="004D070A">
        <w:rPr>
          <w:rFonts w:ascii="Arial" w:hAnsi="Arial" w:cs="Arial"/>
          <w:b/>
          <w:sz w:val="18"/>
          <w:szCs w:val="18"/>
        </w:rPr>
        <w:t>dovozu</w:t>
      </w:r>
      <w:r w:rsidRPr="004D070A">
        <w:rPr>
          <w:rFonts w:ascii="Arial" w:hAnsi="Arial" w:cs="Arial"/>
          <w:sz w:val="18"/>
          <w:szCs w:val="18"/>
        </w:rPr>
        <w:t xml:space="preserve"> bylo patrné u </w:t>
      </w:r>
      <w:r w:rsidRPr="00E41137">
        <w:rPr>
          <w:rFonts w:ascii="Arial" w:hAnsi="Arial" w:cs="Arial"/>
          <w:b/>
          <w:sz w:val="18"/>
          <w:szCs w:val="18"/>
        </w:rPr>
        <w:t>strojů a dopravních prostředků</w:t>
      </w:r>
      <w:r w:rsidRPr="004D070A">
        <w:rPr>
          <w:rFonts w:ascii="Arial" w:hAnsi="Arial" w:cs="Arial"/>
          <w:sz w:val="18"/>
          <w:szCs w:val="18"/>
        </w:rPr>
        <w:t xml:space="preserve"> (o </w:t>
      </w:r>
      <w:r>
        <w:rPr>
          <w:rFonts w:ascii="Arial" w:hAnsi="Arial" w:cs="Arial"/>
          <w:sz w:val="18"/>
          <w:szCs w:val="18"/>
        </w:rPr>
        <w:t>153,6</w:t>
      </w:r>
      <w:r w:rsidRPr="004D070A">
        <w:rPr>
          <w:rFonts w:ascii="Arial" w:hAnsi="Arial" w:cs="Arial"/>
          <w:sz w:val="18"/>
          <w:szCs w:val="18"/>
        </w:rPr>
        <w:t xml:space="preserve"> mld. Kč), které bylo téměř </w:t>
      </w:r>
      <w:r w:rsidR="00482387">
        <w:rPr>
          <w:rFonts w:ascii="Arial" w:hAnsi="Arial" w:cs="Arial"/>
          <w:sz w:val="18"/>
          <w:szCs w:val="18"/>
        </w:rPr>
        <w:t>stejným podílem</w:t>
      </w:r>
      <w:r w:rsidRPr="004D070A">
        <w:rPr>
          <w:rFonts w:ascii="Arial" w:hAnsi="Arial" w:cs="Arial"/>
          <w:sz w:val="18"/>
          <w:szCs w:val="18"/>
        </w:rPr>
        <w:t xml:space="preserve"> ovlivněno zvýšením jejich dovozu </w:t>
      </w:r>
      <w:r w:rsidR="00482387">
        <w:rPr>
          <w:rFonts w:ascii="Arial" w:hAnsi="Arial" w:cs="Arial"/>
          <w:sz w:val="18"/>
          <w:szCs w:val="18"/>
        </w:rPr>
        <w:t xml:space="preserve">jak </w:t>
      </w:r>
      <w:r w:rsidRPr="004D070A">
        <w:rPr>
          <w:rFonts w:ascii="Arial" w:hAnsi="Arial" w:cs="Arial"/>
          <w:sz w:val="18"/>
          <w:szCs w:val="18"/>
        </w:rPr>
        <w:t>ze států EU (o 79,4 mld. Kč)</w:t>
      </w:r>
      <w:r w:rsidR="00E66B5E">
        <w:rPr>
          <w:rFonts w:ascii="Arial" w:hAnsi="Arial" w:cs="Arial"/>
          <w:sz w:val="18"/>
          <w:szCs w:val="18"/>
        </w:rPr>
        <w:t>, tak z</w:t>
      </w:r>
      <w:r w:rsidR="00E832B1">
        <w:rPr>
          <w:rFonts w:ascii="Arial" w:hAnsi="Arial" w:cs="Arial"/>
          <w:sz w:val="18"/>
          <w:szCs w:val="18"/>
        </w:rPr>
        <w:t>e</w:t>
      </w:r>
      <w:r w:rsidR="00E66B5E">
        <w:rPr>
          <w:rFonts w:ascii="Arial" w:hAnsi="Arial" w:cs="Arial"/>
          <w:sz w:val="18"/>
          <w:szCs w:val="18"/>
        </w:rPr>
        <w:t xml:space="preserve"> států mimo EU (o </w:t>
      </w:r>
      <w:r w:rsidR="00482387">
        <w:rPr>
          <w:rFonts w:ascii="Arial" w:hAnsi="Arial" w:cs="Arial"/>
          <w:sz w:val="18"/>
          <w:szCs w:val="18"/>
        </w:rPr>
        <w:t>74,1 mld. Kč)</w:t>
      </w:r>
      <w:r w:rsidRPr="004D070A">
        <w:rPr>
          <w:rFonts w:ascii="Arial" w:hAnsi="Arial" w:cs="Arial"/>
          <w:sz w:val="18"/>
          <w:szCs w:val="18"/>
        </w:rPr>
        <w:t xml:space="preserve">. </w:t>
      </w:r>
      <w:r w:rsidR="00E41137">
        <w:rPr>
          <w:rFonts w:ascii="Arial" w:hAnsi="Arial" w:cs="Arial"/>
          <w:sz w:val="18"/>
          <w:szCs w:val="18"/>
        </w:rPr>
        <w:t xml:space="preserve">V roce 2017 bylo do Česka dovezeno toto zboží v hodnotě 1 755,5 mld. Kč, z čehož největší část tvořily </w:t>
      </w:r>
      <w:r w:rsidR="007C4F08">
        <w:rPr>
          <w:rFonts w:ascii="Arial" w:hAnsi="Arial" w:cs="Arial"/>
          <w:sz w:val="18"/>
          <w:szCs w:val="18"/>
        </w:rPr>
        <w:t>díly a příslušenství motorových vozidel, telefonní přístroje, motorová vozidla k dopravě osob a elektronické integrované obvody. Dováželo se hlavně z Německa, Číny, Polska, Korejské republiky a Slovenska.</w:t>
      </w:r>
    </w:p>
    <w:p w:rsidR="007C4F08" w:rsidRPr="000D0520" w:rsidRDefault="004D070A" w:rsidP="007C4F08">
      <w:pPr>
        <w:spacing w:after="120"/>
        <w:jc w:val="both"/>
        <w:rPr>
          <w:rFonts w:ascii="Arial" w:hAnsi="Arial" w:cs="Arial"/>
          <w:sz w:val="18"/>
          <w:szCs w:val="18"/>
        </w:rPr>
      </w:pPr>
      <w:r w:rsidRPr="004D070A">
        <w:rPr>
          <w:rFonts w:ascii="Arial" w:hAnsi="Arial" w:cs="Arial"/>
          <w:sz w:val="18"/>
          <w:szCs w:val="18"/>
        </w:rPr>
        <w:t xml:space="preserve">Druhý největší absolutní meziroční přírůstek dovozu zaznamenaly </w:t>
      </w:r>
      <w:r w:rsidRPr="007C4F08">
        <w:rPr>
          <w:rFonts w:ascii="Arial" w:hAnsi="Arial" w:cs="Arial"/>
          <w:b/>
          <w:sz w:val="18"/>
          <w:szCs w:val="18"/>
        </w:rPr>
        <w:t>polotovary a materiály</w:t>
      </w:r>
      <w:r w:rsidRPr="004D070A">
        <w:rPr>
          <w:rFonts w:ascii="Arial" w:hAnsi="Arial" w:cs="Arial"/>
          <w:sz w:val="18"/>
          <w:szCs w:val="18"/>
        </w:rPr>
        <w:t xml:space="preserve"> (o 48,7 mld. Kč).</w:t>
      </w:r>
      <w:r w:rsidRPr="004D070A">
        <w:rPr>
          <w:rFonts w:ascii="Arial" w:hAnsi="Arial" w:cs="Arial"/>
          <w:color w:val="FF0000"/>
          <w:sz w:val="18"/>
          <w:szCs w:val="18"/>
        </w:rPr>
        <w:t xml:space="preserve"> </w:t>
      </w:r>
      <w:r w:rsidR="007C4F08" w:rsidRPr="007C4F08">
        <w:rPr>
          <w:rFonts w:ascii="Arial" w:hAnsi="Arial" w:cs="Arial"/>
          <w:sz w:val="18"/>
          <w:szCs w:val="18"/>
        </w:rPr>
        <w:t xml:space="preserve">V roce 2017 byly častými dovozními položkami této </w:t>
      </w:r>
      <w:r w:rsidR="007C4F08" w:rsidRPr="000D0520">
        <w:rPr>
          <w:rFonts w:ascii="Arial" w:hAnsi="Arial" w:cs="Arial"/>
          <w:sz w:val="18"/>
          <w:szCs w:val="18"/>
        </w:rPr>
        <w:t>třídy výrobky ze základních kovů, hliník, výrobky ze železa a oceli</w:t>
      </w:r>
      <w:r w:rsidR="000D0520" w:rsidRPr="000D0520">
        <w:rPr>
          <w:rFonts w:ascii="Arial" w:hAnsi="Arial" w:cs="Arial"/>
          <w:sz w:val="18"/>
          <w:szCs w:val="18"/>
        </w:rPr>
        <w:t>, papír a</w:t>
      </w:r>
      <w:r w:rsidR="00E66B5E">
        <w:rPr>
          <w:rFonts w:ascii="Arial" w:hAnsi="Arial" w:cs="Arial"/>
          <w:sz w:val="18"/>
          <w:szCs w:val="18"/>
        </w:rPr>
        <w:t> </w:t>
      </w:r>
      <w:r w:rsidR="000D0520" w:rsidRPr="000D0520">
        <w:rPr>
          <w:rFonts w:ascii="Arial" w:hAnsi="Arial" w:cs="Arial"/>
          <w:sz w:val="18"/>
          <w:szCs w:val="18"/>
        </w:rPr>
        <w:t>lepenka</w:t>
      </w:r>
      <w:r w:rsidR="007C4F08" w:rsidRPr="000D0520">
        <w:rPr>
          <w:rFonts w:ascii="Arial" w:hAnsi="Arial" w:cs="Arial"/>
          <w:sz w:val="18"/>
          <w:szCs w:val="18"/>
        </w:rPr>
        <w:t>. Největší část dovozu byla přivezena z Německa, Polska a ze Slovenska.</w:t>
      </w:r>
    </w:p>
    <w:p w:rsidR="004D070A" w:rsidRPr="004D070A" w:rsidRDefault="004D070A" w:rsidP="00E66B5E">
      <w:pPr>
        <w:spacing w:before="200" w:after="240"/>
        <w:jc w:val="both"/>
        <w:rPr>
          <w:rFonts w:ascii="Arial" w:hAnsi="Arial" w:cs="Arial"/>
          <w:color w:val="FF0000"/>
          <w:sz w:val="18"/>
          <w:szCs w:val="18"/>
        </w:rPr>
      </w:pPr>
      <w:r w:rsidRPr="000D0520">
        <w:rPr>
          <w:rFonts w:ascii="Arial" w:hAnsi="Arial" w:cs="Arial"/>
          <w:sz w:val="18"/>
          <w:szCs w:val="18"/>
        </w:rPr>
        <w:t>V porovnání s rokem 201</w:t>
      </w:r>
      <w:r w:rsidR="000D0520">
        <w:rPr>
          <w:rFonts w:ascii="Arial" w:hAnsi="Arial" w:cs="Arial"/>
          <w:sz w:val="18"/>
          <w:szCs w:val="18"/>
        </w:rPr>
        <w:t>6</w:t>
      </w:r>
      <w:r w:rsidRPr="000D0520">
        <w:rPr>
          <w:rFonts w:ascii="Arial" w:hAnsi="Arial" w:cs="Arial"/>
          <w:sz w:val="18"/>
          <w:szCs w:val="18"/>
        </w:rPr>
        <w:t xml:space="preserve"> se v roce 201</w:t>
      </w:r>
      <w:r w:rsidR="000D0520">
        <w:rPr>
          <w:rFonts w:ascii="Arial" w:hAnsi="Arial" w:cs="Arial"/>
          <w:sz w:val="18"/>
          <w:szCs w:val="18"/>
        </w:rPr>
        <w:t>7</w:t>
      </w:r>
      <w:r w:rsidRPr="000D0520">
        <w:rPr>
          <w:rFonts w:ascii="Arial" w:hAnsi="Arial" w:cs="Arial"/>
          <w:sz w:val="18"/>
          <w:szCs w:val="18"/>
        </w:rPr>
        <w:t xml:space="preserve"> dovezlo do Česka o </w:t>
      </w:r>
      <w:r w:rsidR="000D0520">
        <w:rPr>
          <w:rFonts w:ascii="Arial" w:hAnsi="Arial" w:cs="Arial"/>
          <w:sz w:val="18"/>
          <w:szCs w:val="18"/>
        </w:rPr>
        <w:t>16,5</w:t>
      </w:r>
      <w:r w:rsidRPr="000D0520">
        <w:rPr>
          <w:rFonts w:ascii="Arial" w:hAnsi="Arial" w:cs="Arial"/>
          <w:sz w:val="18"/>
          <w:szCs w:val="18"/>
        </w:rPr>
        <w:t xml:space="preserve"> mld. Kč více chemikálií a příbuzných materiálů, přičemž </w:t>
      </w:r>
      <w:r w:rsidR="000D0520" w:rsidRPr="000D0520">
        <w:rPr>
          <w:rFonts w:ascii="Arial" w:hAnsi="Arial" w:cs="Arial"/>
          <w:sz w:val="18"/>
          <w:szCs w:val="18"/>
        </w:rPr>
        <w:t>téměř 30</w:t>
      </w:r>
      <w:r w:rsidRPr="000D0520">
        <w:rPr>
          <w:rFonts w:ascii="Arial" w:hAnsi="Arial" w:cs="Arial"/>
          <w:sz w:val="18"/>
          <w:szCs w:val="18"/>
        </w:rPr>
        <w:t xml:space="preserve"> % obchodu bylo realizováno s Německem. Meziroční přírůst</w:t>
      </w:r>
      <w:r w:rsidR="00E66B5E">
        <w:rPr>
          <w:rFonts w:ascii="Arial" w:hAnsi="Arial" w:cs="Arial"/>
          <w:sz w:val="18"/>
          <w:szCs w:val="18"/>
        </w:rPr>
        <w:t>ky dovozu byly také například u </w:t>
      </w:r>
      <w:r w:rsidRPr="000D0520">
        <w:rPr>
          <w:rFonts w:ascii="Arial" w:hAnsi="Arial" w:cs="Arial"/>
          <w:sz w:val="18"/>
          <w:szCs w:val="18"/>
        </w:rPr>
        <w:t xml:space="preserve">průmyslového spotřebního zboží (o </w:t>
      </w:r>
      <w:r w:rsidR="000D0520" w:rsidRPr="000D0520">
        <w:rPr>
          <w:rFonts w:ascii="Arial" w:hAnsi="Arial" w:cs="Arial"/>
          <w:sz w:val="18"/>
          <w:szCs w:val="18"/>
        </w:rPr>
        <w:t>43,7</w:t>
      </w:r>
      <w:r w:rsidRPr="000D0520">
        <w:rPr>
          <w:rFonts w:ascii="Arial" w:hAnsi="Arial" w:cs="Arial"/>
          <w:sz w:val="18"/>
          <w:szCs w:val="18"/>
        </w:rPr>
        <w:t xml:space="preserve"> mld. Kč)</w:t>
      </w:r>
      <w:r w:rsidR="000D0520">
        <w:rPr>
          <w:rFonts w:ascii="Arial" w:hAnsi="Arial" w:cs="Arial"/>
          <w:sz w:val="18"/>
          <w:szCs w:val="18"/>
        </w:rPr>
        <w:t>,</w:t>
      </w:r>
      <w:r w:rsidRPr="000D0520">
        <w:rPr>
          <w:rFonts w:ascii="Arial" w:hAnsi="Arial" w:cs="Arial"/>
          <w:sz w:val="18"/>
          <w:szCs w:val="18"/>
        </w:rPr>
        <w:t xml:space="preserve"> u potravin a živých zvířat (o </w:t>
      </w:r>
      <w:r w:rsidR="000D0520" w:rsidRPr="000D0520">
        <w:rPr>
          <w:rFonts w:ascii="Arial" w:hAnsi="Arial" w:cs="Arial"/>
          <w:sz w:val="18"/>
          <w:szCs w:val="18"/>
        </w:rPr>
        <w:t>2,6</w:t>
      </w:r>
      <w:r w:rsidRPr="000D0520">
        <w:rPr>
          <w:rFonts w:ascii="Arial" w:hAnsi="Arial" w:cs="Arial"/>
          <w:sz w:val="18"/>
          <w:szCs w:val="18"/>
        </w:rPr>
        <w:t xml:space="preserve"> mld. Kč)</w:t>
      </w:r>
      <w:r w:rsidR="00E66B5E">
        <w:rPr>
          <w:rFonts w:ascii="Arial" w:hAnsi="Arial" w:cs="Arial"/>
          <w:sz w:val="18"/>
          <w:szCs w:val="18"/>
        </w:rPr>
        <w:t xml:space="preserve"> a u nápojů a tabáku (o 2,4 </w:t>
      </w:r>
      <w:r w:rsidR="000D0520">
        <w:rPr>
          <w:rFonts w:ascii="Arial" w:hAnsi="Arial" w:cs="Arial"/>
          <w:sz w:val="18"/>
          <w:szCs w:val="18"/>
        </w:rPr>
        <w:t>mld. Kč)</w:t>
      </w:r>
      <w:r w:rsidRPr="000D0520">
        <w:rPr>
          <w:rFonts w:ascii="Arial" w:hAnsi="Arial" w:cs="Arial"/>
          <w:sz w:val="18"/>
          <w:szCs w:val="18"/>
        </w:rPr>
        <w:t xml:space="preserve">. </w:t>
      </w:r>
      <w:r w:rsidR="000D0520">
        <w:rPr>
          <w:rFonts w:ascii="Arial" w:hAnsi="Arial" w:cs="Arial"/>
          <w:sz w:val="18"/>
          <w:szCs w:val="18"/>
        </w:rPr>
        <w:t>Klesl pouze dovoz živočišných a rostlinných olejů</w:t>
      </w:r>
      <w:r w:rsidR="00482387">
        <w:rPr>
          <w:rFonts w:ascii="Arial" w:hAnsi="Arial" w:cs="Arial"/>
          <w:sz w:val="18"/>
          <w:szCs w:val="18"/>
        </w:rPr>
        <w:t xml:space="preserve"> (o 3,0 mld. Kč)</w:t>
      </w:r>
      <w:r w:rsidR="000D0520">
        <w:rPr>
          <w:rFonts w:ascii="Arial" w:hAnsi="Arial" w:cs="Arial"/>
          <w:sz w:val="18"/>
          <w:szCs w:val="18"/>
        </w:rPr>
        <w:t>.</w:t>
      </w:r>
    </w:p>
    <w:p w:rsidR="009A7B8F" w:rsidRPr="00AF7D43" w:rsidRDefault="009A7B8F" w:rsidP="009A7B8F">
      <w:pPr>
        <w:spacing w:after="80"/>
        <w:jc w:val="both"/>
        <w:rPr>
          <w:rFonts w:ascii="Arial" w:hAnsi="Arial" w:cs="Arial"/>
          <w:b/>
          <w:sz w:val="18"/>
          <w:szCs w:val="18"/>
        </w:rPr>
      </w:pPr>
      <w:r w:rsidRPr="00AF7D43">
        <w:rPr>
          <w:rFonts w:ascii="Arial" w:hAnsi="Arial" w:cs="Arial"/>
          <w:b/>
          <w:sz w:val="18"/>
          <w:szCs w:val="18"/>
        </w:rPr>
        <w:t>Graf 1</w:t>
      </w:r>
      <w:r w:rsidR="005400B3">
        <w:rPr>
          <w:rFonts w:ascii="Arial" w:hAnsi="Arial" w:cs="Arial"/>
          <w:b/>
          <w:sz w:val="18"/>
          <w:szCs w:val="18"/>
        </w:rPr>
        <w:t>4</w:t>
      </w:r>
      <w:r w:rsidR="00135680" w:rsidRPr="00AF7D43">
        <w:rPr>
          <w:rFonts w:ascii="Arial" w:hAnsi="Arial" w:cs="Arial"/>
          <w:b/>
          <w:sz w:val="18"/>
          <w:szCs w:val="18"/>
        </w:rPr>
        <w:t xml:space="preserve"> -</w:t>
      </w:r>
      <w:r w:rsidRPr="00AF7D43">
        <w:rPr>
          <w:rFonts w:ascii="Arial" w:hAnsi="Arial" w:cs="Arial"/>
          <w:b/>
          <w:sz w:val="18"/>
          <w:szCs w:val="18"/>
        </w:rPr>
        <w:t xml:space="preserve"> </w:t>
      </w:r>
      <w:r w:rsidR="008B7857" w:rsidRPr="00AF7D43">
        <w:rPr>
          <w:rFonts w:ascii="Arial" w:hAnsi="Arial" w:cs="Arial"/>
          <w:b/>
          <w:sz w:val="18"/>
          <w:szCs w:val="18"/>
        </w:rPr>
        <w:t>P</w:t>
      </w:r>
      <w:r w:rsidRPr="00AF7D43">
        <w:rPr>
          <w:rFonts w:ascii="Arial" w:hAnsi="Arial" w:cs="Arial"/>
          <w:b/>
          <w:sz w:val="18"/>
          <w:szCs w:val="18"/>
        </w:rPr>
        <w:t>otravin</w:t>
      </w:r>
      <w:r w:rsidR="008B7857" w:rsidRPr="00AF7D43">
        <w:rPr>
          <w:rFonts w:ascii="Arial" w:hAnsi="Arial" w:cs="Arial"/>
          <w:b/>
          <w:sz w:val="18"/>
          <w:szCs w:val="18"/>
        </w:rPr>
        <w:t>y</w:t>
      </w:r>
      <w:r w:rsidRPr="00AF7D43">
        <w:rPr>
          <w:rFonts w:ascii="Arial" w:hAnsi="Arial" w:cs="Arial"/>
          <w:b/>
          <w:sz w:val="18"/>
          <w:szCs w:val="18"/>
        </w:rPr>
        <w:t xml:space="preserve"> a živ</w:t>
      </w:r>
      <w:r w:rsidR="008B7857" w:rsidRPr="00AF7D43">
        <w:rPr>
          <w:rFonts w:ascii="Arial" w:hAnsi="Arial" w:cs="Arial"/>
          <w:b/>
          <w:sz w:val="18"/>
          <w:szCs w:val="18"/>
        </w:rPr>
        <w:t>á</w:t>
      </w:r>
      <w:r w:rsidRPr="00AF7D43">
        <w:rPr>
          <w:rFonts w:ascii="Arial" w:hAnsi="Arial" w:cs="Arial"/>
          <w:b/>
          <w:sz w:val="18"/>
          <w:szCs w:val="18"/>
        </w:rPr>
        <w:t xml:space="preserve"> zvířat</w:t>
      </w:r>
      <w:r w:rsidR="008B7857" w:rsidRPr="00AF7D43">
        <w:rPr>
          <w:rFonts w:ascii="Arial" w:hAnsi="Arial" w:cs="Arial"/>
          <w:b/>
          <w:sz w:val="18"/>
          <w:szCs w:val="18"/>
        </w:rPr>
        <w:t>a v obchodě</w:t>
      </w:r>
      <w:r w:rsidRPr="00AF7D43">
        <w:rPr>
          <w:rFonts w:ascii="Arial" w:hAnsi="Arial" w:cs="Arial"/>
          <w:b/>
          <w:sz w:val="18"/>
          <w:szCs w:val="18"/>
        </w:rPr>
        <w:t xml:space="preserve"> s vybranými státy v roce 201</w:t>
      </w:r>
      <w:r w:rsidR="00AF7D43" w:rsidRPr="00AF7D43">
        <w:rPr>
          <w:rFonts w:ascii="Arial" w:hAnsi="Arial" w:cs="Arial"/>
          <w:b/>
          <w:sz w:val="18"/>
          <w:szCs w:val="18"/>
        </w:rPr>
        <w:t>7</w:t>
      </w:r>
      <w:r w:rsidR="008B7857" w:rsidRPr="00AF7D43">
        <w:rPr>
          <w:rFonts w:ascii="Arial" w:hAnsi="Arial" w:cs="Arial"/>
          <w:b/>
          <w:sz w:val="18"/>
          <w:szCs w:val="18"/>
        </w:rPr>
        <w:t xml:space="preserve"> (</w:t>
      </w:r>
      <w:r w:rsidRPr="00AF7D43">
        <w:rPr>
          <w:rFonts w:ascii="Arial" w:hAnsi="Arial" w:cs="Arial"/>
          <w:b/>
          <w:sz w:val="18"/>
          <w:szCs w:val="18"/>
        </w:rPr>
        <w:t>v mld. Kč</w:t>
      </w:r>
      <w:r w:rsidR="008B7857" w:rsidRPr="00AF7D43">
        <w:rPr>
          <w:rFonts w:ascii="Arial" w:hAnsi="Arial" w:cs="Arial"/>
          <w:b/>
          <w:sz w:val="18"/>
          <w:szCs w:val="18"/>
        </w:rPr>
        <w:t>)</w:t>
      </w:r>
    </w:p>
    <w:p w:rsidR="009A7B8F" w:rsidRPr="00AF7D43" w:rsidRDefault="0012752A" w:rsidP="009A7B8F">
      <w:pPr>
        <w:spacing w:after="120"/>
        <w:jc w:val="both"/>
        <w:rPr>
          <w:rFonts w:ascii="Arial" w:hAnsi="Arial" w:cs="Arial"/>
          <w:sz w:val="18"/>
          <w:szCs w:val="18"/>
        </w:rPr>
      </w:pPr>
      <w:r>
        <w:rPr>
          <w:rFonts w:ascii="Arial" w:hAnsi="Arial" w:cs="Arial"/>
          <w:noProof/>
          <w:sz w:val="18"/>
          <w:szCs w:val="18"/>
          <w:lang w:eastAsia="cs-CZ"/>
        </w:rPr>
        <w:pict>
          <v:shape id="_x0000_i1041" type="#_x0000_t75" style="width:478.5pt;height:227.25pt">
            <v:imagedata r:id="rId27" o:title=""/>
          </v:shape>
        </w:pict>
      </w:r>
    </w:p>
    <w:p w:rsidR="008A500A" w:rsidRPr="00DB7E02" w:rsidRDefault="00DB7E02" w:rsidP="00AA5D6C">
      <w:pPr>
        <w:spacing w:before="240" w:after="240"/>
        <w:jc w:val="both"/>
        <w:rPr>
          <w:rFonts w:ascii="Arial" w:hAnsi="Arial" w:cs="Arial"/>
          <w:sz w:val="18"/>
          <w:szCs w:val="18"/>
        </w:rPr>
      </w:pPr>
      <w:r w:rsidRPr="00DB7E02">
        <w:rPr>
          <w:rFonts w:ascii="Arial" w:hAnsi="Arial" w:cs="Arial"/>
          <w:sz w:val="18"/>
          <w:szCs w:val="18"/>
        </w:rPr>
        <w:t xml:space="preserve">Čtyři roky trvající </w:t>
      </w:r>
      <w:r w:rsidR="004F24CA" w:rsidRPr="00DB7E02">
        <w:rPr>
          <w:rFonts w:ascii="Arial" w:hAnsi="Arial" w:cs="Arial"/>
          <w:sz w:val="18"/>
          <w:szCs w:val="18"/>
        </w:rPr>
        <w:t xml:space="preserve">meziroční pokles českého dovozu </w:t>
      </w:r>
      <w:r w:rsidR="004F24CA" w:rsidRPr="00E66B5E">
        <w:rPr>
          <w:rFonts w:ascii="Arial" w:hAnsi="Arial" w:cs="Arial"/>
          <w:b/>
          <w:sz w:val="18"/>
          <w:szCs w:val="18"/>
        </w:rPr>
        <w:t>minerálních paliv</w:t>
      </w:r>
      <w:r w:rsidRPr="00DB7E02">
        <w:rPr>
          <w:rFonts w:ascii="Arial" w:hAnsi="Arial" w:cs="Arial"/>
          <w:sz w:val="18"/>
          <w:szCs w:val="18"/>
        </w:rPr>
        <w:t xml:space="preserve"> se rokem 2017 zastavil. Dovoz této komodity dosáhl hodnoty 207,5 mld. Kč, přičemž relativně se navýšil o </w:t>
      </w:r>
      <w:r w:rsidR="008A500A">
        <w:rPr>
          <w:rFonts w:ascii="Arial" w:hAnsi="Arial" w:cs="Arial"/>
          <w:sz w:val="18"/>
          <w:szCs w:val="18"/>
        </w:rPr>
        <w:t>18,5 % a absolutně o 32,4 mld. Kč. V porovnání s rokem 2016 vzrostl především dovoz ropy, ropných výrobků a příbuzných materiálů (o 28,6 mld. Kč). Dovoz elektrického proudu a topného plynu zůstal téměř na stejné úrovni.</w:t>
      </w:r>
    </w:p>
    <w:p w:rsidR="00B16E97" w:rsidRPr="000E65A6" w:rsidRDefault="00B16E97" w:rsidP="00A11BA6">
      <w:pPr>
        <w:spacing w:after="80"/>
        <w:jc w:val="both"/>
        <w:rPr>
          <w:rFonts w:ascii="Arial" w:hAnsi="Arial" w:cs="Arial"/>
          <w:b/>
          <w:sz w:val="18"/>
          <w:szCs w:val="18"/>
        </w:rPr>
      </w:pPr>
      <w:r w:rsidRPr="000E65A6">
        <w:rPr>
          <w:rFonts w:ascii="Arial" w:hAnsi="Arial" w:cs="Arial"/>
          <w:b/>
          <w:sz w:val="18"/>
          <w:szCs w:val="18"/>
        </w:rPr>
        <w:t xml:space="preserve">Graf </w:t>
      </w:r>
      <w:r w:rsidR="00386472" w:rsidRPr="000E65A6">
        <w:rPr>
          <w:rFonts w:ascii="Arial" w:hAnsi="Arial" w:cs="Arial"/>
          <w:b/>
          <w:sz w:val="18"/>
          <w:szCs w:val="18"/>
        </w:rPr>
        <w:t>1</w:t>
      </w:r>
      <w:r w:rsidR="005400B3">
        <w:rPr>
          <w:rFonts w:ascii="Arial" w:hAnsi="Arial" w:cs="Arial"/>
          <w:b/>
          <w:sz w:val="18"/>
          <w:szCs w:val="18"/>
        </w:rPr>
        <w:t>5</w:t>
      </w:r>
      <w:r w:rsidR="00135680" w:rsidRPr="000E65A6">
        <w:rPr>
          <w:rFonts w:ascii="Arial" w:hAnsi="Arial" w:cs="Arial"/>
          <w:b/>
          <w:sz w:val="18"/>
          <w:szCs w:val="18"/>
        </w:rPr>
        <w:t xml:space="preserve"> -</w:t>
      </w:r>
      <w:r w:rsidRPr="000E65A6">
        <w:rPr>
          <w:rFonts w:ascii="Arial" w:hAnsi="Arial" w:cs="Arial"/>
          <w:b/>
          <w:sz w:val="18"/>
          <w:szCs w:val="18"/>
        </w:rPr>
        <w:t xml:space="preserve"> Dovoz minerálních paliv ze států EU a mimo EU    </w:t>
      </w:r>
    </w:p>
    <w:p w:rsidR="00BD2C0E" w:rsidRDefault="0012752A" w:rsidP="00AF7D43">
      <w:pPr>
        <w:spacing w:after="80"/>
        <w:jc w:val="both"/>
        <w:rPr>
          <w:rFonts w:ascii="Arial" w:hAnsi="Arial" w:cs="Arial"/>
          <w:b/>
          <w:noProof/>
          <w:color w:val="FF0000"/>
          <w:sz w:val="18"/>
          <w:szCs w:val="18"/>
          <w:lang w:eastAsia="cs-CZ"/>
        </w:rPr>
      </w:pPr>
      <w:r>
        <w:rPr>
          <w:rFonts w:ascii="Arial" w:hAnsi="Arial" w:cs="Arial"/>
          <w:b/>
          <w:noProof/>
          <w:color w:val="FF0000"/>
          <w:sz w:val="18"/>
          <w:szCs w:val="18"/>
          <w:lang w:eastAsia="cs-CZ"/>
        </w:rPr>
        <w:pict>
          <v:shape id="_x0000_i1042" type="#_x0000_t75" style="width:481.5pt;height:157.5pt">
            <v:imagedata r:id="rId28" o:title=""/>
          </v:shape>
        </w:pict>
      </w:r>
    </w:p>
    <w:p w:rsidR="00F722AC" w:rsidRDefault="00BD2C0E" w:rsidP="00596654">
      <w:pPr>
        <w:spacing w:before="240" w:after="0"/>
        <w:jc w:val="both"/>
        <w:rPr>
          <w:rFonts w:ascii="Arial" w:hAnsi="Arial" w:cs="Arial"/>
          <w:b/>
          <w:noProof/>
          <w:color w:val="FF0000"/>
          <w:sz w:val="18"/>
          <w:szCs w:val="18"/>
          <w:lang w:eastAsia="cs-CZ"/>
        </w:rPr>
      </w:pPr>
      <w:r w:rsidRPr="00DB7E02">
        <w:rPr>
          <w:rFonts w:ascii="Arial" w:hAnsi="Arial" w:cs="Arial"/>
          <w:sz w:val="18"/>
          <w:szCs w:val="18"/>
        </w:rPr>
        <w:t xml:space="preserve">Procentní zastoupení jednotlivých zbožových </w:t>
      </w:r>
      <w:r w:rsidR="00F9160D">
        <w:rPr>
          <w:rFonts w:ascii="Arial" w:hAnsi="Arial" w:cs="Arial"/>
          <w:sz w:val="18"/>
          <w:szCs w:val="18"/>
        </w:rPr>
        <w:t>tříd podle</w:t>
      </w:r>
      <w:r w:rsidRPr="00DB7E02">
        <w:rPr>
          <w:rFonts w:ascii="Arial" w:hAnsi="Arial" w:cs="Arial"/>
          <w:sz w:val="18"/>
          <w:szCs w:val="18"/>
        </w:rPr>
        <w:t xml:space="preserve"> SITC </w:t>
      </w:r>
      <w:r w:rsidR="00F9160D">
        <w:rPr>
          <w:rFonts w:ascii="Arial" w:hAnsi="Arial" w:cs="Arial"/>
          <w:sz w:val="18"/>
          <w:szCs w:val="18"/>
        </w:rPr>
        <w:t xml:space="preserve">zahraničního </w:t>
      </w:r>
      <w:r w:rsidRPr="00DB7E02">
        <w:rPr>
          <w:rFonts w:ascii="Arial" w:hAnsi="Arial" w:cs="Arial"/>
          <w:sz w:val="18"/>
          <w:szCs w:val="18"/>
        </w:rPr>
        <w:t>obchodu se státy EU je na vývozu i dovozu téměř shodné s rozložením celkového obchodu. Jediný výrazný rozdíl je patrný u dovozu minerálních paliv, který je z velké části určován dodávkami ruského plynu a ropy.</w:t>
      </w:r>
      <w:r w:rsidR="00F722AC">
        <w:rPr>
          <w:rFonts w:ascii="Arial" w:hAnsi="Arial" w:cs="Arial"/>
          <w:b/>
          <w:noProof/>
          <w:color w:val="FF0000"/>
          <w:sz w:val="18"/>
          <w:szCs w:val="18"/>
          <w:lang w:eastAsia="cs-CZ"/>
        </w:rPr>
        <w:br w:type="page"/>
      </w:r>
    </w:p>
    <w:p w:rsidR="00BA7845" w:rsidRPr="007800D2" w:rsidRDefault="00BA7845" w:rsidP="00BA7845">
      <w:pPr>
        <w:numPr>
          <w:ilvl w:val="1"/>
          <w:numId w:val="1"/>
        </w:numPr>
        <w:spacing w:after="120"/>
        <w:ind w:left="426"/>
        <w:rPr>
          <w:rFonts w:ascii="Arial" w:hAnsi="Arial" w:cs="Arial"/>
          <w:b/>
          <w:sz w:val="21"/>
          <w:szCs w:val="21"/>
        </w:rPr>
      </w:pPr>
      <w:r w:rsidRPr="007800D2">
        <w:rPr>
          <w:rFonts w:ascii="Arial" w:hAnsi="Arial" w:cs="Arial"/>
          <w:b/>
          <w:sz w:val="21"/>
          <w:szCs w:val="21"/>
        </w:rPr>
        <w:lastRenderedPageBreak/>
        <w:t>Zahraniční obchod se silničními vozidly</w:t>
      </w:r>
      <w:r w:rsidR="00745050" w:rsidRPr="007800D2">
        <w:rPr>
          <w:rFonts w:ascii="Arial" w:hAnsi="Arial" w:cs="Arial"/>
          <w:b/>
          <w:sz w:val="21"/>
          <w:szCs w:val="21"/>
        </w:rPr>
        <w:t xml:space="preserve"> </w:t>
      </w:r>
    </w:p>
    <w:p w:rsidR="002D7F28" w:rsidRPr="006E0574" w:rsidRDefault="00BA7845" w:rsidP="00A11BA6">
      <w:pPr>
        <w:pStyle w:val="Zkladntext"/>
        <w:spacing w:after="200" w:line="276" w:lineRule="auto"/>
        <w:rPr>
          <w:sz w:val="18"/>
          <w:szCs w:val="20"/>
        </w:rPr>
      </w:pPr>
      <w:r w:rsidRPr="007800D2">
        <w:rPr>
          <w:b/>
          <w:bCs/>
          <w:sz w:val="18"/>
          <w:szCs w:val="20"/>
        </w:rPr>
        <w:t xml:space="preserve">Hlavní položkou vývozu </w:t>
      </w:r>
      <w:r w:rsidR="0040123B" w:rsidRPr="007800D2">
        <w:rPr>
          <w:b/>
          <w:bCs/>
          <w:sz w:val="18"/>
          <w:szCs w:val="20"/>
        </w:rPr>
        <w:t>České republiky</w:t>
      </w:r>
      <w:r w:rsidRPr="007800D2">
        <w:rPr>
          <w:sz w:val="18"/>
          <w:szCs w:val="20"/>
        </w:rPr>
        <w:t xml:space="preserve"> v roce 201</w:t>
      </w:r>
      <w:r w:rsidR="007800D2" w:rsidRPr="007800D2">
        <w:rPr>
          <w:sz w:val="18"/>
          <w:szCs w:val="20"/>
        </w:rPr>
        <w:t>7</w:t>
      </w:r>
      <w:r w:rsidRPr="007800D2">
        <w:rPr>
          <w:sz w:val="18"/>
          <w:szCs w:val="20"/>
        </w:rPr>
        <w:t xml:space="preserve"> byla i nadále </w:t>
      </w:r>
      <w:r w:rsidRPr="007800D2">
        <w:rPr>
          <w:b/>
          <w:bCs/>
          <w:sz w:val="18"/>
          <w:szCs w:val="20"/>
        </w:rPr>
        <w:t>silniční vozidla</w:t>
      </w:r>
      <w:r w:rsidRPr="007800D2">
        <w:rPr>
          <w:sz w:val="18"/>
          <w:szCs w:val="20"/>
        </w:rPr>
        <w:t xml:space="preserve"> (SITC 78</w:t>
      </w:r>
      <w:r w:rsidRPr="00334167">
        <w:rPr>
          <w:sz w:val="18"/>
          <w:szCs w:val="20"/>
        </w:rPr>
        <w:t>)</w:t>
      </w:r>
      <w:r w:rsidR="001D1E4A" w:rsidRPr="00334167">
        <w:rPr>
          <w:rStyle w:val="Znakapoznpodarou"/>
          <w:sz w:val="18"/>
          <w:szCs w:val="20"/>
        </w:rPr>
        <w:footnoteReference w:id="8"/>
      </w:r>
      <w:r w:rsidR="0040123B" w:rsidRPr="00334167">
        <w:rPr>
          <w:sz w:val="18"/>
          <w:szCs w:val="20"/>
        </w:rPr>
        <w:t>,</w:t>
      </w:r>
      <w:r w:rsidRPr="00334167">
        <w:rPr>
          <w:sz w:val="18"/>
          <w:szCs w:val="20"/>
        </w:rPr>
        <w:t xml:space="preserve"> z nich pak </w:t>
      </w:r>
      <w:r w:rsidRPr="00334167">
        <w:rPr>
          <w:b/>
          <w:bCs/>
          <w:sz w:val="18"/>
          <w:szCs w:val="20"/>
        </w:rPr>
        <w:t xml:space="preserve">osobní automobily </w:t>
      </w:r>
      <w:r w:rsidRPr="00334167">
        <w:rPr>
          <w:sz w:val="18"/>
          <w:szCs w:val="20"/>
        </w:rPr>
        <w:t xml:space="preserve">(SITC 781) a </w:t>
      </w:r>
      <w:r w:rsidRPr="00334167">
        <w:rPr>
          <w:b/>
          <w:bCs/>
          <w:sz w:val="18"/>
          <w:szCs w:val="20"/>
        </w:rPr>
        <w:t>díly a příslušenství motorových vozidel</w:t>
      </w:r>
      <w:r w:rsidRPr="00334167">
        <w:rPr>
          <w:sz w:val="18"/>
          <w:szCs w:val="20"/>
        </w:rPr>
        <w:t xml:space="preserve"> (SITC 784). </w:t>
      </w:r>
      <w:r w:rsidR="0040123B" w:rsidRPr="00334167">
        <w:rPr>
          <w:sz w:val="18"/>
          <w:szCs w:val="20"/>
        </w:rPr>
        <w:t>Vývoz</w:t>
      </w:r>
      <w:r w:rsidRPr="00334167">
        <w:rPr>
          <w:sz w:val="18"/>
          <w:szCs w:val="20"/>
        </w:rPr>
        <w:t> silniční</w:t>
      </w:r>
      <w:r w:rsidR="0040123B" w:rsidRPr="00334167">
        <w:rPr>
          <w:sz w:val="18"/>
          <w:szCs w:val="20"/>
        </w:rPr>
        <w:t>ch</w:t>
      </w:r>
      <w:r w:rsidRPr="00334167">
        <w:rPr>
          <w:sz w:val="18"/>
          <w:szCs w:val="20"/>
        </w:rPr>
        <w:t xml:space="preserve"> vozid</w:t>
      </w:r>
      <w:r w:rsidR="0040123B" w:rsidRPr="00334167">
        <w:rPr>
          <w:sz w:val="18"/>
          <w:szCs w:val="20"/>
        </w:rPr>
        <w:t>el</w:t>
      </w:r>
      <w:r w:rsidRPr="00334167">
        <w:rPr>
          <w:sz w:val="18"/>
          <w:szCs w:val="20"/>
        </w:rPr>
        <w:t xml:space="preserve"> byl ze všech oddíl</w:t>
      </w:r>
      <w:r w:rsidR="001871D5" w:rsidRPr="00334167">
        <w:rPr>
          <w:sz w:val="18"/>
          <w:szCs w:val="20"/>
        </w:rPr>
        <w:t>ů</w:t>
      </w:r>
      <w:r w:rsidRPr="00334167">
        <w:rPr>
          <w:sz w:val="18"/>
          <w:szCs w:val="20"/>
        </w:rPr>
        <w:t xml:space="preserve"> SITC </w:t>
      </w:r>
      <w:r w:rsidR="00EA6EDE" w:rsidRPr="00334167">
        <w:rPr>
          <w:sz w:val="18"/>
          <w:szCs w:val="20"/>
        </w:rPr>
        <w:t>nadále</w:t>
      </w:r>
      <w:r w:rsidRPr="00334167">
        <w:rPr>
          <w:sz w:val="18"/>
          <w:szCs w:val="20"/>
        </w:rPr>
        <w:t xml:space="preserve"> </w:t>
      </w:r>
      <w:r w:rsidR="00070A12" w:rsidRPr="00334167">
        <w:rPr>
          <w:sz w:val="18"/>
          <w:szCs w:val="20"/>
        </w:rPr>
        <w:t xml:space="preserve">nejdominantnější </w:t>
      </w:r>
      <w:r w:rsidRPr="00334167">
        <w:rPr>
          <w:sz w:val="18"/>
          <w:szCs w:val="20"/>
        </w:rPr>
        <w:t>(</w:t>
      </w:r>
      <w:r w:rsidR="00334167" w:rsidRPr="00334167">
        <w:rPr>
          <w:sz w:val="18"/>
          <w:szCs w:val="20"/>
        </w:rPr>
        <w:t>897,6</w:t>
      </w:r>
      <w:r w:rsidRPr="00334167">
        <w:rPr>
          <w:sz w:val="18"/>
          <w:szCs w:val="20"/>
        </w:rPr>
        <w:t xml:space="preserve"> mld. Kč) a</w:t>
      </w:r>
      <w:r w:rsidR="00A2213C" w:rsidRPr="00334167">
        <w:rPr>
          <w:sz w:val="18"/>
          <w:szCs w:val="20"/>
        </w:rPr>
        <w:t xml:space="preserve"> </w:t>
      </w:r>
      <w:r w:rsidRPr="00334167">
        <w:rPr>
          <w:sz w:val="18"/>
          <w:szCs w:val="20"/>
        </w:rPr>
        <w:t>meziročně o</w:t>
      </w:r>
      <w:r w:rsidR="00A2213C" w:rsidRPr="00334167">
        <w:rPr>
          <w:sz w:val="18"/>
          <w:szCs w:val="20"/>
        </w:rPr>
        <w:t xml:space="preserve"> </w:t>
      </w:r>
      <w:r w:rsidR="00334167" w:rsidRPr="00334167">
        <w:rPr>
          <w:sz w:val="18"/>
          <w:szCs w:val="20"/>
        </w:rPr>
        <w:t>57,8</w:t>
      </w:r>
      <w:r w:rsidR="00A2213C" w:rsidRPr="00334167">
        <w:rPr>
          <w:sz w:val="18"/>
          <w:szCs w:val="20"/>
        </w:rPr>
        <w:t xml:space="preserve"> </w:t>
      </w:r>
      <w:r w:rsidRPr="00334167">
        <w:rPr>
          <w:sz w:val="18"/>
          <w:szCs w:val="20"/>
        </w:rPr>
        <w:t>mld. Kč vyšší.</w:t>
      </w:r>
      <w:r w:rsidRPr="00856E93">
        <w:rPr>
          <w:color w:val="FF0000"/>
          <w:sz w:val="18"/>
          <w:szCs w:val="20"/>
        </w:rPr>
        <w:t xml:space="preserve"> </w:t>
      </w:r>
      <w:r w:rsidRPr="006E0574">
        <w:rPr>
          <w:sz w:val="18"/>
          <w:szCs w:val="20"/>
        </w:rPr>
        <w:t>Převážná jeho část (</w:t>
      </w:r>
      <w:r w:rsidR="006E0574" w:rsidRPr="006E0574">
        <w:rPr>
          <w:sz w:val="18"/>
          <w:szCs w:val="20"/>
        </w:rPr>
        <w:t>765,4</w:t>
      </w:r>
      <w:r w:rsidR="00351A8F" w:rsidRPr="006E0574">
        <w:rPr>
          <w:sz w:val="18"/>
          <w:szCs w:val="20"/>
        </w:rPr>
        <w:t> mld. </w:t>
      </w:r>
      <w:r w:rsidRPr="006E0574">
        <w:rPr>
          <w:sz w:val="18"/>
          <w:szCs w:val="20"/>
        </w:rPr>
        <w:t xml:space="preserve">Kč), která se meziročně zvýšila o </w:t>
      </w:r>
      <w:r w:rsidR="006E0574" w:rsidRPr="006E0574">
        <w:rPr>
          <w:sz w:val="18"/>
          <w:szCs w:val="20"/>
        </w:rPr>
        <w:t>51,0</w:t>
      </w:r>
      <w:r w:rsidRPr="006E0574">
        <w:rPr>
          <w:sz w:val="18"/>
          <w:szCs w:val="20"/>
        </w:rPr>
        <w:t xml:space="preserve"> mld. Kč, připadla na obchod se státy E</w:t>
      </w:r>
      <w:r w:rsidR="00215FA5" w:rsidRPr="006E0574">
        <w:rPr>
          <w:sz w:val="18"/>
          <w:szCs w:val="20"/>
        </w:rPr>
        <w:t xml:space="preserve">vropské unie a </w:t>
      </w:r>
      <w:r w:rsidR="00BD2F5D" w:rsidRPr="006E0574">
        <w:rPr>
          <w:sz w:val="18"/>
          <w:szCs w:val="20"/>
        </w:rPr>
        <w:t xml:space="preserve">z toho </w:t>
      </w:r>
      <w:r w:rsidR="00215FA5" w:rsidRPr="006E0574">
        <w:rPr>
          <w:sz w:val="18"/>
          <w:szCs w:val="20"/>
        </w:rPr>
        <w:t>jedna třetina na </w:t>
      </w:r>
      <w:r w:rsidRPr="006E0574">
        <w:rPr>
          <w:sz w:val="18"/>
          <w:szCs w:val="20"/>
        </w:rPr>
        <w:t>obchod s</w:t>
      </w:r>
      <w:r w:rsidR="00592252" w:rsidRPr="006E0574">
        <w:rPr>
          <w:sz w:val="18"/>
          <w:szCs w:val="20"/>
        </w:rPr>
        <w:t> </w:t>
      </w:r>
      <w:r w:rsidRPr="006E0574">
        <w:rPr>
          <w:sz w:val="18"/>
          <w:szCs w:val="20"/>
        </w:rPr>
        <w:t>Německem</w:t>
      </w:r>
      <w:r w:rsidR="00592252" w:rsidRPr="006E0574">
        <w:rPr>
          <w:sz w:val="18"/>
          <w:szCs w:val="20"/>
        </w:rPr>
        <w:t>.</w:t>
      </w:r>
    </w:p>
    <w:p w:rsidR="0040123B" w:rsidRPr="00DC224A" w:rsidRDefault="0040123B" w:rsidP="0040123B">
      <w:pPr>
        <w:spacing w:after="80"/>
        <w:jc w:val="both"/>
        <w:rPr>
          <w:rFonts w:ascii="Arial" w:hAnsi="Arial" w:cs="Arial"/>
          <w:b/>
          <w:sz w:val="18"/>
          <w:szCs w:val="18"/>
        </w:rPr>
      </w:pPr>
      <w:r w:rsidRPr="00DC224A">
        <w:rPr>
          <w:rFonts w:ascii="Arial" w:hAnsi="Arial" w:cs="Arial"/>
          <w:b/>
          <w:sz w:val="18"/>
          <w:szCs w:val="18"/>
        </w:rPr>
        <w:t xml:space="preserve">Graf </w:t>
      </w:r>
      <w:r w:rsidR="00215FA5" w:rsidRPr="00DC224A">
        <w:rPr>
          <w:rFonts w:ascii="Arial" w:hAnsi="Arial" w:cs="Arial"/>
          <w:b/>
          <w:sz w:val="18"/>
          <w:szCs w:val="18"/>
        </w:rPr>
        <w:t>1</w:t>
      </w:r>
      <w:r w:rsidR="005400B3" w:rsidRPr="00DC224A">
        <w:rPr>
          <w:rFonts w:ascii="Arial" w:hAnsi="Arial" w:cs="Arial"/>
          <w:b/>
          <w:sz w:val="18"/>
          <w:szCs w:val="18"/>
        </w:rPr>
        <w:t>6</w:t>
      </w:r>
      <w:r w:rsidRPr="00DC224A">
        <w:rPr>
          <w:rFonts w:ascii="Arial" w:hAnsi="Arial" w:cs="Arial"/>
          <w:b/>
          <w:sz w:val="18"/>
          <w:szCs w:val="18"/>
        </w:rPr>
        <w:t xml:space="preserve"> – Vývoz a dovoz silničních vozidel </w:t>
      </w:r>
      <w:r w:rsidR="00821057" w:rsidRPr="00DC224A">
        <w:rPr>
          <w:rFonts w:ascii="Arial" w:hAnsi="Arial" w:cs="Arial"/>
          <w:b/>
          <w:sz w:val="18"/>
          <w:szCs w:val="18"/>
        </w:rPr>
        <w:t>s</w:t>
      </w:r>
      <w:r w:rsidR="008B7857" w:rsidRPr="00DC224A">
        <w:rPr>
          <w:rFonts w:ascii="Arial" w:hAnsi="Arial" w:cs="Arial"/>
          <w:b/>
          <w:sz w:val="18"/>
          <w:szCs w:val="18"/>
        </w:rPr>
        <w:t xml:space="preserve"> </w:t>
      </w:r>
      <w:r w:rsidRPr="00DC224A">
        <w:rPr>
          <w:rFonts w:ascii="Arial" w:hAnsi="Arial" w:cs="Arial"/>
          <w:b/>
          <w:sz w:val="18"/>
          <w:szCs w:val="18"/>
        </w:rPr>
        <w:t>vybraný</w:t>
      </w:r>
      <w:r w:rsidR="00821057" w:rsidRPr="00DC224A">
        <w:rPr>
          <w:rFonts w:ascii="Arial" w:hAnsi="Arial" w:cs="Arial"/>
          <w:b/>
          <w:sz w:val="18"/>
          <w:szCs w:val="18"/>
        </w:rPr>
        <w:t>mi</w:t>
      </w:r>
      <w:r w:rsidRPr="00DC224A">
        <w:rPr>
          <w:rFonts w:ascii="Arial" w:hAnsi="Arial" w:cs="Arial"/>
          <w:b/>
          <w:sz w:val="18"/>
          <w:szCs w:val="18"/>
        </w:rPr>
        <w:t xml:space="preserve"> stát</w:t>
      </w:r>
      <w:r w:rsidR="00821057" w:rsidRPr="00DC224A">
        <w:rPr>
          <w:rFonts w:ascii="Arial" w:hAnsi="Arial" w:cs="Arial"/>
          <w:b/>
          <w:sz w:val="18"/>
          <w:szCs w:val="18"/>
        </w:rPr>
        <w:t>y</w:t>
      </w:r>
      <w:r w:rsidRPr="00DC224A">
        <w:rPr>
          <w:rFonts w:ascii="Arial" w:hAnsi="Arial" w:cs="Arial"/>
          <w:b/>
          <w:sz w:val="18"/>
          <w:szCs w:val="18"/>
        </w:rPr>
        <w:t xml:space="preserve"> v roce 201</w:t>
      </w:r>
      <w:r w:rsidR="00DC224A" w:rsidRPr="00DC224A">
        <w:rPr>
          <w:rFonts w:ascii="Arial" w:hAnsi="Arial" w:cs="Arial"/>
          <w:b/>
          <w:sz w:val="18"/>
          <w:szCs w:val="18"/>
        </w:rPr>
        <w:t>7</w:t>
      </w:r>
      <w:r w:rsidRPr="00DC224A">
        <w:rPr>
          <w:rFonts w:ascii="Arial" w:hAnsi="Arial" w:cs="Arial"/>
          <w:b/>
          <w:sz w:val="18"/>
          <w:szCs w:val="18"/>
        </w:rPr>
        <w:t xml:space="preserve"> </w:t>
      </w:r>
      <w:r w:rsidR="00857BB6" w:rsidRPr="00DC224A">
        <w:rPr>
          <w:rFonts w:ascii="Arial" w:hAnsi="Arial" w:cs="Arial"/>
          <w:b/>
          <w:sz w:val="18"/>
          <w:szCs w:val="18"/>
        </w:rPr>
        <w:t>(</w:t>
      </w:r>
      <w:r w:rsidRPr="00DC224A">
        <w:rPr>
          <w:rFonts w:ascii="Arial" w:hAnsi="Arial" w:cs="Arial"/>
          <w:b/>
          <w:sz w:val="18"/>
          <w:szCs w:val="18"/>
        </w:rPr>
        <w:t>v m</w:t>
      </w:r>
      <w:r w:rsidR="00ED2B95" w:rsidRPr="00DC224A">
        <w:rPr>
          <w:rFonts w:ascii="Arial" w:hAnsi="Arial" w:cs="Arial"/>
          <w:b/>
          <w:sz w:val="18"/>
          <w:szCs w:val="18"/>
        </w:rPr>
        <w:t>ld</w:t>
      </w:r>
      <w:r w:rsidRPr="00DC224A">
        <w:rPr>
          <w:rFonts w:ascii="Arial" w:hAnsi="Arial" w:cs="Arial"/>
          <w:b/>
          <w:sz w:val="18"/>
          <w:szCs w:val="18"/>
        </w:rPr>
        <w:t>. Kč</w:t>
      </w:r>
      <w:r w:rsidR="00857BB6" w:rsidRPr="00DC224A">
        <w:rPr>
          <w:rFonts w:ascii="Arial" w:hAnsi="Arial" w:cs="Arial"/>
          <w:b/>
          <w:sz w:val="18"/>
          <w:szCs w:val="18"/>
        </w:rPr>
        <w:t>)</w:t>
      </w:r>
    </w:p>
    <w:p w:rsidR="0040123B" w:rsidRPr="00DC224A" w:rsidRDefault="0012752A" w:rsidP="000B3576">
      <w:pPr>
        <w:spacing w:after="120"/>
        <w:jc w:val="both"/>
        <w:rPr>
          <w:rFonts w:ascii="Arial" w:hAnsi="Arial" w:cs="Arial"/>
          <w:sz w:val="18"/>
          <w:szCs w:val="18"/>
        </w:rPr>
      </w:pPr>
      <w:r>
        <w:rPr>
          <w:rFonts w:ascii="Arial" w:hAnsi="Arial" w:cs="Arial"/>
          <w:noProof/>
          <w:sz w:val="18"/>
          <w:szCs w:val="18"/>
          <w:lang w:eastAsia="cs-CZ"/>
        </w:rPr>
        <w:pict>
          <v:shape id="_x0000_i1043" type="#_x0000_t75" style="width:480.75pt;height:213pt">
            <v:imagedata r:id="rId29" o:title=""/>
          </v:shape>
        </w:pict>
      </w:r>
    </w:p>
    <w:p w:rsidR="00BA7845" w:rsidRPr="006E0574" w:rsidRDefault="00BA7845" w:rsidP="00A11BA6">
      <w:pPr>
        <w:spacing w:before="240" w:after="120"/>
        <w:jc w:val="both"/>
        <w:rPr>
          <w:rFonts w:ascii="Arial" w:eastAsia="Times New Roman" w:hAnsi="Arial" w:cs="Arial"/>
          <w:sz w:val="18"/>
          <w:szCs w:val="20"/>
          <w:lang w:eastAsia="cs-CZ"/>
        </w:rPr>
      </w:pPr>
      <w:r w:rsidRPr="006E0574">
        <w:rPr>
          <w:rFonts w:ascii="Arial" w:eastAsia="Times New Roman" w:hAnsi="Arial" w:cs="Arial"/>
          <w:sz w:val="18"/>
          <w:szCs w:val="20"/>
          <w:lang w:eastAsia="cs-CZ"/>
        </w:rPr>
        <w:t xml:space="preserve">Na celkovém </w:t>
      </w:r>
      <w:r w:rsidRPr="006E0574">
        <w:rPr>
          <w:rFonts w:ascii="Arial" w:eastAsia="Times New Roman" w:hAnsi="Arial" w:cs="Arial"/>
          <w:b/>
          <w:sz w:val="18"/>
          <w:szCs w:val="20"/>
          <w:lang w:eastAsia="cs-CZ"/>
        </w:rPr>
        <w:t>vývozu</w:t>
      </w:r>
      <w:r w:rsidRPr="006E0574">
        <w:rPr>
          <w:rFonts w:ascii="Arial" w:eastAsia="Times New Roman" w:hAnsi="Arial" w:cs="Arial"/>
          <w:sz w:val="18"/>
          <w:szCs w:val="20"/>
          <w:lang w:eastAsia="cs-CZ"/>
        </w:rPr>
        <w:t xml:space="preserve"> </w:t>
      </w:r>
      <w:r w:rsidR="00F13265" w:rsidRPr="006E0574">
        <w:rPr>
          <w:rFonts w:ascii="Arial" w:eastAsia="Times New Roman" w:hAnsi="Arial" w:cs="Arial"/>
          <w:sz w:val="18"/>
          <w:szCs w:val="20"/>
          <w:lang w:eastAsia="cs-CZ"/>
        </w:rPr>
        <w:t xml:space="preserve">zboží z Česka </w:t>
      </w:r>
      <w:r w:rsidRPr="006E0574">
        <w:rPr>
          <w:rFonts w:ascii="Arial" w:eastAsia="Times New Roman" w:hAnsi="Arial" w:cs="Arial"/>
          <w:sz w:val="18"/>
          <w:szCs w:val="20"/>
          <w:lang w:eastAsia="cs-CZ"/>
        </w:rPr>
        <w:t xml:space="preserve">se silniční vozidla podílela </w:t>
      </w:r>
      <w:r w:rsidR="00D91DD5" w:rsidRPr="006E0574">
        <w:rPr>
          <w:rFonts w:ascii="Arial" w:eastAsia="Times New Roman" w:hAnsi="Arial" w:cs="Arial"/>
          <w:sz w:val="18"/>
          <w:szCs w:val="20"/>
          <w:lang w:eastAsia="cs-CZ"/>
        </w:rPr>
        <w:t>21,0</w:t>
      </w:r>
      <w:r w:rsidRPr="006E0574">
        <w:rPr>
          <w:rFonts w:ascii="Arial" w:eastAsia="Times New Roman" w:hAnsi="Arial" w:cs="Arial"/>
          <w:sz w:val="18"/>
          <w:szCs w:val="20"/>
          <w:lang w:eastAsia="cs-CZ"/>
        </w:rPr>
        <w:t xml:space="preserve"> %, z toho osobní automobily </w:t>
      </w:r>
      <w:r w:rsidR="00491F05" w:rsidRPr="006E0574">
        <w:rPr>
          <w:rFonts w:ascii="Arial" w:eastAsia="Times New Roman" w:hAnsi="Arial" w:cs="Arial"/>
          <w:sz w:val="18"/>
          <w:szCs w:val="20"/>
          <w:lang w:eastAsia="cs-CZ"/>
        </w:rPr>
        <w:t>1</w:t>
      </w:r>
      <w:r w:rsidR="00D36450" w:rsidRPr="006E0574">
        <w:rPr>
          <w:rFonts w:ascii="Arial" w:eastAsia="Times New Roman" w:hAnsi="Arial" w:cs="Arial"/>
          <w:sz w:val="18"/>
          <w:szCs w:val="20"/>
          <w:lang w:eastAsia="cs-CZ"/>
        </w:rPr>
        <w:t>1,</w:t>
      </w:r>
      <w:r w:rsidR="006E0574" w:rsidRPr="006E0574">
        <w:rPr>
          <w:rFonts w:ascii="Arial" w:eastAsia="Times New Roman" w:hAnsi="Arial" w:cs="Arial"/>
          <w:sz w:val="18"/>
          <w:szCs w:val="20"/>
          <w:lang w:eastAsia="cs-CZ"/>
        </w:rPr>
        <w:t>8</w:t>
      </w:r>
      <w:r w:rsidRPr="006E0574">
        <w:rPr>
          <w:rFonts w:ascii="Arial" w:eastAsia="Times New Roman" w:hAnsi="Arial" w:cs="Arial"/>
          <w:sz w:val="18"/>
          <w:szCs w:val="20"/>
          <w:lang w:eastAsia="cs-CZ"/>
        </w:rPr>
        <w:t xml:space="preserve"> % (</w:t>
      </w:r>
      <w:r w:rsidR="006E0574" w:rsidRPr="006E0574">
        <w:rPr>
          <w:rFonts w:ascii="Arial" w:eastAsia="Times New Roman" w:hAnsi="Arial" w:cs="Arial"/>
          <w:sz w:val="18"/>
          <w:szCs w:val="20"/>
          <w:lang w:eastAsia="cs-CZ"/>
        </w:rPr>
        <w:t>11,5</w:t>
      </w:r>
      <w:r w:rsidRPr="006E0574">
        <w:rPr>
          <w:rFonts w:ascii="Arial" w:eastAsia="Times New Roman" w:hAnsi="Arial" w:cs="Arial"/>
          <w:sz w:val="18"/>
          <w:szCs w:val="20"/>
          <w:lang w:eastAsia="cs-CZ"/>
        </w:rPr>
        <w:t xml:space="preserve"> % v roce 201</w:t>
      </w:r>
      <w:r w:rsidR="006E0574" w:rsidRPr="006E0574">
        <w:rPr>
          <w:rFonts w:ascii="Arial" w:eastAsia="Times New Roman" w:hAnsi="Arial" w:cs="Arial"/>
          <w:sz w:val="18"/>
          <w:szCs w:val="20"/>
          <w:lang w:eastAsia="cs-CZ"/>
        </w:rPr>
        <w:t>6</w:t>
      </w:r>
      <w:r w:rsidRPr="006E0574">
        <w:rPr>
          <w:rFonts w:ascii="Arial" w:eastAsia="Times New Roman" w:hAnsi="Arial" w:cs="Arial"/>
          <w:sz w:val="18"/>
          <w:szCs w:val="20"/>
          <w:lang w:eastAsia="cs-CZ"/>
        </w:rPr>
        <w:t xml:space="preserve">) a díly a příslušenství motorových vozidel </w:t>
      </w:r>
      <w:r w:rsidR="00FE4973" w:rsidRPr="006E0574">
        <w:rPr>
          <w:rFonts w:ascii="Arial" w:eastAsia="Times New Roman" w:hAnsi="Arial" w:cs="Arial"/>
          <w:sz w:val="18"/>
          <w:szCs w:val="20"/>
          <w:lang w:eastAsia="cs-CZ"/>
        </w:rPr>
        <w:t>8,</w:t>
      </w:r>
      <w:r w:rsidR="006E0574" w:rsidRPr="006E0574">
        <w:rPr>
          <w:rFonts w:ascii="Arial" w:eastAsia="Times New Roman" w:hAnsi="Arial" w:cs="Arial"/>
          <w:sz w:val="18"/>
          <w:szCs w:val="20"/>
          <w:lang w:eastAsia="cs-CZ"/>
        </w:rPr>
        <w:t>2</w:t>
      </w:r>
      <w:r w:rsidRPr="006E0574">
        <w:rPr>
          <w:rFonts w:ascii="Arial" w:eastAsia="Times New Roman" w:hAnsi="Arial" w:cs="Arial"/>
          <w:sz w:val="18"/>
          <w:szCs w:val="20"/>
          <w:lang w:eastAsia="cs-CZ"/>
        </w:rPr>
        <w:t xml:space="preserve"> % (</w:t>
      </w:r>
      <w:r w:rsidR="00D36450" w:rsidRPr="006E0574">
        <w:rPr>
          <w:rFonts w:ascii="Arial" w:eastAsia="Times New Roman" w:hAnsi="Arial" w:cs="Arial"/>
          <w:sz w:val="18"/>
          <w:szCs w:val="20"/>
          <w:lang w:eastAsia="cs-CZ"/>
        </w:rPr>
        <w:t>8,</w:t>
      </w:r>
      <w:r w:rsidR="006E0574" w:rsidRPr="006E0574">
        <w:rPr>
          <w:rFonts w:ascii="Arial" w:eastAsia="Times New Roman" w:hAnsi="Arial" w:cs="Arial"/>
          <w:sz w:val="18"/>
          <w:szCs w:val="20"/>
          <w:lang w:eastAsia="cs-CZ"/>
        </w:rPr>
        <w:t>4</w:t>
      </w:r>
      <w:r w:rsidRPr="006E0574">
        <w:rPr>
          <w:rFonts w:ascii="Arial" w:eastAsia="Times New Roman" w:hAnsi="Arial" w:cs="Arial"/>
          <w:sz w:val="18"/>
          <w:szCs w:val="20"/>
          <w:lang w:eastAsia="cs-CZ"/>
        </w:rPr>
        <w:t xml:space="preserve"> % v roce 201</w:t>
      </w:r>
      <w:r w:rsidR="006E0574" w:rsidRPr="006E0574">
        <w:rPr>
          <w:rFonts w:ascii="Arial" w:eastAsia="Times New Roman" w:hAnsi="Arial" w:cs="Arial"/>
          <w:sz w:val="18"/>
          <w:szCs w:val="20"/>
          <w:lang w:eastAsia="cs-CZ"/>
        </w:rPr>
        <w:t>6</w:t>
      </w:r>
      <w:r w:rsidRPr="006E0574">
        <w:rPr>
          <w:rFonts w:ascii="Arial" w:eastAsia="Times New Roman" w:hAnsi="Arial" w:cs="Arial"/>
          <w:sz w:val="18"/>
          <w:szCs w:val="20"/>
          <w:lang w:eastAsia="cs-CZ"/>
        </w:rPr>
        <w:t>). Vývoz osobních automobilů meziročně vzrostl</w:t>
      </w:r>
      <w:r w:rsidRPr="00856E93">
        <w:rPr>
          <w:rFonts w:ascii="Arial" w:eastAsia="Times New Roman" w:hAnsi="Arial" w:cs="Arial"/>
          <w:color w:val="FF0000"/>
          <w:sz w:val="18"/>
          <w:szCs w:val="20"/>
          <w:lang w:eastAsia="cs-CZ"/>
        </w:rPr>
        <w:t xml:space="preserve"> </w:t>
      </w:r>
      <w:r w:rsidRPr="006E0574">
        <w:rPr>
          <w:rFonts w:ascii="Arial" w:eastAsia="Times New Roman" w:hAnsi="Arial" w:cs="Arial"/>
          <w:sz w:val="18"/>
          <w:szCs w:val="20"/>
          <w:lang w:eastAsia="cs-CZ"/>
        </w:rPr>
        <w:t xml:space="preserve">o </w:t>
      </w:r>
      <w:r w:rsidR="006E0574" w:rsidRPr="006E0574">
        <w:rPr>
          <w:rFonts w:ascii="Arial" w:eastAsia="Times New Roman" w:hAnsi="Arial" w:cs="Arial"/>
          <w:sz w:val="18"/>
          <w:szCs w:val="20"/>
          <w:lang w:eastAsia="cs-CZ"/>
        </w:rPr>
        <w:t>8,8</w:t>
      </w:r>
      <w:r w:rsidR="00491F05" w:rsidRPr="006E0574">
        <w:rPr>
          <w:rFonts w:ascii="Arial" w:eastAsia="Times New Roman" w:hAnsi="Arial" w:cs="Arial"/>
          <w:sz w:val="18"/>
          <w:szCs w:val="20"/>
          <w:lang w:eastAsia="cs-CZ"/>
        </w:rPr>
        <w:t xml:space="preserve"> </w:t>
      </w:r>
      <w:r w:rsidRPr="006E0574">
        <w:rPr>
          <w:rFonts w:ascii="Arial" w:eastAsia="Times New Roman" w:hAnsi="Arial" w:cs="Arial"/>
          <w:sz w:val="18"/>
          <w:szCs w:val="20"/>
          <w:lang w:eastAsia="cs-CZ"/>
        </w:rPr>
        <w:t xml:space="preserve">% a vývoz dílů a příslušenství motorových vozidel se meziročně zvýšil o </w:t>
      </w:r>
      <w:r w:rsidR="006E0574" w:rsidRPr="006E0574">
        <w:rPr>
          <w:rFonts w:ascii="Arial" w:eastAsia="Times New Roman" w:hAnsi="Arial" w:cs="Arial"/>
          <w:sz w:val="18"/>
          <w:szCs w:val="20"/>
          <w:lang w:eastAsia="cs-CZ"/>
        </w:rPr>
        <w:t>4,8</w:t>
      </w:r>
      <w:r w:rsidRPr="006E0574">
        <w:rPr>
          <w:rFonts w:ascii="Arial" w:eastAsia="Times New Roman" w:hAnsi="Arial" w:cs="Arial"/>
          <w:sz w:val="18"/>
          <w:szCs w:val="20"/>
          <w:lang w:eastAsia="cs-CZ"/>
        </w:rPr>
        <w:t xml:space="preserve"> %.</w:t>
      </w:r>
    </w:p>
    <w:p w:rsidR="00DE5CA3" w:rsidRPr="00301661" w:rsidRDefault="00DE5CA3" w:rsidP="00DE5CA3">
      <w:pPr>
        <w:pStyle w:val="Zkladntext"/>
        <w:spacing w:after="240" w:line="276" w:lineRule="auto"/>
        <w:rPr>
          <w:sz w:val="18"/>
          <w:szCs w:val="20"/>
        </w:rPr>
      </w:pPr>
      <w:r w:rsidRPr="00E90C1A">
        <w:rPr>
          <w:b/>
          <w:bCs/>
          <w:sz w:val="18"/>
          <w:szCs w:val="20"/>
        </w:rPr>
        <w:t xml:space="preserve">Vývoz osobních automobilů a </w:t>
      </w:r>
      <w:r w:rsidR="001C1E30" w:rsidRPr="00E90C1A">
        <w:rPr>
          <w:b/>
          <w:bCs/>
          <w:sz w:val="18"/>
          <w:szCs w:val="20"/>
        </w:rPr>
        <w:t xml:space="preserve">zároveň </w:t>
      </w:r>
      <w:r w:rsidRPr="00E90C1A">
        <w:rPr>
          <w:b/>
          <w:bCs/>
          <w:sz w:val="18"/>
          <w:szCs w:val="20"/>
        </w:rPr>
        <w:t>dílů a příslušenství motorových vozid</w:t>
      </w:r>
      <w:r w:rsidRPr="006E0574">
        <w:rPr>
          <w:b/>
          <w:bCs/>
          <w:sz w:val="18"/>
          <w:szCs w:val="20"/>
        </w:rPr>
        <w:t>el</w:t>
      </w:r>
      <w:r w:rsidRPr="006E0574">
        <w:rPr>
          <w:sz w:val="18"/>
          <w:szCs w:val="20"/>
        </w:rPr>
        <w:t xml:space="preserve"> ve všech jednotlivých čtvrtletích roku 201</w:t>
      </w:r>
      <w:r w:rsidR="006E0574">
        <w:rPr>
          <w:sz w:val="18"/>
          <w:szCs w:val="20"/>
        </w:rPr>
        <w:t>7</w:t>
      </w:r>
      <w:r w:rsidRPr="006E0574">
        <w:rPr>
          <w:sz w:val="18"/>
          <w:szCs w:val="20"/>
        </w:rPr>
        <w:t xml:space="preserve"> meziročně vzrost</w:t>
      </w:r>
      <w:r w:rsidR="00267AF6" w:rsidRPr="006E0574">
        <w:rPr>
          <w:sz w:val="18"/>
          <w:szCs w:val="20"/>
        </w:rPr>
        <w:t>l</w:t>
      </w:r>
      <w:r w:rsidRPr="00301661">
        <w:rPr>
          <w:sz w:val="18"/>
          <w:szCs w:val="20"/>
        </w:rPr>
        <w:t>. Stejně jako v předchozích letech byl</w:t>
      </w:r>
      <w:r w:rsidR="001C1E30" w:rsidRPr="00301661">
        <w:rPr>
          <w:sz w:val="18"/>
          <w:szCs w:val="20"/>
        </w:rPr>
        <w:t>o</w:t>
      </w:r>
      <w:r w:rsidRPr="00301661">
        <w:rPr>
          <w:sz w:val="18"/>
          <w:szCs w:val="20"/>
        </w:rPr>
        <w:t xml:space="preserve"> hodnotově nejslabší třetí </w:t>
      </w:r>
      <w:r w:rsidR="001C1E30" w:rsidRPr="00301661">
        <w:rPr>
          <w:sz w:val="18"/>
          <w:szCs w:val="20"/>
        </w:rPr>
        <w:t>čtvrtletí</w:t>
      </w:r>
      <w:r w:rsidRPr="00301661">
        <w:rPr>
          <w:sz w:val="18"/>
          <w:szCs w:val="20"/>
        </w:rPr>
        <w:t xml:space="preserve"> </w:t>
      </w:r>
      <w:r w:rsidR="001D1E4A" w:rsidRPr="00301661">
        <w:rPr>
          <w:sz w:val="18"/>
          <w:szCs w:val="20"/>
        </w:rPr>
        <w:t>roku 201</w:t>
      </w:r>
      <w:r w:rsidR="00301661">
        <w:rPr>
          <w:sz w:val="18"/>
          <w:szCs w:val="20"/>
        </w:rPr>
        <w:t>7</w:t>
      </w:r>
      <w:r w:rsidR="001D1E4A" w:rsidRPr="00301661">
        <w:rPr>
          <w:sz w:val="18"/>
          <w:szCs w:val="20"/>
        </w:rPr>
        <w:t>, naopak n</w:t>
      </w:r>
      <w:r w:rsidR="00C1759C" w:rsidRPr="00301661">
        <w:rPr>
          <w:sz w:val="18"/>
          <w:szCs w:val="20"/>
        </w:rPr>
        <w:t xml:space="preserve">ejvíce se vyvezlo osobních automobilů i dílů a příslušenství motorových vozidel </w:t>
      </w:r>
      <w:r w:rsidRPr="00301661">
        <w:rPr>
          <w:sz w:val="18"/>
          <w:szCs w:val="20"/>
        </w:rPr>
        <w:t>v </w:t>
      </w:r>
      <w:r w:rsidR="00301661" w:rsidRPr="00301661">
        <w:rPr>
          <w:sz w:val="18"/>
          <w:szCs w:val="20"/>
        </w:rPr>
        <w:t>prvním</w:t>
      </w:r>
      <w:r w:rsidRPr="00301661">
        <w:rPr>
          <w:sz w:val="18"/>
          <w:szCs w:val="20"/>
        </w:rPr>
        <w:t xml:space="preserve"> čtvrtletí</w:t>
      </w:r>
      <w:r w:rsidR="001D1E4A" w:rsidRPr="00301661">
        <w:rPr>
          <w:sz w:val="18"/>
          <w:szCs w:val="20"/>
        </w:rPr>
        <w:t>.</w:t>
      </w:r>
    </w:p>
    <w:p w:rsidR="00BA7845" w:rsidRPr="00907CFA" w:rsidRDefault="00BA7845" w:rsidP="00A11BA6">
      <w:pPr>
        <w:spacing w:after="80"/>
        <w:rPr>
          <w:rFonts w:ascii="Arial" w:hAnsi="Arial" w:cs="Arial"/>
          <w:b/>
          <w:sz w:val="18"/>
          <w:szCs w:val="18"/>
        </w:rPr>
      </w:pPr>
      <w:r w:rsidRPr="00907CFA">
        <w:rPr>
          <w:rFonts w:ascii="Arial" w:hAnsi="Arial" w:cs="Arial"/>
          <w:b/>
          <w:sz w:val="18"/>
          <w:szCs w:val="18"/>
        </w:rPr>
        <w:t xml:space="preserve">Graf </w:t>
      </w:r>
      <w:r w:rsidR="005400B3" w:rsidRPr="00907CFA">
        <w:rPr>
          <w:rFonts w:ascii="Arial" w:hAnsi="Arial" w:cs="Arial"/>
          <w:b/>
          <w:sz w:val="18"/>
          <w:szCs w:val="18"/>
        </w:rPr>
        <w:t>17</w:t>
      </w:r>
      <w:r w:rsidRPr="00907CFA">
        <w:rPr>
          <w:rFonts w:ascii="Arial" w:hAnsi="Arial" w:cs="Arial"/>
          <w:b/>
          <w:sz w:val="18"/>
          <w:szCs w:val="18"/>
        </w:rPr>
        <w:t xml:space="preserve"> - Zahraniční obchod s osobními automobily a díly a příslušenstvím motorových vozidel </w:t>
      </w:r>
      <w:r w:rsidR="00A11BA6" w:rsidRPr="00907CFA">
        <w:rPr>
          <w:rFonts w:ascii="Arial" w:hAnsi="Arial" w:cs="Arial"/>
          <w:b/>
          <w:sz w:val="18"/>
          <w:szCs w:val="18"/>
        </w:rPr>
        <w:t>(</w:t>
      </w:r>
      <w:r w:rsidRPr="00907CFA">
        <w:rPr>
          <w:rFonts w:ascii="Arial" w:hAnsi="Arial" w:cs="Arial"/>
          <w:b/>
          <w:sz w:val="18"/>
          <w:szCs w:val="18"/>
        </w:rPr>
        <w:t>v mld. Kč</w:t>
      </w:r>
      <w:r w:rsidR="00A11BA6" w:rsidRPr="00907CFA">
        <w:rPr>
          <w:rFonts w:ascii="Arial" w:hAnsi="Arial" w:cs="Arial"/>
          <w:b/>
          <w:sz w:val="18"/>
          <w:szCs w:val="18"/>
        </w:rPr>
        <w:t>)</w:t>
      </w:r>
    </w:p>
    <w:p w:rsidR="00BA7845" w:rsidRPr="00907CFA" w:rsidRDefault="00BA7845" w:rsidP="0040123B">
      <w:pPr>
        <w:spacing w:after="40"/>
        <w:ind w:left="1416" w:firstLine="708"/>
        <w:jc w:val="both"/>
        <w:rPr>
          <w:rFonts w:ascii="Arial" w:hAnsi="Arial" w:cs="Arial"/>
          <w:sz w:val="18"/>
          <w:szCs w:val="18"/>
        </w:rPr>
      </w:pPr>
      <w:r w:rsidRPr="00907CFA">
        <w:rPr>
          <w:rFonts w:ascii="Arial" w:hAnsi="Arial" w:cs="Arial"/>
          <w:sz w:val="18"/>
          <w:szCs w:val="18"/>
        </w:rPr>
        <w:t xml:space="preserve">      vývoz</w:t>
      </w:r>
      <w:r w:rsidRPr="00907CFA">
        <w:rPr>
          <w:rFonts w:ascii="Arial" w:hAnsi="Arial" w:cs="Arial"/>
          <w:sz w:val="18"/>
          <w:szCs w:val="18"/>
        </w:rPr>
        <w:tab/>
      </w:r>
      <w:r w:rsidRPr="00907CFA">
        <w:rPr>
          <w:rFonts w:ascii="Arial" w:hAnsi="Arial" w:cs="Arial"/>
          <w:sz w:val="18"/>
          <w:szCs w:val="18"/>
        </w:rPr>
        <w:tab/>
      </w:r>
      <w:r w:rsidRPr="00907CFA">
        <w:rPr>
          <w:rFonts w:ascii="Arial" w:hAnsi="Arial" w:cs="Arial"/>
          <w:sz w:val="18"/>
          <w:szCs w:val="18"/>
        </w:rPr>
        <w:tab/>
      </w:r>
      <w:r w:rsidRPr="00907CFA">
        <w:rPr>
          <w:rFonts w:ascii="Arial" w:hAnsi="Arial" w:cs="Arial"/>
          <w:sz w:val="18"/>
          <w:szCs w:val="18"/>
        </w:rPr>
        <w:tab/>
      </w:r>
      <w:r w:rsidRPr="00907CFA">
        <w:rPr>
          <w:rFonts w:ascii="Arial" w:hAnsi="Arial" w:cs="Arial"/>
          <w:sz w:val="18"/>
          <w:szCs w:val="18"/>
        </w:rPr>
        <w:tab/>
      </w:r>
      <w:r w:rsidRPr="00907CFA">
        <w:rPr>
          <w:rFonts w:ascii="Arial" w:hAnsi="Arial" w:cs="Arial"/>
          <w:sz w:val="18"/>
          <w:szCs w:val="18"/>
        </w:rPr>
        <w:tab/>
        <w:t>dovoz</w:t>
      </w:r>
    </w:p>
    <w:p w:rsidR="00BA7845" w:rsidRPr="00856E93" w:rsidRDefault="0012752A" w:rsidP="00FC675E">
      <w:pPr>
        <w:spacing w:after="0"/>
        <w:rPr>
          <w:rFonts w:ascii="Arial" w:hAnsi="Arial" w:cs="Arial"/>
          <w:color w:val="FF0000"/>
          <w:sz w:val="18"/>
          <w:szCs w:val="18"/>
        </w:rPr>
      </w:pPr>
      <w:r>
        <w:rPr>
          <w:rFonts w:ascii="Arial" w:hAnsi="Arial" w:cs="Arial"/>
          <w:noProof/>
          <w:color w:val="FF0000"/>
          <w:sz w:val="18"/>
          <w:szCs w:val="18"/>
          <w:lang w:eastAsia="cs-CZ"/>
        </w:rPr>
        <w:pict>
          <v:shape id="_x0000_i1044" type="#_x0000_t75" style="width:252pt;height:170.25pt">
            <v:imagedata r:id="rId30" o:title=""/>
          </v:shape>
        </w:pict>
      </w:r>
      <w:r w:rsidR="00907CFA">
        <w:rPr>
          <w:rFonts w:ascii="Arial" w:hAnsi="Arial" w:cs="Arial"/>
          <w:noProof/>
          <w:color w:val="FF0000"/>
          <w:sz w:val="18"/>
          <w:szCs w:val="18"/>
          <w:lang w:eastAsia="cs-CZ"/>
        </w:rPr>
        <w:t xml:space="preserve">  </w:t>
      </w:r>
      <w:r>
        <w:rPr>
          <w:rFonts w:ascii="Arial" w:hAnsi="Arial" w:cs="Arial"/>
          <w:noProof/>
          <w:color w:val="FF0000"/>
          <w:sz w:val="18"/>
          <w:szCs w:val="18"/>
          <w:lang w:eastAsia="cs-CZ"/>
        </w:rPr>
        <w:pict>
          <v:shape id="_x0000_i1045" type="#_x0000_t75" style="width:224.25pt;height:169.5pt">
            <v:imagedata r:id="rId31" o:title=""/>
          </v:shape>
        </w:pict>
      </w:r>
      <w:r w:rsidR="00BA7845" w:rsidRPr="00856E93">
        <w:rPr>
          <w:rFonts w:ascii="Arial" w:hAnsi="Arial" w:cs="Arial"/>
          <w:color w:val="FF0000"/>
          <w:sz w:val="18"/>
          <w:szCs w:val="18"/>
        </w:rPr>
        <w:t xml:space="preserve">  </w:t>
      </w:r>
    </w:p>
    <w:p w:rsidR="00FC675E" w:rsidRPr="00856E93" w:rsidRDefault="00FC675E" w:rsidP="00FC675E">
      <w:pPr>
        <w:spacing w:after="0"/>
        <w:rPr>
          <w:rFonts w:ascii="Arial" w:hAnsi="Arial" w:cs="Arial"/>
          <w:b/>
          <w:color w:val="FF0000"/>
          <w:sz w:val="19"/>
          <w:szCs w:val="19"/>
        </w:rPr>
      </w:pPr>
    </w:p>
    <w:p w:rsidR="002F2CC1" w:rsidRPr="00856E93" w:rsidRDefault="00BA7845" w:rsidP="00732CDC">
      <w:pPr>
        <w:spacing w:after="0" w:line="240" w:lineRule="auto"/>
        <w:jc w:val="both"/>
        <w:rPr>
          <w:rFonts w:ascii="Arial" w:eastAsia="Times New Roman" w:hAnsi="Arial" w:cs="Arial"/>
          <w:color w:val="FF0000"/>
          <w:sz w:val="18"/>
          <w:szCs w:val="20"/>
          <w:lang w:eastAsia="cs-CZ"/>
        </w:rPr>
      </w:pPr>
      <w:r w:rsidRPr="00334167">
        <w:rPr>
          <w:rFonts w:ascii="Arial" w:eastAsia="Times New Roman" w:hAnsi="Arial" w:cs="Arial"/>
          <w:sz w:val="18"/>
          <w:szCs w:val="20"/>
          <w:lang w:eastAsia="cs-CZ"/>
        </w:rPr>
        <w:t xml:space="preserve">Silniční vozidla </w:t>
      </w:r>
      <w:r w:rsidR="00334167">
        <w:rPr>
          <w:rFonts w:ascii="Arial" w:eastAsia="Times New Roman" w:hAnsi="Arial" w:cs="Arial"/>
          <w:sz w:val="18"/>
          <w:szCs w:val="20"/>
          <w:lang w:eastAsia="cs-CZ"/>
        </w:rPr>
        <w:t>mají</w:t>
      </w:r>
      <w:r w:rsidRPr="00334167">
        <w:rPr>
          <w:rFonts w:ascii="Arial" w:eastAsia="Times New Roman" w:hAnsi="Arial" w:cs="Arial"/>
          <w:sz w:val="18"/>
          <w:szCs w:val="20"/>
          <w:lang w:eastAsia="cs-CZ"/>
        </w:rPr>
        <w:t xml:space="preserve"> na vývoj celkového </w:t>
      </w:r>
      <w:r w:rsidRPr="00334167">
        <w:rPr>
          <w:rFonts w:ascii="Arial" w:eastAsia="Times New Roman" w:hAnsi="Arial" w:cs="Arial"/>
          <w:b/>
          <w:sz w:val="18"/>
          <w:szCs w:val="20"/>
          <w:lang w:eastAsia="cs-CZ"/>
        </w:rPr>
        <w:t>dovozu</w:t>
      </w:r>
      <w:r w:rsidRPr="00334167">
        <w:rPr>
          <w:rFonts w:ascii="Arial" w:eastAsia="Times New Roman" w:hAnsi="Arial" w:cs="Arial"/>
          <w:sz w:val="18"/>
          <w:szCs w:val="20"/>
          <w:lang w:eastAsia="cs-CZ"/>
        </w:rPr>
        <w:t xml:space="preserve"> i dovozu strojů a dopravních prostře</w:t>
      </w:r>
      <w:r w:rsidR="003911A7">
        <w:rPr>
          <w:rFonts w:ascii="Arial" w:eastAsia="Times New Roman" w:hAnsi="Arial" w:cs="Arial"/>
          <w:sz w:val="18"/>
          <w:szCs w:val="20"/>
          <w:lang w:eastAsia="cs-CZ"/>
        </w:rPr>
        <w:t>dků podstatně slabší vliv než u </w:t>
      </w:r>
      <w:r w:rsidRPr="00334167">
        <w:rPr>
          <w:rFonts w:ascii="Arial" w:eastAsia="Times New Roman" w:hAnsi="Arial" w:cs="Arial"/>
          <w:sz w:val="18"/>
          <w:szCs w:val="20"/>
          <w:lang w:eastAsia="cs-CZ"/>
        </w:rPr>
        <w:t xml:space="preserve">vývozu. Dovoz silničních vozidel se meziročně zvýšil o </w:t>
      </w:r>
      <w:r w:rsidR="00334167" w:rsidRPr="00334167">
        <w:rPr>
          <w:rFonts w:ascii="Arial" w:eastAsia="Times New Roman" w:hAnsi="Arial" w:cs="Arial"/>
          <w:sz w:val="18"/>
          <w:szCs w:val="20"/>
          <w:lang w:eastAsia="cs-CZ"/>
        </w:rPr>
        <w:t>6,5</w:t>
      </w:r>
      <w:r w:rsidRPr="00334167">
        <w:rPr>
          <w:rFonts w:ascii="Arial" w:eastAsia="Times New Roman" w:hAnsi="Arial" w:cs="Arial"/>
          <w:sz w:val="18"/>
          <w:szCs w:val="20"/>
          <w:lang w:eastAsia="cs-CZ"/>
        </w:rPr>
        <w:t xml:space="preserve"> % (</w:t>
      </w:r>
      <w:r w:rsidR="001C3360" w:rsidRPr="00334167">
        <w:rPr>
          <w:rFonts w:ascii="Arial" w:eastAsia="Times New Roman" w:hAnsi="Arial" w:cs="Arial"/>
          <w:sz w:val="18"/>
          <w:szCs w:val="20"/>
          <w:lang w:eastAsia="cs-CZ"/>
        </w:rPr>
        <w:t xml:space="preserve">o </w:t>
      </w:r>
      <w:r w:rsidR="00334167" w:rsidRPr="00334167">
        <w:rPr>
          <w:rFonts w:ascii="Arial" w:eastAsia="Times New Roman" w:hAnsi="Arial" w:cs="Arial"/>
          <w:sz w:val="18"/>
          <w:szCs w:val="20"/>
          <w:lang w:eastAsia="cs-CZ"/>
        </w:rPr>
        <w:t>24,3</w:t>
      </w:r>
      <w:r w:rsidRPr="00334167">
        <w:rPr>
          <w:rFonts w:ascii="Arial" w:eastAsia="Times New Roman" w:hAnsi="Arial" w:cs="Arial"/>
          <w:sz w:val="18"/>
          <w:szCs w:val="20"/>
          <w:lang w:eastAsia="cs-CZ"/>
        </w:rPr>
        <w:t xml:space="preserve"> mld. Kč). </w:t>
      </w:r>
      <w:r w:rsidR="007F2DDC" w:rsidRPr="00334167">
        <w:rPr>
          <w:rFonts w:ascii="Arial" w:eastAsia="Times New Roman" w:hAnsi="Arial" w:cs="Arial"/>
          <w:sz w:val="18"/>
          <w:szCs w:val="20"/>
          <w:lang w:eastAsia="cs-CZ"/>
        </w:rPr>
        <w:t>Podíl tohoto zboží na </w:t>
      </w:r>
      <w:r w:rsidR="00D76D9B" w:rsidRPr="00334167">
        <w:rPr>
          <w:rFonts w:ascii="Arial" w:eastAsia="Times New Roman" w:hAnsi="Arial" w:cs="Arial"/>
          <w:sz w:val="18"/>
          <w:szCs w:val="20"/>
          <w:lang w:eastAsia="cs-CZ"/>
        </w:rPr>
        <w:t xml:space="preserve">celkovém dovozu dosáhl </w:t>
      </w:r>
      <w:r w:rsidR="00D91DD5" w:rsidRPr="00334167">
        <w:rPr>
          <w:rFonts w:ascii="Arial" w:eastAsia="Times New Roman" w:hAnsi="Arial" w:cs="Arial"/>
          <w:sz w:val="18"/>
          <w:szCs w:val="20"/>
          <w:lang w:eastAsia="cs-CZ"/>
        </w:rPr>
        <w:t>10,</w:t>
      </w:r>
      <w:r w:rsidR="00334167" w:rsidRPr="00334167">
        <w:rPr>
          <w:rFonts w:ascii="Arial" w:eastAsia="Times New Roman" w:hAnsi="Arial" w:cs="Arial"/>
          <w:sz w:val="18"/>
          <w:szCs w:val="20"/>
          <w:lang w:eastAsia="cs-CZ"/>
        </w:rPr>
        <w:t>5</w:t>
      </w:r>
      <w:r w:rsidR="00D76D9B" w:rsidRPr="00334167">
        <w:rPr>
          <w:rFonts w:ascii="Arial" w:eastAsia="Times New Roman" w:hAnsi="Arial" w:cs="Arial"/>
          <w:sz w:val="18"/>
          <w:szCs w:val="20"/>
          <w:lang w:eastAsia="cs-CZ"/>
        </w:rPr>
        <w:t xml:space="preserve"> % a na dovozu strojů a dopravních prostředků </w:t>
      </w:r>
      <w:r w:rsidR="00D91DD5" w:rsidRPr="00334167">
        <w:rPr>
          <w:rFonts w:ascii="Arial" w:eastAsia="Times New Roman" w:hAnsi="Arial" w:cs="Arial"/>
          <w:sz w:val="18"/>
          <w:szCs w:val="20"/>
          <w:lang w:eastAsia="cs-CZ"/>
        </w:rPr>
        <w:t>2</w:t>
      </w:r>
      <w:r w:rsidR="00334167" w:rsidRPr="00334167">
        <w:rPr>
          <w:rFonts w:ascii="Arial" w:eastAsia="Times New Roman" w:hAnsi="Arial" w:cs="Arial"/>
          <w:sz w:val="18"/>
          <w:szCs w:val="20"/>
          <w:lang w:eastAsia="cs-CZ"/>
        </w:rPr>
        <w:t>2,8</w:t>
      </w:r>
      <w:r w:rsidR="00D76D9B" w:rsidRPr="00334167">
        <w:rPr>
          <w:rFonts w:ascii="Arial" w:eastAsia="Times New Roman" w:hAnsi="Arial" w:cs="Arial"/>
          <w:sz w:val="18"/>
          <w:szCs w:val="20"/>
          <w:lang w:eastAsia="cs-CZ"/>
        </w:rPr>
        <w:t xml:space="preserve"> %.</w:t>
      </w:r>
      <w:r w:rsidR="002F2CC1" w:rsidRPr="00856E93">
        <w:rPr>
          <w:rFonts w:ascii="Arial" w:eastAsia="Times New Roman" w:hAnsi="Arial" w:cs="Arial"/>
          <w:color w:val="FF0000"/>
          <w:sz w:val="18"/>
          <w:szCs w:val="20"/>
          <w:lang w:eastAsia="cs-CZ"/>
        </w:rPr>
        <w:br w:type="page"/>
      </w:r>
    </w:p>
    <w:p w:rsidR="00BA7845" w:rsidRPr="00F722AC" w:rsidRDefault="00BA7845" w:rsidP="00BA7845">
      <w:pPr>
        <w:numPr>
          <w:ilvl w:val="0"/>
          <w:numId w:val="1"/>
        </w:numPr>
        <w:spacing w:after="120"/>
        <w:ind w:left="284" w:hanging="284"/>
        <w:rPr>
          <w:rFonts w:ascii="Arial" w:hAnsi="Arial" w:cs="Arial"/>
          <w:b/>
        </w:rPr>
      </w:pPr>
      <w:r w:rsidRPr="00F722AC">
        <w:rPr>
          <w:rFonts w:ascii="Arial" w:hAnsi="Arial" w:cs="Arial"/>
          <w:b/>
        </w:rPr>
        <w:lastRenderedPageBreak/>
        <w:t>Údaje Eurostatu</w:t>
      </w:r>
      <w:r w:rsidRPr="00F722AC">
        <w:rPr>
          <w:rStyle w:val="Znakapoznpodarou"/>
          <w:rFonts w:ascii="Arial" w:hAnsi="Arial" w:cs="Arial"/>
        </w:rPr>
        <w:footnoteReference w:id="9"/>
      </w:r>
    </w:p>
    <w:p w:rsidR="00443EF5" w:rsidRPr="00443EF5" w:rsidRDefault="00443EF5" w:rsidP="003911A7">
      <w:pPr>
        <w:spacing w:after="120"/>
        <w:jc w:val="both"/>
        <w:rPr>
          <w:rFonts w:ascii="Arial" w:hAnsi="Arial" w:cs="Arial"/>
          <w:sz w:val="18"/>
          <w:szCs w:val="18"/>
        </w:rPr>
      </w:pPr>
      <w:r w:rsidRPr="00443EF5">
        <w:rPr>
          <w:rFonts w:ascii="Arial" w:hAnsi="Arial" w:cs="Arial"/>
          <w:sz w:val="18"/>
          <w:szCs w:val="18"/>
        </w:rPr>
        <w:t>Tempo růstu</w:t>
      </w:r>
      <w:r w:rsidRPr="00443EF5">
        <w:rPr>
          <w:rFonts w:ascii="Arial" w:hAnsi="Arial" w:cs="Arial"/>
          <w:b/>
          <w:sz w:val="18"/>
          <w:szCs w:val="18"/>
        </w:rPr>
        <w:t xml:space="preserve"> vývozu</w:t>
      </w:r>
      <w:r w:rsidRPr="00443EF5">
        <w:rPr>
          <w:rFonts w:ascii="Arial" w:hAnsi="Arial" w:cs="Arial"/>
          <w:sz w:val="18"/>
          <w:szCs w:val="18"/>
        </w:rPr>
        <w:t xml:space="preserve"> států Evropské unie v roce 2017 ve srovnání s předchozím rokem zrychlilo na 7,4 % a jeho celková hodnota se tak meziročně zvýšila téměř o 362 mld. EUR na 5 223,7 mld. EUR. Celkový dovoz států EU rostl ještě rychleji, a to o 7,9 % (377,6 mld. EUR) na 5 138,7 mld. EUR.  V roce 2016 vývoz EU st</w:t>
      </w:r>
      <w:r w:rsidR="00504AF9">
        <w:rPr>
          <w:rFonts w:ascii="Arial" w:hAnsi="Arial" w:cs="Arial"/>
          <w:sz w:val="18"/>
          <w:szCs w:val="18"/>
        </w:rPr>
        <w:t>agnoval a dovoz byl vyšší jen o </w:t>
      </w:r>
      <w:r w:rsidRPr="00443EF5">
        <w:rPr>
          <w:rFonts w:ascii="Arial" w:hAnsi="Arial" w:cs="Arial"/>
          <w:sz w:val="18"/>
          <w:szCs w:val="18"/>
        </w:rPr>
        <w:t>necelé jedno procento.</w:t>
      </w:r>
    </w:p>
    <w:p w:rsidR="003911A7" w:rsidRDefault="00F722AC" w:rsidP="003911A7">
      <w:pPr>
        <w:spacing w:after="120"/>
        <w:jc w:val="both"/>
        <w:rPr>
          <w:rFonts w:ascii="Arial" w:hAnsi="Arial" w:cs="Arial"/>
          <w:sz w:val="18"/>
          <w:szCs w:val="18"/>
        </w:rPr>
      </w:pPr>
      <w:r w:rsidRPr="00F722AC">
        <w:rPr>
          <w:rFonts w:ascii="Arial" w:hAnsi="Arial" w:cs="Arial"/>
          <w:sz w:val="18"/>
          <w:szCs w:val="18"/>
        </w:rPr>
        <w:t>Vývoz devatenácti států eurozóny</w:t>
      </w:r>
      <w:r w:rsidR="00E832B1">
        <w:rPr>
          <w:rStyle w:val="Znakapoznpodarou"/>
          <w:rFonts w:ascii="Arial" w:hAnsi="Arial" w:cs="Arial"/>
          <w:sz w:val="18"/>
          <w:szCs w:val="18"/>
        </w:rPr>
        <w:footnoteReference w:id="10"/>
      </w:r>
      <w:r w:rsidRPr="00F722AC">
        <w:rPr>
          <w:rFonts w:ascii="Arial" w:hAnsi="Arial" w:cs="Arial"/>
          <w:sz w:val="18"/>
          <w:szCs w:val="18"/>
        </w:rPr>
        <w:t xml:space="preserve"> v roce 2017 meziročně stoupl o 7,3 %, dovoz vzrostl o 8,8 %. Česká rep</w:t>
      </w:r>
      <w:r>
        <w:rPr>
          <w:rFonts w:ascii="Arial" w:hAnsi="Arial" w:cs="Arial"/>
          <w:sz w:val="18"/>
          <w:szCs w:val="18"/>
        </w:rPr>
        <w:t>ublika se na </w:t>
      </w:r>
      <w:r w:rsidRPr="00BD2C0E">
        <w:rPr>
          <w:rFonts w:ascii="Arial" w:hAnsi="Arial" w:cs="Arial"/>
          <w:b/>
          <w:sz w:val="18"/>
          <w:szCs w:val="18"/>
        </w:rPr>
        <w:t>vývozu</w:t>
      </w:r>
      <w:r w:rsidRPr="00F722AC">
        <w:rPr>
          <w:rFonts w:ascii="Arial" w:hAnsi="Arial" w:cs="Arial"/>
          <w:sz w:val="18"/>
          <w:szCs w:val="18"/>
        </w:rPr>
        <w:t xml:space="preserve"> států EU podílela 3,1</w:t>
      </w:r>
      <w:r w:rsidR="000B2E3A">
        <w:rPr>
          <w:rFonts w:ascii="Arial" w:hAnsi="Arial" w:cs="Arial"/>
          <w:sz w:val="18"/>
          <w:szCs w:val="18"/>
        </w:rPr>
        <w:t xml:space="preserve"> </w:t>
      </w:r>
      <w:r w:rsidRPr="00F722AC">
        <w:rPr>
          <w:rFonts w:ascii="Arial" w:hAnsi="Arial" w:cs="Arial"/>
          <w:sz w:val="18"/>
          <w:szCs w:val="18"/>
        </w:rPr>
        <w:t xml:space="preserve">%, na </w:t>
      </w:r>
      <w:r w:rsidRPr="00443EF5">
        <w:rPr>
          <w:rFonts w:ascii="Arial" w:hAnsi="Arial" w:cs="Arial"/>
          <w:b/>
          <w:sz w:val="18"/>
          <w:szCs w:val="18"/>
        </w:rPr>
        <w:t>dovozu</w:t>
      </w:r>
      <w:r w:rsidRPr="00F722AC">
        <w:rPr>
          <w:rFonts w:ascii="Arial" w:hAnsi="Arial" w:cs="Arial"/>
          <w:sz w:val="18"/>
          <w:szCs w:val="18"/>
        </w:rPr>
        <w:t xml:space="preserve"> činil její podíl 2,8 %. Na obou směrech obchodu to byl o 0,1 p. b. vyšší příspěvek než v roce 2016. </w:t>
      </w:r>
    </w:p>
    <w:p w:rsidR="00F722AC" w:rsidRPr="00F722AC" w:rsidRDefault="00F722AC" w:rsidP="00443EF5">
      <w:pPr>
        <w:spacing w:after="240"/>
        <w:jc w:val="both"/>
        <w:rPr>
          <w:rFonts w:ascii="Arial" w:hAnsi="Arial" w:cs="Arial"/>
          <w:sz w:val="18"/>
          <w:szCs w:val="18"/>
        </w:rPr>
      </w:pPr>
      <w:r w:rsidRPr="00F722AC">
        <w:rPr>
          <w:rFonts w:ascii="Arial" w:hAnsi="Arial" w:cs="Arial"/>
          <w:sz w:val="18"/>
          <w:szCs w:val="18"/>
        </w:rPr>
        <w:t>Podle dat</w:t>
      </w:r>
      <w:r>
        <w:rPr>
          <w:rFonts w:ascii="Arial" w:hAnsi="Arial" w:cs="Arial"/>
          <w:sz w:val="18"/>
          <w:szCs w:val="18"/>
        </w:rPr>
        <w:t xml:space="preserve"> statistického úřadu Evropské unie</w:t>
      </w:r>
      <w:r w:rsidRPr="00F722AC">
        <w:rPr>
          <w:rFonts w:ascii="Arial" w:hAnsi="Arial" w:cs="Arial"/>
          <w:sz w:val="18"/>
          <w:szCs w:val="18"/>
        </w:rPr>
        <w:t xml:space="preserve"> Eurostatu vzrostl český vývoz a dovoz </w:t>
      </w:r>
      <w:r w:rsidR="00DC224A">
        <w:rPr>
          <w:rFonts w:ascii="Arial" w:hAnsi="Arial" w:cs="Arial"/>
          <w:sz w:val="18"/>
          <w:szCs w:val="18"/>
        </w:rPr>
        <w:t>v roce 2017 o 8,5 % a 10,9 % po </w:t>
      </w:r>
      <w:r w:rsidRPr="00F722AC">
        <w:rPr>
          <w:rFonts w:ascii="Arial" w:hAnsi="Arial" w:cs="Arial"/>
          <w:sz w:val="18"/>
          <w:szCs w:val="18"/>
        </w:rPr>
        <w:t xml:space="preserve">růstu o 3,3 % a 1,4 % v předchozím roce. </w:t>
      </w:r>
    </w:p>
    <w:p w:rsidR="00E5471B" w:rsidRPr="003911A7" w:rsidRDefault="00BA7845" w:rsidP="00E5471B">
      <w:pPr>
        <w:spacing w:after="0"/>
        <w:jc w:val="both"/>
        <w:rPr>
          <w:rFonts w:ascii="Arial" w:hAnsi="Arial" w:cs="Arial"/>
          <w:b/>
          <w:sz w:val="18"/>
          <w:szCs w:val="18"/>
        </w:rPr>
      </w:pPr>
      <w:r w:rsidRPr="003911A7">
        <w:rPr>
          <w:rFonts w:ascii="Arial" w:hAnsi="Arial" w:cs="Arial"/>
          <w:b/>
          <w:sz w:val="18"/>
          <w:szCs w:val="18"/>
        </w:rPr>
        <w:t xml:space="preserve">Graf </w:t>
      </w:r>
      <w:r w:rsidR="005400B3">
        <w:rPr>
          <w:rFonts w:ascii="Arial" w:hAnsi="Arial" w:cs="Arial"/>
          <w:b/>
          <w:sz w:val="18"/>
          <w:szCs w:val="18"/>
        </w:rPr>
        <w:t>18</w:t>
      </w:r>
      <w:r w:rsidRPr="003911A7">
        <w:rPr>
          <w:rFonts w:ascii="Arial" w:hAnsi="Arial" w:cs="Arial"/>
          <w:b/>
          <w:sz w:val="18"/>
          <w:szCs w:val="18"/>
        </w:rPr>
        <w:t xml:space="preserve"> - </w:t>
      </w:r>
      <w:r w:rsidR="00BD2C0E">
        <w:rPr>
          <w:rFonts w:ascii="Arial" w:hAnsi="Arial" w:cs="Arial"/>
          <w:b/>
          <w:sz w:val="18"/>
          <w:szCs w:val="18"/>
        </w:rPr>
        <w:t>Postavení</w:t>
      </w:r>
      <w:r w:rsidRPr="003911A7">
        <w:rPr>
          <w:rFonts w:ascii="Arial" w:hAnsi="Arial" w:cs="Arial"/>
          <w:b/>
          <w:sz w:val="18"/>
          <w:szCs w:val="18"/>
        </w:rPr>
        <w:t xml:space="preserve"> České republiky a jejích sousedních států</w:t>
      </w:r>
      <w:r w:rsidR="003E3F70" w:rsidRPr="003911A7">
        <w:rPr>
          <w:rFonts w:ascii="Arial" w:hAnsi="Arial" w:cs="Arial"/>
          <w:b/>
          <w:sz w:val="18"/>
          <w:szCs w:val="18"/>
        </w:rPr>
        <w:t xml:space="preserve"> </w:t>
      </w:r>
    </w:p>
    <w:p w:rsidR="00BA7845" w:rsidRPr="003911A7" w:rsidRDefault="00E5471B" w:rsidP="00A73C7B">
      <w:pPr>
        <w:spacing w:after="60"/>
        <w:jc w:val="both"/>
        <w:rPr>
          <w:rFonts w:ascii="Arial" w:hAnsi="Arial" w:cs="Arial"/>
          <w:b/>
          <w:sz w:val="18"/>
          <w:szCs w:val="18"/>
        </w:rPr>
      </w:pPr>
      <w:r w:rsidRPr="003911A7">
        <w:rPr>
          <w:rFonts w:ascii="Arial" w:hAnsi="Arial" w:cs="Arial"/>
          <w:b/>
          <w:sz w:val="18"/>
          <w:szCs w:val="18"/>
        </w:rPr>
        <w:tab/>
      </w:r>
      <w:r w:rsidR="004E1A15" w:rsidRPr="003911A7">
        <w:rPr>
          <w:rFonts w:ascii="Arial" w:hAnsi="Arial" w:cs="Arial"/>
          <w:b/>
          <w:sz w:val="18"/>
          <w:szCs w:val="18"/>
        </w:rPr>
        <w:t xml:space="preserve"> </w:t>
      </w:r>
      <w:r w:rsidR="00BD2C0E">
        <w:rPr>
          <w:rFonts w:ascii="Arial" w:hAnsi="Arial" w:cs="Arial"/>
          <w:b/>
          <w:sz w:val="18"/>
          <w:szCs w:val="18"/>
        </w:rPr>
        <w:t>ve</w:t>
      </w:r>
      <w:r w:rsidR="00BA7845" w:rsidRPr="003911A7">
        <w:rPr>
          <w:rFonts w:ascii="Arial" w:hAnsi="Arial" w:cs="Arial"/>
          <w:b/>
          <w:sz w:val="18"/>
          <w:szCs w:val="18"/>
        </w:rPr>
        <w:t xml:space="preserve"> vývozu a dovozu států EU jako celku v roce 201</w:t>
      </w:r>
      <w:r w:rsidR="003911A7" w:rsidRPr="003911A7">
        <w:rPr>
          <w:rFonts w:ascii="Arial" w:hAnsi="Arial" w:cs="Arial"/>
          <w:b/>
          <w:sz w:val="18"/>
          <w:szCs w:val="18"/>
        </w:rPr>
        <w:t>7</w:t>
      </w:r>
    </w:p>
    <w:p w:rsidR="00BA7845" w:rsidRPr="003911A7" w:rsidRDefault="00BA7845" w:rsidP="00BA7845">
      <w:pPr>
        <w:spacing w:after="0"/>
        <w:jc w:val="both"/>
        <w:rPr>
          <w:rFonts w:ascii="Arial" w:hAnsi="Arial" w:cs="Arial"/>
          <w:sz w:val="18"/>
          <w:szCs w:val="18"/>
        </w:rPr>
      </w:pPr>
      <w:r w:rsidRPr="003911A7">
        <w:rPr>
          <w:rFonts w:ascii="Arial" w:hAnsi="Arial" w:cs="Arial"/>
          <w:sz w:val="18"/>
          <w:szCs w:val="18"/>
        </w:rPr>
        <w:tab/>
      </w:r>
      <w:r w:rsidRPr="003911A7">
        <w:rPr>
          <w:rFonts w:ascii="Arial" w:hAnsi="Arial" w:cs="Arial"/>
          <w:sz w:val="18"/>
          <w:szCs w:val="18"/>
        </w:rPr>
        <w:tab/>
        <w:t xml:space="preserve">     </w:t>
      </w:r>
      <w:r w:rsidR="00F30639" w:rsidRPr="003911A7">
        <w:rPr>
          <w:rFonts w:ascii="Arial" w:hAnsi="Arial" w:cs="Arial"/>
          <w:sz w:val="18"/>
          <w:szCs w:val="18"/>
        </w:rPr>
        <w:t xml:space="preserve">   </w:t>
      </w:r>
      <w:r w:rsidR="00E832B1">
        <w:rPr>
          <w:rFonts w:ascii="Arial" w:hAnsi="Arial" w:cs="Arial"/>
          <w:sz w:val="18"/>
          <w:szCs w:val="18"/>
        </w:rPr>
        <w:t xml:space="preserve">  </w:t>
      </w:r>
      <w:r w:rsidRPr="003911A7">
        <w:rPr>
          <w:rFonts w:ascii="Arial" w:hAnsi="Arial" w:cs="Arial"/>
          <w:sz w:val="18"/>
          <w:szCs w:val="18"/>
        </w:rPr>
        <w:t xml:space="preserve"> vývoz</w:t>
      </w:r>
      <w:r w:rsidRPr="003911A7">
        <w:rPr>
          <w:rFonts w:ascii="Arial" w:hAnsi="Arial" w:cs="Arial"/>
          <w:sz w:val="18"/>
          <w:szCs w:val="18"/>
        </w:rPr>
        <w:tab/>
      </w:r>
      <w:r w:rsidRPr="003911A7">
        <w:rPr>
          <w:rFonts w:ascii="Arial" w:hAnsi="Arial" w:cs="Arial"/>
          <w:sz w:val="18"/>
          <w:szCs w:val="18"/>
        </w:rPr>
        <w:tab/>
      </w:r>
      <w:r w:rsidRPr="003911A7">
        <w:rPr>
          <w:rFonts w:ascii="Arial" w:hAnsi="Arial" w:cs="Arial"/>
          <w:sz w:val="18"/>
          <w:szCs w:val="18"/>
        </w:rPr>
        <w:tab/>
      </w:r>
      <w:r w:rsidRPr="003911A7">
        <w:rPr>
          <w:rFonts w:ascii="Arial" w:hAnsi="Arial" w:cs="Arial"/>
          <w:sz w:val="18"/>
          <w:szCs w:val="18"/>
        </w:rPr>
        <w:tab/>
      </w:r>
      <w:r w:rsidRPr="003911A7">
        <w:rPr>
          <w:rFonts w:ascii="Arial" w:hAnsi="Arial" w:cs="Arial"/>
          <w:sz w:val="18"/>
          <w:szCs w:val="18"/>
        </w:rPr>
        <w:tab/>
      </w:r>
      <w:r w:rsidRPr="003911A7">
        <w:rPr>
          <w:rFonts w:ascii="Arial" w:hAnsi="Arial" w:cs="Arial"/>
          <w:sz w:val="18"/>
          <w:szCs w:val="18"/>
        </w:rPr>
        <w:tab/>
        <w:t xml:space="preserve">     </w:t>
      </w:r>
      <w:r w:rsidR="00F30639" w:rsidRPr="003911A7">
        <w:rPr>
          <w:rFonts w:ascii="Arial" w:hAnsi="Arial" w:cs="Arial"/>
          <w:sz w:val="18"/>
          <w:szCs w:val="18"/>
        </w:rPr>
        <w:t xml:space="preserve">     </w:t>
      </w:r>
      <w:r w:rsidRPr="003911A7">
        <w:rPr>
          <w:rFonts w:ascii="Arial" w:hAnsi="Arial" w:cs="Arial"/>
          <w:sz w:val="18"/>
          <w:szCs w:val="18"/>
        </w:rPr>
        <w:t xml:space="preserve"> dovoz</w:t>
      </w:r>
    </w:p>
    <w:p w:rsidR="00BA7845" w:rsidRPr="00856E93" w:rsidRDefault="0012752A" w:rsidP="00655210">
      <w:pPr>
        <w:spacing w:after="160"/>
        <w:jc w:val="both"/>
        <w:rPr>
          <w:rFonts w:ascii="Arial" w:hAnsi="Arial" w:cs="Arial"/>
          <w:color w:val="FF0000"/>
          <w:sz w:val="18"/>
          <w:szCs w:val="18"/>
        </w:rPr>
      </w:pPr>
      <w:r>
        <w:rPr>
          <w:rFonts w:ascii="Arial" w:hAnsi="Arial" w:cs="Arial"/>
          <w:color w:val="FF0000"/>
          <w:sz w:val="18"/>
          <w:szCs w:val="18"/>
        </w:rPr>
        <w:pict>
          <v:shape id="_x0000_i1046" type="#_x0000_t75" style="width:221.25pt;height:137.25pt">
            <v:imagedata r:id="rId32" o:title=""/>
          </v:shape>
        </w:pict>
      </w:r>
      <w:r w:rsidR="003911A7">
        <w:rPr>
          <w:rFonts w:ascii="Arial" w:hAnsi="Arial" w:cs="Arial"/>
          <w:color w:val="FF0000"/>
          <w:sz w:val="18"/>
          <w:szCs w:val="18"/>
        </w:rPr>
        <w:t xml:space="preserve">              </w:t>
      </w:r>
      <w:r>
        <w:rPr>
          <w:rFonts w:ascii="Arial" w:hAnsi="Arial" w:cs="Arial"/>
          <w:color w:val="FF0000"/>
          <w:sz w:val="18"/>
          <w:szCs w:val="18"/>
        </w:rPr>
        <w:pict>
          <v:shape id="_x0000_i1047" type="#_x0000_t75" style="width:221.25pt;height:137.25pt">
            <v:imagedata r:id="rId33" o:title=""/>
          </v:shape>
        </w:pict>
      </w:r>
    </w:p>
    <w:p w:rsidR="003911A7" w:rsidRDefault="00237392" w:rsidP="003911A7">
      <w:pPr>
        <w:spacing w:after="120"/>
        <w:jc w:val="both"/>
        <w:rPr>
          <w:rFonts w:ascii="Arial" w:hAnsi="Arial" w:cs="Arial"/>
          <w:sz w:val="18"/>
          <w:szCs w:val="18"/>
        </w:rPr>
      </w:pPr>
      <w:r w:rsidRPr="00F722AC">
        <w:rPr>
          <w:rFonts w:ascii="Arial" w:hAnsi="Arial" w:cs="Arial"/>
          <w:b/>
          <w:sz w:val="18"/>
          <w:szCs w:val="18"/>
        </w:rPr>
        <w:t>Bilance států Evropské unie</w:t>
      </w:r>
      <w:r w:rsidRPr="00F722AC">
        <w:rPr>
          <w:rFonts w:ascii="Arial" w:hAnsi="Arial" w:cs="Arial"/>
          <w:sz w:val="18"/>
          <w:szCs w:val="18"/>
        </w:rPr>
        <w:t xml:space="preserve"> </w:t>
      </w:r>
      <w:r w:rsidR="00F722AC" w:rsidRPr="00F722AC">
        <w:rPr>
          <w:rFonts w:ascii="Arial" w:hAnsi="Arial" w:cs="Arial"/>
          <w:sz w:val="18"/>
          <w:szCs w:val="18"/>
        </w:rPr>
        <w:t>skončila</w:t>
      </w:r>
      <w:r w:rsidR="003911A7">
        <w:rPr>
          <w:rFonts w:ascii="Arial" w:hAnsi="Arial" w:cs="Arial"/>
          <w:sz w:val="18"/>
          <w:szCs w:val="18"/>
        </w:rPr>
        <w:t xml:space="preserve"> v</w:t>
      </w:r>
      <w:r w:rsidR="000B2E3A">
        <w:rPr>
          <w:rFonts w:ascii="Arial" w:hAnsi="Arial" w:cs="Arial"/>
          <w:sz w:val="18"/>
          <w:szCs w:val="18"/>
        </w:rPr>
        <w:t> </w:t>
      </w:r>
      <w:r w:rsidR="003911A7">
        <w:rPr>
          <w:rFonts w:ascii="Arial" w:hAnsi="Arial" w:cs="Arial"/>
          <w:sz w:val="18"/>
          <w:szCs w:val="18"/>
        </w:rPr>
        <w:t>roce</w:t>
      </w:r>
      <w:r w:rsidR="000B2E3A">
        <w:rPr>
          <w:rFonts w:ascii="Arial" w:hAnsi="Arial" w:cs="Arial"/>
          <w:sz w:val="18"/>
          <w:szCs w:val="18"/>
        </w:rPr>
        <w:t xml:space="preserve"> </w:t>
      </w:r>
      <w:r w:rsidR="003911A7">
        <w:rPr>
          <w:rFonts w:ascii="Arial" w:hAnsi="Arial" w:cs="Arial"/>
          <w:sz w:val="18"/>
          <w:szCs w:val="18"/>
        </w:rPr>
        <w:t>2017</w:t>
      </w:r>
      <w:r w:rsidR="00F722AC" w:rsidRPr="00F722AC">
        <w:rPr>
          <w:rFonts w:ascii="Arial" w:hAnsi="Arial" w:cs="Arial"/>
          <w:sz w:val="18"/>
          <w:szCs w:val="18"/>
        </w:rPr>
        <w:t xml:space="preserve"> přebytkem 85,0 mld. EUR, který byl ve srovnání s rokem </w:t>
      </w:r>
      <w:r w:rsidR="003911A7">
        <w:rPr>
          <w:rFonts w:ascii="Arial" w:hAnsi="Arial" w:cs="Arial"/>
          <w:sz w:val="18"/>
          <w:szCs w:val="18"/>
        </w:rPr>
        <w:t>2016 o 15,7 </w:t>
      </w:r>
      <w:r w:rsidR="00F722AC" w:rsidRPr="00F722AC">
        <w:rPr>
          <w:rFonts w:ascii="Arial" w:hAnsi="Arial" w:cs="Arial"/>
          <w:sz w:val="18"/>
          <w:szCs w:val="18"/>
        </w:rPr>
        <w:t>mld. EUR nižší. Nejvyšší kladnou bilanci zaznamenalo Německo (248,8 mld. EUR), Nizozemsko (67,6 mld. EUR), Itálie (47,4</w:t>
      </w:r>
      <w:r w:rsidR="00F722AC">
        <w:rPr>
          <w:rFonts w:ascii="Arial" w:hAnsi="Arial" w:cs="Arial"/>
          <w:sz w:val="18"/>
          <w:szCs w:val="18"/>
        </w:rPr>
        <w:t> mld. </w:t>
      </w:r>
      <w:r w:rsidR="00F722AC" w:rsidRPr="00F722AC">
        <w:rPr>
          <w:rFonts w:ascii="Arial" w:hAnsi="Arial" w:cs="Arial"/>
          <w:sz w:val="18"/>
          <w:szCs w:val="18"/>
        </w:rPr>
        <w:t xml:space="preserve">EUR), Irsko (43,1 mld. EUR), Belgie (20,8 mld. EUR) a Česká republika (16,1 mld. EUR). </w:t>
      </w:r>
    </w:p>
    <w:p w:rsidR="00F722AC" w:rsidRPr="00F722AC" w:rsidRDefault="00F722AC" w:rsidP="00F722AC">
      <w:pPr>
        <w:jc w:val="both"/>
        <w:rPr>
          <w:rFonts w:ascii="Arial" w:hAnsi="Arial" w:cs="Arial"/>
          <w:sz w:val="18"/>
          <w:szCs w:val="18"/>
        </w:rPr>
      </w:pPr>
      <w:r w:rsidRPr="00F722AC">
        <w:rPr>
          <w:rFonts w:ascii="Arial" w:hAnsi="Arial" w:cs="Arial"/>
          <w:sz w:val="18"/>
          <w:szCs w:val="18"/>
        </w:rPr>
        <w:t>Deficitem skončily zejména bilance Spojeného království (179,3 mld. EUR), Francie (79,2 mld. EUR), Španělska (28,3</w:t>
      </w:r>
      <w:r w:rsidR="00DC224A">
        <w:rPr>
          <w:rFonts w:ascii="Arial" w:hAnsi="Arial" w:cs="Arial"/>
          <w:sz w:val="18"/>
          <w:szCs w:val="18"/>
        </w:rPr>
        <w:t> </w:t>
      </w:r>
      <w:r>
        <w:rPr>
          <w:rFonts w:ascii="Arial" w:hAnsi="Arial" w:cs="Arial"/>
          <w:sz w:val="18"/>
          <w:szCs w:val="18"/>
        </w:rPr>
        <w:t>mld. EUR) a Řecka </w:t>
      </w:r>
      <w:r w:rsidRPr="00F722AC">
        <w:rPr>
          <w:rFonts w:ascii="Arial" w:hAnsi="Arial" w:cs="Arial"/>
          <w:sz w:val="18"/>
          <w:szCs w:val="18"/>
        </w:rPr>
        <w:t>(21,4 mld. EUR).</w:t>
      </w:r>
    </w:p>
    <w:p w:rsidR="00BA7845" w:rsidRPr="003911A7" w:rsidRDefault="00F722AC" w:rsidP="00E832B1">
      <w:pPr>
        <w:spacing w:after="80"/>
        <w:jc w:val="both"/>
        <w:rPr>
          <w:rFonts w:ascii="Arial" w:hAnsi="Arial" w:cs="Arial"/>
          <w:b/>
          <w:sz w:val="18"/>
          <w:szCs w:val="18"/>
        </w:rPr>
      </w:pPr>
      <w:r w:rsidRPr="00856E93">
        <w:rPr>
          <w:rFonts w:ascii="Arial" w:hAnsi="Arial" w:cs="Arial"/>
          <w:color w:val="FF0000"/>
          <w:sz w:val="18"/>
          <w:szCs w:val="18"/>
        </w:rPr>
        <w:t xml:space="preserve"> </w:t>
      </w:r>
      <w:r w:rsidR="00BA7845" w:rsidRPr="003911A7">
        <w:rPr>
          <w:rFonts w:ascii="Arial" w:hAnsi="Arial" w:cs="Arial"/>
          <w:b/>
          <w:sz w:val="18"/>
          <w:szCs w:val="18"/>
        </w:rPr>
        <w:t xml:space="preserve">Graf </w:t>
      </w:r>
      <w:r w:rsidR="005400B3">
        <w:rPr>
          <w:rFonts w:ascii="Arial" w:hAnsi="Arial" w:cs="Arial"/>
          <w:b/>
          <w:sz w:val="18"/>
          <w:szCs w:val="18"/>
        </w:rPr>
        <w:t>19</w:t>
      </w:r>
      <w:r w:rsidR="00BA7845" w:rsidRPr="003911A7">
        <w:rPr>
          <w:rFonts w:ascii="Arial" w:hAnsi="Arial" w:cs="Arial"/>
          <w:b/>
          <w:sz w:val="18"/>
          <w:szCs w:val="18"/>
        </w:rPr>
        <w:t xml:space="preserve"> - Zahraniční obchod jednotlivých států EU</w:t>
      </w:r>
      <w:r w:rsidR="00504AF9" w:rsidRPr="00443EF5">
        <w:rPr>
          <w:rStyle w:val="Znakapoznpodarou"/>
          <w:rFonts w:ascii="Arial" w:hAnsi="Arial" w:cs="Arial"/>
          <w:b/>
          <w:sz w:val="18"/>
          <w:szCs w:val="18"/>
        </w:rPr>
        <w:footnoteReference w:id="11"/>
      </w:r>
      <w:r w:rsidR="00BA7845" w:rsidRPr="003911A7">
        <w:rPr>
          <w:rFonts w:ascii="Arial" w:hAnsi="Arial" w:cs="Arial"/>
          <w:b/>
          <w:sz w:val="18"/>
          <w:szCs w:val="18"/>
        </w:rPr>
        <w:t xml:space="preserve"> v roce 201</w:t>
      </w:r>
      <w:r w:rsidR="003911A7" w:rsidRPr="003911A7">
        <w:rPr>
          <w:rFonts w:ascii="Arial" w:hAnsi="Arial" w:cs="Arial"/>
          <w:b/>
          <w:sz w:val="18"/>
          <w:szCs w:val="18"/>
        </w:rPr>
        <w:t>7</w:t>
      </w:r>
      <w:r w:rsidR="00BA7845" w:rsidRPr="003911A7">
        <w:rPr>
          <w:rFonts w:ascii="Arial" w:hAnsi="Arial" w:cs="Arial"/>
          <w:b/>
          <w:sz w:val="18"/>
          <w:szCs w:val="18"/>
        </w:rPr>
        <w:t xml:space="preserve"> </w:t>
      </w:r>
    </w:p>
    <w:p w:rsidR="00B53190" w:rsidRPr="00856E93" w:rsidRDefault="0012752A" w:rsidP="00A73C7B">
      <w:pPr>
        <w:spacing w:after="0"/>
        <w:jc w:val="both"/>
        <w:rPr>
          <w:rFonts w:ascii="Arial" w:hAnsi="Arial" w:cs="Arial"/>
          <w:color w:val="FF0000"/>
          <w:sz w:val="4"/>
          <w:szCs w:val="4"/>
        </w:rPr>
      </w:pPr>
      <w:r>
        <w:rPr>
          <w:rFonts w:ascii="Arial" w:hAnsi="Arial" w:cs="Arial"/>
          <w:b/>
          <w:sz w:val="18"/>
          <w:szCs w:val="18"/>
        </w:rPr>
        <w:pict>
          <v:shape id="_x0000_i1048" type="#_x0000_t75" style="width:490.5pt;height:188.25pt">
            <v:imagedata r:id="rId34" o:title=""/>
          </v:shape>
        </w:pict>
      </w:r>
    </w:p>
    <w:sectPr w:rsidR="00B53190" w:rsidRPr="00856E93" w:rsidSect="0044403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2A" w:rsidRDefault="0012752A" w:rsidP="00F2609D">
      <w:pPr>
        <w:spacing w:after="0" w:line="240" w:lineRule="auto"/>
      </w:pPr>
      <w:r>
        <w:separator/>
      </w:r>
    </w:p>
  </w:endnote>
  <w:endnote w:type="continuationSeparator" w:id="0">
    <w:p w:rsidR="0012752A" w:rsidRDefault="0012752A" w:rsidP="00F2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2A" w:rsidRDefault="0012752A" w:rsidP="00F2609D">
      <w:pPr>
        <w:spacing w:after="0" w:line="240" w:lineRule="auto"/>
      </w:pPr>
      <w:r>
        <w:separator/>
      </w:r>
    </w:p>
  </w:footnote>
  <w:footnote w:type="continuationSeparator" w:id="0">
    <w:p w:rsidR="0012752A" w:rsidRDefault="0012752A" w:rsidP="00F2609D">
      <w:pPr>
        <w:spacing w:after="0" w:line="240" w:lineRule="auto"/>
      </w:pPr>
      <w:r>
        <w:continuationSeparator/>
      </w:r>
    </w:p>
  </w:footnote>
  <w:footnote w:id="1">
    <w:p w:rsidR="00246346" w:rsidRDefault="00246346" w:rsidP="00652295">
      <w:pPr>
        <w:pStyle w:val="Textpoznpodarou"/>
        <w:spacing w:before="20" w:after="80"/>
        <w:jc w:val="both"/>
        <w:rPr>
          <w:rFonts w:ascii="Arial" w:hAnsi="Arial" w:cs="Arial"/>
          <w:sz w:val="16"/>
          <w:szCs w:val="16"/>
        </w:rPr>
      </w:pPr>
      <w:r w:rsidRPr="003448F8">
        <w:rPr>
          <w:rStyle w:val="Znakapoznpodarou"/>
          <w:rFonts w:ascii="Arial" w:hAnsi="Arial" w:cs="Arial"/>
          <w:sz w:val="16"/>
          <w:szCs w:val="16"/>
        </w:rPr>
        <w:footnoteRef/>
      </w:r>
      <w:r w:rsidRPr="003448F8">
        <w:rPr>
          <w:rFonts w:ascii="Arial" w:hAnsi="Arial" w:cs="Arial"/>
          <w:sz w:val="16"/>
          <w:szCs w:val="16"/>
        </w:rPr>
        <w:t xml:space="preserve"> </w:t>
      </w:r>
      <w:r w:rsidR="008E7107" w:rsidRPr="003448F8">
        <w:rPr>
          <w:rFonts w:ascii="Arial" w:hAnsi="Arial" w:cs="Arial"/>
          <w:sz w:val="16"/>
          <w:szCs w:val="16"/>
        </w:rPr>
        <w:t>Publikace „Zahraniční obchod České republiky se zbožím v roce 201</w:t>
      </w:r>
      <w:r w:rsidR="003C2F5C">
        <w:rPr>
          <w:rFonts w:ascii="Arial" w:hAnsi="Arial" w:cs="Arial"/>
          <w:sz w:val="16"/>
          <w:szCs w:val="16"/>
        </w:rPr>
        <w:t>7</w:t>
      </w:r>
      <w:r w:rsidR="008E7107" w:rsidRPr="003448F8">
        <w:rPr>
          <w:rFonts w:ascii="Arial" w:hAnsi="Arial" w:cs="Arial"/>
          <w:sz w:val="16"/>
          <w:szCs w:val="16"/>
        </w:rPr>
        <w:t xml:space="preserve">“ </w:t>
      </w:r>
      <w:r w:rsidR="002B6B2E" w:rsidRPr="003448F8">
        <w:rPr>
          <w:rFonts w:ascii="Arial" w:hAnsi="Arial" w:cs="Arial"/>
          <w:sz w:val="16"/>
          <w:szCs w:val="16"/>
        </w:rPr>
        <w:t>obsahuje data</w:t>
      </w:r>
      <w:r w:rsidR="008E7107" w:rsidRPr="003448F8">
        <w:rPr>
          <w:rFonts w:ascii="Arial" w:hAnsi="Arial" w:cs="Arial"/>
          <w:sz w:val="16"/>
          <w:szCs w:val="16"/>
        </w:rPr>
        <w:t> </w:t>
      </w:r>
      <w:r w:rsidRPr="003448F8">
        <w:rPr>
          <w:rFonts w:ascii="Arial" w:hAnsi="Arial" w:cs="Arial"/>
          <w:sz w:val="16"/>
          <w:szCs w:val="16"/>
        </w:rPr>
        <w:t xml:space="preserve"> zahraničního obchodu</w:t>
      </w:r>
      <w:r w:rsidR="003C2F5C">
        <w:rPr>
          <w:rFonts w:ascii="Arial" w:hAnsi="Arial" w:cs="Arial"/>
          <w:sz w:val="16"/>
          <w:szCs w:val="16"/>
        </w:rPr>
        <w:t xml:space="preserve"> </w:t>
      </w:r>
      <w:r w:rsidR="003C2F5C" w:rsidRPr="00504AF9">
        <w:rPr>
          <w:rFonts w:ascii="Arial" w:hAnsi="Arial" w:cs="Arial"/>
          <w:b/>
          <w:sz w:val="16"/>
          <w:szCs w:val="16"/>
        </w:rPr>
        <w:t>v přeshraničním pojetí</w:t>
      </w:r>
      <w:r w:rsidR="008E7107" w:rsidRPr="003448F8">
        <w:rPr>
          <w:rFonts w:ascii="Arial" w:hAnsi="Arial" w:cs="Arial"/>
          <w:sz w:val="16"/>
          <w:szCs w:val="16"/>
        </w:rPr>
        <w:t>, které</w:t>
      </w:r>
      <w:r w:rsidR="00721A0F" w:rsidRPr="003448F8">
        <w:rPr>
          <w:rFonts w:ascii="Arial" w:hAnsi="Arial" w:cs="Arial"/>
          <w:sz w:val="16"/>
          <w:szCs w:val="16"/>
        </w:rPr>
        <w:t xml:space="preserve"> </w:t>
      </w:r>
      <w:r w:rsidRPr="003448F8">
        <w:rPr>
          <w:rFonts w:ascii="Arial" w:hAnsi="Arial" w:cs="Arial"/>
          <w:sz w:val="16"/>
          <w:szCs w:val="16"/>
        </w:rPr>
        <w:t>vypovídá výhradně o fyzickém pohybu zboží přes hranice bez ohledu na to, zda dochází k obchodu mezi českými a zahraničními subjekty. Tyto údaje jsou mezinárodně srovnatelné a mohou sloužit jako indikátor vývoje hodnoty obchodu.</w:t>
      </w:r>
    </w:p>
    <w:p w:rsidR="003C2F5C" w:rsidRDefault="003C2F5C" w:rsidP="003C2F5C">
      <w:pPr>
        <w:pStyle w:val="Textpoznpodarou"/>
        <w:spacing w:after="80"/>
        <w:jc w:val="both"/>
        <w:rPr>
          <w:rFonts w:ascii="Arial" w:hAnsi="Arial" w:cs="Arial"/>
          <w:sz w:val="16"/>
          <w:szCs w:val="16"/>
        </w:rPr>
      </w:pPr>
      <w:r w:rsidRPr="003448F8">
        <w:rPr>
          <w:rFonts w:ascii="Arial" w:hAnsi="Arial" w:cs="Arial"/>
          <w:sz w:val="16"/>
          <w:szCs w:val="16"/>
        </w:rPr>
        <w:t>Od roku 2016 byla aktualizována metodika zahraničního obchodu pro zachycení dovozu zemního plynu. V datech není zohledněn dopad v letech 2014 (v odhadované hodnotě 4,4 mld. Kč) a 2015 (v odhadované hodnotě 16,2 mld. Kč).</w:t>
      </w:r>
    </w:p>
    <w:p w:rsidR="003C2F5C" w:rsidRPr="00504AF9" w:rsidRDefault="003C2F5C" w:rsidP="003C2F5C">
      <w:pPr>
        <w:pStyle w:val="Textpoznpodarou"/>
        <w:jc w:val="both"/>
        <w:rPr>
          <w:rFonts w:ascii="Arial" w:hAnsi="Arial" w:cs="Arial"/>
          <w:b/>
          <w:sz w:val="16"/>
          <w:szCs w:val="16"/>
        </w:rPr>
      </w:pPr>
      <w:r w:rsidRPr="00504AF9">
        <w:rPr>
          <w:rFonts w:ascii="Arial" w:hAnsi="Arial" w:cs="Arial"/>
          <w:b/>
          <w:sz w:val="16"/>
          <w:szCs w:val="16"/>
        </w:rPr>
        <w:t>Údaje za rok 2016 a 2017 jsou definitivní.</w:t>
      </w:r>
    </w:p>
    <w:p w:rsidR="003C2F5C" w:rsidRPr="003C2F5C" w:rsidRDefault="003C2F5C" w:rsidP="003448F8">
      <w:pPr>
        <w:pStyle w:val="Textpoznpodarou"/>
        <w:spacing w:after="80"/>
        <w:jc w:val="both"/>
        <w:rPr>
          <w:rFonts w:ascii="Arial" w:hAnsi="Arial" w:cs="Arial"/>
          <w:sz w:val="8"/>
          <w:szCs w:val="8"/>
        </w:rPr>
      </w:pPr>
    </w:p>
  </w:footnote>
  <w:footnote w:id="2">
    <w:p w:rsidR="00A8529B" w:rsidRPr="003448F8" w:rsidRDefault="00A8529B" w:rsidP="00A8529B">
      <w:pPr>
        <w:pStyle w:val="Textpoznpodarou"/>
        <w:jc w:val="both"/>
        <w:rPr>
          <w:rFonts w:ascii="Arial" w:hAnsi="Arial" w:cs="Arial"/>
          <w:sz w:val="16"/>
          <w:szCs w:val="16"/>
        </w:rPr>
      </w:pPr>
      <w:r w:rsidRPr="001C4AB6">
        <w:rPr>
          <w:rStyle w:val="Znakapoznpodarou"/>
          <w:rFonts w:ascii="Arial" w:hAnsi="Arial" w:cs="Arial"/>
          <w:sz w:val="16"/>
          <w:szCs w:val="16"/>
        </w:rPr>
        <w:footnoteRef/>
      </w:r>
      <w:r w:rsidRPr="001C4AB6">
        <w:rPr>
          <w:rFonts w:ascii="Arial" w:hAnsi="Arial" w:cs="Arial"/>
          <w:sz w:val="16"/>
          <w:szCs w:val="16"/>
        </w:rPr>
        <w:t xml:space="preserve">  V lednu až prosinci 2017 proti lednu až prosinci 2016 posílila Kč vůči </w:t>
      </w:r>
      <w:r w:rsidR="000B2E3A">
        <w:rPr>
          <w:rFonts w:ascii="Arial" w:hAnsi="Arial" w:cs="Arial"/>
          <w:sz w:val="16"/>
          <w:szCs w:val="16"/>
        </w:rPr>
        <w:t>euru</w:t>
      </w:r>
      <w:r w:rsidRPr="001C4AB6">
        <w:rPr>
          <w:rFonts w:ascii="Arial" w:hAnsi="Arial" w:cs="Arial"/>
          <w:sz w:val="16"/>
          <w:szCs w:val="16"/>
        </w:rPr>
        <w:t xml:space="preserve"> o 2,7 % a vůči USD o 4,5 %.</w:t>
      </w:r>
      <w:r w:rsidRPr="003448F8">
        <w:rPr>
          <w:rFonts w:ascii="Arial" w:hAnsi="Arial" w:cs="Arial"/>
          <w:sz w:val="16"/>
          <w:szCs w:val="16"/>
        </w:rPr>
        <w:t xml:space="preserve"> </w:t>
      </w:r>
      <w:r>
        <w:rPr>
          <w:rFonts w:ascii="Arial" w:hAnsi="Arial" w:cs="Arial"/>
          <w:sz w:val="16"/>
          <w:szCs w:val="16"/>
        </w:rPr>
        <w:t>Výrazné posílení koruny vůči americkému dolaru se projevilo zejména v druhé polovině roku 2017.</w:t>
      </w:r>
    </w:p>
  </w:footnote>
  <w:footnote w:id="3">
    <w:p w:rsidR="000759EC" w:rsidRPr="007C5401" w:rsidRDefault="000759EC" w:rsidP="00652295">
      <w:pPr>
        <w:pStyle w:val="Textpoznpodarou"/>
        <w:spacing w:before="20" w:after="80"/>
        <w:jc w:val="both"/>
        <w:rPr>
          <w:rFonts w:ascii="Arial" w:hAnsi="Arial" w:cs="Arial"/>
          <w:sz w:val="16"/>
          <w:szCs w:val="16"/>
        </w:rPr>
      </w:pPr>
      <w:r w:rsidRPr="007C5401">
        <w:rPr>
          <w:rStyle w:val="Znakapoznpodarou"/>
          <w:rFonts w:ascii="Arial" w:hAnsi="Arial" w:cs="Arial"/>
          <w:sz w:val="16"/>
          <w:szCs w:val="16"/>
        </w:rPr>
        <w:footnoteRef/>
      </w:r>
      <w:r w:rsidRPr="007C5401">
        <w:rPr>
          <w:rFonts w:ascii="Arial" w:hAnsi="Arial" w:cs="Arial"/>
          <w:sz w:val="16"/>
          <w:szCs w:val="16"/>
        </w:rPr>
        <w:t xml:space="preserve"> </w:t>
      </w:r>
      <w:r w:rsidRPr="00CF54D8">
        <w:rPr>
          <w:rFonts w:ascii="Arial" w:hAnsi="Arial" w:cs="Arial"/>
          <w:b/>
          <w:sz w:val="16"/>
          <w:szCs w:val="16"/>
        </w:rPr>
        <w:t>Státy EU</w:t>
      </w:r>
      <w:r w:rsidRPr="007C5401">
        <w:rPr>
          <w:rFonts w:ascii="Arial" w:hAnsi="Arial" w:cs="Arial"/>
          <w:sz w:val="16"/>
          <w:szCs w:val="16"/>
        </w:rPr>
        <w:t xml:space="preserve"> </w:t>
      </w:r>
      <w:r>
        <w:rPr>
          <w:rFonts w:ascii="Arial" w:hAnsi="Arial" w:cs="Arial"/>
          <w:sz w:val="16"/>
          <w:szCs w:val="16"/>
        </w:rPr>
        <w:t>-</w:t>
      </w:r>
      <w:r w:rsidRPr="007C5401">
        <w:rPr>
          <w:rFonts w:ascii="Arial" w:hAnsi="Arial" w:cs="Arial"/>
          <w:sz w:val="16"/>
          <w:szCs w:val="16"/>
        </w:rPr>
        <w:t xml:space="preserve"> státy Evropské unie (28 členských států): Belgie, Bulharsko, Česká republika, Dánsko, Estonsko, Finsko, Francie, </w:t>
      </w:r>
      <w:r>
        <w:rPr>
          <w:rFonts w:ascii="Arial" w:hAnsi="Arial" w:cs="Arial"/>
          <w:sz w:val="16"/>
          <w:szCs w:val="16"/>
        </w:rPr>
        <w:t xml:space="preserve">Chorvatsko, </w:t>
      </w:r>
      <w:r w:rsidRPr="007C5401">
        <w:rPr>
          <w:rFonts w:ascii="Arial" w:hAnsi="Arial" w:cs="Arial"/>
          <w:sz w:val="16"/>
          <w:szCs w:val="16"/>
        </w:rPr>
        <w:t>Irsko, Itálie, Kypr, Litva, Lotyšsko, Lucembursko, Maďarsko, Malta, Německo, Nizozemsko, Polsko, Portugalsko, Rakousko, Rumunsko, Řecko, Slovensko, Slovinsko, Spojené království, Španělsko, Švédsko.</w:t>
      </w:r>
    </w:p>
  </w:footnote>
  <w:footnote w:id="4">
    <w:p w:rsidR="00B26EB3" w:rsidRPr="003B7C15" w:rsidRDefault="00B26EB3" w:rsidP="00652295">
      <w:pPr>
        <w:pStyle w:val="Textpoznpodarou"/>
        <w:jc w:val="both"/>
        <w:rPr>
          <w:rFonts w:ascii="Arial" w:hAnsi="Arial" w:cs="Arial"/>
          <w:sz w:val="16"/>
          <w:szCs w:val="16"/>
        </w:rPr>
      </w:pPr>
      <w:r>
        <w:rPr>
          <w:rStyle w:val="Znakapoznpodarou"/>
        </w:rPr>
        <w:footnoteRef/>
      </w:r>
      <w:r>
        <w:t xml:space="preserve">  </w:t>
      </w:r>
      <w:r w:rsidRPr="003B7C15">
        <w:rPr>
          <w:rFonts w:ascii="Arial" w:hAnsi="Arial" w:cs="Arial"/>
          <w:sz w:val="16"/>
          <w:szCs w:val="16"/>
        </w:rPr>
        <w:t xml:space="preserve">Podíl </w:t>
      </w:r>
      <w:r w:rsidRPr="00CF54D8">
        <w:rPr>
          <w:rFonts w:ascii="Arial" w:hAnsi="Arial" w:cs="Arial"/>
          <w:b/>
          <w:sz w:val="16"/>
          <w:szCs w:val="16"/>
        </w:rPr>
        <w:t>nespecifikovaných států</w:t>
      </w:r>
      <w:r w:rsidRPr="003B7C15">
        <w:rPr>
          <w:rFonts w:ascii="Arial" w:hAnsi="Arial" w:cs="Arial"/>
          <w:sz w:val="16"/>
          <w:szCs w:val="16"/>
        </w:rPr>
        <w:t xml:space="preserve"> v roce 201</w:t>
      </w:r>
      <w:r w:rsidR="00B16257">
        <w:rPr>
          <w:rFonts w:ascii="Arial" w:hAnsi="Arial" w:cs="Arial"/>
          <w:sz w:val="16"/>
          <w:szCs w:val="16"/>
        </w:rPr>
        <w:t>7</w:t>
      </w:r>
      <w:r w:rsidRPr="003B7C15">
        <w:rPr>
          <w:rFonts w:ascii="Arial" w:hAnsi="Arial" w:cs="Arial"/>
          <w:sz w:val="16"/>
          <w:szCs w:val="16"/>
        </w:rPr>
        <w:t xml:space="preserve"> na celkovém obratu zahraničního obchodu</w:t>
      </w:r>
      <w:r>
        <w:rPr>
          <w:rFonts w:ascii="Arial" w:hAnsi="Arial" w:cs="Arial"/>
          <w:sz w:val="16"/>
          <w:szCs w:val="16"/>
        </w:rPr>
        <w:t xml:space="preserve"> tvořil</w:t>
      </w:r>
      <w:r w:rsidRPr="00CB0375">
        <w:rPr>
          <w:rFonts w:ascii="Arial" w:hAnsi="Arial" w:cs="Arial"/>
          <w:sz w:val="16"/>
          <w:szCs w:val="16"/>
        </w:rPr>
        <w:t xml:space="preserve"> 0,</w:t>
      </w:r>
      <w:r>
        <w:rPr>
          <w:rFonts w:ascii="Arial" w:hAnsi="Arial" w:cs="Arial"/>
          <w:sz w:val="16"/>
          <w:szCs w:val="16"/>
        </w:rPr>
        <w:t>3</w:t>
      </w:r>
      <w:r w:rsidRPr="00CB0375">
        <w:rPr>
          <w:rFonts w:ascii="Arial" w:hAnsi="Arial" w:cs="Arial"/>
          <w:sz w:val="16"/>
          <w:szCs w:val="16"/>
        </w:rPr>
        <w:t xml:space="preserve"> %.</w:t>
      </w:r>
      <w:r w:rsidR="00652295">
        <w:rPr>
          <w:rFonts w:ascii="Arial" w:hAnsi="Arial" w:cs="Arial"/>
          <w:sz w:val="16"/>
          <w:szCs w:val="16"/>
        </w:rPr>
        <w:t xml:space="preserve"> Kód země nespecifikováno používá zpravodajská jednotka v případech, kdy nemá žádné informace o původu zboží.</w:t>
      </w:r>
    </w:p>
  </w:footnote>
  <w:footnote w:id="5">
    <w:p w:rsidR="00B66816" w:rsidRPr="00CE57E0" w:rsidRDefault="00B66816" w:rsidP="00B66816">
      <w:pPr>
        <w:pStyle w:val="Textpoznpodarou"/>
        <w:spacing w:before="20"/>
        <w:rPr>
          <w:rFonts w:ascii="Arial" w:hAnsi="Arial" w:cs="Arial"/>
          <w:sz w:val="16"/>
          <w:szCs w:val="16"/>
        </w:rPr>
      </w:pPr>
      <w:r w:rsidRPr="00CE57E0">
        <w:rPr>
          <w:rStyle w:val="Znakapoznpodarou"/>
          <w:rFonts w:ascii="Arial" w:hAnsi="Arial" w:cs="Arial"/>
          <w:sz w:val="16"/>
          <w:szCs w:val="16"/>
        </w:rPr>
        <w:footnoteRef/>
      </w:r>
      <w:r w:rsidRPr="00CE57E0">
        <w:rPr>
          <w:rFonts w:ascii="Arial" w:hAnsi="Arial" w:cs="Arial"/>
          <w:sz w:val="16"/>
          <w:szCs w:val="16"/>
        </w:rPr>
        <w:t xml:space="preserve"> Prvních pět států podle obratu zahraničního obchodu ČR v roce 2017: Německo, Polsko, Čína, Slovensko a Francie.</w:t>
      </w:r>
    </w:p>
  </w:footnote>
  <w:footnote w:id="6">
    <w:p w:rsidR="008D0756" w:rsidRDefault="00803DE5" w:rsidP="00596654">
      <w:pPr>
        <w:pStyle w:val="Textpoznpodarou"/>
        <w:spacing w:before="20" w:after="80"/>
        <w:jc w:val="both"/>
        <w:rPr>
          <w:rFonts w:ascii="Arial" w:hAnsi="Arial" w:cs="Arial"/>
          <w:sz w:val="16"/>
          <w:szCs w:val="16"/>
        </w:rPr>
      </w:pPr>
      <w:r w:rsidRPr="00803DE5">
        <w:rPr>
          <w:rStyle w:val="Znakapoznpodarou"/>
          <w:rFonts w:ascii="Arial" w:hAnsi="Arial" w:cs="Arial"/>
          <w:sz w:val="16"/>
          <w:szCs w:val="16"/>
        </w:rPr>
        <w:footnoteRef/>
      </w:r>
      <w:r w:rsidRPr="00803DE5">
        <w:rPr>
          <w:rFonts w:ascii="Arial" w:hAnsi="Arial" w:cs="Arial"/>
          <w:sz w:val="16"/>
          <w:szCs w:val="16"/>
        </w:rPr>
        <w:t xml:space="preserve"> Standardní me</w:t>
      </w:r>
      <w:r>
        <w:rPr>
          <w:rFonts w:ascii="Arial" w:hAnsi="Arial" w:cs="Arial"/>
          <w:sz w:val="16"/>
          <w:szCs w:val="16"/>
        </w:rPr>
        <w:t>zinárodní klasifikace zboží (SITC) je mezinárodní klasifikace zboží vypracovaná Statistickým úřadem O</w:t>
      </w:r>
      <w:r w:rsidR="008D0756">
        <w:rPr>
          <w:rFonts w:ascii="Arial" w:hAnsi="Arial" w:cs="Arial"/>
          <w:sz w:val="16"/>
          <w:szCs w:val="16"/>
        </w:rPr>
        <w:t>rganizace spojených národů</w:t>
      </w:r>
      <w:r>
        <w:rPr>
          <w:rFonts w:ascii="Arial" w:hAnsi="Arial" w:cs="Arial"/>
          <w:sz w:val="16"/>
          <w:szCs w:val="16"/>
        </w:rPr>
        <w:t xml:space="preserve">. Poslední 4. revize byla </w:t>
      </w:r>
      <w:r w:rsidR="00180273">
        <w:rPr>
          <w:rFonts w:ascii="Arial" w:hAnsi="Arial" w:cs="Arial"/>
          <w:sz w:val="16"/>
          <w:szCs w:val="16"/>
        </w:rPr>
        <w:t xml:space="preserve">vydána </w:t>
      </w:r>
      <w:r>
        <w:rPr>
          <w:rFonts w:ascii="Arial" w:hAnsi="Arial" w:cs="Arial"/>
          <w:sz w:val="16"/>
          <w:szCs w:val="16"/>
        </w:rPr>
        <w:t>v roce 20</w:t>
      </w:r>
      <w:r w:rsidR="0015251B">
        <w:rPr>
          <w:rFonts w:ascii="Arial" w:hAnsi="Arial" w:cs="Arial"/>
          <w:sz w:val="16"/>
          <w:szCs w:val="16"/>
        </w:rPr>
        <w:t>0</w:t>
      </w:r>
      <w:r>
        <w:rPr>
          <w:rFonts w:ascii="Arial" w:hAnsi="Arial" w:cs="Arial"/>
          <w:sz w:val="16"/>
          <w:szCs w:val="16"/>
        </w:rPr>
        <w:t>6. Cílem je uspořádání zboží v rámci mezinárodního obchodu.</w:t>
      </w:r>
      <w:r w:rsidR="008D0756">
        <w:rPr>
          <w:rFonts w:ascii="Arial" w:hAnsi="Arial" w:cs="Arial"/>
          <w:sz w:val="16"/>
          <w:szCs w:val="16"/>
        </w:rPr>
        <w:t xml:space="preserve"> </w:t>
      </w:r>
      <w:r w:rsidR="00EE7D8C">
        <w:rPr>
          <w:rFonts w:ascii="Arial" w:hAnsi="Arial" w:cs="Arial"/>
          <w:sz w:val="16"/>
          <w:szCs w:val="16"/>
        </w:rPr>
        <w:t>Současná verze SITC</w:t>
      </w:r>
      <w:r w:rsidR="008D0756">
        <w:rPr>
          <w:rFonts w:ascii="Arial" w:hAnsi="Arial" w:cs="Arial"/>
          <w:sz w:val="16"/>
          <w:szCs w:val="16"/>
        </w:rPr>
        <w:t xml:space="preserve"> se skládá z 10 </w:t>
      </w:r>
      <w:r w:rsidR="00394544">
        <w:rPr>
          <w:rFonts w:ascii="Arial" w:hAnsi="Arial" w:cs="Arial"/>
          <w:sz w:val="16"/>
          <w:szCs w:val="16"/>
        </w:rPr>
        <w:t>tříd,</w:t>
      </w:r>
      <w:r w:rsidR="008D0756">
        <w:rPr>
          <w:rFonts w:ascii="Arial" w:hAnsi="Arial" w:cs="Arial"/>
          <w:sz w:val="16"/>
          <w:szCs w:val="16"/>
        </w:rPr>
        <w:t xml:space="preserve"> 67 </w:t>
      </w:r>
      <w:r w:rsidR="00394544">
        <w:rPr>
          <w:rFonts w:ascii="Arial" w:hAnsi="Arial" w:cs="Arial"/>
          <w:sz w:val="16"/>
          <w:szCs w:val="16"/>
        </w:rPr>
        <w:t xml:space="preserve">oddílů, 262 </w:t>
      </w:r>
      <w:r w:rsidR="008D0756">
        <w:rPr>
          <w:rFonts w:ascii="Arial" w:hAnsi="Arial" w:cs="Arial"/>
          <w:sz w:val="16"/>
          <w:szCs w:val="16"/>
        </w:rPr>
        <w:t xml:space="preserve">skupin, </w:t>
      </w:r>
      <w:r w:rsidR="00394544">
        <w:rPr>
          <w:rFonts w:ascii="Arial" w:hAnsi="Arial" w:cs="Arial"/>
          <w:sz w:val="16"/>
          <w:szCs w:val="16"/>
        </w:rPr>
        <w:t>1 023</w:t>
      </w:r>
      <w:r w:rsidR="008D0756">
        <w:rPr>
          <w:rFonts w:ascii="Arial" w:hAnsi="Arial" w:cs="Arial"/>
          <w:sz w:val="16"/>
          <w:szCs w:val="16"/>
        </w:rPr>
        <w:t xml:space="preserve"> podskupin a </w:t>
      </w:r>
      <w:r w:rsidR="0092455D">
        <w:rPr>
          <w:rFonts w:ascii="Arial" w:hAnsi="Arial" w:cs="Arial"/>
          <w:sz w:val="16"/>
          <w:szCs w:val="16"/>
        </w:rPr>
        <w:t>2 970</w:t>
      </w:r>
      <w:r w:rsidR="008D0756">
        <w:rPr>
          <w:rFonts w:ascii="Arial" w:hAnsi="Arial" w:cs="Arial"/>
          <w:sz w:val="16"/>
          <w:szCs w:val="16"/>
        </w:rPr>
        <w:t xml:space="preserve"> položek.</w:t>
      </w:r>
    </w:p>
    <w:p w:rsidR="00596654" w:rsidRPr="00803DE5" w:rsidRDefault="00596654" w:rsidP="00596654">
      <w:pPr>
        <w:pStyle w:val="Textpoznpodarou"/>
        <w:spacing w:before="20" w:after="160"/>
        <w:jc w:val="both"/>
        <w:rPr>
          <w:rFonts w:ascii="Arial" w:hAnsi="Arial" w:cs="Arial"/>
          <w:sz w:val="16"/>
          <w:szCs w:val="16"/>
        </w:rPr>
      </w:pPr>
      <w:r>
        <w:rPr>
          <w:rFonts w:ascii="Arial" w:hAnsi="Arial" w:cs="Arial"/>
          <w:sz w:val="16"/>
          <w:szCs w:val="16"/>
        </w:rPr>
        <w:t>Všech deset tříd podle SITC je vyjmenováno v grafu 12.</w:t>
      </w:r>
    </w:p>
  </w:footnote>
  <w:footnote w:id="7">
    <w:p w:rsidR="0099111E" w:rsidRPr="0011055B" w:rsidRDefault="0099111E" w:rsidP="00D645F5">
      <w:pPr>
        <w:pStyle w:val="Textpoznpodarou"/>
        <w:spacing w:before="20"/>
        <w:rPr>
          <w:rFonts w:ascii="Arial" w:hAnsi="Arial" w:cs="Arial"/>
          <w:sz w:val="16"/>
          <w:szCs w:val="16"/>
        </w:rPr>
      </w:pPr>
      <w:r w:rsidRPr="0011055B">
        <w:rPr>
          <w:rStyle w:val="Znakapoznpodarou"/>
          <w:rFonts w:ascii="Arial" w:hAnsi="Arial" w:cs="Arial"/>
          <w:sz w:val="16"/>
          <w:szCs w:val="16"/>
        </w:rPr>
        <w:footnoteRef/>
      </w:r>
      <w:r w:rsidRPr="0011055B">
        <w:rPr>
          <w:rFonts w:ascii="Arial" w:hAnsi="Arial" w:cs="Arial"/>
          <w:sz w:val="16"/>
          <w:szCs w:val="16"/>
        </w:rPr>
        <w:t xml:space="preserve"> Polotovary a materiály = tržní výrobky</w:t>
      </w:r>
      <w:r>
        <w:rPr>
          <w:rFonts w:ascii="Arial" w:hAnsi="Arial" w:cs="Arial"/>
          <w:sz w:val="16"/>
          <w:szCs w:val="16"/>
        </w:rPr>
        <w:t xml:space="preserve"> tříděné hlavně podle materiálu (SITC 6).</w:t>
      </w:r>
    </w:p>
  </w:footnote>
  <w:footnote w:id="8">
    <w:p w:rsidR="001D1E4A" w:rsidRPr="001D1E4A" w:rsidRDefault="001D1E4A" w:rsidP="00652295">
      <w:pPr>
        <w:pStyle w:val="Textpoznpodarou"/>
        <w:spacing w:before="20"/>
        <w:jc w:val="both"/>
        <w:rPr>
          <w:rFonts w:ascii="Arial" w:hAnsi="Arial" w:cs="Arial"/>
          <w:sz w:val="16"/>
          <w:szCs w:val="16"/>
        </w:rPr>
      </w:pPr>
      <w:r w:rsidRPr="001D1E4A">
        <w:rPr>
          <w:rStyle w:val="Znakapoznpodarou"/>
          <w:rFonts w:ascii="Arial" w:hAnsi="Arial" w:cs="Arial"/>
          <w:sz w:val="16"/>
          <w:szCs w:val="16"/>
        </w:rPr>
        <w:footnoteRef/>
      </w:r>
      <w:r w:rsidRPr="001D1E4A">
        <w:rPr>
          <w:rFonts w:ascii="Arial" w:hAnsi="Arial" w:cs="Arial"/>
          <w:sz w:val="16"/>
          <w:szCs w:val="16"/>
        </w:rPr>
        <w:t xml:space="preserve"> </w:t>
      </w:r>
      <w:r w:rsidR="00B77CB0">
        <w:rPr>
          <w:rFonts w:ascii="Arial" w:hAnsi="Arial" w:cs="Arial"/>
          <w:sz w:val="16"/>
          <w:szCs w:val="16"/>
        </w:rPr>
        <w:t>Oddíl</w:t>
      </w:r>
      <w:r w:rsidRPr="001D1E4A">
        <w:rPr>
          <w:rFonts w:ascii="Arial" w:hAnsi="Arial" w:cs="Arial"/>
          <w:sz w:val="16"/>
          <w:szCs w:val="16"/>
        </w:rPr>
        <w:t xml:space="preserve"> 78</w:t>
      </w:r>
      <w:r w:rsidR="00AA7659">
        <w:rPr>
          <w:rFonts w:ascii="Arial" w:hAnsi="Arial" w:cs="Arial"/>
          <w:sz w:val="16"/>
          <w:szCs w:val="16"/>
        </w:rPr>
        <w:t xml:space="preserve"> </w:t>
      </w:r>
      <w:r w:rsidRPr="001D1E4A">
        <w:rPr>
          <w:rFonts w:ascii="Arial" w:hAnsi="Arial" w:cs="Arial"/>
          <w:sz w:val="16"/>
          <w:szCs w:val="16"/>
        </w:rPr>
        <w:t xml:space="preserve">(silniční vozidla) </w:t>
      </w:r>
      <w:r w:rsidR="00AA7659">
        <w:rPr>
          <w:rFonts w:ascii="Arial" w:hAnsi="Arial" w:cs="Arial"/>
          <w:sz w:val="16"/>
          <w:szCs w:val="16"/>
        </w:rPr>
        <w:t>podle SITC</w:t>
      </w:r>
      <w:r w:rsidR="00AA7659" w:rsidRPr="001D1E4A">
        <w:rPr>
          <w:rFonts w:ascii="Arial" w:hAnsi="Arial" w:cs="Arial"/>
          <w:sz w:val="16"/>
          <w:szCs w:val="16"/>
        </w:rPr>
        <w:t xml:space="preserve"> </w:t>
      </w:r>
      <w:r w:rsidRPr="001D1E4A">
        <w:rPr>
          <w:rFonts w:ascii="Arial" w:hAnsi="Arial" w:cs="Arial"/>
          <w:sz w:val="16"/>
          <w:szCs w:val="16"/>
        </w:rPr>
        <w:t xml:space="preserve">se skládá z 6 skupin (781 </w:t>
      </w:r>
      <w:r w:rsidR="00C047C8">
        <w:rPr>
          <w:rFonts w:ascii="Arial" w:hAnsi="Arial" w:cs="Arial"/>
          <w:sz w:val="16"/>
          <w:szCs w:val="16"/>
        </w:rPr>
        <w:t xml:space="preserve">- </w:t>
      </w:r>
      <w:r w:rsidRPr="001D1E4A">
        <w:rPr>
          <w:rFonts w:ascii="Arial" w:hAnsi="Arial" w:cs="Arial"/>
          <w:sz w:val="16"/>
          <w:szCs w:val="16"/>
        </w:rPr>
        <w:t>osobní automobily</w:t>
      </w:r>
      <w:r w:rsidR="00C047C8">
        <w:rPr>
          <w:rFonts w:ascii="Arial" w:hAnsi="Arial" w:cs="Arial"/>
          <w:sz w:val="16"/>
          <w:szCs w:val="16"/>
        </w:rPr>
        <w:t>, včetně dodávkových vozů</w:t>
      </w:r>
      <w:r w:rsidRPr="001D1E4A">
        <w:rPr>
          <w:rFonts w:ascii="Arial" w:hAnsi="Arial" w:cs="Arial"/>
          <w:sz w:val="16"/>
          <w:szCs w:val="16"/>
        </w:rPr>
        <w:t>,</w:t>
      </w:r>
      <w:r>
        <w:rPr>
          <w:rFonts w:ascii="Arial" w:hAnsi="Arial" w:cs="Arial"/>
          <w:sz w:val="16"/>
          <w:szCs w:val="16"/>
        </w:rPr>
        <w:t xml:space="preserve"> 782 </w:t>
      </w:r>
      <w:r w:rsidR="00C047C8">
        <w:rPr>
          <w:rFonts w:ascii="Arial" w:hAnsi="Arial" w:cs="Arial"/>
          <w:sz w:val="16"/>
          <w:szCs w:val="16"/>
        </w:rPr>
        <w:t xml:space="preserve">- </w:t>
      </w:r>
      <w:r>
        <w:rPr>
          <w:rFonts w:ascii="Arial" w:hAnsi="Arial" w:cs="Arial"/>
          <w:sz w:val="16"/>
          <w:szCs w:val="16"/>
        </w:rPr>
        <w:t xml:space="preserve">motorová vozidla k dopravě zboží a pro speciální účely, 783 </w:t>
      </w:r>
      <w:r w:rsidR="00C047C8">
        <w:rPr>
          <w:rFonts w:ascii="Arial" w:hAnsi="Arial" w:cs="Arial"/>
          <w:sz w:val="16"/>
          <w:szCs w:val="16"/>
        </w:rPr>
        <w:t xml:space="preserve">- </w:t>
      </w:r>
      <w:r>
        <w:rPr>
          <w:rFonts w:ascii="Arial" w:hAnsi="Arial" w:cs="Arial"/>
          <w:sz w:val="16"/>
          <w:szCs w:val="16"/>
        </w:rPr>
        <w:t>motorová silniční vozidla pro veřejnou dopravu</w:t>
      </w:r>
      <w:r w:rsidR="00C047C8">
        <w:rPr>
          <w:rFonts w:ascii="Arial" w:hAnsi="Arial" w:cs="Arial"/>
          <w:sz w:val="16"/>
          <w:szCs w:val="16"/>
        </w:rPr>
        <w:t>, traktory</w:t>
      </w:r>
      <w:r>
        <w:rPr>
          <w:rFonts w:ascii="Arial" w:hAnsi="Arial" w:cs="Arial"/>
          <w:sz w:val="16"/>
          <w:szCs w:val="16"/>
        </w:rPr>
        <w:t xml:space="preserve">, 784 </w:t>
      </w:r>
      <w:r w:rsidR="00C047C8">
        <w:rPr>
          <w:rFonts w:ascii="Arial" w:hAnsi="Arial" w:cs="Arial"/>
          <w:sz w:val="16"/>
          <w:szCs w:val="16"/>
        </w:rPr>
        <w:t xml:space="preserve">- </w:t>
      </w:r>
      <w:r>
        <w:rPr>
          <w:rFonts w:ascii="Arial" w:hAnsi="Arial" w:cs="Arial"/>
          <w:sz w:val="16"/>
          <w:szCs w:val="16"/>
        </w:rPr>
        <w:t xml:space="preserve">díly a příslušenství motorových vozidel, 785 </w:t>
      </w:r>
      <w:r w:rsidR="00C047C8">
        <w:rPr>
          <w:rFonts w:ascii="Arial" w:hAnsi="Arial" w:cs="Arial"/>
          <w:sz w:val="16"/>
          <w:szCs w:val="16"/>
        </w:rPr>
        <w:t xml:space="preserve"> - </w:t>
      </w:r>
      <w:r>
        <w:rPr>
          <w:rFonts w:ascii="Arial" w:hAnsi="Arial" w:cs="Arial"/>
          <w:sz w:val="16"/>
          <w:szCs w:val="16"/>
        </w:rPr>
        <w:t xml:space="preserve">motocykly, jízdní kola, invalidní vozíky, 786 </w:t>
      </w:r>
      <w:r w:rsidR="00C047C8">
        <w:rPr>
          <w:rFonts w:ascii="Arial" w:hAnsi="Arial" w:cs="Arial"/>
          <w:sz w:val="16"/>
          <w:szCs w:val="16"/>
        </w:rPr>
        <w:t xml:space="preserve">- </w:t>
      </w:r>
      <w:r>
        <w:rPr>
          <w:rFonts w:ascii="Arial" w:hAnsi="Arial" w:cs="Arial"/>
          <w:sz w:val="16"/>
          <w:szCs w:val="16"/>
        </w:rPr>
        <w:t>přívěsy, návěsy; ostatní vozidla bez mechanického pohonu)</w:t>
      </w:r>
      <w:r w:rsidR="00301661">
        <w:rPr>
          <w:rFonts w:ascii="Arial" w:hAnsi="Arial" w:cs="Arial"/>
          <w:sz w:val="16"/>
          <w:szCs w:val="16"/>
        </w:rPr>
        <w:t>.</w:t>
      </w:r>
    </w:p>
  </w:footnote>
  <w:footnote w:id="9">
    <w:p w:rsidR="00BA7845" w:rsidRPr="00351A8F" w:rsidRDefault="00BA7845" w:rsidP="00652295">
      <w:pPr>
        <w:pStyle w:val="Textpoznpodarou"/>
        <w:spacing w:before="20" w:after="80"/>
        <w:rPr>
          <w:rFonts w:ascii="Arial" w:hAnsi="Arial" w:cs="Arial"/>
          <w:sz w:val="16"/>
          <w:szCs w:val="16"/>
        </w:rPr>
      </w:pPr>
      <w:r w:rsidRPr="00641C6A">
        <w:rPr>
          <w:rStyle w:val="Znakapoznpodarou"/>
          <w:rFonts w:ascii="Arial" w:hAnsi="Arial" w:cs="Arial"/>
          <w:sz w:val="16"/>
          <w:szCs w:val="16"/>
        </w:rPr>
        <w:footnoteRef/>
      </w:r>
      <w:r w:rsidRPr="00641C6A">
        <w:rPr>
          <w:rFonts w:ascii="Arial" w:hAnsi="Arial" w:cs="Arial"/>
          <w:sz w:val="16"/>
          <w:szCs w:val="16"/>
        </w:rPr>
        <w:t xml:space="preserve"> </w:t>
      </w:r>
      <w:r w:rsidRPr="00351A8F">
        <w:rPr>
          <w:rFonts w:ascii="Arial" w:hAnsi="Arial" w:cs="Arial"/>
          <w:sz w:val="16"/>
          <w:szCs w:val="16"/>
        </w:rPr>
        <w:t>Údaje Eurostatu</w:t>
      </w:r>
      <w:r w:rsidR="00930ED1">
        <w:rPr>
          <w:rFonts w:ascii="Arial" w:hAnsi="Arial" w:cs="Arial"/>
          <w:sz w:val="16"/>
          <w:szCs w:val="16"/>
        </w:rPr>
        <w:t xml:space="preserve"> (statistický úřad Evropské unie)</w:t>
      </w:r>
      <w:r w:rsidRPr="00351A8F">
        <w:rPr>
          <w:rFonts w:ascii="Arial" w:hAnsi="Arial" w:cs="Arial"/>
          <w:sz w:val="16"/>
          <w:szCs w:val="16"/>
        </w:rPr>
        <w:t xml:space="preserve">, </w:t>
      </w:r>
      <w:r w:rsidR="00930ED1">
        <w:rPr>
          <w:rFonts w:ascii="Arial" w:hAnsi="Arial" w:cs="Arial"/>
          <w:sz w:val="16"/>
          <w:szCs w:val="16"/>
        </w:rPr>
        <w:t>1</w:t>
      </w:r>
      <w:r w:rsidR="00F722AC">
        <w:rPr>
          <w:rFonts w:ascii="Arial" w:hAnsi="Arial" w:cs="Arial"/>
          <w:sz w:val="16"/>
          <w:szCs w:val="16"/>
        </w:rPr>
        <w:t>0</w:t>
      </w:r>
      <w:r w:rsidRPr="00351A8F">
        <w:rPr>
          <w:rFonts w:ascii="Arial" w:hAnsi="Arial" w:cs="Arial"/>
          <w:sz w:val="16"/>
          <w:szCs w:val="16"/>
        </w:rPr>
        <w:t>. srpen 201</w:t>
      </w:r>
      <w:r w:rsidR="00F722AC">
        <w:rPr>
          <w:rFonts w:ascii="Arial" w:hAnsi="Arial" w:cs="Arial"/>
          <w:sz w:val="16"/>
          <w:szCs w:val="16"/>
        </w:rPr>
        <w:t>8</w:t>
      </w:r>
      <w:r w:rsidRPr="00351A8F">
        <w:rPr>
          <w:rFonts w:ascii="Arial" w:hAnsi="Arial" w:cs="Arial"/>
          <w:sz w:val="16"/>
          <w:szCs w:val="16"/>
        </w:rPr>
        <w:t>.</w:t>
      </w:r>
    </w:p>
  </w:footnote>
  <w:footnote w:id="10">
    <w:p w:rsidR="00E832B1" w:rsidRPr="00E832B1" w:rsidRDefault="00E832B1" w:rsidP="00504AF9">
      <w:pPr>
        <w:pStyle w:val="Textpoznpodarou"/>
        <w:spacing w:before="120"/>
        <w:rPr>
          <w:rFonts w:ascii="Arial" w:hAnsi="Arial" w:cs="Arial"/>
          <w:sz w:val="16"/>
          <w:szCs w:val="16"/>
        </w:rPr>
      </w:pPr>
      <w:r w:rsidRPr="00E832B1">
        <w:rPr>
          <w:rStyle w:val="Znakapoznpodarou"/>
          <w:rFonts w:ascii="Arial" w:hAnsi="Arial" w:cs="Arial"/>
          <w:sz w:val="16"/>
          <w:szCs w:val="16"/>
        </w:rPr>
        <w:footnoteRef/>
      </w:r>
      <w:r w:rsidRPr="00E832B1">
        <w:rPr>
          <w:rStyle w:val="Znakapoznpodarou"/>
          <w:rFonts w:ascii="Arial" w:hAnsi="Arial" w:cs="Arial"/>
          <w:sz w:val="16"/>
          <w:szCs w:val="16"/>
        </w:rPr>
        <w:t xml:space="preserve"> </w:t>
      </w:r>
      <w:r w:rsidRPr="00E832B1">
        <w:rPr>
          <w:rFonts w:ascii="Arial" w:hAnsi="Arial" w:cs="Arial"/>
          <w:sz w:val="16"/>
          <w:szCs w:val="16"/>
        </w:rPr>
        <w:t>Státy Eurozóny (19 členských států): Belgie, Estonsko, Finsko, Francie, Irsko, Itálie, Kypr, Litva, Lotyšsko, Lucembursko, Malta, Německo, Nizozemsko, Portugalsko,</w:t>
      </w:r>
      <w:r w:rsidR="000B2E3A">
        <w:rPr>
          <w:rFonts w:ascii="Arial" w:hAnsi="Arial" w:cs="Arial"/>
          <w:sz w:val="16"/>
          <w:szCs w:val="16"/>
        </w:rPr>
        <w:t xml:space="preserve"> Rakousko,</w:t>
      </w:r>
      <w:r w:rsidRPr="00E832B1">
        <w:rPr>
          <w:rFonts w:ascii="Arial" w:hAnsi="Arial" w:cs="Arial"/>
          <w:sz w:val="16"/>
          <w:szCs w:val="16"/>
        </w:rPr>
        <w:t xml:space="preserve"> Řecko, Slovensko, Slovinsko, Španělsko</w:t>
      </w:r>
      <w:r w:rsidR="000B2E3A">
        <w:rPr>
          <w:rFonts w:ascii="Arial" w:hAnsi="Arial" w:cs="Arial"/>
          <w:sz w:val="16"/>
          <w:szCs w:val="16"/>
        </w:rPr>
        <w:t>.</w:t>
      </w:r>
    </w:p>
  </w:footnote>
  <w:footnote w:id="11">
    <w:p w:rsidR="00504AF9" w:rsidRPr="00351A8F" w:rsidRDefault="00504AF9" w:rsidP="00504AF9">
      <w:pPr>
        <w:pStyle w:val="Textpoznpodarou"/>
        <w:spacing w:before="120" w:after="80"/>
        <w:jc w:val="both"/>
        <w:rPr>
          <w:rFonts w:ascii="Arial" w:hAnsi="Arial" w:cs="Arial"/>
          <w:sz w:val="16"/>
          <w:szCs w:val="16"/>
        </w:rPr>
      </w:pPr>
      <w:r w:rsidRPr="00351A8F">
        <w:rPr>
          <w:rStyle w:val="Znakapoznpodarou"/>
          <w:rFonts w:ascii="Arial" w:hAnsi="Arial" w:cs="Arial"/>
          <w:sz w:val="16"/>
          <w:szCs w:val="16"/>
        </w:rPr>
        <w:footnoteRef/>
      </w:r>
      <w:r w:rsidRPr="00351A8F">
        <w:rPr>
          <w:rFonts w:ascii="Arial" w:hAnsi="Arial" w:cs="Arial"/>
          <w:sz w:val="16"/>
          <w:szCs w:val="16"/>
        </w:rPr>
        <w:t xml:space="preserve"> Státy EU - státy Evropské unie (28 členských států): Belgie (BE), Bulharsko (BG), Česká republika (CZ), Dánsko (DK), Estonsko (EE), Finsko (FI), Francie (FR), Chorvatsko (HR), Irsko (IE), Itálie (IT), Kypr (CY), Litva (LT), Lotyšsko (LV), Lucembursko (LU), Maďarsko (HU), Malta (MT), Německo (DE), Nizozemsko (NL), Polsko (PL), Portugalsko (PT), Rakousko (AT), Rumunsko (RO), Řecko (GR), Slovensko (SK), Slovinsko (SI), Spojené království (GB), Španělsko (ES), Švédsko (SE).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29A"/>
    <w:multiLevelType w:val="multilevel"/>
    <w:tmpl w:val="F54647A8"/>
    <w:lvl w:ilvl="0">
      <w:start w:val="1"/>
      <w:numFmt w:val="decimal"/>
      <w:lvlText w:val="%1."/>
      <w:lvlJc w:val="left"/>
      <w:pPr>
        <w:ind w:left="2204" w:hanging="360"/>
      </w:pPr>
      <w:rPr>
        <w:rFonts w:hint="default"/>
        <w:sz w:val="22"/>
        <w:szCs w:val="22"/>
      </w:rPr>
    </w:lvl>
    <w:lvl w:ilvl="1">
      <w:start w:val="1"/>
      <w:numFmt w:val="decimal"/>
      <w:lvlText w:val="%1.%2."/>
      <w:lvlJc w:val="left"/>
      <w:pPr>
        <w:ind w:left="792" w:hanging="432"/>
      </w:pPr>
      <w:rPr>
        <w:sz w:val="21"/>
        <w:szCs w:val="21"/>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5363"/>
    <w:rsid w:val="000016A9"/>
    <w:rsid w:val="00004D30"/>
    <w:rsid w:val="00005885"/>
    <w:rsid w:val="00006749"/>
    <w:rsid w:val="000067E9"/>
    <w:rsid w:val="00010C22"/>
    <w:rsid w:val="00011E31"/>
    <w:rsid w:val="00021725"/>
    <w:rsid w:val="00022208"/>
    <w:rsid w:val="00024BFA"/>
    <w:rsid w:val="00024C99"/>
    <w:rsid w:val="00026CA6"/>
    <w:rsid w:val="000276A3"/>
    <w:rsid w:val="0003011D"/>
    <w:rsid w:val="000305AF"/>
    <w:rsid w:val="00032FE2"/>
    <w:rsid w:val="000357CA"/>
    <w:rsid w:val="00035B89"/>
    <w:rsid w:val="00036167"/>
    <w:rsid w:val="00041DE9"/>
    <w:rsid w:val="00047CFB"/>
    <w:rsid w:val="000511DC"/>
    <w:rsid w:val="0005410E"/>
    <w:rsid w:val="000547CE"/>
    <w:rsid w:val="00054A26"/>
    <w:rsid w:val="000568E8"/>
    <w:rsid w:val="00060BD0"/>
    <w:rsid w:val="00061D1E"/>
    <w:rsid w:val="00061F1B"/>
    <w:rsid w:val="00065FCB"/>
    <w:rsid w:val="00070A12"/>
    <w:rsid w:val="00071C09"/>
    <w:rsid w:val="000725F3"/>
    <w:rsid w:val="000759EC"/>
    <w:rsid w:val="00077226"/>
    <w:rsid w:val="000831EB"/>
    <w:rsid w:val="000873D4"/>
    <w:rsid w:val="0008795A"/>
    <w:rsid w:val="000907B7"/>
    <w:rsid w:val="00096287"/>
    <w:rsid w:val="000A3ACC"/>
    <w:rsid w:val="000A5ABA"/>
    <w:rsid w:val="000A6F26"/>
    <w:rsid w:val="000B0634"/>
    <w:rsid w:val="000B2457"/>
    <w:rsid w:val="000B2E3A"/>
    <w:rsid w:val="000B3576"/>
    <w:rsid w:val="000B4A92"/>
    <w:rsid w:val="000B58B9"/>
    <w:rsid w:val="000C02AA"/>
    <w:rsid w:val="000C13F4"/>
    <w:rsid w:val="000C24C8"/>
    <w:rsid w:val="000C426B"/>
    <w:rsid w:val="000C44D3"/>
    <w:rsid w:val="000C6001"/>
    <w:rsid w:val="000D0520"/>
    <w:rsid w:val="000D3370"/>
    <w:rsid w:val="000D3EF5"/>
    <w:rsid w:val="000D4275"/>
    <w:rsid w:val="000E19E8"/>
    <w:rsid w:val="000E1EBE"/>
    <w:rsid w:val="000E429E"/>
    <w:rsid w:val="000E5690"/>
    <w:rsid w:val="000E58CE"/>
    <w:rsid w:val="000E65A6"/>
    <w:rsid w:val="000E6646"/>
    <w:rsid w:val="000E788F"/>
    <w:rsid w:val="000F1A46"/>
    <w:rsid w:val="000F335B"/>
    <w:rsid w:val="000F3A6D"/>
    <w:rsid w:val="000F3D88"/>
    <w:rsid w:val="001022E6"/>
    <w:rsid w:val="00102E58"/>
    <w:rsid w:val="00105648"/>
    <w:rsid w:val="00105BD5"/>
    <w:rsid w:val="00105FFE"/>
    <w:rsid w:val="00106E2C"/>
    <w:rsid w:val="0010799A"/>
    <w:rsid w:val="0011055B"/>
    <w:rsid w:val="00110587"/>
    <w:rsid w:val="00110939"/>
    <w:rsid w:val="001123B6"/>
    <w:rsid w:val="0011438E"/>
    <w:rsid w:val="00115370"/>
    <w:rsid w:val="00116A42"/>
    <w:rsid w:val="00123618"/>
    <w:rsid w:val="00124501"/>
    <w:rsid w:val="0012752A"/>
    <w:rsid w:val="00131CB9"/>
    <w:rsid w:val="001322D1"/>
    <w:rsid w:val="00135680"/>
    <w:rsid w:val="0013574B"/>
    <w:rsid w:val="00137488"/>
    <w:rsid w:val="001432D2"/>
    <w:rsid w:val="00143E5D"/>
    <w:rsid w:val="00144DB5"/>
    <w:rsid w:val="00145608"/>
    <w:rsid w:val="00145C93"/>
    <w:rsid w:val="0014665F"/>
    <w:rsid w:val="0015251B"/>
    <w:rsid w:val="00152787"/>
    <w:rsid w:val="00153698"/>
    <w:rsid w:val="00157C53"/>
    <w:rsid w:val="0016207B"/>
    <w:rsid w:val="001643F0"/>
    <w:rsid w:val="00167048"/>
    <w:rsid w:val="00167D1F"/>
    <w:rsid w:val="001711F3"/>
    <w:rsid w:val="00174C78"/>
    <w:rsid w:val="001759B5"/>
    <w:rsid w:val="00180273"/>
    <w:rsid w:val="001833EC"/>
    <w:rsid w:val="00184C7E"/>
    <w:rsid w:val="001871D5"/>
    <w:rsid w:val="00191CDD"/>
    <w:rsid w:val="00192431"/>
    <w:rsid w:val="00193523"/>
    <w:rsid w:val="001939CF"/>
    <w:rsid w:val="001A46F0"/>
    <w:rsid w:val="001B04FD"/>
    <w:rsid w:val="001B0E3E"/>
    <w:rsid w:val="001B21BA"/>
    <w:rsid w:val="001B3225"/>
    <w:rsid w:val="001B588E"/>
    <w:rsid w:val="001B5FCA"/>
    <w:rsid w:val="001B748A"/>
    <w:rsid w:val="001C1E30"/>
    <w:rsid w:val="001C3360"/>
    <w:rsid w:val="001C4AB6"/>
    <w:rsid w:val="001C6A82"/>
    <w:rsid w:val="001D1E4A"/>
    <w:rsid w:val="001D48AD"/>
    <w:rsid w:val="001D7C6C"/>
    <w:rsid w:val="001D7E42"/>
    <w:rsid w:val="001E325D"/>
    <w:rsid w:val="001E37C4"/>
    <w:rsid w:val="001F2588"/>
    <w:rsid w:val="001F27E3"/>
    <w:rsid w:val="001F2900"/>
    <w:rsid w:val="001F53AA"/>
    <w:rsid w:val="001F79CA"/>
    <w:rsid w:val="00200D2C"/>
    <w:rsid w:val="002052AC"/>
    <w:rsid w:val="00205813"/>
    <w:rsid w:val="00205FFE"/>
    <w:rsid w:val="00206CFA"/>
    <w:rsid w:val="00207542"/>
    <w:rsid w:val="002116F2"/>
    <w:rsid w:val="00213628"/>
    <w:rsid w:val="00213DFC"/>
    <w:rsid w:val="0021504A"/>
    <w:rsid w:val="002151D1"/>
    <w:rsid w:val="002157FF"/>
    <w:rsid w:val="00215FA5"/>
    <w:rsid w:val="002162F7"/>
    <w:rsid w:val="00216DB3"/>
    <w:rsid w:val="00221BD7"/>
    <w:rsid w:val="00222B6E"/>
    <w:rsid w:val="0022516C"/>
    <w:rsid w:val="00225ECC"/>
    <w:rsid w:val="00226346"/>
    <w:rsid w:val="002268AB"/>
    <w:rsid w:val="00232712"/>
    <w:rsid w:val="002329C3"/>
    <w:rsid w:val="00234708"/>
    <w:rsid w:val="00236418"/>
    <w:rsid w:val="00237392"/>
    <w:rsid w:val="00241781"/>
    <w:rsid w:val="00241F84"/>
    <w:rsid w:val="00243820"/>
    <w:rsid w:val="00246346"/>
    <w:rsid w:val="00246E05"/>
    <w:rsid w:val="00251705"/>
    <w:rsid w:val="00252020"/>
    <w:rsid w:val="0025561E"/>
    <w:rsid w:val="00262597"/>
    <w:rsid w:val="002629A9"/>
    <w:rsid w:val="00262B63"/>
    <w:rsid w:val="002662A1"/>
    <w:rsid w:val="00267AF6"/>
    <w:rsid w:val="00273816"/>
    <w:rsid w:val="00273B49"/>
    <w:rsid w:val="00285AC5"/>
    <w:rsid w:val="00287E30"/>
    <w:rsid w:val="002919EA"/>
    <w:rsid w:val="002924FE"/>
    <w:rsid w:val="00292CD1"/>
    <w:rsid w:val="002951E0"/>
    <w:rsid w:val="002A1E3E"/>
    <w:rsid w:val="002A3029"/>
    <w:rsid w:val="002A3AAF"/>
    <w:rsid w:val="002A4E60"/>
    <w:rsid w:val="002B2E3F"/>
    <w:rsid w:val="002B3294"/>
    <w:rsid w:val="002B3F3C"/>
    <w:rsid w:val="002B6024"/>
    <w:rsid w:val="002B692C"/>
    <w:rsid w:val="002B6B2E"/>
    <w:rsid w:val="002C026A"/>
    <w:rsid w:val="002C168B"/>
    <w:rsid w:val="002C3987"/>
    <w:rsid w:val="002C40D9"/>
    <w:rsid w:val="002C45F8"/>
    <w:rsid w:val="002C525D"/>
    <w:rsid w:val="002D1D26"/>
    <w:rsid w:val="002D4303"/>
    <w:rsid w:val="002D7F28"/>
    <w:rsid w:val="002E2D12"/>
    <w:rsid w:val="002E38B6"/>
    <w:rsid w:val="002E483A"/>
    <w:rsid w:val="002E7775"/>
    <w:rsid w:val="002F1038"/>
    <w:rsid w:val="002F2245"/>
    <w:rsid w:val="002F2CC1"/>
    <w:rsid w:val="002F5881"/>
    <w:rsid w:val="002F7146"/>
    <w:rsid w:val="002F726F"/>
    <w:rsid w:val="00300CE4"/>
    <w:rsid w:val="00300D5D"/>
    <w:rsid w:val="003015B9"/>
    <w:rsid w:val="00301661"/>
    <w:rsid w:val="00311FBA"/>
    <w:rsid w:val="003124A0"/>
    <w:rsid w:val="00313268"/>
    <w:rsid w:val="00315772"/>
    <w:rsid w:val="00316C09"/>
    <w:rsid w:val="00320DB0"/>
    <w:rsid w:val="00321A38"/>
    <w:rsid w:val="003233C0"/>
    <w:rsid w:val="00325DD8"/>
    <w:rsid w:val="003278C8"/>
    <w:rsid w:val="00330050"/>
    <w:rsid w:val="00334167"/>
    <w:rsid w:val="00337A4C"/>
    <w:rsid w:val="00342CC4"/>
    <w:rsid w:val="003448F8"/>
    <w:rsid w:val="0034507A"/>
    <w:rsid w:val="0034645A"/>
    <w:rsid w:val="00351A8F"/>
    <w:rsid w:val="00352753"/>
    <w:rsid w:val="00353F09"/>
    <w:rsid w:val="003551DC"/>
    <w:rsid w:val="00356318"/>
    <w:rsid w:val="00356433"/>
    <w:rsid w:val="00357459"/>
    <w:rsid w:val="003602C2"/>
    <w:rsid w:val="00360539"/>
    <w:rsid w:val="003606E8"/>
    <w:rsid w:val="00363DB8"/>
    <w:rsid w:val="003649FF"/>
    <w:rsid w:val="003659B1"/>
    <w:rsid w:val="003669E3"/>
    <w:rsid w:val="0037296F"/>
    <w:rsid w:val="00376469"/>
    <w:rsid w:val="003765C5"/>
    <w:rsid w:val="00376D0E"/>
    <w:rsid w:val="00386472"/>
    <w:rsid w:val="003911A7"/>
    <w:rsid w:val="00392189"/>
    <w:rsid w:val="00394544"/>
    <w:rsid w:val="00394D75"/>
    <w:rsid w:val="003A0828"/>
    <w:rsid w:val="003A42B3"/>
    <w:rsid w:val="003A61FA"/>
    <w:rsid w:val="003A76BB"/>
    <w:rsid w:val="003B05CF"/>
    <w:rsid w:val="003B24D8"/>
    <w:rsid w:val="003B2E1D"/>
    <w:rsid w:val="003C1B43"/>
    <w:rsid w:val="003C2869"/>
    <w:rsid w:val="003C2F5C"/>
    <w:rsid w:val="003C3AC6"/>
    <w:rsid w:val="003C4819"/>
    <w:rsid w:val="003C6197"/>
    <w:rsid w:val="003C67BF"/>
    <w:rsid w:val="003D00EE"/>
    <w:rsid w:val="003D223A"/>
    <w:rsid w:val="003D22C3"/>
    <w:rsid w:val="003D3240"/>
    <w:rsid w:val="003D34A7"/>
    <w:rsid w:val="003E3AD0"/>
    <w:rsid w:val="003E3F70"/>
    <w:rsid w:val="003E5298"/>
    <w:rsid w:val="003E67CB"/>
    <w:rsid w:val="003E71A4"/>
    <w:rsid w:val="003E724A"/>
    <w:rsid w:val="003F5E7F"/>
    <w:rsid w:val="003F60AA"/>
    <w:rsid w:val="003F6191"/>
    <w:rsid w:val="003F66E2"/>
    <w:rsid w:val="003F7481"/>
    <w:rsid w:val="0040123B"/>
    <w:rsid w:val="00401FC2"/>
    <w:rsid w:val="00406D87"/>
    <w:rsid w:val="004122A0"/>
    <w:rsid w:val="00412D1C"/>
    <w:rsid w:val="00415B1D"/>
    <w:rsid w:val="004172A7"/>
    <w:rsid w:val="00417DAF"/>
    <w:rsid w:val="004210AB"/>
    <w:rsid w:val="00422901"/>
    <w:rsid w:val="00425743"/>
    <w:rsid w:val="0042772E"/>
    <w:rsid w:val="00427BB2"/>
    <w:rsid w:val="0043058B"/>
    <w:rsid w:val="00430A0A"/>
    <w:rsid w:val="004354AC"/>
    <w:rsid w:val="004368B2"/>
    <w:rsid w:val="00437651"/>
    <w:rsid w:val="004411FE"/>
    <w:rsid w:val="00441ABA"/>
    <w:rsid w:val="004422E7"/>
    <w:rsid w:val="00442DD1"/>
    <w:rsid w:val="00443EF5"/>
    <w:rsid w:val="00444030"/>
    <w:rsid w:val="00445829"/>
    <w:rsid w:val="00451450"/>
    <w:rsid w:val="00453048"/>
    <w:rsid w:val="00453E0B"/>
    <w:rsid w:val="00454DD8"/>
    <w:rsid w:val="00454F7B"/>
    <w:rsid w:val="00455F32"/>
    <w:rsid w:val="0045718A"/>
    <w:rsid w:val="00457D95"/>
    <w:rsid w:val="00464168"/>
    <w:rsid w:val="00466E5D"/>
    <w:rsid w:val="0047001B"/>
    <w:rsid w:val="00470133"/>
    <w:rsid w:val="004702B5"/>
    <w:rsid w:val="00470ED6"/>
    <w:rsid w:val="00471401"/>
    <w:rsid w:val="00471975"/>
    <w:rsid w:val="00472719"/>
    <w:rsid w:val="0047465B"/>
    <w:rsid w:val="004808C2"/>
    <w:rsid w:val="0048233B"/>
    <w:rsid w:val="00482387"/>
    <w:rsid w:val="00483F8A"/>
    <w:rsid w:val="00484163"/>
    <w:rsid w:val="00486883"/>
    <w:rsid w:val="0048779F"/>
    <w:rsid w:val="004904DD"/>
    <w:rsid w:val="00491F05"/>
    <w:rsid w:val="004952C0"/>
    <w:rsid w:val="00495E20"/>
    <w:rsid w:val="004A12A9"/>
    <w:rsid w:val="004A20EF"/>
    <w:rsid w:val="004A30BD"/>
    <w:rsid w:val="004A5AF7"/>
    <w:rsid w:val="004B02D6"/>
    <w:rsid w:val="004B2B73"/>
    <w:rsid w:val="004B478C"/>
    <w:rsid w:val="004B4FE8"/>
    <w:rsid w:val="004B5AC0"/>
    <w:rsid w:val="004C039F"/>
    <w:rsid w:val="004C07BE"/>
    <w:rsid w:val="004C0CCF"/>
    <w:rsid w:val="004C15FC"/>
    <w:rsid w:val="004C340D"/>
    <w:rsid w:val="004C5904"/>
    <w:rsid w:val="004C6F9E"/>
    <w:rsid w:val="004C766D"/>
    <w:rsid w:val="004C76EE"/>
    <w:rsid w:val="004D070A"/>
    <w:rsid w:val="004D0CA0"/>
    <w:rsid w:val="004D3FA9"/>
    <w:rsid w:val="004D4262"/>
    <w:rsid w:val="004D53C5"/>
    <w:rsid w:val="004D66C6"/>
    <w:rsid w:val="004E0A48"/>
    <w:rsid w:val="004E1A15"/>
    <w:rsid w:val="004E4156"/>
    <w:rsid w:val="004E46CA"/>
    <w:rsid w:val="004E4B3C"/>
    <w:rsid w:val="004E7969"/>
    <w:rsid w:val="004F05E4"/>
    <w:rsid w:val="004F24CA"/>
    <w:rsid w:val="004F2A0F"/>
    <w:rsid w:val="004F3689"/>
    <w:rsid w:val="004F3D8E"/>
    <w:rsid w:val="00501A65"/>
    <w:rsid w:val="00501BE8"/>
    <w:rsid w:val="00503141"/>
    <w:rsid w:val="005042E1"/>
    <w:rsid w:val="00504AF9"/>
    <w:rsid w:val="0050610D"/>
    <w:rsid w:val="00506396"/>
    <w:rsid w:val="005100A4"/>
    <w:rsid w:val="00510963"/>
    <w:rsid w:val="00514722"/>
    <w:rsid w:val="00514928"/>
    <w:rsid w:val="0051699D"/>
    <w:rsid w:val="00516E19"/>
    <w:rsid w:val="005171CB"/>
    <w:rsid w:val="00517C8B"/>
    <w:rsid w:val="00530D47"/>
    <w:rsid w:val="00533400"/>
    <w:rsid w:val="005340DE"/>
    <w:rsid w:val="005354E2"/>
    <w:rsid w:val="00537064"/>
    <w:rsid w:val="0053723A"/>
    <w:rsid w:val="00537671"/>
    <w:rsid w:val="005400B3"/>
    <w:rsid w:val="00543333"/>
    <w:rsid w:val="00545B01"/>
    <w:rsid w:val="005461D8"/>
    <w:rsid w:val="0054715B"/>
    <w:rsid w:val="005471FC"/>
    <w:rsid w:val="00550C9D"/>
    <w:rsid w:val="00551A49"/>
    <w:rsid w:val="005535D8"/>
    <w:rsid w:val="00556358"/>
    <w:rsid w:val="00556C61"/>
    <w:rsid w:val="00556ED2"/>
    <w:rsid w:val="00557A47"/>
    <w:rsid w:val="005607E6"/>
    <w:rsid w:val="005654EF"/>
    <w:rsid w:val="00565E79"/>
    <w:rsid w:val="00566248"/>
    <w:rsid w:val="005670AC"/>
    <w:rsid w:val="005677E0"/>
    <w:rsid w:val="00570B62"/>
    <w:rsid w:val="00571B8D"/>
    <w:rsid w:val="005734D3"/>
    <w:rsid w:val="00575D7D"/>
    <w:rsid w:val="00575E33"/>
    <w:rsid w:val="005760C8"/>
    <w:rsid w:val="00577F4F"/>
    <w:rsid w:val="0058041A"/>
    <w:rsid w:val="00591A7D"/>
    <w:rsid w:val="00592252"/>
    <w:rsid w:val="00592D30"/>
    <w:rsid w:val="00596654"/>
    <w:rsid w:val="005A0709"/>
    <w:rsid w:val="005A318E"/>
    <w:rsid w:val="005A593C"/>
    <w:rsid w:val="005B0CE4"/>
    <w:rsid w:val="005B3B3D"/>
    <w:rsid w:val="005B4F4C"/>
    <w:rsid w:val="005C11BD"/>
    <w:rsid w:val="005C1302"/>
    <w:rsid w:val="005C510C"/>
    <w:rsid w:val="005C63D4"/>
    <w:rsid w:val="005D2418"/>
    <w:rsid w:val="005D329C"/>
    <w:rsid w:val="005D45DA"/>
    <w:rsid w:val="005E1640"/>
    <w:rsid w:val="005E2C18"/>
    <w:rsid w:val="005E3A4A"/>
    <w:rsid w:val="005E3EE0"/>
    <w:rsid w:val="005F0A99"/>
    <w:rsid w:val="005F244C"/>
    <w:rsid w:val="005F30D1"/>
    <w:rsid w:val="005F41B9"/>
    <w:rsid w:val="005F6E73"/>
    <w:rsid w:val="00600C8B"/>
    <w:rsid w:val="006017DC"/>
    <w:rsid w:val="00601DA3"/>
    <w:rsid w:val="00601FD6"/>
    <w:rsid w:val="0060202C"/>
    <w:rsid w:val="00603F05"/>
    <w:rsid w:val="0060668C"/>
    <w:rsid w:val="00612206"/>
    <w:rsid w:val="006129E3"/>
    <w:rsid w:val="00614B83"/>
    <w:rsid w:val="006151C1"/>
    <w:rsid w:val="006154B8"/>
    <w:rsid w:val="00616FC9"/>
    <w:rsid w:val="006206A9"/>
    <w:rsid w:val="0062312D"/>
    <w:rsid w:val="00623568"/>
    <w:rsid w:val="00626E1B"/>
    <w:rsid w:val="006274F2"/>
    <w:rsid w:val="0063110E"/>
    <w:rsid w:val="00631937"/>
    <w:rsid w:val="006348AE"/>
    <w:rsid w:val="00640E25"/>
    <w:rsid w:val="00642FF0"/>
    <w:rsid w:val="00645309"/>
    <w:rsid w:val="006459DC"/>
    <w:rsid w:val="006463CF"/>
    <w:rsid w:val="00651DD3"/>
    <w:rsid w:val="00652295"/>
    <w:rsid w:val="00652816"/>
    <w:rsid w:val="0065350B"/>
    <w:rsid w:val="0065503C"/>
    <w:rsid w:val="00655210"/>
    <w:rsid w:val="006611C9"/>
    <w:rsid w:val="0067414B"/>
    <w:rsid w:val="006769F6"/>
    <w:rsid w:val="00676F78"/>
    <w:rsid w:val="006847DE"/>
    <w:rsid w:val="006855C8"/>
    <w:rsid w:val="00686D1F"/>
    <w:rsid w:val="00687955"/>
    <w:rsid w:val="00690F6D"/>
    <w:rsid w:val="00691FB0"/>
    <w:rsid w:val="00694989"/>
    <w:rsid w:val="00694E44"/>
    <w:rsid w:val="00695007"/>
    <w:rsid w:val="006A0F54"/>
    <w:rsid w:val="006A2B1B"/>
    <w:rsid w:val="006A3844"/>
    <w:rsid w:val="006A38C9"/>
    <w:rsid w:val="006A6084"/>
    <w:rsid w:val="006B032B"/>
    <w:rsid w:val="006B3351"/>
    <w:rsid w:val="006B3712"/>
    <w:rsid w:val="006B4068"/>
    <w:rsid w:val="006C0559"/>
    <w:rsid w:val="006C17E5"/>
    <w:rsid w:val="006C33AF"/>
    <w:rsid w:val="006C47E1"/>
    <w:rsid w:val="006C6397"/>
    <w:rsid w:val="006D0F60"/>
    <w:rsid w:val="006D2262"/>
    <w:rsid w:val="006D69AE"/>
    <w:rsid w:val="006D6E69"/>
    <w:rsid w:val="006E0574"/>
    <w:rsid w:val="006E27B0"/>
    <w:rsid w:val="006E4596"/>
    <w:rsid w:val="006E70C6"/>
    <w:rsid w:val="00702897"/>
    <w:rsid w:val="007032AA"/>
    <w:rsid w:val="007039D1"/>
    <w:rsid w:val="0071103F"/>
    <w:rsid w:val="00712D1C"/>
    <w:rsid w:val="007137F8"/>
    <w:rsid w:val="00715028"/>
    <w:rsid w:val="00715626"/>
    <w:rsid w:val="00721A0F"/>
    <w:rsid w:val="00725FED"/>
    <w:rsid w:val="007279AE"/>
    <w:rsid w:val="00730099"/>
    <w:rsid w:val="00732CDC"/>
    <w:rsid w:val="00740AE0"/>
    <w:rsid w:val="00741E3D"/>
    <w:rsid w:val="0074351B"/>
    <w:rsid w:val="00744A93"/>
    <w:rsid w:val="00745050"/>
    <w:rsid w:val="007518EE"/>
    <w:rsid w:val="007570AB"/>
    <w:rsid w:val="00762385"/>
    <w:rsid w:val="00764DDA"/>
    <w:rsid w:val="00765582"/>
    <w:rsid w:val="00765D26"/>
    <w:rsid w:val="00765F81"/>
    <w:rsid w:val="007800D2"/>
    <w:rsid w:val="00780CF7"/>
    <w:rsid w:val="00783454"/>
    <w:rsid w:val="00784ADA"/>
    <w:rsid w:val="00785C1C"/>
    <w:rsid w:val="00786848"/>
    <w:rsid w:val="00791941"/>
    <w:rsid w:val="007936D0"/>
    <w:rsid w:val="0079396E"/>
    <w:rsid w:val="00793E3C"/>
    <w:rsid w:val="00794092"/>
    <w:rsid w:val="0079492B"/>
    <w:rsid w:val="00794EEF"/>
    <w:rsid w:val="00795097"/>
    <w:rsid w:val="007974E7"/>
    <w:rsid w:val="00797F99"/>
    <w:rsid w:val="007A2FCB"/>
    <w:rsid w:val="007A3CF6"/>
    <w:rsid w:val="007A4A57"/>
    <w:rsid w:val="007A7E89"/>
    <w:rsid w:val="007B0DDF"/>
    <w:rsid w:val="007B682F"/>
    <w:rsid w:val="007B6DA8"/>
    <w:rsid w:val="007C01CC"/>
    <w:rsid w:val="007C0A7E"/>
    <w:rsid w:val="007C19D2"/>
    <w:rsid w:val="007C30DF"/>
    <w:rsid w:val="007C34E7"/>
    <w:rsid w:val="007C366F"/>
    <w:rsid w:val="007C3E3C"/>
    <w:rsid w:val="007C4F08"/>
    <w:rsid w:val="007D4248"/>
    <w:rsid w:val="007D687B"/>
    <w:rsid w:val="007E36BB"/>
    <w:rsid w:val="007E725F"/>
    <w:rsid w:val="007E77DA"/>
    <w:rsid w:val="007F27EB"/>
    <w:rsid w:val="007F2DDC"/>
    <w:rsid w:val="00802784"/>
    <w:rsid w:val="00803DE5"/>
    <w:rsid w:val="00805698"/>
    <w:rsid w:val="00807715"/>
    <w:rsid w:val="00807B15"/>
    <w:rsid w:val="00810A31"/>
    <w:rsid w:val="00813F4C"/>
    <w:rsid w:val="008145F7"/>
    <w:rsid w:val="008177D8"/>
    <w:rsid w:val="008208F7"/>
    <w:rsid w:val="00821057"/>
    <w:rsid w:val="0082794C"/>
    <w:rsid w:val="00830658"/>
    <w:rsid w:val="00832C7D"/>
    <w:rsid w:val="008339AB"/>
    <w:rsid w:val="00833C68"/>
    <w:rsid w:val="00834195"/>
    <w:rsid w:val="00835AD6"/>
    <w:rsid w:val="00837968"/>
    <w:rsid w:val="00842AFA"/>
    <w:rsid w:val="008432AB"/>
    <w:rsid w:val="0084501C"/>
    <w:rsid w:val="00851013"/>
    <w:rsid w:val="0085119F"/>
    <w:rsid w:val="00851655"/>
    <w:rsid w:val="00852932"/>
    <w:rsid w:val="0085431A"/>
    <w:rsid w:val="008545D6"/>
    <w:rsid w:val="00856D9C"/>
    <w:rsid w:val="00856E93"/>
    <w:rsid w:val="008576BC"/>
    <w:rsid w:val="00857BB6"/>
    <w:rsid w:val="00863263"/>
    <w:rsid w:val="0086683D"/>
    <w:rsid w:val="008676E5"/>
    <w:rsid w:val="00870F29"/>
    <w:rsid w:val="00872CBF"/>
    <w:rsid w:val="008734DA"/>
    <w:rsid w:val="008748A8"/>
    <w:rsid w:val="00874D9A"/>
    <w:rsid w:val="00875B62"/>
    <w:rsid w:val="0087644E"/>
    <w:rsid w:val="0087660F"/>
    <w:rsid w:val="00876658"/>
    <w:rsid w:val="00876668"/>
    <w:rsid w:val="00882173"/>
    <w:rsid w:val="00882C0B"/>
    <w:rsid w:val="00884F17"/>
    <w:rsid w:val="008864BA"/>
    <w:rsid w:val="00886CC4"/>
    <w:rsid w:val="00887192"/>
    <w:rsid w:val="008907BE"/>
    <w:rsid w:val="0089131D"/>
    <w:rsid w:val="00897233"/>
    <w:rsid w:val="008A0A5C"/>
    <w:rsid w:val="008A0D06"/>
    <w:rsid w:val="008A3820"/>
    <w:rsid w:val="008A3EE5"/>
    <w:rsid w:val="008A500A"/>
    <w:rsid w:val="008A5250"/>
    <w:rsid w:val="008A5C6E"/>
    <w:rsid w:val="008A7A4E"/>
    <w:rsid w:val="008B22E5"/>
    <w:rsid w:val="008B2840"/>
    <w:rsid w:val="008B7857"/>
    <w:rsid w:val="008C12D9"/>
    <w:rsid w:val="008C2E42"/>
    <w:rsid w:val="008C54BF"/>
    <w:rsid w:val="008D0756"/>
    <w:rsid w:val="008D0F6C"/>
    <w:rsid w:val="008D3095"/>
    <w:rsid w:val="008E0F19"/>
    <w:rsid w:val="008E1300"/>
    <w:rsid w:val="008E1E2A"/>
    <w:rsid w:val="008E4C13"/>
    <w:rsid w:val="008E4C5E"/>
    <w:rsid w:val="008E7107"/>
    <w:rsid w:val="008F01A2"/>
    <w:rsid w:val="008F0604"/>
    <w:rsid w:val="00902121"/>
    <w:rsid w:val="009021F6"/>
    <w:rsid w:val="00907CFA"/>
    <w:rsid w:val="0091013B"/>
    <w:rsid w:val="0091158A"/>
    <w:rsid w:val="00911A88"/>
    <w:rsid w:val="0091572E"/>
    <w:rsid w:val="0091625A"/>
    <w:rsid w:val="009164D6"/>
    <w:rsid w:val="009200D9"/>
    <w:rsid w:val="0092455D"/>
    <w:rsid w:val="00924AE2"/>
    <w:rsid w:val="00930607"/>
    <w:rsid w:val="00930ED1"/>
    <w:rsid w:val="0093289C"/>
    <w:rsid w:val="00932BF3"/>
    <w:rsid w:val="009335CB"/>
    <w:rsid w:val="00936CBA"/>
    <w:rsid w:val="00941430"/>
    <w:rsid w:val="00943987"/>
    <w:rsid w:val="00946937"/>
    <w:rsid w:val="0095100A"/>
    <w:rsid w:val="0095264B"/>
    <w:rsid w:val="009550E5"/>
    <w:rsid w:val="00965DF0"/>
    <w:rsid w:val="00966B4B"/>
    <w:rsid w:val="00966DB9"/>
    <w:rsid w:val="00970810"/>
    <w:rsid w:val="00982C2B"/>
    <w:rsid w:val="00983410"/>
    <w:rsid w:val="00984EBF"/>
    <w:rsid w:val="009859CC"/>
    <w:rsid w:val="00987DDD"/>
    <w:rsid w:val="0099111E"/>
    <w:rsid w:val="0099171C"/>
    <w:rsid w:val="0099469F"/>
    <w:rsid w:val="00994BE6"/>
    <w:rsid w:val="00995363"/>
    <w:rsid w:val="0099558B"/>
    <w:rsid w:val="009A027A"/>
    <w:rsid w:val="009A40A9"/>
    <w:rsid w:val="009A5644"/>
    <w:rsid w:val="009A7000"/>
    <w:rsid w:val="009A7B8F"/>
    <w:rsid w:val="009B4C7A"/>
    <w:rsid w:val="009C0B6C"/>
    <w:rsid w:val="009D0818"/>
    <w:rsid w:val="009D0B49"/>
    <w:rsid w:val="009D1516"/>
    <w:rsid w:val="009D38DD"/>
    <w:rsid w:val="009D4BCE"/>
    <w:rsid w:val="009D4F23"/>
    <w:rsid w:val="009D6E2F"/>
    <w:rsid w:val="009D76BB"/>
    <w:rsid w:val="009E13E5"/>
    <w:rsid w:val="009E1534"/>
    <w:rsid w:val="009E2714"/>
    <w:rsid w:val="009E32A1"/>
    <w:rsid w:val="009E3864"/>
    <w:rsid w:val="009E4E62"/>
    <w:rsid w:val="009E5229"/>
    <w:rsid w:val="009E60DB"/>
    <w:rsid w:val="009E6EB7"/>
    <w:rsid w:val="009F1889"/>
    <w:rsid w:val="009F31B7"/>
    <w:rsid w:val="009F6C1C"/>
    <w:rsid w:val="00A00BB8"/>
    <w:rsid w:val="00A031F5"/>
    <w:rsid w:val="00A079F1"/>
    <w:rsid w:val="00A07AB1"/>
    <w:rsid w:val="00A11A24"/>
    <w:rsid w:val="00A11BA6"/>
    <w:rsid w:val="00A123EC"/>
    <w:rsid w:val="00A145F1"/>
    <w:rsid w:val="00A14E13"/>
    <w:rsid w:val="00A16130"/>
    <w:rsid w:val="00A168CC"/>
    <w:rsid w:val="00A2213C"/>
    <w:rsid w:val="00A25788"/>
    <w:rsid w:val="00A26926"/>
    <w:rsid w:val="00A31EFE"/>
    <w:rsid w:val="00A32BC2"/>
    <w:rsid w:val="00A344A5"/>
    <w:rsid w:val="00A3657D"/>
    <w:rsid w:val="00A36F03"/>
    <w:rsid w:val="00A41D02"/>
    <w:rsid w:val="00A42047"/>
    <w:rsid w:val="00A46840"/>
    <w:rsid w:val="00A46C98"/>
    <w:rsid w:val="00A46F20"/>
    <w:rsid w:val="00A47390"/>
    <w:rsid w:val="00A477DA"/>
    <w:rsid w:val="00A502AB"/>
    <w:rsid w:val="00A5193A"/>
    <w:rsid w:val="00A5664C"/>
    <w:rsid w:val="00A575B8"/>
    <w:rsid w:val="00A60580"/>
    <w:rsid w:val="00A63208"/>
    <w:rsid w:val="00A6507F"/>
    <w:rsid w:val="00A72224"/>
    <w:rsid w:val="00A73C7B"/>
    <w:rsid w:val="00A775D6"/>
    <w:rsid w:val="00A8197F"/>
    <w:rsid w:val="00A82180"/>
    <w:rsid w:val="00A8529B"/>
    <w:rsid w:val="00A90F21"/>
    <w:rsid w:val="00A92BC6"/>
    <w:rsid w:val="00A94FBB"/>
    <w:rsid w:val="00A950FE"/>
    <w:rsid w:val="00A96ABF"/>
    <w:rsid w:val="00AA4CAC"/>
    <w:rsid w:val="00AA5AD8"/>
    <w:rsid w:val="00AA5D6C"/>
    <w:rsid w:val="00AA7659"/>
    <w:rsid w:val="00AB03D0"/>
    <w:rsid w:val="00AB1119"/>
    <w:rsid w:val="00AB25E4"/>
    <w:rsid w:val="00AB28E5"/>
    <w:rsid w:val="00AB2ED5"/>
    <w:rsid w:val="00AB4223"/>
    <w:rsid w:val="00AB5704"/>
    <w:rsid w:val="00AC40E5"/>
    <w:rsid w:val="00AC734C"/>
    <w:rsid w:val="00AD1B0D"/>
    <w:rsid w:val="00AD2486"/>
    <w:rsid w:val="00AD7C59"/>
    <w:rsid w:val="00AE0310"/>
    <w:rsid w:val="00AE096D"/>
    <w:rsid w:val="00AE5918"/>
    <w:rsid w:val="00AF084D"/>
    <w:rsid w:val="00AF0E90"/>
    <w:rsid w:val="00AF499C"/>
    <w:rsid w:val="00AF6E92"/>
    <w:rsid w:val="00AF72C0"/>
    <w:rsid w:val="00AF7D43"/>
    <w:rsid w:val="00AF7E51"/>
    <w:rsid w:val="00B00AB3"/>
    <w:rsid w:val="00B00C4C"/>
    <w:rsid w:val="00B04FAD"/>
    <w:rsid w:val="00B0609A"/>
    <w:rsid w:val="00B0659B"/>
    <w:rsid w:val="00B07380"/>
    <w:rsid w:val="00B12861"/>
    <w:rsid w:val="00B13FBB"/>
    <w:rsid w:val="00B16257"/>
    <w:rsid w:val="00B16E97"/>
    <w:rsid w:val="00B20E79"/>
    <w:rsid w:val="00B22108"/>
    <w:rsid w:val="00B227ED"/>
    <w:rsid w:val="00B22F5E"/>
    <w:rsid w:val="00B241C4"/>
    <w:rsid w:val="00B26EB3"/>
    <w:rsid w:val="00B2709F"/>
    <w:rsid w:val="00B310D7"/>
    <w:rsid w:val="00B31BC6"/>
    <w:rsid w:val="00B35CF2"/>
    <w:rsid w:val="00B40A00"/>
    <w:rsid w:val="00B40DB2"/>
    <w:rsid w:val="00B410D1"/>
    <w:rsid w:val="00B424DC"/>
    <w:rsid w:val="00B50B36"/>
    <w:rsid w:val="00B51DA6"/>
    <w:rsid w:val="00B53190"/>
    <w:rsid w:val="00B60B0A"/>
    <w:rsid w:val="00B638C4"/>
    <w:rsid w:val="00B66816"/>
    <w:rsid w:val="00B6712C"/>
    <w:rsid w:val="00B70231"/>
    <w:rsid w:val="00B715F4"/>
    <w:rsid w:val="00B74F49"/>
    <w:rsid w:val="00B77CB0"/>
    <w:rsid w:val="00B80F88"/>
    <w:rsid w:val="00B810B8"/>
    <w:rsid w:val="00B8196E"/>
    <w:rsid w:val="00B8319D"/>
    <w:rsid w:val="00B83DD8"/>
    <w:rsid w:val="00B8447B"/>
    <w:rsid w:val="00B84A41"/>
    <w:rsid w:val="00B86A22"/>
    <w:rsid w:val="00B90005"/>
    <w:rsid w:val="00B92ECE"/>
    <w:rsid w:val="00B93E7D"/>
    <w:rsid w:val="00B95D4E"/>
    <w:rsid w:val="00BA342B"/>
    <w:rsid w:val="00BA352B"/>
    <w:rsid w:val="00BA38C5"/>
    <w:rsid w:val="00BA6416"/>
    <w:rsid w:val="00BA7845"/>
    <w:rsid w:val="00BB0713"/>
    <w:rsid w:val="00BB3E1F"/>
    <w:rsid w:val="00BB6135"/>
    <w:rsid w:val="00BC034D"/>
    <w:rsid w:val="00BC5C54"/>
    <w:rsid w:val="00BC5E46"/>
    <w:rsid w:val="00BC5F46"/>
    <w:rsid w:val="00BD0F40"/>
    <w:rsid w:val="00BD10E6"/>
    <w:rsid w:val="00BD2C0E"/>
    <w:rsid w:val="00BD2F5D"/>
    <w:rsid w:val="00BD382A"/>
    <w:rsid w:val="00BD59C3"/>
    <w:rsid w:val="00BD64B7"/>
    <w:rsid w:val="00BE02ED"/>
    <w:rsid w:val="00BE08DC"/>
    <w:rsid w:val="00BE104D"/>
    <w:rsid w:val="00BE13AD"/>
    <w:rsid w:val="00BE160A"/>
    <w:rsid w:val="00BE4F8D"/>
    <w:rsid w:val="00BE7455"/>
    <w:rsid w:val="00BF3416"/>
    <w:rsid w:val="00C00A67"/>
    <w:rsid w:val="00C04033"/>
    <w:rsid w:val="00C047C8"/>
    <w:rsid w:val="00C05C43"/>
    <w:rsid w:val="00C06206"/>
    <w:rsid w:val="00C06EB2"/>
    <w:rsid w:val="00C101F3"/>
    <w:rsid w:val="00C10499"/>
    <w:rsid w:val="00C12BE6"/>
    <w:rsid w:val="00C1759C"/>
    <w:rsid w:val="00C20FA9"/>
    <w:rsid w:val="00C23275"/>
    <w:rsid w:val="00C23C87"/>
    <w:rsid w:val="00C25474"/>
    <w:rsid w:val="00C31D1D"/>
    <w:rsid w:val="00C31EA5"/>
    <w:rsid w:val="00C37BD3"/>
    <w:rsid w:val="00C427BA"/>
    <w:rsid w:val="00C44DDC"/>
    <w:rsid w:val="00C4722B"/>
    <w:rsid w:val="00C50828"/>
    <w:rsid w:val="00C53580"/>
    <w:rsid w:val="00C663D0"/>
    <w:rsid w:val="00C665DC"/>
    <w:rsid w:val="00C669CC"/>
    <w:rsid w:val="00C670C7"/>
    <w:rsid w:val="00C7375C"/>
    <w:rsid w:val="00C7653C"/>
    <w:rsid w:val="00C76C67"/>
    <w:rsid w:val="00C77352"/>
    <w:rsid w:val="00C817E0"/>
    <w:rsid w:val="00C877EB"/>
    <w:rsid w:val="00C90468"/>
    <w:rsid w:val="00C91E8D"/>
    <w:rsid w:val="00C925C9"/>
    <w:rsid w:val="00C92688"/>
    <w:rsid w:val="00C93CF9"/>
    <w:rsid w:val="00C9676F"/>
    <w:rsid w:val="00CA0A02"/>
    <w:rsid w:val="00CA2085"/>
    <w:rsid w:val="00CA46A1"/>
    <w:rsid w:val="00CB0375"/>
    <w:rsid w:val="00CB0507"/>
    <w:rsid w:val="00CB1F98"/>
    <w:rsid w:val="00CB3C74"/>
    <w:rsid w:val="00CB52A4"/>
    <w:rsid w:val="00CB76A0"/>
    <w:rsid w:val="00CC0E9B"/>
    <w:rsid w:val="00CC2FD2"/>
    <w:rsid w:val="00CC330C"/>
    <w:rsid w:val="00CC3E52"/>
    <w:rsid w:val="00CC5700"/>
    <w:rsid w:val="00CC6051"/>
    <w:rsid w:val="00CD004C"/>
    <w:rsid w:val="00CD1E42"/>
    <w:rsid w:val="00CD219D"/>
    <w:rsid w:val="00CD38B1"/>
    <w:rsid w:val="00CD41EB"/>
    <w:rsid w:val="00CE01AD"/>
    <w:rsid w:val="00CE2275"/>
    <w:rsid w:val="00CE3754"/>
    <w:rsid w:val="00CE5289"/>
    <w:rsid w:val="00CE53BE"/>
    <w:rsid w:val="00CE57E0"/>
    <w:rsid w:val="00CE6BFC"/>
    <w:rsid w:val="00CE7235"/>
    <w:rsid w:val="00CF0B57"/>
    <w:rsid w:val="00CF1895"/>
    <w:rsid w:val="00CF358A"/>
    <w:rsid w:val="00CF3E15"/>
    <w:rsid w:val="00CF54D8"/>
    <w:rsid w:val="00CF5507"/>
    <w:rsid w:val="00CF5BA4"/>
    <w:rsid w:val="00CF7E37"/>
    <w:rsid w:val="00D01B14"/>
    <w:rsid w:val="00D20DB8"/>
    <w:rsid w:val="00D2102D"/>
    <w:rsid w:val="00D225E2"/>
    <w:rsid w:val="00D22DFB"/>
    <w:rsid w:val="00D23B51"/>
    <w:rsid w:val="00D3081D"/>
    <w:rsid w:val="00D30FDA"/>
    <w:rsid w:val="00D31D34"/>
    <w:rsid w:val="00D32637"/>
    <w:rsid w:val="00D333FD"/>
    <w:rsid w:val="00D34DC0"/>
    <w:rsid w:val="00D35AA9"/>
    <w:rsid w:val="00D36450"/>
    <w:rsid w:val="00D434D8"/>
    <w:rsid w:val="00D441B8"/>
    <w:rsid w:val="00D44F81"/>
    <w:rsid w:val="00D476EC"/>
    <w:rsid w:val="00D52E2D"/>
    <w:rsid w:val="00D53892"/>
    <w:rsid w:val="00D56B60"/>
    <w:rsid w:val="00D57F6E"/>
    <w:rsid w:val="00D60367"/>
    <w:rsid w:val="00D614CD"/>
    <w:rsid w:val="00D628B6"/>
    <w:rsid w:val="00D645F5"/>
    <w:rsid w:val="00D70B55"/>
    <w:rsid w:val="00D72E17"/>
    <w:rsid w:val="00D75D32"/>
    <w:rsid w:val="00D76D6C"/>
    <w:rsid w:val="00D76D9B"/>
    <w:rsid w:val="00D8409D"/>
    <w:rsid w:val="00D84CF3"/>
    <w:rsid w:val="00D84DCC"/>
    <w:rsid w:val="00D86113"/>
    <w:rsid w:val="00D87BF4"/>
    <w:rsid w:val="00D90A05"/>
    <w:rsid w:val="00D91DD5"/>
    <w:rsid w:val="00D92E03"/>
    <w:rsid w:val="00D9362D"/>
    <w:rsid w:val="00D945AD"/>
    <w:rsid w:val="00D94EB1"/>
    <w:rsid w:val="00D954BC"/>
    <w:rsid w:val="00DA06FD"/>
    <w:rsid w:val="00DA18F2"/>
    <w:rsid w:val="00DA739C"/>
    <w:rsid w:val="00DA782E"/>
    <w:rsid w:val="00DB1D98"/>
    <w:rsid w:val="00DB27C2"/>
    <w:rsid w:val="00DB44AE"/>
    <w:rsid w:val="00DB6FEC"/>
    <w:rsid w:val="00DB7E02"/>
    <w:rsid w:val="00DC224A"/>
    <w:rsid w:val="00DC31A8"/>
    <w:rsid w:val="00DC4453"/>
    <w:rsid w:val="00DC4B86"/>
    <w:rsid w:val="00DC6262"/>
    <w:rsid w:val="00DD2794"/>
    <w:rsid w:val="00DD2A7C"/>
    <w:rsid w:val="00DD3034"/>
    <w:rsid w:val="00DD4862"/>
    <w:rsid w:val="00DE2E95"/>
    <w:rsid w:val="00DE4F61"/>
    <w:rsid w:val="00DE56A3"/>
    <w:rsid w:val="00DE5CA3"/>
    <w:rsid w:val="00DE780B"/>
    <w:rsid w:val="00DF0C26"/>
    <w:rsid w:val="00DF0ECE"/>
    <w:rsid w:val="00DF1069"/>
    <w:rsid w:val="00DF1296"/>
    <w:rsid w:val="00DF4D31"/>
    <w:rsid w:val="00DF50F3"/>
    <w:rsid w:val="00DF5E30"/>
    <w:rsid w:val="00E00180"/>
    <w:rsid w:val="00E002B3"/>
    <w:rsid w:val="00E02356"/>
    <w:rsid w:val="00E024DF"/>
    <w:rsid w:val="00E03C95"/>
    <w:rsid w:val="00E11BCB"/>
    <w:rsid w:val="00E1653B"/>
    <w:rsid w:val="00E23214"/>
    <w:rsid w:val="00E24B02"/>
    <w:rsid w:val="00E267F8"/>
    <w:rsid w:val="00E27947"/>
    <w:rsid w:val="00E30130"/>
    <w:rsid w:val="00E30310"/>
    <w:rsid w:val="00E311D7"/>
    <w:rsid w:val="00E3604A"/>
    <w:rsid w:val="00E40662"/>
    <w:rsid w:val="00E40C65"/>
    <w:rsid w:val="00E41137"/>
    <w:rsid w:val="00E41CC5"/>
    <w:rsid w:val="00E42A03"/>
    <w:rsid w:val="00E47AD9"/>
    <w:rsid w:val="00E47B98"/>
    <w:rsid w:val="00E513C3"/>
    <w:rsid w:val="00E5178A"/>
    <w:rsid w:val="00E52E4A"/>
    <w:rsid w:val="00E5471B"/>
    <w:rsid w:val="00E60AFD"/>
    <w:rsid w:val="00E65A44"/>
    <w:rsid w:val="00E66B5E"/>
    <w:rsid w:val="00E71568"/>
    <w:rsid w:val="00E74651"/>
    <w:rsid w:val="00E74848"/>
    <w:rsid w:val="00E74B66"/>
    <w:rsid w:val="00E751EB"/>
    <w:rsid w:val="00E77521"/>
    <w:rsid w:val="00E832B1"/>
    <w:rsid w:val="00E838B6"/>
    <w:rsid w:val="00E84FB0"/>
    <w:rsid w:val="00E8792B"/>
    <w:rsid w:val="00E87EC7"/>
    <w:rsid w:val="00E87FE5"/>
    <w:rsid w:val="00E9010E"/>
    <w:rsid w:val="00E90C1A"/>
    <w:rsid w:val="00E9114C"/>
    <w:rsid w:val="00E92201"/>
    <w:rsid w:val="00E92824"/>
    <w:rsid w:val="00E92B5E"/>
    <w:rsid w:val="00E93FB8"/>
    <w:rsid w:val="00E9416B"/>
    <w:rsid w:val="00E9534C"/>
    <w:rsid w:val="00E96303"/>
    <w:rsid w:val="00EA1431"/>
    <w:rsid w:val="00EA1F10"/>
    <w:rsid w:val="00EA29DB"/>
    <w:rsid w:val="00EA2F93"/>
    <w:rsid w:val="00EA6EDE"/>
    <w:rsid w:val="00EB174B"/>
    <w:rsid w:val="00EB2FEC"/>
    <w:rsid w:val="00EB7748"/>
    <w:rsid w:val="00EC032F"/>
    <w:rsid w:val="00EC5139"/>
    <w:rsid w:val="00ED2B95"/>
    <w:rsid w:val="00ED3E34"/>
    <w:rsid w:val="00ED4166"/>
    <w:rsid w:val="00ED48FA"/>
    <w:rsid w:val="00ED4AFA"/>
    <w:rsid w:val="00ED78F7"/>
    <w:rsid w:val="00ED7AAF"/>
    <w:rsid w:val="00EE11C7"/>
    <w:rsid w:val="00EE153F"/>
    <w:rsid w:val="00EE212C"/>
    <w:rsid w:val="00EE2983"/>
    <w:rsid w:val="00EE5743"/>
    <w:rsid w:val="00EE7D8C"/>
    <w:rsid w:val="00EF0BEF"/>
    <w:rsid w:val="00EF1B1D"/>
    <w:rsid w:val="00EF5458"/>
    <w:rsid w:val="00EF7A6D"/>
    <w:rsid w:val="00F008A4"/>
    <w:rsid w:val="00F01540"/>
    <w:rsid w:val="00F044C7"/>
    <w:rsid w:val="00F06B3A"/>
    <w:rsid w:val="00F0763B"/>
    <w:rsid w:val="00F07B19"/>
    <w:rsid w:val="00F115A0"/>
    <w:rsid w:val="00F12CFB"/>
    <w:rsid w:val="00F13265"/>
    <w:rsid w:val="00F2609D"/>
    <w:rsid w:val="00F30639"/>
    <w:rsid w:val="00F30BEB"/>
    <w:rsid w:val="00F30BF9"/>
    <w:rsid w:val="00F314EC"/>
    <w:rsid w:val="00F37528"/>
    <w:rsid w:val="00F43576"/>
    <w:rsid w:val="00F524BA"/>
    <w:rsid w:val="00F52D0E"/>
    <w:rsid w:val="00F5357E"/>
    <w:rsid w:val="00F54368"/>
    <w:rsid w:val="00F546DB"/>
    <w:rsid w:val="00F546FC"/>
    <w:rsid w:val="00F556B3"/>
    <w:rsid w:val="00F56A8F"/>
    <w:rsid w:val="00F60448"/>
    <w:rsid w:val="00F666EC"/>
    <w:rsid w:val="00F722AC"/>
    <w:rsid w:val="00F7247F"/>
    <w:rsid w:val="00F735EC"/>
    <w:rsid w:val="00F77F99"/>
    <w:rsid w:val="00F819B0"/>
    <w:rsid w:val="00F8281C"/>
    <w:rsid w:val="00F83350"/>
    <w:rsid w:val="00F838AE"/>
    <w:rsid w:val="00F8403A"/>
    <w:rsid w:val="00F845E4"/>
    <w:rsid w:val="00F8657D"/>
    <w:rsid w:val="00F913DB"/>
    <w:rsid w:val="00F9160D"/>
    <w:rsid w:val="00F93CC4"/>
    <w:rsid w:val="00F94EA3"/>
    <w:rsid w:val="00F9501B"/>
    <w:rsid w:val="00F95700"/>
    <w:rsid w:val="00F9580B"/>
    <w:rsid w:val="00FA2CB1"/>
    <w:rsid w:val="00FA6BFE"/>
    <w:rsid w:val="00FA6C0C"/>
    <w:rsid w:val="00FB002C"/>
    <w:rsid w:val="00FB5DFF"/>
    <w:rsid w:val="00FB7BC6"/>
    <w:rsid w:val="00FC02ED"/>
    <w:rsid w:val="00FC178C"/>
    <w:rsid w:val="00FC1C46"/>
    <w:rsid w:val="00FC1EA4"/>
    <w:rsid w:val="00FC2DFD"/>
    <w:rsid w:val="00FC5D65"/>
    <w:rsid w:val="00FC675E"/>
    <w:rsid w:val="00FC7466"/>
    <w:rsid w:val="00FC7AE3"/>
    <w:rsid w:val="00FD23CB"/>
    <w:rsid w:val="00FD3280"/>
    <w:rsid w:val="00FD4A08"/>
    <w:rsid w:val="00FD4EFB"/>
    <w:rsid w:val="00FD6CD2"/>
    <w:rsid w:val="00FE08E0"/>
    <w:rsid w:val="00FE0BF6"/>
    <w:rsid w:val="00FE3105"/>
    <w:rsid w:val="00FE4973"/>
    <w:rsid w:val="00FF1132"/>
    <w:rsid w:val="00FF20A8"/>
    <w:rsid w:val="00FF3ECE"/>
    <w:rsid w:val="00FF573E"/>
    <w:rsid w:val="00FF6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09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260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2609D"/>
    <w:rPr>
      <w:rFonts w:ascii="Calibri" w:eastAsia="Calibri" w:hAnsi="Calibri" w:cs="Times New Roman"/>
      <w:sz w:val="20"/>
      <w:szCs w:val="20"/>
    </w:rPr>
  </w:style>
  <w:style w:type="character" w:styleId="Znakapoznpodarou">
    <w:name w:val="footnote reference"/>
    <w:uiPriority w:val="99"/>
    <w:semiHidden/>
    <w:unhideWhenUsed/>
    <w:rsid w:val="00F2609D"/>
    <w:rPr>
      <w:vertAlign w:val="superscript"/>
    </w:rPr>
  </w:style>
  <w:style w:type="paragraph" w:styleId="Zkladntext">
    <w:name w:val="Body Text"/>
    <w:basedOn w:val="Normln"/>
    <w:link w:val="ZkladntextChar"/>
    <w:semiHidden/>
    <w:rsid w:val="00BA7845"/>
    <w:pPr>
      <w:spacing w:after="0" w:line="240" w:lineRule="auto"/>
      <w:jc w:val="both"/>
    </w:pPr>
    <w:rPr>
      <w:rFonts w:ascii="Arial" w:eastAsia="Times New Roman" w:hAnsi="Arial" w:cs="Arial"/>
      <w:sz w:val="20"/>
      <w:szCs w:val="24"/>
      <w:lang w:eastAsia="cs-CZ"/>
    </w:rPr>
  </w:style>
  <w:style w:type="character" w:customStyle="1" w:styleId="ZkladntextChar">
    <w:name w:val="Základní text Char"/>
    <w:basedOn w:val="Standardnpsmoodstavce"/>
    <w:link w:val="Zkladntext"/>
    <w:semiHidden/>
    <w:rsid w:val="00BA7845"/>
    <w:rPr>
      <w:rFonts w:ascii="Arial" w:eastAsia="Times New Roman" w:hAnsi="Arial" w:cs="Arial"/>
      <w:sz w:val="20"/>
      <w:szCs w:val="24"/>
      <w:lang w:eastAsia="cs-CZ"/>
    </w:rPr>
  </w:style>
  <w:style w:type="paragraph" w:styleId="Textbubliny">
    <w:name w:val="Balloon Text"/>
    <w:basedOn w:val="Normln"/>
    <w:link w:val="TextbublinyChar"/>
    <w:uiPriority w:val="99"/>
    <w:semiHidden/>
    <w:unhideWhenUsed/>
    <w:rsid w:val="00241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1781"/>
    <w:rPr>
      <w:rFonts w:ascii="Tahoma" w:eastAsia="Calibri" w:hAnsi="Tahoma" w:cs="Tahoma"/>
      <w:sz w:val="16"/>
      <w:szCs w:val="16"/>
    </w:rPr>
  </w:style>
  <w:style w:type="paragraph" w:styleId="Odstavecseseznamem">
    <w:name w:val="List Paragraph"/>
    <w:basedOn w:val="Normln"/>
    <w:uiPriority w:val="34"/>
    <w:qFormat/>
    <w:rsid w:val="00601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8753">
      <w:bodyDiv w:val="1"/>
      <w:marLeft w:val="0"/>
      <w:marRight w:val="0"/>
      <w:marTop w:val="0"/>
      <w:marBottom w:val="0"/>
      <w:divBdr>
        <w:top w:val="none" w:sz="0" w:space="0" w:color="auto"/>
        <w:left w:val="none" w:sz="0" w:space="0" w:color="auto"/>
        <w:bottom w:val="none" w:sz="0" w:space="0" w:color="auto"/>
        <w:right w:val="none" w:sz="0" w:space="0" w:color="auto"/>
      </w:divBdr>
      <w:divsChild>
        <w:div w:id="1006401613">
          <w:marLeft w:val="0"/>
          <w:marRight w:val="0"/>
          <w:marTop w:val="0"/>
          <w:marBottom w:val="0"/>
          <w:divBdr>
            <w:top w:val="none" w:sz="0" w:space="0" w:color="auto"/>
            <w:left w:val="none" w:sz="0" w:space="0" w:color="auto"/>
            <w:bottom w:val="none" w:sz="0" w:space="0" w:color="auto"/>
            <w:right w:val="none" w:sz="0" w:space="0" w:color="auto"/>
          </w:divBdr>
        </w:div>
        <w:div w:id="1247687205">
          <w:marLeft w:val="0"/>
          <w:marRight w:val="0"/>
          <w:marTop w:val="0"/>
          <w:marBottom w:val="0"/>
          <w:divBdr>
            <w:top w:val="none" w:sz="0" w:space="0" w:color="auto"/>
            <w:left w:val="none" w:sz="0" w:space="0" w:color="auto"/>
            <w:bottom w:val="none" w:sz="0" w:space="0" w:color="auto"/>
            <w:right w:val="none" w:sz="0" w:space="0" w:color="auto"/>
          </w:divBdr>
        </w:div>
        <w:div w:id="1170827318">
          <w:marLeft w:val="0"/>
          <w:marRight w:val="0"/>
          <w:marTop w:val="0"/>
          <w:marBottom w:val="0"/>
          <w:divBdr>
            <w:top w:val="none" w:sz="0" w:space="0" w:color="auto"/>
            <w:left w:val="none" w:sz="0" w:space="0" w:color="auto"/>
            <w:bottom w:val="none" w:sz="0" w:space="0" w:color="auto"/>
            <w:right w:val="none" w:sz="0" w:space="0" w:color="auto"/>
          </w:divBdr>
        </w:div>
        <w:div w:id="1980725146">
          <w:marLeft w:val="0"/>
          <w:marRight w:val="0"/>
          <w:marTop w:val="0"/>
          <w:marBottom w:val="0"/>
          <w:divBdr>
            <w:top w:val="none" w:sz="0" w:space="0" w:color="auto"/>
            <w:left w:val="none" w:sz="0" w:space="0" w:color="auto"/>
            <w:bottom w:val="none" w:sz="0" w:space="0" w:color="auto"/>
            <w:right w:val="none" w:sz="0" w:space="0" w:color="auto"/>
          </w:divBdr>
        </w:div>
        <w:div w:id="160631919">
          <w:marLeft w:val="0"/>
          <w:marRight w:val="0"/>
          <w:marTop w:val="0"/>
          <w:marBottom w:val="0"/>
          <w:divBdr>
            <w:top w:val="none" w:sz="0" w:space="0" w:color="auto"/>
            <w:left w:val="none" w:sz="0" w:space="0" w:color="auto"/>
            <w:bottom w:val="none" w:sz="0" w:space="0" w:color="auto"/>
            <w:right w:val="none" w:sz="0" w:space="0" w:color="auto"/>
          </w:divBdr>
        </w:div>
      </w:divsChild>
    </w:div>
    <w:div w:id="888540754">
      <w:bodyDiv w:val="1"/>
      <w:marLeft w:val="0"/>
      <w:marRight w:val="0"/>
      <w:marTop w:val="0"/>
      <w:marBottom w:val="0"/>
      <w:divBdr>
        <w:top w:val="none" w:sz="0" w:space="0" w:color="auto"/>
        <w:left w:val="none" w:sz="0" w:space="0" w:color="auto"/>
        <w:bottom w:val="none" w:sz="0" w:space="0" w:color="auto"/>
        <w:right w:val="none" w:sz="0" w:space="0" w:color="auto"/>
      </w:divBdr>
      <w:divsChild>
        <w:div w:id="1251231551">
          <w:marLeft w:val="0"/>
          <w:marRight w:val="0"/>
          <w:marTop w:val="0"/>
          <w:marBottom w:val="0"/>
          <w:divBdr>
            <w:top w:val="none" w:sz="0" w:space="0" w:color="auto"/>
            <w:left w:val="none" w:sz="0" w:space="0" w:color="auto"/>
            <w:bottom w:val="none" w:sz="0" w:space="0" w:color="auto"/>
            <w:right w:val="none" w:sz="0" w:space="0" w:color="auto"/>
          </w:divBdr>
        </w:div>
        <w:div w:id="1792553502">
          <w:marLeft w:val="0"/>
          <w:marRight w:val="0"/>
          <w:marTop w:val="0"/>
          <w:marBottom w:val="0"/>
          <w:divBdr>
            <w:top w:val="none" w:sz="0" w:space="0" w:color="auto"/>
            <w:left w:val="none" w:sz="0" w:space="0" w:color="auto"/>
            <w:bottom w:val="none" w:sz="0" w:space="0" w:color="auto"/>
            <w:right w:val="none" w:sz="0" w:space="0" w:color="auto"/>
          </w:divBdr>
        </w:div>
      </w:divsChild>
    </w:div>
    <w:div w:id="900822160">
      <w:bodyDiv w:val="1"/>
      <w:marLeft w:val="0"/>
      <w:marRight w:val="0"/>
      <w:marTop w:val="0"/>
      <w:marBottom w:val="0"/>
      <w:divBdr>
        <w:top w:val="none" w:sz="0" w:space="0" w:color="auto"/>
        <w:left w:val="none" w:sz="0" w:space="0" w:color="auto"/>
        <w:bottom w:val="none" w:sz="0" w:space="0" w:color="auto"/>
        <w:right w:val="none" w:sz="0" w:space="0" w:color="auto"/>
      </w:divBdr>
      <w:divsChild>
        <w:div w:id="1223711970">
          <w:marLeft w:val="0"/>
          <w:marRight w:val="0"/>
          <w:marTop w:val="0"/>
          <w:marBottom w:val="0"/>
          <w:divBdr>
            <w:top w:val="none" w:sz="0" w:space="0" w:color="auto"/>
            <w:left w:val="none" w:sz="0" w:space="0" w:color="auto"/>
            <w:bottom w:val="none" w:sz="0" w:space="0" w:color="auto"/>
            <w:right w:val="none" w:sz="0" w:space="0" w:color="auto"/>
          </w:divBdr>
        </w:div>
        <w:div w:id="1750694960">
          <w:marLeft w:val="0"/>
          <w:marRight w:val="0"/>
          <w:marTop w:val="0"/>
          <w:marBottom w:val="0"/>
          <w:divBdr>
            <w:top w:val="none" w:sz="0" w:space="0" w:color="auto"/>
            <w:left w:val="none" w:sz="0" w:space="0" w:color="auto"/>
            <w:bottom w:val="none" w:sz="0" w:space="0" w:color="auto"/>
            <w:right w:val="none" w:sz="0" w:space="0" w:color="auto"/>
          </w:divBdr>
        </w:div>
        <w:div w:id="1480077826">
          <w:marLeft w:val="0"/>
          <w:marRight w:val="0"/>
          <w:marTop w:val="0"/>
          <w:marBottom w:val="0"/>
          <w:divBdr>
            <w:top w:val="none" w:sz="0" w:space="0" w:color="auto"/>
            <w:left w:val="none" w:sz="0" w:space="0" w:color="auto"/>
            <w:bottom w:val="none" w:sz="0" w:space="0" w:color="auto"/>
            <w:right w:val="none" w:sz="0" w:space="0" w:color="auto"/>
          </w:divBdr>
        </w:div>
        <w:div w:id="343167435">
          <w:marLeft w:val="0"/>
          <w:marRight w:val="0"/>
          <w:marTop w:val="0"/>
          <w:marBottom w:val="0"/>
          <w:divBdr>
            <w:top w:val="none" w:sz="0" w:space="0" w:color="auto"/>
            <w:left w:val="none" w:sz="0" w:space="0" w:color="auto"/>
            <w:bottom w:val="none" w:sz="0" w:space="0" w:color="auto"/>
            <w:right w:val="none" w:sz="0" w:space="0" w:color="auto"/>
          </w:divBdr>
        </w:div>
        <w:div w:id="1739472091">
          <w:marLeft w:val="0"/>
          <w:marRight w:val="0"/>
          <w:marTop w:val="0"/>
          <w:marBottom w:val="0"/>
          <w:divBdr>
            <w:top w:val="none" w:sz="0" w:space="0" w:color="auto"/>
            <w:left w:val="none" w:sz="0" w:space="0" w:color="auto"/>
            <w:bottom w:val="none" w:sz="0" w:space="0" w:color="auto"/>
            <w:right w:val="none" w:sz="0" w:space="0" w:color="auto"/>
          </w:divBdr>
        </w:div>
      </w:divsChild>
    </w:div>
    <w:div w:id="1452477768">
      <w:bodyDiv w:val="1"/>
      <w:marLeft w:val="0"/>
      <w:marRight w:val="0"/>
      <w:marTop w:val="0"/>
      <w:marBottom w:val="0"/>
      <w:divBdr>
        <w:top w:val="none" w:sz="0" w:space="0" w:color="auto"/>
        <w:left w:val="none" w:sz="0" w:space="0" w:color="auto"/>
        <w:bottom w:val="none" w:sz="0" w:space="0" w:color="auto"/>
        <w:right w:val="none" w:sz="0" w:space="0" w:color="auto"/>
      </w:divBdr>
      <w:divsChild>
        <w:div w:id="1540240499">
          <w:marLeft w:val="0"/>
          <w:marRight w:val="0"/>
          <w:marTop w:val="0"/>
          <w:marBottom w:val="0"/>
          <w:divBdr>
            <w:top w:val="none" w:sz="0" w:space="0" w:color="auto"/>
            <w:left w:val="none" w:sz="0" w:space="0" w:color="auto"/>
            <w:bottom w:val="none" w:sz="0" w:space="0" w:color="auto"/>
            <w:right w:val="none" w:sz="0" w:space="0" w:color="auto"/>
          </w:divBdr>
        </w:div>
        <w:div w:id="785467523">
          <w:marLeft w:val="0"/>
          <w:marRight w:val="0"/>
          <w:marTop w:val="0"/>
          <w:marBottom w:val="0"/>
          <w:divBdr>
            <w:top w:val="none" w:sz="0" w:space="0" w:color="auto"/>
            <w:left w:val="none" w:sz="0" w:space="0" w:color="auto"/>
            <w:bottom w:val="none" w:sz="0" w:space="0" w:color="auto"/>
            <w:right w:val="none" w:sz="0" w:space="0" w:color="auto"/>
          </w:divBdr>
        </w:div>
        <w:div w:id="1437287759">
          <w:marLeft w:val="0"/>
          <w:marRight w:val="0"/>
          <w:marTop w:val="0"/>
          <w:marBottom w:val="0"/>
          <w:divBdr>
            <w:top w:val="none" w:sz="0" w:space="0" w:color="auto"/>
            <w:left w:val="none" w:sz="0" w:space="0" w:color="auto"/>
            <w:bottom w:val="none" w:sz="0" w:space="0" w:color="auto"/>
            <w:right w:val="none" w:sz="0" w:space="0" w:color="auto"/>
          </w:divBdr>
        </w:div>
        <w:div w:id="369232094">
          <w:marLeft w:val="0"/>
          <w:marRight w:val="0"/>
          <w:marTop w:val="0"/>
          <w:marBottom w:val="0"/>
          <w:divBdr>
            <w:top w:val="none" w:sz="0" w:space="0" w:color="auto"/>
            <w:left w:val="none" w:sz="0" w:space="0" w:color="auto"/>
            <w:bottom w:val="none" w:sz="0" w:space="0" w:color="auto"/>
            <w:right w:val="none" w:sz="0" w:space="0" w:color="auto"/>
          </w:divBdr>
        </w:div>
        <w:div w:id="96300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C6A18-BCD5-49CC-92D0-04B7EE0E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7988</TotalTime>
  <Pages>9</Pages>
  <Words>2178</Words>
  <Characters>12854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bartlova327</dc:creator>
  <cp:lastModifiedBy>Monika Bartlová</cp:lastModifiedBy>
  <cp:revision>697</cp:revision>
  <cp:lastPrinted>2018-09-20T07:15:00Z</cp:lastPrinted>
  <dcterms:created xsi:type="dcterms:W3CDTF">2015-06-12T06:36:00Z</dcterms:created>
  <dcterms:modified xsi:type="dcterms:W3CDTF">2018-09-21T10:58:00Z</dcterms:modified>
</cp:coreProperties>
</file>