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D0" w:rsidRDefault="00903CD0">
      <w:pPr>
        <w:pStyle w:val="Nadpis4"/>
        <w:tabs>
          <w:tab w:val="clear" w:pos="708"/>
          <w:tab w:val="clear" w:pos="1416"/>
          <w:tab w:val="clear" w:pos="2124"/>
          <w:tab w:val="left" w:pos="142"/>
          <w:tab w:val="left" w:pos="709"/>
          <w:tab w:val="left" w:pos="1418"/>
          <w:tab w:val="left" w:pos="2126"/>
        </w:tabs>
        <w:jc w:val="left"/>
        <w:rPr>
          <w:rFonts w:cs="Arial"/>
        </w:rPr>
      </w:pPr>
    </w:p>
    <w:p w:rsidR="00A0255A" w:rsidRDefault="00A0255A">
      <w:pPr>
        <w:pStyle w:val="Nadpis4"/>
        <w:tabs>
          <w:tab w:val="clear" w:pos="708"/>
          <w:tab w:val="clear" w:pos="1416"/>
          <w:tab w:val="clear" w:pos="2124"/>
          <w:tab w:val="left" w:pos="142"/>
          <w:tab w:val="left" w:pos="709"/>
          <w:tab w:val="left" w:pos="1418"/>
          <w:tab w:val="left" w:pos="2126"/>
        </w:tabs>
        <w:jc w:val="left"/>
        <w:rPr>
          <w:rFonts w:cs="Arial"/>
        </w:rPr>
      </w:pPr>
      <w:r>
        <w:rPr>
          <w:rFonts w:cs="Arial"/>
        </w:rPr>
        <w:t>Metodické vysvětlivky</w:t>
      </w:r>
    </w:p>
    <w:p w:rsidR="00610AEC" w:rsidRPr="00610AEC" w:rsidRDefault="00610AEC" w:rsidP="00610AEC"/>
    <w:p w:rsidR="00610AEC" w:rsidRPr="00610AEC" w:rsidRDefault="00610AEC" w:rsidP="00610AEC"/>
    <w:p w:rsidR="00A0255A" w:rsidRDefault="00A83F9E">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ind w:firstLine="567"/>
        <w:jc w:val="both"/>
        <w:rPr>
          <w:rFonts w:ascii="Arial" w:hAnsi="Arial" w:cs="Arial"/>
          <w:szCs w:val="24"/>
        </w:rPr>
      </w:pPr>
      <w:r>
        <w:rPr>
          <w:rFonts w:ascii="Arial" w:hAnsi="Arial" w:cs="Arial"/>
          <w:szCs w:val="24"/>
        </w:rPr>
        <w:t>Dokument</w:t>
      </w:r>
      <w:r w:rsidR="00A0255A">
        <w:rPr>
          <w:rFonts w:ascii="Arial" w:hAnsi="Arial" w:cs="Arial"/>
          <w:szCs w:val="24"/>
        </w:rPr>
        <w:t xml:space="preserve"> obsahuje vybrané základní ukazatele </w:t>
      </w:r>
      <w:proofErr w:type="gramStart"/>
      <w:r w:rsidR="00A0255A">
        <w:rPr>
          <w:rFonts w:ascii="Arial" w:hAnsi="Arial" w:cs="Arial"/>
          <w:szCs w:val="24"/>
        </w:rPr>
        <w:t>odvětví  finančního</w:t>
      </w:r>
      <w:proofErr w:type="gramEnd"/>
      <w:r w:rsidR="00A0255A">
        <w:rPr>
          <w:rFonts w:ascii="Arial" w:hAnsi="Arial" w:cs="Arial"/>
          <w:szCs w:val="24"/>
        </w:rPr>
        <w:t xml:space="preserve"> zprostředkování. Podle </w:t>
      </w:r>
      <w:r w:rsidR="008D6817">
        <w:rPr>
          <w:rFonts w:ascii="Arial" w:hAnsi="Arial" w:cs="Arial"/>
          <w:szCs w:val="24"/>
        </w:rPr>
        <w:t>K</w:t>
      </w:r>
      <w:r w:rsidR="00A0255A">
        <w:rPr>
          <w:rFonts w:ascii="Arial" w:hAnsi="Arial" w:cs="Arial"/>
          <w:szCs w:val="24"/>
        </w:rPr>
        <w:t>lasifi</w:t>
      </w:r>
      <w:r w:rsidR="008D6817">
        <w:rPr>
          <w:rFonts w:ascii="Arial" w:hAnsi="Arial" w:cs="Arial"/>
          <w:szCs w:val="24"/>
        </w:rPr>
        <w:t>kace ekonomických činností (CZ-NACE</w:t>
      </w:r>
      <w:r w:rsidR="00A0255A">
        <w:rPr>
          <w:rFonts w:ascii="Arial" w:hAnsi="Arial" w:cs="Arial"/>
          <w:szCs w:val="24"/>
        </w:rPr>
        <w:t>) publi</w:t>
      </w:r>
      <w:r w:rsidR="008D6817">
        <w:rPr>
          <w:rFonts w:ascii="Arial" w:hAnsi="Arial" w:cs="Arial"/>
          <w:szCs w:val="24"/>
        </w:rPr>
        <w:t>kace zahrnuje údaje za oddíly 64</w:t>
      </w:r>
      <w:r w:rsidR="00A0255A">
        <w:rPr>
          <w:rFonts w:ascii="Arial" w:hAnsi="Arial" w:cs="Arial"/>
          <w:szCs w:val="24"/>
        </w:rPr>
        <w:t xml:space="preserve"> (</w:t>
      </w:r>
      <w:r w:rsidR="008D6817">
        <w:rPr>
          <w:rFonts w:ascii="Arial" w:hAnsi="Arial" w:cs="Arial"/>
        </w:rPr>
        <w:t>F</w:t>
      </w:r>
      <w:r w:rsidR="00A0255A">
        <w:rPr>
          <w:rFonts w:ascii="Arial" w:hAnsi="Arial" w:cs="Arial"/>
        </w:rPr>
        <w:t>inanční zprostředkování kromě pojišťovnictví a pe</w:t>
      </w:r>
      <w:r w:rsidR="008D6817">
        <w:rPr>
          <w:rFonts w:ascii="Arial" w:hAnsi="Arial" w:cs="Arial"/>
        </w:rPr>
        <w:t>nzijního financování), 65</w:t>
      </w:r>
      <w:r w:rsidR="00A0255A">
        <w:rPr>
          <w:rFonts w:ascii="Arial" w:hAnsi="Arial" w:cs="Arial"/>
        </w:rPr>
        <w:t xml:space="preserve"> (</w:t>
      </w:r>
      <w:r w:rsidR="008D6817">
        <w:rPr>
          <w:rFonts w:ascii="Arial" w:hAnsi="Arial" w:cs="Arial"/>
        </w:rPr>
        <w:t>Pojištění, zajištění a penzijní financování, kromě povinného sociálního zabezpečení) a za 66</w:t>
      </w:r>
      <w:r w:rsidR="00A0255A">
        <w:rPr>
          <w:rFonts w:ascii="Arial" w:hAnsi="Arial" w:cs="Arial"/>
        </w:rPr>
        <w:t xml:space="preserve"> (</w:t>
      </w:r>
      <w:r w:rsidR="008D6817">
        <w:rPr>
          <w:rFonts w:ascii="Arial" w:hAnsi="Arial" w:cs="Arial"/>
        </w:rPr>
        <w:t>Ostatní finanční činnosti</w:t>
      </w:r>
      <w:r w:rsidR="00A0255A">
        <w:rPr>
          <w:rFonts w:ascii="Arial" w:hAnsi="Arial" w:cs="Arial"/>
        </w:rPr>
        <w:t xml:space="preserve">). </w:t>
      </w:r>
      <w:r w:rsidR="00A0255A">
        <w:rPr>
          <w:rFonts w:ascii="Arial" w:hAnsi="Arial" w:cs="Arial"/>
          <w:szCs w:val="24"/>
        </w:rPr>
        <w:t xml:space="preserve"> </w:t>
      </w:r>
    </w:p>
    <w:p w:rsidR="00A0255A" w:rsidRDefault="00A0255A">
      <w:pPr>
        <w:pStyle w:val="Zkladntextodsazen"/>
        <w:spacing w:before="60"/>
        <w:jc w:val="both"/>
        <w:rPr>
          <w:rFonts w:ascii="Arial" w:hAnsi="Arial" w:cs="Arial"/>
          <w:sz w:val="20"/>
          <w:szCs w:val="20"/>
        </w:rPr>
      </w:pPr>
      <w:r>
        <w:rPr>
          <w:rFonts w:ascii="Arial" w:hAnsi="Arial" w:cs="Arial"/>
          <w:sz w:val="20"/>
          <w:szCs w:val="20"/>
        </w:rPr>
        <w:t xml:space="preserve">Údaje vycházejí ze zpracování </w:t>
      </w:r>
      <w:r w:rsidR="007D09F8">
        <w:rPr>
          <w:rFonts w:ascii="Arial" w:hAnsi="Arial" w:cs="Arial"/>
          <w:sz w:val="20"/>
          <w:szCs w:val="20"/>
        </w:rPr>
        <w:t>dvou</w:t>
      </w:r>
      <w:r>
        <w:rPr>
          <w:rFonts w:ascii="Arial" w:hAnsi="Arial" w:cs="Arial"/>
          <w:sz w:val="20"/>
          <w:szCs w:val="20"/>
        </w:rPr>
        <w:t xml:space="preserve"> statistických výkazů a vybraných </w:t>
      </w:r>
      <w:r w:rsidR="00FC2529">
        <w:rPr>
          <w:rFonts w:ascii="Arial" w:hAnsi="Arial" w:cs="Arial"/>
          <w:sz w:val="20"/>
          <w:szCs w:val="20"/>
        </w:rPr>
        <w:t>údajů</w:t>
      </w:r>
      <w:r>
        <w:rPr>
          <w:rFonts w:ascii="Arial" w:hAnsi="Arial" w:cs="Arial"/>
          <w:sz w:val="20"/>
          <w:szCs w:val="20"/>
        </w:rPr>
        <w:t xml:space="preserve"> ČNB:</w:t>
      </w:r>
    </w:p>
    <w:p w:rsidR="00A0255A" w:rsidRDefault="00A0255A" w:rsidP="007D09F8">
      <w:pPr>
        <w:pStyle w:val="Zkladntextodsazen"/>
        <w:numPr>
          <w:ilvl w:val="0"/>
          <w:numId w:val="18"/>
        </w:numPr>
        <w:spacing w:before="120"/>
        <w:ind w:left="357" w:hanging="357"/>
        <w:jc w:val="both"/>
        <w:rPr>
          <w:rFonts w:ascii="Arial" w:hAnsi="Arial" w:cs="Arial"/>
          <w:sz w:val="20"/>
          <w:szCs w:val="20"/>
        </w:rPr>
      </w:pPr>
      <w:proofErr w:type="spellStart"/>
      <w:r>
        <w:rPr>
          <w:rFonts w:ascii="Arial" w:hAnsi="Arial" w:cs="Arial"/>
          <w:b/>
          <w:bCs/>
          <w:sz w:val="20"/>
          <w:szCs w:val="20"/>
        </w:rPr>
        <w:t>Pen</w:t>
      </w:r>
      <w:proofErr w:type="spellEnd"/>
      <w:r>
        <w:rPr>
          <w:rFonts w:ascii="Arial" w:hAnsi="Arial" w:cs="Arial"/>
          <w:b/>
          <w:bCs/>
          <w:sz w:val="20"/>
          <w:szCs w:val="20"/>
        </w:rPr>
        <w:t xml:space="preserve"> </w:t>
      </w:r>
      <w:r w:rsidR="007D09F8">
        <w:rPr>
          <w:rFonts w:ascii="Arial" w:hAnsi="Arial" w:cs="Arial"/>
          <w:b/>
          <w:bCs/>
          <w:sz w:val="20"/>
          <w:szCs w:val="20"/>
        </w:rPr>
        <w:t>Poj 3</w:t>
      </w:r>
      <w:r>
        <w:rPr>
          <w:rFonts w:ascii="Arial" w:hAnsi="Arial" w:cs="Arial"/>
          <w:b/>
          <w:bCs/>
          <w:sz w:val="20"/>
          <w:szCs w:val="20"/>
        </w:rPr>
        <w:t>-04</w:t>
      </w:r>
      <w:r>
        <w:rPr>
          <w:rFonts w:ascii="Arial" w:hAnsi="Arial" w:cs="Arial"/>
          <w:sz w:val="20"/>
          <w:szCs w:val="20"/>
        </w:rPr>
        <w:t xml:space="preserve"> vyplňují bankovní peněžní instituce,</w:t>
      </w:r>
      <w:r w:rsidR="00595710">
        <w:rPr>
          <w:rFonts w:ascii="Arial" w:hAnsi="Arial" w:cs="Arial"/>
          <w:sz w:val="20"/>
          <w:szCs w:val="20"/>
        </w:rPr>
        <w:t xml:space="preserve"> </w:t>
      </w:r>
      <w:r w:rsidR="00823041">
        <w:rPr>
          <w:rFonts w:ascii="Arial" w:hAnsi="Arial" w:cs="Arial"/>
          <w:sz w:val="20"/>
          <w:szCs w:val="20"/>
        </w:rPr>
        <w:t>spořitelní a úvěrní družstva</w:t>
      </w:r>
      <w:r w:rsidR="00595710">
        <w:rPr>
          <w:rFonts w:ascii="Arial" w:hAnsi="Arial" w:cs="Arial"/>
          <w:sz w:val="20"/>
          <w:szCs w:val="20"/>
        </w:rPr>
        <w:t xml:space="preserve"> (CZ-NACE 64.1)</w:t>
      </w:r>
      <w:r w:rsidR="00823041">
        <w:rPr>
          <w:rFonts w:ascii="Arial" w:hAnsi="Arial" w:cs="Arial"/>
          <w:sz w:val="20"/>
          <w:szCs w:val="20"/>
        </w:rPr>
        <w:t>,</w:t>
      </w:r>
      <w:r>
        <w:rPr>
          <w:rFonts w:ascii="Arial" w:hAnsi="Arial" w:cs="Arial"/>
          <w:sz w:val="20"/>
          <w:szCs w:val="20"/>
        </w:rPr>
        <w:t xml:space="preserve"> ekonomické subjekty zapsané do obchodního rejstříku a spadající podle převažující činnosti do skupiny </w:t>
      </w:r>
      <w:r w:rsidR="00C81B4B">
        <w:rPr>
          <w:rFonts w:ascii="Arial" w:hAnsi="Arial" w:cs="Arial"/>
          <w:sz w:val="20"/>
          <w:szCs w:val="20"/>
        </w:rPr>
        <w:t xml:space="preserve">CZ-NACE 64.2, 64.3, 64.9, </w:t>
      </w:r>
      <w:proofErr w:type="gramStart"/>
      <w:r w:rsidR="00C81B4B">
        <w:rPr>
          <w:rFonts w:ascii="Arial" w:hAnsi="Arial" w:cs="Arial"/>
          <w:sz w:val="20"/>
          <w:szCs w:val="20"/>
        </w:rPr>
        <w:t>66</w:t>
      </w:r>
      <w:r w:rsidR="00C81B4B" w:rsidRPr="00C81B4B">
        <w:rPr>
          <w:rFonts w:ascii="Arial" w:hAnsi="Arial" w:cs="Arial"/>
          <w:sz w:val="20"/>
          <w:szCs w:val="20"/>
        </w:rPr>
        <w:t xml:space="preserve"> </w:t>
      </w:r>
      <w:r>
        <w:rPr>
          <w:rFonts w:ascii="Arial" w:hAnsi="Arial" w:cs="Arial"/>
          <w:sz w:val="20"/>
          <w:szCs w:val="20"/>
        </w:rPr>
        <w:t xml:space="preserve"> a zároveň</w:t>
      </w:r>
      <w:proofErr w:type="gramEnd"/>
      <w:r>
        <w:rPr>
          <w:rFonts w:ascii="Arial" w:hAnsi="Arial" w:cs="Arial"/>
          <w:sz w:val="20"/>
          <w:szCs w:val="20"/>
        </w:rPr>
        <w:t xml:space="preserve"> účtující jako banky tedy investiční společnosti a jimi spravované fondy, a licencov</w:t>
      </w:r>
      <w:r w:rsidR="006A2B97">
        <w:rPr>
          <w:rFonts w:ascii="Arial" w:hAnsi="Arial" w:cs="Arial"/>
          <w:sz w:val="20"/>
          <w:szCs w:val="20"/>
        </w:rPr>
        <w:t>aní obchodní</w:t>
      </w:r>
      <w:r w:rsidR="007D09F8">
        <w:rPr>
          <w:rFonts w:ascii="Arial" w:hAnsi="Arial" w:cs="Arial"/>
          <w:sz w:val="20"/>
          <w:szCs w:val="20"/>
        </w:rPr>
        <w:t xml:space="preserve">ci s cennými papíry, pojišťovny (CZ-NACE </w:t>
      </w:r>
      <w:smartTag w:uri="urn:schemas-microsoft-com:office:smarttags" w:element="metricconverter">
        <w:smartTagPr>
          <w:attr w:name="ProductID" w:val="65.11 a"/>
        </w:smartTagPr>
        <w:r w:rsidR="007D09F8">
          <w:rPr>
            <w:rFonts w:ascii="Arial" w:hAnsi="Arial" w:cs="Arial"/>
            <w:sz w:val="20"/>
            <w:szCs w:val="20"/>
          </w:rPr>
          <w:t>65.11 a</w:t>
        </w:r>
      </w:smartTag>
      <w:r w:rsidR="007D09F8">
        <w:rPr>
          <w:rFonts w:ascii="Arial" w:hAnsi="Arial" w:cs="Arial"/>
          <w:sz w:val="20"/>
          <w:szCs w:val="20"/>
        </w:rPr>
        <w:t xml:space="preserve"> 65.12), zajišťovny (CZ-NACE 65.20) a penzijní </w:t>
      </w:r>
      <w:r w:rsidR="00320523">
        <w:rPr>
          <w:rFonts w:ascii="Arial" w:hAnsi="Arial" w:cs="Arial"/>
          <w:sz w:val="20"/>
          <w:szCs w:val="20"/>
        </w:rPr>
        <w:t>společnosti</w:t>
      </w:r>
      <w:r w:rsidR="006735A6">
        <w:rPr>
          <w:rFonts w:ascii="Arial" w:hAnsi="Arial" w:cs="Arial"/>
          <w:sz w:val="20"/>
          <w:szCs w:val="20"/>
        </w:rPr>
        <w:t xml:space="preserve"> (CZ-NACE 66</w:t>
      </w:r>
      <w:r w:rsidR="007D09F8">
        <w:rPr>
          <w:rFonts w:ascii="Arial" w:hAnsi="Arial" w:cs="Arial"/>
          <w:sz w:val="20"/>
          <w:szCs w:val="20"/>
        </w:rPr>
        <w:t>.30).</w:t>
      </w:r>
      <w:r>
        <w:rPr>
          <w:rFonts w:ascii="Arial" w:hAnsi="Arial" w:cs="Arial"/>
          <w:sz w:val="20"/>
          <w:szCs w:val="20"/>
        </w:rPr>
        <w:t xml:space="preserve"> </w:t>
      </w:r>
    </w:p>
    <w:p w:rsidR="00A0255A" w:rsidRDefault="00A0255A">
      <w:pPr>
        <w:numPr>
          <w:ilvl w:val="0"/>
          <w:numId w:val="19"/>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hanging="357"/>
        <w:jc w:val="both"/>
        <w:rPr>
          <w:rFonts w:ascii="Arial" w:hAnsi="Arial" w:cs="Arial"/>
          <w:b/>
          <w:bCs/>
          <w:szCs w:val="24"/>
        </w:rPr>
      </w:pPr>
      <w:r>
        <w:rPr>
          <w:rFonts w:ascii="Arial" w:hAnsi="Arial" w:cs="Arial"/>
          <w:b/>
          <w:bCs/>
        </w:rPr>
        <w:t xml:space="preserve">    </w:t>
      </w:r>
      <w:proofErr w:type="spellStart"/>
      <w:r>
        <w:rPr>
          <w:rFonts w:ascii="Arial" w:hAnsi="Arial" w:cs="Arial"/>
          <w:b/>
          <w:bCs/>
        </w:rPr>
        <w:t>Pen</w:t>
      </w:r>
      <w:proofErr w:type="spellEnd"/>
      <w:r>
        <w:rPr>
          <w:rFonts w:ascii="Arial" w:hAnsi="Arial" w:cs="Arial"/>
          <w:b/>
          <w:bCs/>
        </w:rPr>
        <w:t xml:space="preserve"> 3c-04</w:t>
      </w:r>
      <w:r>
        <w:rPr>
          <w:rFonts w:ascii="Arial" w:hAnsi="Arial" w:cs="Arial"/>
        </w:rPr>
        <w:t xml:space="preserve"> – </w:t>
      </w:r>
      <w:proofErr w:type="spellStart"/>
      <w:r>
        <w:rPr>
          <w:rFonts w:ascii="Arial" w:hAnsi="Arial" w:cs="Arial"/>
        </w:rPr>
        <w:t>výkaznickou</w:t>
      </w:r>
      <w:proofErr w:type="spellEnd"/>
      <w:r>
        <w:rPr>
          <w:rFonts w:ascii="Arial" w:hAnsi="Arial" w:cs="Arial"/>
        </w:rPr>
        <w:t xml:space="preserve"> povinnost k tomuto výkazu mají ekonomické subjekty zapsané do obchodního rejstříku a spadající podle převažující činnosti do skupiny </w:t>
      </w:r>
      <w:r w:rsidR="00F8770A">
        <w:rPr>
          <w:rFonts w:ascii="Arial" w:hAnsi="Arial" w:cs="Arial"/>
        </w:rPr>
        <w:t xml:space="preserve">CZ-NACE 64.2, 64.3, 64.9, </w:t>
      </w:r>
      <w:proofErr w:type="gramStart"/>
      <w:r w:rsidR="00F8770A">
        <w:rPr>
          <w:rFonts w:ascii="Arial" w:hAnsi="Arial" w:cs="Arial"/>
        </w:rPr>
        <w:t>66</w:t>
      </w:r>
      <w:r w:rsidR="00F8770A" w:rsidRPr="00C81B4B">
        <w:rPr>
          <w:rFonts w:ascii="Arial" w:hAnsi="Arial" w:cs="Arial"/>
        </w:rPr>
        <w:t xml:space="preserve"> </w:t>
      </w:r>
      <w:r>
        <w:rPr>
          <w:rFonts w:ascii="Arial" w:hAnsi="Arial" w:cs="Arial"/>
        </w:rPr>
        <w:t xml:space="preserve"> a zároveň</w:t>
      </w:r>
      <w:proofErr w:type="gramEnd"/>
      <w:r>
        <w:rPr>
          <w:rFonts w:ascii="Arial" w:hAnsi="Arial" w:cs="Arial"/>
        </w:rPr>
        <w:t xml:space="preserve"> účtující jako podnikatelé, tj. finanční leasingové společnosti, zastavárny, faktoringové společnosti, burzy, směnárny a pojišťovací zprostředkovatelé</w:t>
      </w:r>
      <w:r w:rsidR="00782C99">
        <w:rPr>
          <w:rFonts w:ascii="Arial" w:hAnsi="Arial" w:cs="Arial"/>
        </w:rPr>
        <w:t>.</w:t>
      </w:r>
    </w:p>
    <w:p w:rsidR="007D09F8" w:rsidRDefault="007D09F8" w:rsidP="007D09F8">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jc w:val="both"/>
        <w:rPr>
          <w:rFonts w:ascii="Arial" w:hAnsi="Arial" w:cs="Arial"/>
          <w:szCs w:val="24"/>
        </w:rPr>
      </w:pPr>
    </w:p>
    <w:p w:rsidR="00A0255A" w:rsidRPr="00276A51" w:rsidRDefault="00A0255A" w:rsidP="00276A51">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V případech, kdy z jakýchkoli důvodů, přes opakované urgence, jednotka v řádném termínu nepředloží výkaz, jsou data za tuto jednotku dopočítána aplikací matematicko-statistických metod, s využitím dříve poskytnutých údajů či informací z jiných administrativních zdrojů (např. o počtu zaměstnanců). Pokud jednotka není schopna uvést přesnou hodnotu ukazatele, dle metodických vysvětlivek k výkazu se připouští použití kvalifikovaných odhadů.</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 xml:space="preserve">Při zpracování běžného čtvrtletí se současně provádějí zpětné opravy dat za předchozí období z důvodu dodatečného pořízení výkazů došlých po termínu předložení či oprav vykázaných údajů vykazujícími jednotkami, proto se údaje za předchozí období mohou lišit od dříve </w:t>
      </w:r>
      <w:r w:rsidR="00A83F9E">
        <w:rPr>
          <w:rFonts w:ascii="Arial" w:hAnsi="Arial" w:cs="Arial"/>
          <w:szCs w:val="24"/>
        </w:rPr>
        <w:t>zveřejněných</w:t>
      </w:r>
      <w:r>
        <w:rPr>
          <w:rFonts w:ascii="Arial" w:hAnsi="Arial" w:cs="Arial"/>
          <w:szCs w:val="24"/>
        </w:rPr>
        <w:t xml:space="preserve"> údajů. </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610AEC"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r>
        <w:rPr>
          <w:rFonts w:ascii="Arial" w:hAnsi="Arial" w:cs="Arial"/>
          <w:szCs w:val="24"/>
        </w:rPr>
        <w:t xml:space="preserve"> </w:t>
      </w:r>
      <w:r>
        <w:rPr>
          <w:rFonts w:ascii="Arial" w:hAnsi="Arial" w:cs="Arial"/>
          <w:b/>
          <w:bCs/>
          <w:i/>
          <w:iCs/>
          <w:sz w:val="28"/>
        </w:rPr>
        <w:t>Poznámky k</w:t>
      </w:r>
      <w:r w:rsidR="00610AEC">
        <w:rPr>
          <w:rFonts w:ascii="Arial" w:hAnsi="Arial" w:cs="Arial"/>
          <w:b/>
          <w:bCs/>
          <w:i/>
          <w:iCs/>
          <w:sz w:val="28"/>
        </w:rPr>
        <w:t> </w:t>
      </w:r>
      <w:r>
        <w:rPr>
          <w:rFonts w:ascii="Arial" w:hAnsi="Arial" w:cs="Arial"/>
          <w:b/>
          <w:bCs/>
          <w:i/>
          <w:iCs/>
          <w:sz w:val="28"/>
        </w:rPr>
        <w:t>tabulkám</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p>
    <w:p w:rsidR="00A0255A" w:rsidRDefault="00A0255A">
      <w:pPr>
        <w:pStyle w:val="Zkladntext2"/>
        <w:ind w:firstLine="567"/>
        <w:rPr>
          <w:b/>
          <w:bCs/>
          <w:i/>
          <w:iCs/>
          <w:sz w:val="28"/>
        </w:rPr>
      </w:pPr>
      <w:r>
        <w:t>Souhrnná tabulka za odvětví finančního zprostředkování má pořadové číslo 1. Ukazatele bank jsou zařazeny v tabulkách 2 až 4, ukazatele nebankovních peněžních institucí v tabulkách 5 až 7, ukazatele investičních</w:t>
      </w:r>
      <w:r w:rsidR="003D2801">
        <w:t xml:space="preserve"> společností a fondů v tabulce</w:t>
      </w:r>
      <w:r>
        <w:t xml:space="preserve"> 8, ukazatele finančních leasingových společností v tabulkách </w:t>
      </w:r>
      <w:r w:rsidR="003D2801">
        <w:t>9 až 11</w:t>
      </w:r>
      <w:r>
        <w:t>, ukazatele p</w:t>
      </w:r>
      <w:r w:rsidR="003D2801">
        <w:t>ojišťoven v tabulkách 12 až 16</w:t>
      </w:r>
      <w:r w:rsidR="00EC64B1">
        <w:t xml:space="preserve"> a </w:t>
      </w:r>
      <w:r>
        <w:t xml:space="preserve">ukazatele penzijních </w:t>
      </w:r>
      <w:r w:rsidR="003C08A3">
        <w:t>společno</w:t>
      </w:r>
      <w:r w:rsidR="003C08A3">
        <w:t>s</w:t>
      </w:r>
      <w:r w:rsidR="003C08A3">
        <w:t>tí/</w:t>
      </w:r>
      <w:r>
        <w:t>fondů jsou v tabul</w:t>
      </w:r>
      <w:r w:rsidR="003D2801">
        <w:t>kách 17 až 20</w:t>
      </w:r>
      <w:r>
        <w:t>.</w:t>
      </w:r>
    </w:p>
    <w:p w:rsidR="00A0255A" w:rsidRDefault="00A0255A">
      <w:pPr>
        <w:pStyle w:val="Zkladntextodsazen"/>
        <w:numPr>
          <w:ilvl w:val="0"/>
          <w:numId w:val="16"/>
        </w:numPr>
        <w:spacing w:before="120"/>
        <w:ind w:left="357" w:hanging="357"/>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pokud nebyl zjištěn žádný údaj</w:t>
      </w:r>
    </w:p>
    <w:p w:rsidR="00A0255A" w:rsidRDefault="00A0255A">
      <w:pPr>
        <w:pStyle w:val="Zkladntextodsazen"/>
        <w:numPr>
          <w:ilvl w:val="0"/>
          <w:numId w:val="16"/>
        </w:numPr>
        <w:jc w:val="both"/>
        <w:rPr>
          <w:rFonts w:ascii="Arial" w:hAnsi="Arial" w:cs="Arial"/>
          <w:sz w:val="20"/>
          <w:szCs w:val="20"/>
        </w:rPr>
      </w:pPr>
      <w:proofErr w:type="gramStart"/>
      <w:r>
        <w:rPr>
          <w:rFonts w:ascii="Arial" w:hAnsi="Arial" w:cs="Arial"/>
          <w:i/>
          <w:iCs/>
          <w:sz w:val="20"/>
          <w:szCs w:val="20"/>
        </w:rPr>
        <w:t>znak ( 0 )</w:t>
      </w:r>
      <w:r>
        <w:rPr>
          <w:rFonts w:ascii="Arial" w:hAnsi="Arial" w:cs="Arial"/>
          <w:sz w:val="20"/>
          <w:szCs w:val="20"/>
        </w:rPr>
        <w:t xml:space="preserve"> – pokud</w:t>
      </w:r>
      <w:proofErr w:type="gramEnd"/>
      <w:r>
        <w:rPr>
          <w:rFonts w:ascii="Arial" w:hAnsi="Arial" w:cs="Arial"/>
          <w:sz w:val="20"/>
          <w:szCs w:val="20"/>
        </w:rPr>
        <w:t xml:space="preserve"> byla hodnota zjištěna, ale nedosahuje ani takové velikosti, aby mohla být vykázána podle pravidel o zaokrouhlování jako nenulové číslo</w:t>
      </w:r>
    </w:p>
    <w:p w:rsidR="00A0255A" w:rsidRDefault="00A0255A">
      <w:pPr>
        <w:pStyle w:val="Zkladntextodsazen"/>
        <w:numPr>
          <w:ilvl w:val="0"/>
          <w:numId w:val="16"/>
        </w:numPr>
        <w:jc w:val="both"/>
        <w:rPr>
          <w:rFonts w:ascii="Arial" w:hAnsi="Arial" w:cs="Arial"/>
          <w:sz w:val="20"/>
          <w:szCs w:val="20"/>
        </w:rPr>
      </w:pPr>
      <w:proofErr w:type="gramStart"/>
      <w:r>
        <w:rPr>
          <w:rFonts w:ascii="Arial" w:hAnsi="Arial" w:cs="Arial"/>
          <w:i/>
          <w:iCs/>
          <w:sz w:val="20"/>
          <w:szCs w:val="20"/>
        </w:rPr>
        <w:t>znak ( . )</w:t>
      </w:r>
      <w:r>
        <w:rPr>
          <w:rFonts w:ascii="Arial" w:hAnsi="Arial" w:cs="Arial"/>
          <w:sz w:val="20"/>
          <w:szCs w:val="20"/>
        </w:rPr>
        <w:t xml:space="preserve"> – jestliže</w:t>
      </w:r>
      <w:proofErr w:type="gramEnd"/>
      <w:r>
        <w:rPr>
          <w:rFonts w:ascii="Arial" w:hAnsi="Arial" w:cs="Arial"/>
          <w:sz w:val="20"/>
          <w:szCs w:val="20"/>
        </w:rPr>
        <w:t xml:space="preserve"> příslušný údaj není k dispozici resp. se v příslušné kategorii nebo subkategorii vyskytuje nižší počet jednotek, než odpovídá podmínkám pro poskytování statistických informací</w:t>
      </w:r>
    </w:p>
    <w:p w:rsidR="00A0255A" w:rsidRDefault="00A0255A">
      <w:pPr>
        <w:pStyle w:val="Zkladntextodsazen"/>
        <w:jc w:val="both"/>
        <w:rPr>
          <w:rFonts w:ascii="Arial" w:hAnsi="Arial" w:cs="Arial"/>
          <w:sz w:val="20"/>
          <w:szCs w:val="20"/>
        </w:rPr>
      </w:pPr>
    </w:p>
    <w:p w:rsidR="00A0255A" w:rsidRDefault="00A0255A">
      <w:pPr>
        <w:numPr>
          <w:ilvl w:val="0"/>
          <w:numId w:val="16"/>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ind w:left="357" w:hanging="357"/>
        <w:jc w:val="both"/>
        <w:rPr>
          <w:rFonts w:ascii="Arial" w:hAnsi="Arial" w:cs="Arial"/>
          <w:szCs w:val="24"/>
        </w:rPr>
      </w:pPr>
      <w:proofErr w:type="gramStart"/>
      <w:r>
        <w:rPr>
          <w:rFonts w:ascii="Arial" w:hAnsi="Arial" w:cs="Arial"/>
          <w:i/>
          <w:iCs/>
        </w:rPr>
        <w:t>znak ( x )</w:t>
      </w:r>
      <w:r>
        <w:rPr>
          <w:rFonts w:ascii="Arial" w:hAnsi="Arial" w:cs="Arial"/>
        </w:rPr>
        <w:t xml:space="preserve"> – údaj</w:t>
      </w:r>
      <w:proofErr w:type="gramEnd"/>
      <w:r>
        <w:rPr>
          <w:rFonts w:ascii="Arial" w:hAnsi="Arial" w:cs="Arial"/>
        </w:rPr>
        <w:t xml:space="preserve"> se nemůže vyskytnout z logických důvodů (např. v indexu, pro který v základním období hodnota dosahovala „0“ nebo se vyskytl údaj se záporným znaménkem, případně index byl vyšší než 999,9)</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Index</w:t>
      </w:r>
      <w:r>
        <w:rPr>
          <w:rFonts w:ascii="Arial" w:hAnsi="Arial" w:cs="Arial"/>
          <w:szCs w:val="24"/>
        </w:rPr>
        <w:t xml:space="preserve"> - vyjadřuje vývoj v porovnání se stejným obdobím předchozího roku (v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szCs w:val="24"/>
        </w:rPr>
        <w:t xml:space="preserve">Pojem </w:t>
      </w:r>
      <w:r>
        <w:rPr>
          <w:rFonts w:ascii="Arial" w:hAnsi="Arial" w:cs="Arial"/>
          <w:b/>
          <w:bCs/>
          <w:szCs w:val="24"/>
        </w:rPr>
        <w:t>fyzické osoby</w:t>
      </w:r>
      <w:r>
        <w:rPr>
          <w:rFonts w:ascii="Arial" w:hAnsi="Arial" w:cs="Arial"/>
          <w:szCs w:val="24"/>
        </w:rPr>
        <w:t xml:space="preserve"> zahrnuje jednotlivce (občany) a osoby samostatně výdělečně činné (podnikatelé, živnostníci, svobodná povolání), nezapsané v obchodním rejstříku.</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88572E" w:rsidRDefault="0088572E">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bookmarkStart w:id="0" w:name="_GoBack"/>
      <w:bookmarkEnd w:id="0"/>
      <w:r>
        <w:rPr>
          <w:rFonts w:ascii="Arial" w:hAnsi="Arial" w:cs="Arial"/>
          <w:b/>
          <w:bCs/>
          <w:sz w:val="22"/>
          <w:szCs w:val="24"/>
        </w:rPr>
        <w:t xml:space="preserve">Finanční zprostředkování celkem </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pPr>
        <w:pStyle w:val="Nadpis7"/>
        <w:rPr>
          <w:b w:val="0"/>
          <w:bCs w:val="0"/>
        </w:rPr>
      </w:pPr>
      <w:r>
        <w:t xml:space="preserve">Vybrané ukazatele hospodaření v peněžnictví a pojišťovnictví </w:t>
      </w:r>
      <w:r>
        <w:rPr>
          <w:b w:val="0"/>
          <w:bCs w:val="0"/>
        </w:rPr>
        <w:t>jsou soubornou tabulkou odvětví finančního zprostředkování. Každý ukazatel je součtem údajů za bankovní peněžní instituce, nebankovní peněžní instituce</w:t>
      </w:r>
      <w:r w:rsidR="00A30D47">
        <w:rPr>
          <w:b w:val="0"/>
          <w:bCs w:val="0"/>
        </w:rPr>
        <w:t xml:space="preserve"> (bez Investičních fondů)</w:t>
      </w:r>
      <w:r>
        <w:rPr>
          <w:b w:val="0"/>
          <w:bCs w:val="0"/>
        </w:rPr>
        <w:t>, pojišťovny</w:t>
      </w:r>
      <w:r w:rsidR="00963A0F">
        <w:rPr>
          <w:b w:val="0"/>
          <w:bCs w:val="0"/>
        </w:rPr>
        <w:t xml:space="preserve"> (zajišťovny)</w:t>
      </w:r>
      <w:r w:rsidR="007152B4">
        <w:rPr>
          <w:b w:val="0"/>
          <w:bCs w:val="0"/>
        </w:rPr>
        <w:t xml:space="preserve"> a </w:t>
      </w:r>
      <w:r>
        <w:rPr>
          <w:b w:val="0"/>
          <w:bCs w:val="0"/>
        </w:rPr>
        <w:t xml:space="preserve">penzijní </w:t>
      </w:r>
      <w:r w:rsidR="007152B4">
        <w:rPr>
          <w:b w:val="0"/>
          <w:bCs w:val="0"/>
        </w:rPr>
        <w:t>společnosti/</w:t>
      </w:r>
      <w:r w:rsidR="0006253D">
        <w:rPr>
          <w:b w:val="0"/>
          <w:bCs w:val="0"/>
        </w:rPr>
        <w:t xml:space="preserve"> </w:t>
      </w:r>
      <w:r>
        <w:rPr>
          <w:b w:val="0"/>
          <w:bCs w:val="0"/>
        </w:rPr>
        <w:t xml:space="preserve">fondy. </w:t>
      </w:r>
    </w:p>
    <w:p w:rsidR="00903CD0" w:rsidRPr="00903CD0" w:rsidRDefault="00903CD0" w:rsidP="00903CD0"/>
    <w:p w:rsidR="00A0255A" w:rsidRDefault="00A0255A">
      <w:pPr>
        <w:pStyle w:val="Nadpis6"/>
      </w:pPr>
      <w:r>
        <w:t>Zaměstnanci, mzdy</w:t>
      </w:r>
    </w:p>
    <w:p w:rsidR="00610AEC" w:rsidRPr="00610AEC" w:rsidRDefault="00610AEC"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Průměrný evidenční počet zaměstnanců</w:t>
      </w:r>
      <w:r>
        <w:rPr>
          <w:rFonts w:ascii="Arial" w:hAnsi="Arial" w:cs="Arial"/>
          <w:szCs w:val="24"/>
        </w:rPr>
        <w:t xml:space="preserve"> - všichni stálí i dočasní zaměstnanci (bez ohledu na jejich státní příslušnost), kteří jsou v pracovním poměru k zaměstnavateli (u družstevních podniků osoby i v členském poměru, kde však součástí členství je i pracovní vztah) a za svou práci dostávají od zaměstnavatele mzdu. Avšak nezáleží na tom, zda jsou skutečně přítomni v práci či nikoliv (např. pro nemoc, dovolenou na zotavenou, vojenské cvičení apod.).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i/>
          <w:iCs/>
          <w:szCs w:val="24"/>
          <w:u w:val="single"/>
        </w:rPr>
        <w:t>Nezahrnují se</w:t>
      </w:r>
      <w:r>
        <w:rPr>
          <w:rFonts w:ascii="Arial" w:hAnsi="Arial" w:cs="Arial"/>
          <w:szCs w:val="24"/>
        </w:rPr>
        <w:t xml:space="preserve"> sem však např. ženy na mateřské dovolené, osoby na rodičovské dovolené (vykonávají-li ale současně práci v pracovním poměru, zahrnují se do evidenčního počtu zaměstnanců toho zaměstnavatele, pro kterého práci vykonávají), učni a studenti na provozní praxi, osoby pracující podle dohod o práci či pracovní činnosti apod.</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Průměrný evidenční počet zaměstnanců ve fyzických osobách se vypočítává jako aritmetický průměr průměrného počtu zaměstnanců za jednotlivé měsíce. Přepočet na plně zaměstnané se provede u zaměstnanců s kratší pracovní dobou vykonávající práci jen příležitostně na výzvu a dle potřeb zaměstnavatele nebo vykonávající vedlejší činnost v souběžném pracovním poměru.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Mzdy (bez OON)</w:t>
      </w:r>
      <w:r>
        <w:rPr>
          <w:rFonts w:ascii="Arial" w:hAnsi="Arial" w:cs="Arial"/>
          <w:szCs w:val="24"/>
        </w:rPr>
        <w:t xml:space="preserve"> - jsou to peněžitá plnění nebo plnění peněžité hodnoty (naturální mzdy) poskytovaná zaměstnavatelem zaměstnancům za práci Patří sem tarifní mzdy a platy, osobní ohodnocení, příplatky a doplatky ke mzdě nebo platu a jiná obdobná plnění, prémie a odměny, náhrady mezd a platů, odměny za pracovní pohotovost, ve formě naturální mzdy se do mezd zahrnuje též příslušný podíl pořizovací ceny motorového vozidla poskytnutého zaměstnavatelem zaměstnanci k používání pro služební i soukromé účely. Do mezd se zahrnují také plnění mající </w:t>
      </w:r>
      <w:proofErr w:type="gramStart"/>
      <w:r>
        <w:rPr>
          <w:rFonts w:ascii="Arial" w:hAnsi="Arial" w:cs="Arial"/>
          <w:szCs w:val="24"/>
        </w:rPr>
        <w:t>charakter  mezd</w:t>
      </w:r>
      <w:proofErr w:type="gramEnd"/>
      <w:r>
        <w:rPr>
          <w:rFonts w:ascii="Arial" w:hAnsi="Arial" w:cs="Arial"/>
          <w:szCs w:val="24"/>
        </w:rPr>
        <w:t xml:space="preserve"> (odměn za práci), u nichž zaměstnavatel rozhodl, že budou hrazeny z použitelného zisku, fondu odměn nebo jiného fondu vytvořeného z použitelného zisku. Ostatní osobní náklady (OON) se do mezd nezahrnují. Mzdy se uvádějí v hrubých částkách ve sledovaném období zúčtované k výplatě.</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Ostatní osobní náklady </w:t>
      </w:r>
      <w:r>
        <w:rPr>
          <w:rFonts w:ascii="Arial" w:hAnsi="Arial" w:cs="Arial"/>
          <w:szCs w:val="24"/>
        </w:rPr>
        <w:t xml:space="preserve">- jde o odměny za </w:t>
      </w:r>
      <w:proofErr w:type="gramStart"/>
      <w:r>
        <w:rPr>
          <w:rFonts w:ascii="Arial" w:hAnsi="Arial" w:cs="Arial"/>
          <w:szCs w:val="24"/>
        </w:rPr>
        <w:t>práce  poskytované</w:t>
      </w:r>
      <w:proofErr w:type="gramEnd"/>
      <w:r>
        <w:rPr>
          <w:rFonts w:ascii="Arial" w:hAnsi="Arial" w:cs="Arial"/>
          <w:szCs w:val="24"/>
        </w:rPr>
        <w:t xml:space="preserve"> na základě jiného vztahu než pracovního, služebního a členského poměru k zaměstnavateli. Nejčastěji to jsou odměny za práce podle dohod o pracích konaných mimo pracovní poměr, odměny podle předpisů o autorském právu, odstupné, odměny členům orgánů společnosti a družstva (s výjimkou tantiém hrazených ze zisku), odměny učňům aj.</w:t>
      </w: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t>Aktiva a pasiva</w:t>
      </w:r>
    </w:p>
    <w:p w:rsidR="00610AEC" w:rsidRPr="00610AEC" w:rsidRDefault="00610AEC" w:rsidP="00610AEC"/>
    <w:p w:rsidR="00A0255A" w:rsidRDefault="00374E26">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Aktiva a pasiva pojišťoven a </w:t>
      </w:r>
      <w:r w:rsidR="00A0255A">
        <w:rPr>
          <w:rFonts w:ascii="Arial" w:hAnsi="Arial" w:cs="Arial"/>
          <w:b/>
          <w:bCs/>
          <w:szCs w:val="24"/>
        </w:rPr>
        <w:t>penzijních</w:t>
      </w:r>
      <w:r w:rsidR="0076494D">
        <w:rPr>
          <w:rFonts w:ascii="Arial" w:hAnsi="Arial" w:cs="Arial"/>
          <w:b/>
          <w:bCs/>
          <w:szCs w:val="24"/>
        </w:rPr>
        <w:t xml:space="preserve"> společn</w:t>
      </w:r>
      <w:r w:rsidR="00243BA3">
        <w:rPr>
          <w:rFonts w:ascii="Arial" w:hAnsi="Arial" w:cs="Arial"/>
          <w:b/>
          <w:bCs/>
          <w:szCs w:val="24"/>
        </w:rPr>
        <w:t>ostí</w:t>
      </w:r>
      <w:r>
        <w:rPr>
          <w:rFonts w:ascii="Arial" w:hAnsi="Arial" w:cs="Arial"/>
          <w:b/>
          <w:bCs/>
          <w:szCs w:val="24"/>
        </w:rPr>
        <w:t>/</w:t>
      </w:r>
      <w:r w:rsidR="00A0255A">
        <w:rPr>
          <w:rFonts w:ascii="Arial" w:hAnsi="Arial" w:cs="Arial"/>
          <w:b/>
          <w:bCs/>
          <w:szCs w:val="24"/>
        </w:rPr>
        <w:t xml:space="preserve">fondů </w:t>
      </w:r>
      <w:r w:rsidR="00A0255A">
        <w:rPr>
          <w:rFonts w:ascii="Arial" w:hAnsi="Arial" w:cs="Arial"/>
          <w:szCs w:val="24"/>
        </w:rPr>
        <w:t xml:space="preserve">v tabulkách </w:t>
      </w:r>
      <w:smartTag w:uri="urn:schemas-microsoft-com:office:smarttags" w:element="metricconverter">
        <w:smartTagPr>
          <w:attr w:name="ProductID" w:val="15 a"/>
        </w:smartTagPr>
        <w:r w:rsidR="00A0255A">
          <w:rPr>
            <w:rFonts w:ascii="Arial" w:hAnsi="Arial" w:cs="Arial"/>
            <w:szCs w:val="24"/>
          </w:rPr>
          <w:t>15 a</w:t>
        </w:r>
      </w:smartTag>
      <w:r w:rsidR="00A0255A">
        <w:rPr>
          <w:rFonts w:ascii="Arial" w:hAnsi="Arial" w:cs="Arial"/>
          <w:szCs w:val="24"/>
        </w:rPr>
        <w:t xml:space="preserve"> 21 (a v souhrnné tabulce 1) se od 1. čtvrtletí roku 2008 vytváří z údajů poskytovaných Českou národní bankou. </w:t>
      </w: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lastRenderedPageBreak/>
        <w:t>Základní údaje o dlouhodobém nehmotném a hmotném majetku</w:t>
      </w:r>
    </w:p>
    <w:p w:rsidR="00610AEC" w:rsidRDefault="00610AEC" w:rsidP="00610AEC"/>
    <w:p w:rsidR="005C2CEE" w:rsidRDefault="005C2CEE" w:rsidP="00610AEC"/>
    <w:p w:rsidR="005C2CEE" w:rsidRDefault="005C2CEE"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nehmotného a hmotného majetku</w:t>
      </w:r>
      <w:r>
        <w:rPr>
          <w:rFonts w:ascii="Arial" w:hAnsi="Arial" w:cs="Arial"/>
          <w:szCs w:val="24"/>
        </w:rPr>
        <w:t xml:space="preserve"> zahrnuje výdaje vynaložené v průběhu sledovaného čtvrtletí na získání dlouhodobého nehmotného a hmotného majetku:</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szCs w:val="24"/>
        </w:rPr>
        <w:t>formou koupě nebo vytvořením vlastní činnosti (ve vlastní režii),</w:t>
      </w:r>
    </w:p>
    <w:p w:rsidR="00610AEC" w:rsidRDefault="00A0255A" w:rsidP="005C2CEE">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nabytím práv k výsledkům duševní tvořivé činnosti,</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rPr>
        <w:t xml:space="preserve">bezúplatným nabytím či převodem podle právních předpisů nebo přeřazením z osobního užívání do podnikání. Vykázaný objem investic tedy obsahuje postupně nebo jednorázově vynaložené výdaje investičního charakteru, bez ohledu na to, zda majetek byl či nebyl v daném čtvrtletí uveden do </w:t>
      </w:r>
      <w:proofErr w:type="spellStart"/>
      <w:proofErr w:type="gramStart"/>
      <w:r>
        <w:rPr>
          <w:rFonts w:ascii="Arial" w:hAnsi="Arial" w:cs="Arial"/>
        </w:rPr>
        <w:t>užívání.Do</w:t>
      </w:r>
      <w:proofErr w:type="spellEnd"/>
      <w:proofErr w:type="gramEnd"/>
      <w:r>
        <w:rPr>
          <w:rFonts w:ascii="Arial" w:hAnsi="Arial" w:cs="Arial"/>
        </w:rPr>
        <w:t xml:space="preserve"> hodnoty pořízeného dlouhodobého nehmotného a hmotného majetku je zahrnuta též hodnota majetku užívaného formou nájmu, prostřednictvím smlouvy o finančním leasingu, a to ve výši jeho </w:t>
      </w:r>
      <w:r>
        <w:rPr>
          <w:rFonts w:ascii="Arial" w:hAnsi="Arial" w:cs="Arial"/>
          <w:u w:val="single"/>
        </w:rPr>
        <w:t>pořizovací ceny</w:t>
      </w:r>
      <w:r>
        <w:rPr>
          <w:rFonts w:ascii="Arial" w:hAnsi="Arial" w:cs="Arial"/>
        </w:rPr>
        <w:t xml:space="preserve"> (nikoli splátek). (Jedná se o ty smlouvy, jejichž datum počátku splatnosti spadá do období sledovaného čtvrtletí). </w:t>
      </w:r>
      <w:r>
        <w:rPr>
          <w:rFonts w:ascii="Arial" w:hAnsi="Arial" w:cs="Arial"/>
          <w:u w:val="single"/>
        </w:rPr>
        <w:t>Jelikož je pořízení dlouhodobého nehmotného a hmotného majetku vykazováno na straně uživatelů, uvádějí společnosti zabývající se finančním leasingem pouze majetek, jež samy používají k výkonu své činnosti. Tu část pořízeného dlouhodobého nehmotného a hmotného majetku, jež byla zakoupena za účelem pronájmu formou finančního leasingu, finanční leasingové společnosti ve svém majetku nevykazují, bez ohledu na to, že jsou podle stávající legislativy vlastníky tohoto majetku.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rPr>
        <w:t>Pořízení dlouhodobého nehmotného majetku celkem</w:t>
      </w:r>
      <w:r>
        <w:rPr>
          <w:rFonts w:ascii="Arial" w:hAnsi="Arial" w:cs="Arial"/>
        </w:rPr>
        <w:t xml:space="preserve"> - údaje se </w:t>
      </w:r>
      <w:proofErr w:type="gramStart"/>
      <w:r>
        <w:rPr>
          <w:rFonts w:ascii="Arial" w:hAnsi="Arial" w:cs="Arial"/>
        </w:rPr>
        <w:t>čerpají</w:t>
      </w:r>
      <w:proofErr w:type="gramEnd"/>
      <w:r>
        <w:rPr>
          <w:rFonts w:ascii="Arial" w:hAnsi="Arial" w:cs="Arial"/>
        </w:rPr>
        <w:t xml:space="preserve"> z obratu strany </w:t>
      </w:r>
      <w:proofErr w:type="gramStart"/>
      <w:r>
        <w:rPr>
          <w:rFonts w:ascii="Arial" w:hAnsi="Arial" w:cs="Arial"/>
        </w:rPr>
        <w:t>Má</w:t>
      </w:r>
      <w:proofErr w:type="gramEnd"/>
      <w:r>
        <w:rPr>
          <w:rFonts w:ascii="Arial" w:hAnsi="Arial" w:cs="Arial"/>
        </w:rPr>
        <w:t xml:space="preserve"> dáti účtů evidujících pořízení dlouhodobého nehmotného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(nikoliv obrat od počátku roku). Do dlouhodobého nehmotného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výdaje spojené se založením nového podniku,</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 xml:space="preserve">nehmotné výsledky výzkumné a obdobné činnosti, které nejsou předmětem průmyslových a </w:t>
      </w:r>
      <w:proofErr w:type="gramStart"/>
      <w:r>
        <w:rPr>
          <w:rFonts w:ascii="Arial" w:hAnsi="Arial" w:cs="Arial"/>
          <w:szCs w:val="24"/>
        </w:rPr>
        <w:t>jiných  ocenitelných</w:t>
      </w:r>
      <w:proofErr w:type="gramEnd"/>
      <w:r>
        <w:rPr>
          <w:rFonts w:ascii="Arial" w:hAnsi="Arial" w:cs="Arial"/>
          <w:szCs w:val="24"/>
        </w:rPr>
        <w:t xml:space="preserve"> práv,</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software,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výrobně technické poznatky (know-how),</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licence,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předměty průmyslových práv a jiné výsledky duševní tvořivé činnosti, které jsou předmětem ocenitelných práv nabývaných i poskytovaných.</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hmotného majetku celkem</w:t>
      </w:r>
      <w:r>
        <w:rPr>
          <w:rFonts w:ascii="Arial" w:hAnsi="Arial" w:cs="Arial"/>
          <w:szCs w:val="24"/>
        </w:rPr>
        <w:t xml:space="preserve"> - údaje se </w:t>
      </w:r>
      <w:proofErr w:type="gramStart"/>
      <w:r>
        <w:rPr>
          <w:rFonts w:ascii="Arial" w:hAnsi="Arial" w:cs="Arial"/>
          <w:szCs w:val="24"/>
        </w:rPr>
        <w:t>čerpají</w:t>
      </w:r>
      <w:proofErr w:type="gramEnd"/>
      <w:r>
        <w:rPr>
          <w:rFonts w:ascii="Arial" w:hAnsi="Arial" w:cs="Arial"/>
          <w:szCs w:val="24"/>
        </w:rPr>
        <w:t xml:space="preserve"> z obratu strany </w:t>
      </w:r>
      <w:proofErr w:type="gramStart"/>
      <w:r>
        <w:rPr>
          <w:rFonts w:ascii="Arial" w:hAnsi="Arial" w:cs="Arial"/>
          <w:szCs w:val="24"/>
        </w:rPr>
        <w:t>Má</w:t>
      </w:r>
      <w:proofErr w:type="gramEnd"/>
      <w:r>
        <w:rPr>
          <w:rFonts w:ascii="Arial" w:hAnsi="Arial" w:cs="Arial"/>
          <w:szCs w:val="24"/>
        </w:rPr>
        <w:t xml:space="preserve"> dáti účtů evidujících pořízení dlouhodobého 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 celý obrat od počátku roku). Do dlouhodobého 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bytové budovy, nebytové budovy a ostatní stavby,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dopravní prostředky,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stroje, přístroje, zařízení a inventář,</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pěstitelské celky trvalých porostů, základní stádo a tažná zvířata,</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pozemky (vč. lesních) a ložiska nerostných surovin</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ostatní dlouhodobý hmotný majetek – zahrnuje umělecká díla a umělecké předměty, které nejsou součástí stavby a dlouhodobý hmotný majetek, který nebyl zahrnut ve výše uvedených polo</w:t>
      </w:r>
      <w:r>
        <w:rPr>
          <w:rFonts w:ascii="Arial" w:hAnsi="Arial" w:cs="Arial"/>
          <w:szCs w:val="24"/>
        </w:rPr>
        <w:t>ž</w:t>
      </w:r>
      <w:r>
        <w:rPr>
          <w:rFonts w:ascii="Arial" w:hAnsi="Arial" w:cs="Arial"/>
          <w:szCs w:val="24"/>
        </w:rPr>
        <w:t>kách.</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Tržby z prodeje a bezúplatné předání dlouhodobého nehmotného a hmotného majetku</w:t>
      </w:r>
      <w:r>
        <w:rPr>
          <w:rFonts w:ascii="Arial" w:hAnsi="Arial" w:cs="Arial"/>
          <w:szCs w:val="24"/>
        </w:rPr>
        <w:t xml:space="preserve"> - V případech, že dlouhodobý nehmotný či hmotný majetek byl předán jinému uživateli bezúplatně, zahrne se jeho zůstatková cena. Zůstatková cena je rozdíl mezi pořizovací cenou a oprávkami.</w:t>
      </w:r>
    </w:p>
    <w:p w:rsidR="00A0255A" w:rsidRDefault="00A0255A" w:rsidP="001714B1">
      <w:pPr>
        <w:tabs>
          <w:tab w:val="left" w:pos="142"/>
          <w:tab w:val="left" w:pos="709"/>
          <w:tab w:val="left" w:pos="1418"/>
          <w:tab w:val="left" w:pos="2126"/>
        </w:tabs>
        <w:spacing w:after="360"/>
        <w:rPr>
          <w:lang w:val="en-GB"/>
        </w:rPr>
      </w:pPr>
    </w:p>
    <w:p w:rsidR="00A0255A" w:rsidRDefault="00A0255A">
      <w:pPr>
        <w:rPr>
          <w:lang w:val="en-GB"/>
        </w:rPr>
      </w:pPr>
    </w:p>
    <w:sectPr w:rsidR="00A0255A">
      <w:footnotePr>
        <w:numRestart w:val="eachSect"/>
      </w:footnotePr>
      <w:type w:val="continuous"/>
      <w:pgSz w:w="11905" w:h="16837"/>
      <w:pgMar w:top="1416" w:right="1416" w:bottom="1416" w:left="135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1C4"/>
    <w:multiLevelType w:val="hybridMultilevel"/>
    <w:tmpl w:val="2BB4FC68"/>
    <w:lvl w:ilvl="0" w:tplc="416E887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nsid w:val="092B6ADB"/>
    <w:multiLevelType w:val="hybridMultilevel"/>
    <w:tmpl w:val="46907B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FE0301"/>
    <w:multiLevelType w:val="hybridMultilevel"/>
    <w:tmpl w:val="308239E2"/>
    <w:lvl w:ilvl="0" w:tplc="3470FF64">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nsid w:val="0F3E7C11"/>
    <w:multiLevelType w:val="hybridMultilevel"/>
    <w:tmpl w:val="C20CB898"/>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4">
    <w:nsid w:val="137360C0"/>
    <w:multiLevelType w:val="hybridMultilevel"/>
    <w:tmpl w:val="D142743A"/>
    <w:lvl w:ilvl="0" w:tplc="04050003">
      <w:start w:val="1"/>
      <w:numFmt w:val="bullet"/>
      <w:lvlText w:val="o"/>
      <w:lvlJc w:val="left"/>
      <w:pPr>
        <w:tabs>
          <w:tab w:val="num" w:pos="502"/>
        </w:tabs>
        <w:ind w:left="502" w:hanging="360"/>
      </w:pPr>
      <w:rPr>
        <w:rFonts w:ascii="Courier New" w:hAnsi="Courier New"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5">
    <w:nsid w:val="183A2F28"/>
    <w:multiLevelType w:val="hybridMultilevel"/>
    <w:tmpl w:val="62EC84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72"/>
        </w:tabs>
        <w:ind w:left="2072" w:hanging="360"/>
      </w:pPr>
      <w:rPr>
        <w:rFonts w:ascii="Courier New" w:hAnsi="Courier New" w:hint="default"/>
      </w:rPr>
    </w:lvl>
    <w:lvl w:ilvl="2" w:tplc="04050005" w:tentative="1">
      <w:start w:val="1"/>
      <w:numFmt w:val="bullet"/>
      <w:lvlText w:val=""/>
      <w:lvlJc w:val="left"/>
      <w:pPr>
        <w:tabs>
          <w:tab w:val="num" w:pos="2792"/>
        </w:tabs>
        <w:ind w:left="2792" w:hanging="360"/>
      </w:pPr>
      <w:rPr>
        <w:rFonts w:ascii="Wingdings" w:hAnsi="Wingdings" w:hint="default"/>
      </w:rPr>
    </w:lvl>
    <w:lvl w:ilvl="3" w:tplc="04050001" w:tentative="1">
      <w:start w:val="1"/>
      <w:numFmt w:val="bullet"/>
      <w:lvlText w:val=""/>
      <w:lvlJc w:val="left"/>
      <w:pPr>
        <w:tabs>
          <w:tab w:val="num" w:pos="3512"/>
        </w:tabs>
        <w:ind w:left="3512" w:hanging="360"/>
      </w:pPr>
      <w:rPr>
        <w:rFonts w:ascii="Symbol" w:hAnsi="Symbol" w:hint="default"/>
      </w:rPr>
    </w:lvl>
    <w:lvl w:ilvl="4" w:tplc="04050003" w:tentative="1">
      <w:start w:val="1"/>
      <w:numFmt w:val="bullet"/>
      <w:lvlText w:val="o"/>
      <w:lvlJc w:val="left"/>
      <w:pPr>
        <w:tabs>
          <w:tab w:val="num" w:pos="4232"/>
        </w:tabs>
        <w:ind w:left="4232" w:hanging="360"/>
      </w:pPr>
      <w:rPr>
        <w:rFonts w:ascii="Courier New" w:hAnsi="Courier New" w:hint="default"/>
      </w:rPr>
    </w:lvl>
    <w:lvl w:ilvl="5" w:tplc="04050005" w:tentative="1">
      <w:start w:val="1"/>
      <w:numFmt w:val="bullet"/>
      <w:lvlText w:val=""/>
      <w:lvlJc w:val="left"/>
      <w:pPr>
        <w:tabs>
          <w:tab w:val="num" w:pos="4952"/>
        </w:tabs>
        <w:ind w:left="4952" w:hanging="360"/>
      </w:pPr>
      <w:rPr>
        <w:rFonts w:ascii="Wingdings" w:hAnsi="Wingdings" w:hint="default"/>
      </w:rPr>
    </w:lvl>
    <w:lvl w:ilvl="6" w:tplc="04050001" w:tentative="1">
      <w:start w:val="1"/>
      <w:numFmt w:val="bullet"/>
      <w:lvlText w:val=""/>
      <w:lvlJc w:val="left"/>
      <w:pPr>
        <w:tabs>
          <w:tab w:val="num" w:pos="5672"/>
        </w:tabs>
        <w:ind w:left="5672" w:hanging="360"/>
      </w:pPr>
      <w:rPr>
        <w:rFonts w:ascii="Symbol" w:hAnsi="Symbol" w:hint="default"/>
      </w:rPr>
    </w:lvl>
    <w:lvl w:ilvl="7" w:tplc="04050003" w:tentative="1">
      <w:start w:val="1"/>
      <w:numFmt w:val="bullet"/>
      <w:lvlText w:val="o"/>
      <w:lvlJc w:val="left"/>
      <w:pPr>
        <w:tabs>
          <w:tab w:val="num" w:pos="6392"/>
        </w:tabs>
        <w:ind w:left="6392" w:hanging="360"/>
      </w:pPr>
      <w:rPr>
        <w:rFonts w:ascii="Courier New" w:hAnsi="Courier New" w:hint="default"/>
      </w:rPr>
    </w:lvl>
    <w:lvl w:ilvl="8" w:tplc="04050005" w:tentative="1">
      <w:start w:val="1"/>
      <w:numFmt w:val="bullet"/>
      <w:lvlText w:val=""/>
      <w:lvlJc w:val="left"/>
      <w:pPr>
        <w:tabs>
          <w:tab w:val="num" w:pos="7112"/>
        </w:tabs>
        <w:ind w:left="7112" w:hanging="360"/>
      </w:pPr>
      <w:rPr>
        <w:rFonts w:ascii="Wingdings" w:hAnsi="Wingdings" w:hint="default"/>
      </w:rPr>
    </w:lvl>
  </w:abstractNum>
  <w:abstractNum w:abstractNumId="6">
    <w:nsid w:val="1A1421CF"/>
    <w:multiLevelType w:val="hybridMultilevel"/>
    <w:tmpl w:val="D142743A"/>
    <w:lvl w:ilvl="0" w:tplc="F998DE1C">
      <w:numFmt w:val="bullet"/>
      <w:lvlText w:val="-"/>
      <w:lvlJc w:val="left"/>
      <w:pPr>
        <w:tabs>
          <w:tab w:val="num" w:pos="502"/>
        </w:tabs>
        <w:ind w:left="502" w:hanging="360"/>
      </w:pPr>
      <w:rPr>
        <w:rFonts w:ascii="Times New Roman" w:eastAsia="Times New Roman" w:hAnsi="Times New Roman" w:cs="Times New Roman" w:hint="default"/>
      </w:rPr>
    </w:lvl>
    <w:lvl w:ilvl="1" w:tplc="0405000F">
      <w:start w:val="1"/>
      <w:numFmt w:val="decimal"/>
      <w:lvlText w:val="%2."/>
      <w:lvlJc w:val="left"/>
      <w:pPr>
        <w:tabs>
          <w:tab w:val="num" w:pos="797"/>
        </w:tabs>
        <w:ind w:left="797" w:hanging="360"/>
      </w:pPr>
    </w:lvl>
    <w:lvl w:ilvl="2" w:tplc="04050005" w:tentative="1">
      <w:start w:val="1"/>
      <w:numFmt w:val="bullet"/>
      <w:lvlText w:val=""/>
      <w:lvlJc w:val="left"/>
      <w:pPr>
        <w:tabs>
          <w:tab w:val="num" w:pos="1517"/>
        </w:tabs>
        <w:ind w:left="1517" w:hanging="360"/>
      </w:pPr>
      <w:rPr>
        <w:rFonts w:ascii="Wingdings" w:hAnsi="Wingdings" w:hint="default"/>
      </w:rPr>
    </w:lvl>
    <w:lvl w:ilvl="3" w:tplc="04050001" w:tentative="1">
      <w:start w:val="1"/>
      <w:numFmt w:val="bullet"/>
      <w:lvlText w:val=""/>
      <w:lvlJc w:val="left"/>
      <w:pPr>
        <w:tabs>
          <w:tab w:val="num" w:pos="2237"/>
        </w:tabs>
        <w:ind w:left="2237" w:hanging="360"/>
      </w:pPr>
      <w:rPr>
        <w:rFonts w:ascii="Symbol" w:hAnsi="Symbol" w:hint="default"/>
      </w:rPr>
    </w:lvl>
    <w:lvl w:ilvl="4" w:tplc="04050003" w:tentative="1">
      <w:start w:val="1"/>
      <w:numFmt w:val="bullet"/>
      <w:lvlText w:val="o"/>
      <w:lvlJc w:val="left"/>
      <w:pPr>
        <w:tabs>
          <w:tab w:val="num" w:pos="2957"/>
        </w:tabs>
        <w:ind w:left="2957" w:hanging="360"/>
      </w:pPr>
      <w:rPr>
        <w:rFonts w:ascii="Courier New" w:hAnsi="Courier New" w:hint="default"/>
      </w:rPr>
    </w:lvl>
    <w:lvl w:ilvl="5" w:tplc="04050005" w:tentative="1">
      <w:start w:val="1"/>
      <w:numFmt w:val="bullet"/>
      <w:lvlText w:val=""/>
      <w:lvlJc w:val="left"/>
      <w:pPr>
        <w:tabs>
          <w:tab w:val="num" w:pos="3677"/>
        </w:tabs>
        <w:ind w:left="3677" w:hanging="360"/>
      </w:pPr>
      <w:rPr>
        <w:rFonts w:ascii="Wingdings" w:hAnsi="Wingdings" w:hint="default"/>
      </w:rPr>
    </w:lvl>
    <w:lvl w:ilvl="6" w:tplc="04050001" w:tentative="1">
      <w:start w:val="1"/>
      <w:numFmt w:val="bullet"/>
      <w:lvlText w:val=""/>
      <w:lvlJc w:val="left"/>
      <w:pPr>
        <w:tabs>
          <w:tab w:val="num" w:pos="4397"/>
        </w:tabs>
        <w:ind w:left="4397" w:hanging="360"/>
      </w:pPr>
      <w:rPr>
        <w:rFonts w:ascii="Symbol" w:hAnsi="Symbol" w:hint="default"/>
      </w:rPr>
    </w:lvl>
    <w:lvl w:ilvl="7" w:tplc="04050003" w:tentative="1">
      <w:start w:val="1"/>
      <w:numFmt w:val="bullet"/>
      <w:lvlText w:val="o"/>
      <w:lvlJc w:val="left"/>
      <w:pPr>
        <w:tabs>
          <w:tab w:val="num" w:pos="5117"/>
        </w:tabs>
        <w:ind w:left="5117" w:hanging="360"/>
      </w:pPr>
      <w:rPr>
        <w:rFonts w:ascii="Courier New" w:hAnsi="Courier New" w:hint="default"/>
      </w:rPr>
    </w:lvl>
    <w:lvl w:ilvl="8" w:tplc="04050005" w:tentative="1">
      <w:start w:val="1"/>
      <w:numFmt w:val="bullet"/>
      <w:lvlText w:val=""/>
      <w:lvlJc w:val="left"/>
      <w:pPr>
        <w:tabs>
          <w:tab w:val="num" w:pos="5837"/>
        </w:tabs>
        <w:ind w:left="5837" w:hanging="360"/>
      </w:pPr>
      <w:rPr>
        <w:rFonts w:ascii="Wingdings" w:hAnsi="Wingdings" w:hint="default"/>
      </w:rPr>
    </w:lvl>
  </w:abstractNum>
  <w:abstractNum w:abstractNumId="7">
    <w:nsid w:val="21BB40CC"/>
    <w:multiLevelType w:val="hybridMultilevel"/>
    <w:tmpl w:val="48B84232"/>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04050003" w:tentative="1">
      <w:start w:val="1"/>
      <w:numFmt w:val="bullet"/>
      <w:lvlText w:val="o"/>
      <w:lvlJc w:val="left"/>
      <w:pPr>
        <w:tabs>
          <w:tab w:val="num" w:pos="2124"/>
        </w:tabs>
        <w:ind w:left="2124" w:hanging="360"/>
      </w:pPr>
      <w:rPr>
        <w:rFonts w:ascii="Courier New" w:hAnsi="Courier New"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8">
    <w:nsid w:val="21E6280C"/>
    <w:multiLevelType w:val="hybridMultilevel"/>
    <w:tmpl w:val="40266AB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21F26AE7"/>
    <w:multiLevelType w:val="hybridMultilevel"/>
    <w:tmpl w:val="00562FDA"/>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0">
    <w:nsid w:val="222A5A30"/>
    <w:multiLevelType w:val="hybridMultilevel"/>
    <w:tmpl w:val="352432E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
    <w:nsid w:val="2E6801AC"/>
    <w:multiLevelType w:val="hybridMultilevel"/>
    <w:tmpl w:val="B5782E8E"/>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2">
    <w:nsid w:val="2E7D2F67"/>
    <w:multiLevelType w:val="hybridMultilevel"/>
    <w:tmpl w:val="A260E6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F998DE1C">
      <w:numFmt w:val="bullet"/>
      <w:lvlText w:val="-"/>
      <w:lvlJc w:val="left"/>
      <w:pPr>
        <w:tabs>
          <w:tab w:val="num" w:pos="2124"/>
        </w:tabs>
        <w:ind w:left="2124" w:hanging="360"/>
      </w:pPr>
      <w:rPr>
        <w:rFonts w:ascii="Times New Roman" w:eastAsia="Times New Roman" w:hAnsi="Times New Roman" w:cs="Times New Roman"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13">
    <w:nsid w:val="37DB1263"/>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4">
    <w:nsid w:val="4C650A4F"/>
    <w:multiLevelType w:val="hybridMultilevel"/>
    <w:tmpl w:val="47DE7C36"/>
    <w:lvl w:ilvl="0" w:tplc="416E8874">
      <w:start w:val="1"/>
      <w:numFmt w:val="lowerLetter"/>
      <w:lvlText w:val="%1)"/>
      <w:lvlJc w:val="left"/>
      <w:pPr>
        <w:tabs>
          <w:tab w:val="num" w:pos="502"/>
        </w:tabs>
        <w:ind w:left="502" w:hanging="360"/>
      </w:pPr>
      <w:rPr>
        <w:rFonts w:hint="default"/>
      </w:rPr>
    </w:lvl>
    <w:lvl w:ilvl="1" w:tplc="F998DE1C">
      <w:numFmt w:val="bullet"/>
      <w:lvlText w:val="-"/>
      <w:lvlJc w:val="left"/>
      <w:pPr>
        <w:tabs>
          <w:tab w:val="num" w:pos="1015"/>
        </w:tabs>
        <w:ind w:left="1015" w:hanging="360"/>
      </w:pPr>
      <w:rPr>
        <w:rFonts w:ascii="Times New Roman" w:eastAsia="Times New Roman" w:hAnsi="Times New Roman" w:cs="Times New Roman"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5">
    <w:nsid w:val="4D0B6541"/>
    <w:multiLevelType w:val="hybridMultilevel"/>
    <w:tmpl w:val="6EE252A0"/>
    <w:lvl w:ilvl="0" w:tplc="F998DE1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603"/>
        </w:tabs>
        <w:ind w:left="-603" w:hanging="360"/>
      </w:pPr>
      <w:rPr>
        <w:rFonts w:ascii="Courier New" w:hAnsi="Courier New" w:hint="default"/>
      </w:rPr>
    </w:lvl>
    <w:lvl w:ilvl="2" w:tplc="04050005" w:tentative="1">
      <w:start w:val="1"/>
      <w:numFmt w:val="bullet"/>
      <w:lvlText w:val=""/>
      <w:lvlJc w:val="left"/>
      <w:pPr>
        <w:tabs>
          <w:tab w:val="num" w:pos="117"/>
        </w:tabs>
        <w:ind w:left="117" w:hanging="360"/>
      </w:pPr>
      <w:rPr>
        <w:rFonts w:ascii="Wingdings" w:hAnsi="Wingdings" w:hint="default"/>
      </w:rPr>
    </w:lvl>
    <w:lvl w:ilvl="3" w:tplc="04050001" w:tentative="1">
      <w:start w:val="1"/>
      <w:numFmt w:val="bullet"/>
      <w:lvlText w:val=""/>
      <w:lvlJc w:val="left"/>
      <w:pPr>
        <w:tabs>
          <w:tab w:val="num" w:pos="837"/>
        </w:tabs>
        <w:ind w:left="837" w:hanging="360"/>
      </w:pPr>
      <w:rPr>
        <w:rFonts w:ascii="Symbol" w:hAnsi="Symbol" w:hint="default"/>
      </w:rPr>
    </w:lvl>
    <w:lvl w:ilvl="4" w:tplc="04050003" w:tentative="1">
      <w:start w:val="1"/>
      <w:numFmt w:val="bullet"/>
      <w:lvlText w:val="o"/>
      <w:lvlJc w:val="left"/>
      <w:pPr>
        <w:tabs>
          <w:tab w:val="num" w:pos="1557"/>
        </w:tabs>
        <w:ind w:left="1557" w:hanging="360"/>
      </w:pPr>
      <w:rPr>
        <w:rFonts w:ascii="Courier New" w:hAnsi="Courier New" w:hint="default"/>
      </w:rPr>
    </w:lvl>
    <w:lvl w:ilvl="5" w:tplc="04050005" w:tentative="1">
      <w:start w:val="1"/>
      <w:numFmt w:val="bullet"/>
      <w:lvlText w:val=""/>
      <w:lvlJc w:val="left"/>
      <w:pPr>
        <w:tabs>
          <w:tab w:val="num" w:pos="2277"/>
        </w:tabs>
        <w:ind w:left="2277" w:hanging="360"/>
      </w:pPr>
      <w:rPr>
        <w:rFonts w:ascii="Wingdings" w:hAnsi="Wingdings" w:hint="default"/>
      </w:rPr>
    </w:lvl>
    <w:lvl w:ilvl="6" w:tplc="04050001" w:tentative="1">
      <w:start w:val="1"/>
      <w:numFmt w:val="bullet"/>
      <w:lvlText w:val=""/>
      <w:lvlJc w:val="left"/>
      <w:pPr>
        <w:tabs>
          <w:tab w:val="num" w:pos="2997"/>
        </w:tabs>
        <w:ind w:left="2997" w:hanging="360"/>
      </w:pPr>
      <w:rPr>
        <w:rFonts w:ascii="Symbol" w:hAnsi="Symbol" w:hint="default"/>
      </w:rPr>
    </w:lvl>
    <w:lvl w:ilvl="7" w:tplc="04050003" w:tentative="1">
      <w:start w:val="1"/>
      <w:numFmt w:val="bullet"/>
      <w:lvlText w:val="o"/>
      <w:lvlJc w:val="left"/>
      <w:pPr>
        <w:tabs>
          <w:tab w:val="num" w:pos="3717"/>
        </w:tabs>
        <w:ind w:left="3717" w:hanging="360"/>
      </w:pPr>
      <w:rPr>
        <w:rFonts w:ascii="Courier New" w:hAnsi="Courier New" w:hint="default"/>
      </w:rPr>
    </w:lvl>
    <w:lvl w:ilvl="8" w:tplc="04050005" w:tentative="1">
      <w:start w:val="1"/>
      <w:numFmt w:val="bullet"/>
      <w:lvlText w:val=""/>
      <w:lvlJc w:val="left"/>
      <w:pPr>
        <w:tabs>
          <w:tab w:val="num" w:pos="4437"/>
        </w:tabs>
        <w:ind w:left="4437" w:hanging="360"/>
      </w:pPr>
      <w:rPr>
        <w:rFonts w:ascii="Wingdings" w:hAnsi="Wingdings" w:hint="default"/>
      </w:rPr>
    </w:lvl>
  </w:abstractNum>
  <w:abstractNum w:abstractNumId="16">
    <w:nsid w:val="511E44D6"/>
    <w:multiLevelType w:val="hybridMultilevel"/>
    <w:tmpl w:val="EC3449CA"/>
    <w:lvl w:ilvl="0" w:tplc="0405000F">
      <w:start w:val="1"/>
      <w:numFmt w:val="decimal"/>
      <w:lvlText w:val="%1."/>
      <w:lvlJc w:val="left"/>
      <w:pPr>
        <w:tabs>
          <w:tab w:val="num" w:pos="797"/>
        </w:tabs>
        <w:ind w:left="797" w:hanging="360"/>
      </w:pPr>
    </w:lvl>
    <w:lvl w:ilvl="1" w:tplc="04050019" w:tentative="1">
      <w:start w:val="1"/>
      <w:numFmt w:val="lowerLetter"/>
      <w:lvlText w:val="%2."/>
      <w:lvlJc w:val="left"/>
      <w:pPr>
        <w:tabs>
          <w:tab w:val="num" w:pos="1517"/>
        </w:tabs>
        <w:ind w:left="1517" w:hanging="360"/>
      </w:pPr>
    </w:lvl>
    <w:lvl w:ilvl="2" w:tplc="0405001B" w:tentative="1">
      <w:start w:val="1"/>
      <w:numFmt w:val="lowerRoman"/>
      <w:lvlText w:val="%3."/>
      <w:lvlJc w:val="right"/>
      <w:pPr>
        <w:tabs>
          <w:tab w:val="num" w:pos="2237"/>
        </w:tabs>
        <w:ind w:left="2237" w:hanging="180"/>
      </w:pPr>
    </w:lvl>
    <w:lvl w:ilvl="3" w:tplc="0405000F" w:tentative="1">
      <w:start w:val="1"/>
      <w:numFmt w:val="decimal"/>
      <w:lvlText w:val="%4."/>
      <w:lvlJc w:val="left"/>
      <w:pPr>
        <w:tabs>
          <w:tab w:val="num" w:pos="2957"/>
        </w:tabs>
        <w:ind w:left="2957" w:hanging="360"/>
      </w:pPr>
    </w:lvl>
    <w:lvl w:ilvl="4" w:tplc="04050019" w:tentative="1">
      <w:start w:val="1"/>
      <w:numFmt w:val="lowerLetter"/>
      <w:lvlText w:val="%5."/>
      <w:lvlJc w:val="left"/>
      <w:pPr>
        <w:tabs>
          <w:tab w:val="num" w:pos="3677"/>
        </w:tabs>
        <w:ind w:left="3677" w:hanging="360"/>
      </w:pPr>
    </w:lvl>
    <w:lvl w:ilvl="5" w:tplc="0405001B" w:tentative="1">
      <w:start w:val="1"/>
      <w:numFmt w:val="lowerRoman"/>
      <w:lvlText w:val="%6."/>
      <w:lvlJc w:val="right"/>
      <w:pPr>
        <w:tabs>
          <w:tab w:val="num" w:pos="4397"/>
        </w:tabs>
        <w:ind w:left="4397" w:hanging="180"/>
      </w:pPr>
    </w:lvl>
    <w:lvl w:ilvl="6" w:tplc="0405000F" w:tentative="1">
      <w:start w:val="1"/>
      <w:numFmt w:val="decimal"/>
      <w:lvlText w:val="%7."/>
      <w:lvlJc w:val="left"/>
      <w:pPr>
        <w:tabs>
          <w:tab w:val="num" w:pos="5117"/>
        </w:tabs>
        <w:ind w:left="5117" w:hanging="360"/>
      </w:pPr>
    </w:lvl>
    <w:lvl w:ilvl="7" w:tplc="04050019" w:tentative="1">
      <w:start w:val="1"/>
      <w:numFmt w:val="lowerLetter"/>
      <w:lvlText w:val="%8."/>
      <w:lvlJc w:val="left"/>
      <w:pPr>
        <w:tabs>
          <w:tab w:val="num" w:pos="5837"/>
        </w:tabs>
        <w:ind w:left="5837" w:hanging="360"/>
      </w:pPr>
    </w:lvl>
    <w:lvl w:ilvl="8" w:tplc="0405001B" w:tentative="1">
      <w:start w:val="1"/>
      <w:numFmt w:val="lowerRoman"/>
      <w:lvlText w:val="%9."/>
      <w:lvlJc w:val="right"/>
      <w:pPr>
        <w:tabs>
          <w:tab w:val="num" w:pos="6557"/>
        </w:tabs>
        <w:ind w:left="6557" w:hanging="180"/>
      </w:pPr>
    </w:lvl>
  </w:abstractNum>
  <w:abstractNum w:abstractNumId="17">
    <w:nsid w:val="56D3199C"/>
    <w:multiLevelType w:val="hybridMultilevel"/>
    <w:tmpl w:val="76AE51F8"/>
    <w:lvl w:ilvl="0" w:tplc="416E8874">
      <w:start w:val="1"/>
      <w:numFmt w:val="lowerLetter"/>
      <w:lvlText w:val="%1)"/>
      <w:lvlJc w:val="left"/>
      <w:pPr>
        <w:tabs>
          <w:tab w:val="num" w:pos="502"/>
        </w:tabs>
        <w:ind w:left="502" w:hanging="360"/>
      </w:pPr>
      <w:rPr>
        <w:rFonts w:hint="default"/>
      </w:rPr>
    </w:lvl>
    <w:lvl w:ilvl="1" w:tplc="04050001">
      <w:start w:val="1"/>
      <w:numFmt w:val="bullet"/>
      <w:lvlText w:val=""/>
      <w:lvlJc w:val="left"/>
      <w:pPr>
        <w:tabs>
          <w:tab w:val="num" w:pos="1015"/>
        </w:tabs>
        <w:ind w:left="1015" w:hanging="360"/>
      </w:pPr>
      <w:rPr>
        <w:rFonts w:ascii="Symbol" w:hAnsi="Symbol"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8">
    <w:nsid w:val="58532DCC"/>
    <w:multiLevelType w:val="hybridMultilevel"/>
    <w:tmpl w:val="27CAE8F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9C1376"/>
    <w:multiLevelType w:val="hybridMultilevel"/>
    <w:tmpl w:val="7E2013C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65553D95"/>
    <w:multiLevelType w:val="hybridMultilevel"/>
    <w:tmpl w:val="AEC8B67C"/>
    <w:lvl w:ilvl="0" w:tplc="6D02846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D593C6F"/>
    <w:multiLevelType w:val="hybridMultilevel"/>
    <w:tmpl w:val="62EC84A4"/>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2">
    <w:nsid w:val="7C504F37"/>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num w:numId="1">
    <w:abstractNumId w:val="2"/>
  </w:num>
  <w:num w:numId="2">
    <w:abstractNumId w:val="7"/>
  </w:num>
  <w:num w:numId="3">
    <w:abstractNumId w:val="20"/>
  </w:num>
  <w:num w:numId="4">
    <w:abstractNumId w:val="10"/>
  </w:num>
  <w:num w:numId="5">
    <w:abstractNumId w:val="0"/>
  </w:num>
  <w:num w:numId="6">
    <w:abstractNumId w:val="17"/>
  </w:num>
  <w:num w:numId="7">
    <w:abstractNumId w:val="4"/>
  </w:num>
  <w:num w:numId="8">
    <w:abstractNumId w:val="6"/>
  </w:num>
  <w:num w:numId="9">
    <w:abstractNumId w:val="12"/>
  </w:num>
  <w:num w:numId="10">
    <w:abstractNumId w:val="21"/>
  </w:num>
  <w:num w:numId="11">
    <w:abstractNumId w:val="5"/>
  </w:num>
  <w:num w:numId="12">
    <w:abstractNumId w:val="14"/>
  </w:num>
  <w:num w:numId="13">
    <w:abstractNumId w:val="15"/>
  </w:num>
  <w:num w:numId="14">
    <w:abstractNumId w:val="8"/>
  </w:num>
  <w:num w:numId="15">
    <w:abstractNumId w:val="18"/>
  </w:num>
  <w:num w:numId="16">
    <w:abstractNumId w:val="19"/>
  </w:num>
  <w:num w:numId="17">
    <w:abstractNumId w:val="1"/>
  </w:num>
  <w:num w:numId="18">
    <w:abstractNumId w:val="13"/>
  </w:num>
  <w:num w:numId="19">
    <w:abstractNumId w:val="22"/>
  </w:num>
  <w:num w:numId="20">
    <w:abstractNumId w:val="11"/>
  </w:num>
  <w:num w:numId="21">
    <w:abstractNumId w:val="16"/>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consecutiveHyphenLimit w:val="2"/>
  <w:hyphenationZone w:val="128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B1"/>
    <w:rsid w:val="0006253D"/>
    <w:rsid w:val="000B5929"/>
    <w:rsid w:val="001714B1"/>
    <w:rsid w:val="00243BA3"/>
    <w:rsid w:val="00276A51"/>
    <w:rsid w:val="00320523"/>
    <w:rsid w:val="00374E26"/>
    <w:rsid w:val="003A5928"/>
    <w:rsid w:val="003C08A3"/>
    <w:rsid w:val="003D2801"/>
    <w:rsid w:val="00562E9E"/>
    <w:rsid w:val="00595710"/>
    <w:rsid w:val="005C2CEE"/>
    <w:rsid w:val="00610AEC"/>
    <w:rsid w:val="006735A6"/>
    <w:rsid w:val="006925B7"/>
    <w:rsid w:val="006A2067"/>
    <w:rsid w:val="006A2B97"/>
    <w:rsid w:val="007152B4"/>
    <w:rsid w:val="0076494D"/>
    <w:rsid w:val="00782C99"/>
    <w:rsid w:val="007B0734"/>
    <w:rsid w:val="007D09F8"/>
    <w:rsid w:val="00823041"/>
    <w:rsid w:val="0088572E"/>
    <w:rsid w:val="008D6817"/>
    <w:rsid w:val="00903CD0"/>
    <w:rsid w:val="00963A0F"/>
    <w:rsid w:val="00A0255A"/>
    <w:rsid w:val="00A27680"/>
    <w:rsid w:val="00A30D47"/>
    <w:rsid w:val="00A83C52"/>
    <w:rsid w:val="00A83F9E"/>
    <w:rsid w:val="00A959A0"/>
    <w:rsid w:val="00C81B4B"/>
    <w:rsid w:val="00C8454A"/>
    <w:rsid w:val="00D7652A"/>
    <w:rsid w:val="00DE7A34"/>
    <w:rsid w:val="00DE7E95"/>
    <w:rsid w:val="00EC64B1"/>
    <w:rsid w:val="00F21641"/>
    <w:rsid w:val="00F8770A"/>
    <w:rsid w:val="00FC2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8271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- 1 -</vt:lpstr>
    </vt:vector>
  </TitlesOfParts>
  <Company>ČSÚ</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- 1 -</dc:title>
  <dc:subject/>
  <dc:creator>System Service</dc:creator>
  <cp:keywords/>
  <dc:description/>
  <cp:lastModifiedBy>Ing. Světlana Škapová</cp:lastModifiedBy>
  <cp:revision>3</cp:revision>
  <cp:lastPrinted>2008-06-26T07:33:00Z</cp:lastPrinted>
  <dcterms:created xsi:type="dcterms:W3CDTF">2016-05-26T11:28:00Z</dcterms:created>
  <dcterms:modified xsi:type="dcterms:W3CDTF">2016-06-20T05:36:00Z</dcterms:modified>
</cp:coreProperties>
</file>