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2195" w14:textId="508CA5AF" w:rsidR="007F0076" w:rsidRDefault="007F0076" w:rsidP="007F0076">
      <w:pPr>
        <w:pStyle w:val="Nadpis1"/>
      </w:pPr>
      <w:bookmarkStart w:id="0" w:name="_Toc224903149"/>
      <w:r>
        <w:t>5. Ceny</w:t>
      </w:r>
      <w:bookmarkEnd w:id="0"/>
      <w:r>
        <w:t xml:space="preserve"> </w:t>
      </w:r>
    </w:p>
    <w:tbl>
      <w:tblPr>
        <w:tblW w:w="9639" w:type="dxa"/>
        <w:tblInd w:w="-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91"/>
        <w:gridCol w:w="223"/>
        <w:gridCol w:w="7625"/>
      </w:tblGrid>
      <w:tr w:rsidR="007F0076" w14:paraId="0D8BDA01" w14:textId="77777777" w:rsidTr="00E87182">
        <w:trPr>
          <w:trHeight w:val="145"/>
        </w:trPr>
        <w:tc>
          <w:tcPr>
            <w:tcW w:w="1791" w:type="dxa"/>
            <w:hideMark/>
          </w:tcPr>
          <w:p w14:paraId="6C291037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Cenová hladina v roce 2025 vzrostla o 3,4 %.</w:t>
            </w:r>
          </w:p>
        </w:tc>
        <w:tc>
          <w:tcPr>
            <w:tcW w:w="223" w:type="dxa"/>
          </w:tcPr>
          <w:p w14:paraId="7E600BEE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45B6B6B3" w14:textId="77777777" w:rsidR="007F0076" w:rsidRDefault="007F0076" w:rsidP="00E87182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Celkový nárůst cenové hladiny měřený deflátorem HDP v roce 2025 dosáhl 3,4 %. Vyšší byla cenová hladina u spotřeby (3,2 %, z toho ceny spotřeby domácností vzrostly o 2,9 %) i výdajů na tvorbu hrubého kapitálu (3,1 %). Směnné relace zahraničního obchodu se zbožím a službami byly pozitivní (100,7 %). Celkový meziroční růst cenové hladiny loni ve 4. čtvrtletí posílil na 3,9 %. To ovlivnil zejména vývoj cenové hladiny kapitálových výdajů (5,4 %), především ocenění zásob. Cenová hladina výdajů na tvorbu fixního kapitálu totiž rostla jen mírně (2,1 %). Ceny spotřeby byly meziročně vyšší o 3,2 %, z toho pro domácnosti ceny vzrostly o 2,5 %. Meziroční směnné relace zahraničního obchodu dosáhly 100,9 %. Mezičtvrtletně se celková cenová hladina ve 4. kvartálu zvýšila o 1,0 %. Přírůstek posílil a vliv na to měly kromě silnějšího růstu cen spotřeby (0,8 %) i kladné mezičtvrtletní směnné relace zahraničního obchodu (100,5 %). Mezičtvrtletní růst cen výdajů na tvorbu hrubého kapitálu oslabil na 0,5 %.  </w:t>
            </w:r>
          </w:p>
        </w:tc>
      </w:tr>
      <w:tr w:rsidR="007F0076" w14:paraId="43BE307A" w14:textId="77777777" w:rsidTr="00E87182">
        <w:trPr>
          <w:trHeight w:val="145"/>
        </w:trPr>
        <w:tc>
          <w:tcPr>
            <w:tcW w:w="1791" w:type="dxa"/>
          </w:tcPr>
          <w:p w14:paraId="49371E32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Meziroční růst spotřebitelských cen se příliš nelišil od roku 2024.</w:t>
            </w:r>
          </w:p>
        </w:tc>
        <w:tc>
          <w:tcPr>
            <w:tcW w:w="223" w:type="dxa"/>
          </w:tcPr>
          <w:p w14:paraId="628E4917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0796EAE6" w14:textId="77777777" w:rsidR="007F0076" w:rsidRDefault="007F0076" w:rsidP="00E8718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Spotřebitelské ceny se v roce 2025 celkově zvýšily o 2,5 %. Přírůstek se jen mírně zvýšil oproti předchozímu roku (2,4 %). Loni k celkovému nárůstu spotřebitelských cen nejvíce přispěly ceny potravin a nealkoholických nápojů a dále oddíl bydlení, voda energie a paliva. Nadprůměrnou dynamiku a významný vliv na vývoj spotřebitelských cen si loni nadále držely dva oddíly zahrnující služby – stravování a ubytování a rekreace a kultura. Ve směru poklesu spotřebitelských cen loni působil jen vývoj u odívání a obuvi a dopravy. </w:t>
            </w:r>
          </w:p>
        </w:tc>
      </w:tr>
      <w:tr w:rsidR="007F0076" w14:paraId="089EDD27" w14:textId="77777777" w:rsidTr="00E87182">
        <w:trPr>
          <w:trHeight w:val="145"/>
        </w:trPr>
        <w:tc>
          <w:tcPr>
            <w:tcW w:w="1791" w:type="dxa"/>
          </w:tcPr>
          <w:p w14:paraId="725697A0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7F03D71F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5160C628" w14:textId="331BBEFF" w:rsidR="007F0076" w:rsidRDefault="007F0076" w:rsidP="00E87182">
            <w:pPr>
              <w:spacing w:after="0"/>
              <w:rPr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>Graf č. 1</w:t>
            </w:r>
            <w:r w:rsidR="00281666"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Ceny ve vybraných oddílech indexu spotřebitelských cen</w:t>
            </w:r>
            <w:r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eastAsia="en-US"/>
              </w:rPr>
              <w:t>(meziročně v %)</w:t>
            </w:r>
          </w:p>
        </w:tc>
      </w:tr>
      <w:tr w:rsidR="007F0076" w14:paraId="4E243B6E" w14:textId="77777777" w:rsidTr="00E87182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791" w:type="dxa"/>
          </w:tcPr>
          <w:p w14:paraId="5196D4DE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22712F3A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6B2D9118" w14:textId="77777777" w:rsidR="007F0076" w:rsidRDefault="007F0076" w:rsidP="00E87182">
            <w:pPr>
              <w:spacing w:after="0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19E6926" wp14:editId="4534A58E">
                  <wp:extent cx="4752000" cy="3553200"/>
                  <wp:effectExtent l="0" t="0" r="0" b="0"/>
                  <wp:docPr id="320989416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7F0076" w14:paraId="3AE9E0FD" w14:textId="77777777" w:rsidTr="00E87182">
        <w:trPr>
          <w:trHeight w:val="145"/>
        </w:trPr>
        <w:tc>
          <w:tcPr>
            <w:tcW w:w="1791" w:type="dxa"/>
          </w:tcPr>
          <w:p w14:paraId="5F08D296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7083A659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059186B7" w14:textId="77777777" w:rsidR="007F0076" w:rsidRDefault="007F0076" w:rsidP="00E87182">
            <w:pPr>
              <w:jc w:val="lef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Zdroj: ČSÚ</w:t>
            </w:r>
          </w:p>
        </w:tc>
      </w:tr>
      <w:tr w:rsidR="007F0076" w14:paraId="0FC8B672" w14:textId="77777777" w:rsidTr="00E87182">
        <w:trPr>
          <w:trHeight w:val="145"/>
        </w:trPr>
        <w:tc>
          <w:tcPr>
            <w:tcW w:w="1791" w:type="dxa"/>
          </w:tcPr>
          <w:p w14:paraId="396920D4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Meziroční růst spotřebitelských cen v závěru roku zpomaloval.</w:t>
            </w:r>
          </w:p>
        </w:tc>
        <w:tc>
          <w:tcPr>
            <w:tcW w:w="223" w:type="dxa"/>
          </w:tcPr>
          <w:p w14:paraId="111D3378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284C3CE4" w14:textId="77777777" w:rsidR="007F0076" w:rsidRDefault="007F0076" w:rsidP="00E8718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Meziroční dynamika indexu spotřebitelských cen ke konci roku 2025 oslabila a ve 4. čtvrtletí tak byly ceny vyšší o 2,2 %. Důvodem zpomalení byl zejména útlum růstu cen potravin a nealkoholických nápojů. Pozici oddílu s nejsilnějším příspěvkem k celkovému meziročnímu růstu spotřebitelských cen si tak ve 4. kvartálu opět převzalo bydlení a energie. K meziročnímu růstu spotřebitelských cen ve 4. čtvrtletí významně přispívaly rovněž alkoholické nápoje a tabák, rekreace a kultura a stravování a ubytování. Mezičtvrtletně se spotřebitelské ceny ve 4. čtvrtletí 2025 snížily o 0,2 % </w:t>
            </w:r>
            <w:r>
              <w:rPr>
                <w:lang w:eastAsia="en-US"/>
              </w:rPr>
              <w:lastRenderedPageBreak/>
              <w:t xml:space="preserve">(první pokles od 4. kvartálu 2023), především pod vlivem vývoje cen potravin a nealkoholických nápojů, rekreace a kultury a dopravy.      </w:t>
            </w:r>
          </w:p>
        </w:tc>
      </w:tr>
      <w:tr w:rsidR="007F0076" w14:paraId="32350428" w14:textId="77777777" w:rsidTr="00E87182">
        <w:trPr>
          <w:trHeight w:val="145"/>
        </w:trPr>
        <w:tc>
          <w:tcPr>
            <w:tcW w:w="1791" w:type="dxa"/>
          </w:tcPr>
          <w:p w14:paraId="220BEF0F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lastRenderedPageBreak/>
              <w:t>K navýšení cenové hladiny nejvíce přispěly ceny potravin.</w:t>
            </w:r>
          </w:p>
        </w:tc>
        <w:tc>
          <w:tcPr>
            <w:tcW w:w="223" w:type="dxa"/>
          </w:tcPr>
          <w:p w14:paraId="3EDEDC67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06BA3FFA" w14:textId="77777777" w:rsidR="007F0076" w:rsidRDefault="007F0076" w:rsidP="00E8718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Ceny potravin a nealkoholických nápojů po většinu loňského roku výrazně meziročně rostly (přes 5 % v 1. pololetí, 4,2 % ve 3. čtvrtletí) a celkově se zvýšily o 4,2 %. V roce 2025 nejvíce zdražily mléko, sýry a vejce (8,2 %), cukr, cukrovinky a příbuzné výrobky (6,4 %) a nealkoholické nápoje (6,2 %). Výrazný byl také nárůst cen olejů a tuků (5,6 %), ovoce (5,3 %) a masa (4,3 %). Ceny pekárenských výrobků si po celý rok držely mírné tempo růstu a celkově se zvýšily o 2,2 %. Klesaly jen ceny zeleniny (−2,2 %). Samotný 4. kvartál přinesl výrazné zpomalení meziročního růstu cen potravin a nealkoholických nápojů na 2,5 %, což také korespondovalo s mezičtvrtletním poklesem o 0,7 %. Na zpomalení se podílel především meziroční propad cen olejů a tuků o 10,6 % a také pokles cen ovoce o 4,9 %. Ve zbytku oddílu zůstala cenová dynamika v zásadě stabilní. Silný meziroční růst si držely zejména ceny cukru a cukrovinek (6,0 %), mléka, sýrů a vajec a masa (obě shodně 5,3 %) a nealkoholických nápojů (5,1 %). K růstu spotřebitelských cen loni významně přispívaly také ceny alkoholických nápojů a tabáku, ačkoli jejich přírůstek o 4,0 % byl nejnižší od roku 2019. V samotném 4. čtvrtletí alkohol a tabák zdražily meziročně o 4,1 % a mezičtvrtletně o 0,6 %. </w:t>
            </w:r>
          </w:p>
        </w:tc>
      </w:tr>
      <w:tr w:rsidR="007F0076" w14:paraId="3CD71ABA" w14:textId="77777777" w:rsidTr="00E87182">
        <w:trPr>
          <w:trHeight w:val="145"/>
        </w:trPr>
        <w:tc>
          <w:tcPr>
            <w:tcW w:w="1791" w:type="dxa"/>
          </w:tcPr>
          <w:p w14:paraId="36ED3E0F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 xml:space="preserve">Stabilní roli ve vývoji spotřebitelských cen si držely ceny bydlení </w:t>
            </w:r>
            <w:r>
              <w:rPr>
                <w:spacing w:val="0"/>
                <w:lang w:eastAsia="en-US"/>
              </w:rPr>
              <w:br/>
              <w:t>a energií.</w:t>
            </w:r>
          </w:p>
        </w:tc>
        <w:tc>
          <w:tcPr>
            <w:tcW w:w="223" w:type="dxa"/>
          </w:tcPr>
          <w:p w14:paraId="4672A2E2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36DFA559" w14:textId="77777777" w:rsidR="007F0076" w:rsidRDefault="007F0076" w:rsidP="00E87182">
            <w:pPr>
              <w:rPr>
                <w:lang w:eastAsia="en-US"/>
              </w:rPr>
            </w:pPr>
            <w:r>
              <w:rPr>
                <w:lang w:eastAsia="en-US"/>
              </w:rPr>
              <w:t>Ceny bydlení a energií loni vzrostly o 1,8 %, což byl nejnižší nárůst od roku 2017. Vzhledem k váze tohoto oddílu ve spotřebním koši ale bydlení a energie navzdory zpomalení tempa stále významně přispívaly k celkovému růstu spotřebitelských cen. Ve směru poklesu cen bydlení a energií loni působily výhradně ceny elektrické a tepelné energie, plynu a ostatních paliv, které byly nižší o 3,4 %. Naopak výrazně rostlo nájemné z bytu (6,1 %) i imputované nájemné</w:t>
            </w:r>
            <w:r>
              <w:rPr>
                <w:rStyle w:val="Znakapoznpodarou"/>
                <w:lang w:eastAsia="en-US"/>
              </w:rPr>
              <w:footnoteReference w:id="1"/>
            </w:r>
            <w:r>
              <w:rPr>
                <w:lang w:eastAsia="en-US"/>
              </w:rPr>
              <w:t xml:space="preserve"> (4,4 %) a výraznou dynamiku cen nadále měly ostatní služby související s bydlením (3,9 %) i běžná údržba a drobné opravy (3,4 %). V samotném 4. čtvrtletí ceny bydlení a energií vzrostly meziročně o 1,9 % a mezičtvrtletně o 0,5 %. Nejvíce meziročně vzrostly ceny nájemného z bytu (6,1 %) a imputovaného nájemného (4,8 %). Výrazné tempo si držely ceny ostatních služeb souvisejících s bydlením (3,9 %) i běžná údržba a drobné opravy (3,4 %). Ceny elektrické a tepelné energie, plynu a ostatních paliv jako jediné meziročně klesaly (−3,9 %).</w:t>
            </w:r>
          </w:p>
        </w:tc>
      </w:tr>
      <w:tr w:rsidR="007F0076" w14:paraId="7BC6BE08" w14:textId="77777777" w:rsidTr="00E87182">
        <w:trPr>
          <w:trHeight w:val="145"/>
        </w:trPr>
        <w:tc>
          <w:tcPr>
            <w:tcW w:w="1791" w:type="dxa"/>
          </w:tcPr>
          <w:p w14:paraId="232931C8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Výrazně se loni zvyšovaly ceny služeb.</w:t>
            </w:r>
          </w:p>
        </w:tc>
        <w:tc>
          <w:tcPr>
            <w:tcW w:w="223" w:type="dxa"/>
          </w:tcPr>
          <w:p w14:paraId="7E6781D2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63EC5005" w14:textId="77777777" w:rsidR="007F0076" w:rsidRDefault="007F0076" w:rsidP="00E87182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Charakteristickým rysem cenového růstu v roce 2025 byla pokračující silná dynamika cen služeb. To se projevovalo zejména na vývoji v oddíle stravování a ubytování, kde ceny loni vzrostly o 4,9 %. Výrazněji přitom rostly ceny ubytovacích služeb (7,4 %) než stravování (4,6 %). Stabilně silná meziroční dynamika cen se u tohoto oddílu udržela po celý rok a ve 4. čtvrtletí ceny stravování a ubytování vzrostly meziročně o 4,7 % a mezičtvrtletně o 0,9 %. Rovněž ceny rekreací a kultury se zvyšovaly nadprůměrným tempem a za celý rok 2025 vzrostly o 3,7 %. Ve směru nárůstu působily především ceny rekreačních a kulturních služeb (5,8 %) a dovolených s komplexními službami (4,3 %). Silně narostly i ceny novin, knih a papírenského zboží (3,9 %). Ve 4. kvartálu oslabil meziroční přírůstek cen rekreací a kultury na 3,8 % a projevilo se na tom obvyklé sezónní mezičtvrtletní snížení cen (−3,7 %, hlavně dovolené s komplexními službami). Ceny ostatního zboží a služeb se loni zvýšily o 3,2 %</w:t>
            </w:r>
            <w:r>
              <w:rPr>
                <w:rStyle w:val="Znakapoznpodarou"/>
                <w:lang w:eastAsia="en-US"/>
              </w:rPr>
              <w:footnoteReference w:id="2"/>
            </w:r>
            <w:r>
              <w:rPr>
                <w:lang w:eastAsia="en-US"/>
              </w:rPr>
              <w:t xml:space="preserve">. Loni výrazně narostly ceny v oblasti vzdělávání (8,7 %) – projevilo se ještě mimořádně silné mezičtvrtletní navýšení o 6,9 %, ke kterému došlo v závěru roku 2024. Vysoká srovnávací základna byla patrná také na oslabení meziročního tempa růstu cen vzdělávání ve 4. kvartálu 2025 na 4,1 %. Mezičtvrtletní navýšení dosáhlo 2,3 %. Ceny v oblasti zdraví byly loni vyšší o 3,4 % a v samotném 4. čtvrtletí meziročně narostly o 3,1 %. </w:t>
            </w:r>
          </w:p>
        </w:tc>
      </w:tr>
      <w:tr w:rsidR="007F0076" w14:paraId="4C391100" w14:textId="77777777" w:rsidTr="00E87182">
        <w:trPr>
          <w:trHeight w:val="145"/>
        </w:trPr>
        <w:tc>
          <w:tcPr>
            <w:tcW w:w="1791" w:type="dxa"/>
          </w:tcPr>
          <w:p w14:paraId="12754088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lastRenderedPageBreak/>
              <w:t>Mírný růst byl loni zaznamenán u cen bytového vybavení.</w:t>
            </w:r>
          </w:p>
        </w:tc>
        <w:tc>
          <w:tcPr>
            <w:tcW w:w="223" w:type="dxa"/>
          </w:tcPr>
          <w:p w14:paraId="37394C31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2C2CC2C7" w14:textId="77777777" w:rsidR="007F0076" w:rsidRDefault="007F0076" w:rsidP="00E8718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 rámci spotřebního koše loni rostly jen mírně ceny bytového vybavení, zařízení domácnosti a oprav (1,4 %). Poměrně vysoký přírůstek cen měl bytový textil (6,8 %) a zdražoval i nábytek, zařízení a podlahové krytiny (2,6 %). Ceny ve zbytku oddílu ale spíše stagnovaly nebo v případě zboží a služeb pro běžnou údržbu domácnosti klesaly (−1,7 %). Stabilní růstové tempo si držel oddíl po celý rok a v samotném 4. čtvrtletí dosáhl meziroční přírůstek cen bytového vybavení, zařízení a oprav 1,3 %. Mezičtvrtletně zde ceny vzrostly o 0,1 %. Ceny pošt a telekomunikací loni vzrostly o 0,4 %, v samotném 4. čtvrtletí byly meziročně vyšší o 0,5 % a mezičtvrtletně se nezměnily. </w:t>
            </w:r>
          </w:p>
        </w:tc>
      </w:tr>
      <w:tr w:rsidR="007F0076" w14:paraId="1166E067" w14:textId="77777777" w:rsidTr="00E87182">
        <w:trPr>
          <w:trHeight w:val="145"/>
        </w:trPr>
        <w:tc>
          <w:tcPr>
            <w:tcW w:w="1791" w:type="dxa"/>
          </w:tcPr>
          <w:p w14:paraId="444E1C7E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Pokles byl v loňském roce zaznamenán u cen oděvů a obuvi a dopravy.</w:t>
            </w:r>
          </w:p>
        </w:tc>
        <w:tc>
          <w:tcPr>
            <w:tcW w:w="223" w:type="dxa"/>
          </w:tcPr>
          <w:p w14:paraId="03A7F268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5D0B3115" w14:textId="77777777" w:rsidR="007F0076" w:rsidRDefault="007F0076" w:rsidP="00E87182">
            <w:pPr>
              <w:rPr>
                <w:lang w:eastAsia="en-US"/>
              </w:rPr>
            </w:pPr>
            <w:r>
              <w:rPr>
                <w:lang w:eastAsia="en-US"/>
              </w:rPr>
              <w:t>Loni klesly ceny jen u dvou oddílů. Tím prvním bylo odívání a obuv (−1,9 %), kde se meziroční pokles udržel v průběhu celého roku. Ve 4. kvartálu zde dosáhlo meziroční snížení cen 2,0 %, ale mezičtvrtletně došlo k výraznému nárůstu o 1,2 %. Druhým oddílem, kde ceny celkově klesly, byla doprava (−0,8 %), u které se projevilo zejména zlevnění provozu osobních dopravních prostředků (−2,5 %), zejména snížení cen pohonných hmot (−6,8 %). Jen mírně vyšší byly loni ceny nákupu automobilů, motocyklů a jízdních kol (0,6 %). Výrazněji v rámci cen dopravy rostly jen náklady na dopravní služby (3,2 %). V závislosti na vývoji cen pohonných hmot se ceny dopravy v průběhu roku občasně dostávaly z poklesu do meziroční stagnace, což byl také případ vývoje ve 4. kvartálu (meziročně růst o 0,1 %, mezičtvrtletně −0,1 %). Ceny provozu osobních dopravních prostředků ve 4. čtvrtletí meziročně klesly o 0,9 %. U dopravních služeb meziroční přírůstek oslabil na 1,4 % a ceny nákupu automobilů, motocyklů a jízdních kol byly vyšší o 1,2 %.</w:t>
            </w:r>
          </w:p>
        </w:tc>
      </w:tr>
      <w:tr w:rsidR="007F0076" w14:paraId="1FA54CD2" w14:textId="77777777" w:rsidTr="00E87182">
        <w:trPr>
          <w:trHeight w:val="145"/>
        </w:trPr>
        <w:tc>
          <w:tcPr>
            <w:tcW w:w="1791" w:type="dxa"/>
            <w:hideMark/>
          </w:tcPr>
          <w:p w14:paraId="32BB86DE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 xml:space="preserve">Spotřebitelské ceny v EU se v roce 2025 zvýšily </w:t>
            </w:r>
            <w:r>
              <w:rPr>
                <w:spacing w:val="0"/>
                <w:lang w:eastAsia="en-US"/>
              </w:rPr>
              <w:br/>
              <w:t>o 2,5 %.</w:t>
            </w:r>
          </w:p>
        </w:tc>
        <w:tc>
          <w:tcPr>
            <w:tcW w:w="223" w:type="dxa"/>
          </w:tcPr>
          <w:p w14:paraId="5F31B602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11204FE2" w14:textId="77777777" w:rsidR="007F0076" w:rsidRDefault="007F0076" w:rsidP="00E87182">
            <w:pPr>
              <w:rPr>
                <w:lang w:eastAsia="en-US"/>
              </w:rPr>
            </w:pPr>
            <w:r>
              <w:rPr>
                <w:bCs/>
              </w:rPr>
              <w:t>Harmonizovaný index spotřebitelských cen (HICP)</w:t>
            </w:r>
            <w:r>
              <w:rPr>
                <w:rStyle w:val="Znakapoznpodarou"/>
                <w:lang w:eastAsia="en-US"/>
              </w:rPr>
              <w:footnoteReference w:id="3"/>
            </w:r>
            <w:r>
              <w:rPr>
                <w:bCs/>
              </w:rPr>
              <w:t xml:space="preserve"> v Evropské unii v roce 2025 vzrostl o 2,5 %. Tempo drobně zpomalilo oproti předchozímu roku (2,6 %) a rovněž se změnila struktura cenového růstu. Loni v EU posílil nárůst cen potravin a nealkoholických nápojů (3,3 %) i bydlení a energií (2,8 %). Naopak mírněji se zvyšovaly ceny alkoholu a tabáku (4,4 %), ubytování a stravování (4,0 %), rekreací a kultury (1,9 %) a téměř se zastavil růst cen oděvů a obuvi (0,4 %). V roce 2025 klesly v EU pouze ceny telekomunikací (−1,5 %). Spotřebitelské ceny loni vzrostly ve všech zemích EU. Pod 1 % se dostal přírůstek cen na Kypru (0,8 %) a ve Francii (0,9 %). Naopak s výrazným náskokem nejvíce rostl HICP v Rumunsku (6,8 %) a následovaly Estonsko (4,8 %), Chorvatsko a Maďarsko (shodně 4,4 %). V Česku růst HICP zmírnil na 2,3 %. V samotném 4. kvartálu HICP v EU meziročně vzrostl o 2,4 % a mezičtvrtletně o 0,3 %. Mírné zpomalení meziročního tempa růstu HICP ovlivnil především vývoj cen potravin a nealkoholických nápojů (zmírnění přírůstku na 2,9 %). Stále silně rostly ceny ubytování a stravování a dalších služeb. Meziročně klesly jen ceny telekomunikací (−0,6 %). Nejvíce se ve 4. čtvrtletí meziročně zvyšovaly ceny v Rumunsku (8,6 %), Estonsku (4,4 %) a Chorvatsku (4,0 %). Prakticky stagnovaly ceny na Kypru (0,1 %) a jen mírně meziročně vzrostly ceny ve Francii (0,8 %) a v Itálii (1,2 %).</w:t>
            </w:r>
          </w:p>
        </w:tc>
      </w:tr>
      <w:tr w:rsidR="007F0076" w14:paraId="0A75621E" w14:textId="77777777" w:rsidTr="00E87182">
        <w:trPr>
          <w:trHeight w:val="145"/>
        </w:trPr>
        <w:tc>
          <w:tcPr>
            <w:tcW w:w="1791" w:type="dxa"/>
          </w:tcPr>
          <w:p w14:paraId="2380E537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Meziroční růst nabídkových cen bytů ve druhé polovině roku vyvrcholilo.</w:t>
            </w:r>
          </w:p>
        </w:tc>
        <w:tc>
          <w:tcPr>
            <w:tcW w:w="223" w:type="dxa"/>
          </w:tcPr>
          <w:p w14:paraId="22E6290D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72C1A8CB" w14:textId="4F869F60" w:rsidR="007F0076" w:rsidRDefault="007F0076" w:rsidP="00E8718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 roce 2025 vzrostly nabídkové ceny bytů v Česku meziročně o 16,8 %. Ve srovnání s předchozím rokem došlo k prudkému zrychlení dynamiky cen, a to u cen bytů v Praze (15,8 %) i mimo Prahu (17,9 %). Zrychlování meziročního tempa růstu nabídkových cen bytů v Česku vyvrcholilo ve druhé polovině roku a ve 4. čtvrtletí přírůstek mírně zpomalil na 16,9 %. Mírnější byl i mezičtvrtletní nárůst (2,4 %). Na zpomalení meziročního tempa působily zejména nabídkové ceny bytů v Praze (14,8 % ve 4. čtvrtletí, 16,1 % ve 3. čtvrtletí), u bytů mimo Prahu cenový přírůstek klesl z 19,5 % ve 3. čtvrtletí na 19,2 % ve 4. kvartálu. Stabilní je už několik kvartálů meziroční i mezičtvrtletní dynamika realizovaných cen starších bytů v Česku. Ty ve 4. čtvrtletí 2025 meziročně vzrostly </w:t>
            </w:r>
            <w:r>
              <w:rPr>
                <w:lang w:eastAsia="en-US"/>
              </w:rPr>
              <w:lastRenderedPageBreak/>
              <w:t>o</w:t>
            </w:r>
            <w:r w:rsidR="00B10325">
              <w:rPr>
                <w:lang w:eastAsia="en-US"/>
              </w:rPr>
              <w:t> </w:t>
            </w:r>
            <w:r>
              <w:rPr>
                <w:lang w:eastAsia="en-US"/>
              </w:rPr>
              <w:t>16,0 % při mezičtvrtletním navýšení o 3,7 %. V samotné Praze se realizované ceny starších bytů meziročně zvýšily o 13,7 % a mimo Prahu o 16,6 %. U cen nových bytů, které jsou dostupné jen za Prahu, bylo ve 4. čtvrtletí 2025 patrné zpomalení růstu – meziročně se ceny zvýšily o 13,3 % a mezičtvrtletně o 0,9 %, což bylo nejméně od 3.</w:t>
            </w:r>
            <w:r w:rsidR="00B10325">
              <w:rPr>
                <w:lang w:eastAsia="en-US"/>
              </w:rPr>
              <w:t> </w:t>
            </w:r>
            <w:r>
              <w:rPr>
                <w:lang w:eastAsia="en-US"/>
              </w:rPr>
              <w:t xml:space="preserve">kvartálu 2024. </w:t>
            </w:r>
          </w:p>
        </w:tc>
      </w:tr>
      <w:tr w:rsidR="007F0076" w14:paraId="0582D38C" w14:textId="77777777" w:rsidTr="00E87182">
        <w:trPr>
          <w:trHeight w:val="145"/>
        </w:trPr>
        <w:tc>
          <w:tcPr>
            <w:tcW w:w="1791" w:type="dxa"/>
          </w:tcPr>
          <w:p w14:paraId="5441E1CE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7E806B8E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1FAB30FB" w14:textId="6ABBEA4C" w:rsidR="007F0076" w:rsidRDefault="007F0076" w:rsidP="00E87182">
            <w:pPr>
              <w:spacing w:after="0"/>
              <w:rPr>
                <w:rStyle w:val="Znakapoznpodarou"/>
              </w:rPr>
            </w:pPr>
            <w:r>
              <w:rPr>
                <w:b/>
                <w:sz w:val="18"/>
                <w:szCs w:val="18"/>
                <w:lang w:eastAsia="en-US"/>
              </w:rPr>
              <w:t>Graf č. 1</w:t>
            </w:r>
            <w:r w:rsidR="00281666">
              <w:rPr>
                <w:b/>
                <w:sz w:val="18"/>
                <w:szCs w:val="18"/>
                <w:lang w:eastAsia="en-US"/>
              </w:rPr>
              <w:t>2</w:t>
            </w:r>
            <w:r>
              <w:rPr>
                <w:b/>
                <w:sz w:val="18"/>
                <w:szCs w:val="18"/>
                <w:lang w:eastAsia="en-US"/>
              </w:rPr>
              <w:t xml:space="preserve"> Ceny nemovitostí </w:t>
            </w:r>
            <w:r>
              <w:rPr>
                <w:sz w:val="18"/>
                <w:szCs w:val="18"/>
                <w:lang w:eastAsia="en-US"/>
              </w:rPr>
              <w:t>(meziroční změna, v %)</w:t>
            </w:r>
          </w:p>
        </w:tc>
      </w:tr>
      <w:tr w:rsidR="007F0076" w14:paraId="038B98A9" w14:textId="77777777" w:rsidTr="00E87182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791" w:type="dxa"/>
          </w:tcPr>
          <w:p w14:paraId="06FA447B" w14:textId="77777777" w:rsidR="007F0076" w:rsidRDefault="007F0076" w:rsidP="00E87182">
            <w:pPr>
              <w:pStyle w:val="Marginlie"/>
              <w:rPr>
                <w:spacing w:val="0"/>
              </w:rPr>
            </w:pPr>
          </w:p>
        </w:tc>
        <w:tc>
          <w:tcPr>
            <w:tcW w:w="223" w:type="dxa"/>
          </w:tcPr>
          <w:p w14:paraId="4A21D303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0EA8FA00" w14:textId="77777777" w:rsidR="007F0076" w:rsidRDefault="007F0076" w:rsidP="00E87182">
            <w:pPr>
              <w:spacing w:after="0"/>
              <w:rPr>
                <w:rStyle w:val="Znakapoznpodarou"/>
              </w:rPr>
            </w:pPr>
            <w:r>
              <w:rPr>
                <w:noProof/>
              </w:rPr>
              <w:drawing>
                <wp:inline distT="0" distB="0" distL="0" distR="0" wp14:anchorId="0FC00EC2" wp14:editId="5602D79B">
                  <wp:extent cx="4737600" cy="3553200"/>
                  <wp:effectExtent l="0" t="0" r="6350" b="0"/>
                  <wp:docPr id="1764335945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7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7F0076" w14:paraId="2507BBC4" w14:textId="77777777" w:rsidTr="00E87182">
        <w:trPr>
          <w:trHeight w:val="145"/>
        </w:trPr>
        <w:tc>
          <w:tcPr>
            <w:tcW w:w="1791" w:type="dxa"/>
          </w:tcPr>
          <w:p w14:paraId="1D6C49E3" w14:textId="77777777" w:rsidR="007F0076" w:rsidRDefault="007F0076" w:rsidP="00E87182">
            <w:pPr>
              <w:pStyle w:val="Marginlie"/>
              <w:rPr>
                <w:spacing w:val="0"/>
              </w:rPr>
            </w:pPr>
          </w:p>
        </w:tc>
        <w:tc>
          <w:tcPr>
            <w:tcW w:w="223" w:type="dxa"/>
          </w:tcPr>
          <w:p w14:paraId="5E5B4FAC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700C5AE3" w14:textId="77777777" w:rsidR="007F0076" w:rsidRDefault="007F0076" w:rsidP="00E87182">
            <w:pPr>
              <w:jc w:val="left"/>
              <w:rPr>
                <w:rStyle w:val="Znakapoznpodarou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Zdroj: ČSÚ</w:t>
            </w:r>
          </w:p>
        </w:tc>
      </w:tr>
      <w:tr w:rsidR="007F0076" w14:paraId="6F04C298" w14:textId="77777777" w:rsidTr="00E87182">
        <w:trPr>
          <w:trHeight w:val="145"/>
        </w:trPr>
        <w:tc>
          <w:tcPr>
            <w:tcW w:w="1791" w:type="dxa"/>
          </w:tcPr>
          <w:p w14:paraId="34BB0713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Ceny průmyslových výrobců loni celkově klesly.</w:t>
            </w:r>
          </w:p>
        </w:tc>
        <w:tc>
          <w:tcPr>
            <w:tcW w:w="223" w:type="dxa"/>
          </w:tcPr>
          <w:p w14:paraId="060B3893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77861C9E" w14:textId="77777777" w:rsidR="007F0076" w:rsidRDefault="007F0076" w:rsidP="00E87182">
            <w:pPr>
              <w:rPr>
                <w:lang w:eastAsia="en-US"/>
              </w:rPr>
            </w:pPr>
            <w:r>
              <w:rPr>
                <w:lang w:eastAsia="en-US"/>
              </w:rPr>
              <w:t>Ceny průmyslových výrobců v roce 2025 celkově klesly o 0,8 % a šlo o první snížení od roku 2016. Meziročně vyšší byly pouze ceny zásobování vodou a souvisejících služeb (4,1 %). Nejvíce se propadly ceny těžby a dobývání (−3,8 %). Z toho ceny těžby uhlí a lignitu klesly o 9,6 % a ropy a zemního plynu o 15,5 %. Rostly naopak ceny ostatní těžby, zejména stavebních hmot (5,8 %). Ceny elektřiny, plynu, páry a klimatizovaného vzduchu byly v roce 2025 nižší o 2,9 %. Meziroční vývoj cen výrobků a služeb zpracovatelského průmyslu se po většinu roku pohyboval okolo hranice stagnace a celkově loni ceny v této sekci klesly o 0,2 %. Nižší byly loni ceny chemických látek a přípravků (−5,6 %), základních kovů (−2,6 %), elektrických zařízení (−1,3 %), kovodělných výrobků (−0,5 %) nebo motorových vozidel (−0,2 %). Naopak výrazně rostly ceny dřeva a dřevěných výrobků (4,8 %), oděvů (4,4 %), oprav, údržby a instalace strojů a zařízení (4,1 %), ostatních dopravních prostředků (3,9 %) a základních farmaceutických výrobků a přípravků (3,1 %).</w:t>
            </w:r>
          </w:p>
        </w:tc>
      </w:tr>
      <w:tr w:rsidR="007F0076" w14:paraId="227B0F09" w14:textId="77777777" w:rsidTr="00E87182">
        <w:trPr>
          <w:trHeight w:val="145"/>
        </w:trPr>
        <w:tc>
          <w:tcPr>
            <w:tcW w:w="1791" w:type="dxa"/>
          </w:tcPr>
          <w:p w14:paraId="24AA4252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Meziroční pokles cen průmyslových výrobců se v průběhu roku prohluboval.</w:t>
            </w:r>
          </w:p>
        </w:tc>
        <w:tc>
          <w:tcPr>
            <w:tcW w:w="223" w:type="dxa"/>
          </w:tcPr>
          <w:p w14:paraId="32BF1C6E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68B27D3A" w14:textId="77777777" w:rsidR="007F0076" w:rsidRDefault="007F0076" w:rsidP="00E8718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 průběhu roku se postupně prohluboval pokles cen průmyslových výrobců až na −1,5 % ve 4. čtvrtletí. Mezičtvrtletně se ceny průmyslových výrobců snížily o 0,2 %. Ceny těžby a dobývání si udržely podobný meziroční pokles jako v předchozím kvartálu (−4,2 %) a mezičtvrtletně klesly o 0,4 %. Vývoj v rámci sekce se nelišil od zbytku roku. Nejvíce meziročně klesly ceny těžby uhlí a lignitu (−10,0 %) a ropy a zemního plynu (−15,0 %). Rostly naopak ceny ostatní těžby (5,2 %). Meziroční pokles cen elektřiny, plynu, páry a klimatizovaného vzduchu se ve 4. čtvrtletí prohloubil na −3,8 % a mezičtvrtletně byly ceny vyšší o 1,2 %. Meziroční pokles cen výrobků a služeb zpracovatelského průmyslu se ve 4. kvartálu prohloubil na −0,9 % a mezičtvrtletně klesly ceny o 0,6 %. Meziročně se propadly zejména ceny chemických látek a přípravků </w:t>
            </w:r>
            <w:r>
              <w:rPr>
                <w:lang w:eastAsia="en-US"/>
              </w:rPr>
              <w:lastRenderedPageBreak/>
              <w:t>(−8,1 %), k prohloubení poklesu došlo u papíru a výrobků z něj (−3,7 %), nižší byly i ceny základních kovů (−2,7 %), motorových vozidel (−2,0 %), elektrických zařízení (−2,0 %) a kovodělných výrobků (−0,9 %). Do meziročního poklesu se v závěru roku dostaly ceny počítačů, elektronických a optických přístrojů a zařízení (−1,7 %) a pryžových a plastových výrobků (−1,3 %). Naopak výrazně zrychlil meziroční nárůst cen dřeva a výrobků z něj (7,5 %), vyšší byly také ceny ostatních dopravních prostředků (4,2 %), oprav, údržby a instalace strojů a zařízení (3,9 %), oděvů (3,6 %), nábytku (3,2 %) nebo základních farmaceutických výrobků a přípravků (3,1 %).</w:t>
            </w:r>
          </w:p>
        </w:tc>
      </w:tr>
      <w:tr w:rsidR="007F0076" w14:paraId="67E8BA7F" w14:textId="77777777" w:rsidTr="00E87182">
        <w:trPr>
          <w:trHeight w:val="145"/>
        </w:trPr>
        <w:tc>
          <w:tcPr>
            <w:tcW w:w="1791" w:type="dxa"/>
          </w:tcPr>
          <w:p w14:paraId="65FC9480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25D9D03D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3016708E" w14:textId="2FBC1D1C" w:rsidR="007F0076" w:rsidRDefault="007F0076" w:rsidP="00E87182">
            <w:pPr>
              <w:spacing w:after="0"/>
              <w:rPr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Graf č. 1</w:t>
            </w:r>
            <w:r w:rsidR="00281666">
              <w:rPr>
                <w:b/>
                <w:sz w:val="18"/>
                <w:szCs w:val="18"/>
                <w:lang w:eastAsia="en-US"/>
              </w:rPr>
              <w:t>3</w:t>
            </w:r>
            <w:r>
              <w:rPr>
                <w:b/>
                <w:sz w:val="18"/>
                <w:szCs w:val="18"/>
                <w:lang w:eastAsia="en-US"/>
              </w:rPr>
              <w:t xml:space="preserve"> Ceny hlavních skupin průmyslových výrobců </w:t>
            </w:r>
            <w:r>
              <w:rPr>
                <w:sz w:val="18"/>
                <w:szCs w:val="18"/>
                <w:lang w:eastAsia="en-US"/>
              </w:rPr>
              <w:t>(meziroční změna, v %, podle klasifikace CPA)</w:t>
            </w:r>
          </w:p>
        </w:tc>
      </w:tr>
      <w:tr w:rsidR="007F0076" w14:paraId="5188B4C6" w14:textId="77777777" w:rsidTr="00E87182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791" w:type="dxa"/>
          </w:tcPr>
          <w:p w14:paraId="66477BD7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5F66E1E9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08F59CB0" w14:textId="77777777" w:rsidR="007F0076" w:rsidRDefault="007F0076" w:rsidP="00E87182">
            <w:pPr>
              <w:spacing w:after="0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61638D0" wp14:editId="5D8E65CB">
                  <wp:extent cx="4752000" cy="3553200"/>
                  <wp:effectExtent l="0" t="0" r="0" b="0"/>
                  <wp:docPr id="2065327726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7F0076" w14:paraId="1B04C3D8" w14:textId="77777777" w:rsidTr="00E87182">
        <w:trPr>
          <w:trHeight w:val="145"/>
        </w:trPr>
        <w:tc>
          <w:tcPr>
            <w:tcW w:w="1791" w:type="dxa"/>
          </w:tcPr>
          <w:p w14:paraId="048BE98C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068B5CA1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2B6D4BE1" w14:textId="77777777" w:rsidR="007F0076" w:rsidRDefault="007F0076" w:rsidP="00E87182">
            <w:pPr>
              <w:jc w:val="lef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Zdroj: ČSÚ</w:t>
            </w:r>
          </w:p>
        </w:tc>
      </w:tr>
      <w:tr w:rsidR="007F0076" w14:paraId="74DF1ECB" w14:textId="77777777" w:rsidTr="00E87182">
        <w:trPr>
          <w:trHeight w:val="145"/>
        </w:trPr>
        <w:tc>
          <w:tcPr>
            <w:tcW w:w="1791" w:type="dxa"/>
            <w:hideMark/>
          </w:tcPr>
          <w:p w14:paraId="20D9E56D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Ceny průmyslových výrobců v EU loni mírně vzrostly.</w:t>
            </w:r>
          </w:p>
        </w:tc>
        <w:tc>
          <w:tcPr>
            <w:tcW w:w="223" w:type="dxa"/>
          </w:tcPr>
          <w:p w14:paraId="624343AA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4987AC05" w14:textId="77777777" w:rsidR="007F0076" w:rsidRDefault="007F0076" w:rsidP="00E87182">
            <w:pPr>
              <w:rPr>
                <w:lang w:eastAsia="en-US"/>
              </w:rPr>
            </w:pPr>
            <w:r>
              <w:rPr>
                <w:lang w:eastAsia="en-US"/>
              </w:rPr>
              <w:t>Ceny průmyslových výrobců v EU</w:t>
            </w:r>
            <w:r>
              <w:rPr>
                <w:rStyle w:val="Znakapoznpodarou"/>
                <w:lang w:eastAsia="en-US"/>
              </w:rPr>
              <w:footnoteReference w:id="4"/>
            </w:r>
            <w:r>
              <w:rPr>
                <w:lang w:eastAsia="en-US"/>
              </w:rPr>
              <w:t xml:space="preserve"> v roce 2025 celkově vzrostly o 0,5 %. Mírně vyšší byly ceny elektřiny, plynu, páry a klimatizovaného vzduchu (0,8 %), těžby a dobývání (0,5 %) i výrobků a služeb zpracovatelského průmyslu (0,3 %). Nejvíce se ceny průmyslových výrobců loni zvýšily v Bulharsku (13,2 %), Dánsku (3,6 %) a Rumunsku (3,1 %). Naopak nejvýraznější pokles byl zaznamenán v Lucembursku (−4,2 %), Portugalsku (−2,5 %) a Litvě (−2,1 %). Pod vlivem prudkého mezičtvrtletního poklesu cen, ke kterému došlo ve 2. čtvrtletí, bylo v průběhu roku 2025 patrné zpomalení meziroční dynamiky cen průmyslových výrobců až na −1,0 % ve 4. čtvrtletí (při mezičtvrtletním navýšení o 0,2 %). Meziročně klesly ceny elektřiny, plynu, páry a klimatizovaného vzduchu (−5,2 %), které výše popsanou dynamiku klíčově ovlivnily, a těžby a dobývání (−2,7 %). Ve zpracovatelském průmyslu se udržel mírný meziroční růst cen (0,4 %). Nejvíce se ceny průmyslových výrobců ve 4. čtvrtletí meziročně zvýšily v Bulharsku (13,6 %), Rumunsku (6,7 %) a Švédsku (3,0 %). V Lucembursku (−5,9 %), Irsku (−4,0 %) a Portugalsku (−3,3 %) naopak ceny klesly nejvíce.</w:t>
            </w:r>
          </w:p>
        </w:tc>
      </w:tr>
      <w:tr w:rsidR="007F0076" w14:paraId="3DD237DF" w14:textId="77777777" w:rsidTr="00E87182">
        <w:trPr>
          <w:trHeight w:val="145"/>
        </w:trPr>
        <w:tc>
          <w:tcPr>
            <w:tcW w:w="1791" w:type="dxa"/>
            <w:hideMark/>
          </w:tcPr>
          <w:p w14:paraId="2EAD4FED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Ceny stavebních prací loni vzrostly o 3,0 %.</w:t>
            </w:r>
          </w:p>
        </w:tc>
        <w:tc>
          <w:tcPr>
            <w:tcW w:w="223" w:type="dxa"/>
          </w:tcPr>
          <w:p w14:paraId="49E00C71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334A209F" w14:textId="77777777" w:rsidR="007F0076" w:rsidRDefault="007F0076" w:rsidP="00E8718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Ceny stavebních prací byly dle odhadu v průměru za celý rok 2025 v porovnání s rokem 2024 vyšší o 3,0 %. Znamenalo to posílení růstu (v roce 2024 ceny vzrostly o 2,0 %). Ceny materiálů a výrobků </w:t>
            </w:r>
            <w:r w:rsidRPr="00E13064">
              <w:rPr>
                <w:lang w:eastAsia="en-US"/>
              </w:rPr>
              <w:t xml:space="preserve">spotřebovávaných ve stavebnictví vzrostly v průměru za celý </w:t>
            </w:r>
            <w:r w:rsidRPr="00E13064">
              <w:rPr>
                <w:lang w:eastAsia="en-US"/>
              </w:rPr>
              <w:lastRenderedPageBreak/>
              <w:t>rok 2025 o 1,0 % (v roce 2024 byly nižší o 0,5 %).</w:t>
            </w:r>
            <w:r>
              <w:rPr>
                <w:lang w:eastAsia="en-US"/>
              </w:rPr>
              <w:t xml:space="preserve"> Po celý rok 2025 bylo meziroční tempo růstu cen stavebních prací stabilní a v samotném 4. čtvrtletí ceny meziročně vzrostly o 3,1 % a mezičtvrtletně byly vyšší o 0,7 %. Ceny materiálů a výrobků spotřebovávaných ve stavebnictví se ve 4. čtvrtletí meziročně zvýšily o 1,2 % a mezičtvrtletně o 0,3 %. </w:t>
            </w:r>
          </w:p>
        </w:tc>
      </w:tr>
      <w:tr w:rsidR="007F0076" w14:paraId="244AA66B" w14:textId="77777777" w:rsidTr="00E87182">
        <w:trPr>
          <w:trHeight w:val="145"/>
        </w:trPr>
        <w:tc>
          <w:tcPr>
            <w:tcW w:w="1791" w:type="dxa"/>
            <w:hideMark/>
          </w:tcPr>
          <w:p w14:paraId="44B6441F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lastRenderedPageBreak/>
              <w:t>Růst cen tržních služeb byl značně ovlivněn cenami reklamních služeb a průzkumu trhu.</w:t>
            </w:r>
          </w:p>
        </w:tc>
        <w:tc>
          <w:tcPr>
            <w:tcW w:w="223" w:type="dxa"/>
          </w:tcPr>
          <w:p w14:paraId="1F60387F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496434CE" w14:textId="77777777" w:rsidR="007F0076" w:rsidRDefault="007F0076" w:rsidP="00E87182">
            <w:pPr>
              <w:rPr>
                <w:lang w:eastAsia="en-US"/>
              </w:rPr>
            </w:pPr>
            <w:r>
              <w:rPr>
                <w:lang w:eastAsia="en-US"/>
              </w:rPr>
              <w:t>Ceny tržních služeb v roce 2024 vzrostly o 4,1 %. Nejvíce se zvýšily ceny reklamních služeb a průzkumu trhu (13,9 %), následované bezpečnostními a pátracími službami (11,7 %) a službami v oblasti zaměstnání (9,2 %). Nezanedbatelně se zvýšily i ceny skladování a podpůrných služeb v dopravě (6,1 %), vydavatelských služeb (5,1 %), pojištění, zajištění a penzijního financování (4,5 %), poštovních a kurýrních služeb (4,3 %), služeb v oblasti nemovitostí (3,9 %) nebo programování a souvisejícího poradenství (3,7 %). Jediné a</w:t>
            </w:r>
            <w:r w:rsidRPr="003E1A8D">
              <w:rPr>
                <w:lang w:eastAsia="en-US"/>
              </w:rPr>
              <w:t>dministrativní, kancelářské a jiné podpůrné služby pro podnikání</w:t>
            </w:r>
            <w:r>
              <w:rPr>
                <w:lang w:eastAsia="en-US"/>
              </w:rPr>
              <w:t xml:space="preserve"> zaznamenaly pokles cen o 0,5 %. V samotném 4. čtvrtletí meziroční růst cen tržních služeb mírně zpomalil na 4,2 %. Mezičtvrtletně se ceny zvýšily o 1,4 %. V posledním kvartálu roku 2025 nejvíce meziročně rostly ceny tvorby programů a vysílání (15,2 %), reklamních služeb a průzkumu trhu (16,7 %), bezpečnostních a pátracích služeb (12,0 %) a služeb v oblasti zaměstnání (8,9 %). Vyšší byly rovněž ceny skladování a podpůrných služeb v dopravě (6,2 %), vydavatelských služeb (6,2 %), činností v oblasti filmů, videozáznamů a televizních programů (5,1 %) nebo pojištění, zajištění a penzijního financování (5,0 %). Meziročně klesly ceny vodní dopravy (−0,4 %), služeb v oblasti pronájmu a operativního leasingu (−0,3 %), pozemní a potrubní dopravy (−0,2 %) a a</w:t>
            </w:r>
            <w:r w:rsidRPr="003E1A8D">
              <w:rPr>
                <w:lang w:eastAsia="en-US"/>
              </w:rPr>
              <w:t>dministrativní</w:t>
            </w:r>
            <w:r>
              <w:rPr>
                <w:lang w:eastAsia="en-US"/>
              </w:rPr>
              <w:t>ch</w:t>
            </w:r>
            <w:r w:rsidRPr="003E1A8D">
              <w:rPr>
                <w:lang w:eastAsia="en-US"/>
              </w:rPr>
              <w:t>, kancelářsk</w:t>
            </w:r>
            <w:r>
              <w:rPr>
                <w:lang w:eastAsia="en-US"/>
              </w:rPr>
              <w:t>ých</w:t>
            </w:r>
            <w:r w:rsidRPr="003E1A8D">
              <w:rPr>
                <w:lang w:eastAsia="en-US"/>
              </w:rPr>
              <w:t xml:space="preserve"> a jin</w:t>
            </w:r>
            <w:r>
              <w:rPr>
                <w:lang w:eastAsia="en-US"/>
              </w:rPr>
              <w:t>ých</w:t>
            </w:r>
            <w:r w:rsidRPr="003E1A8D">
              <w:rPr>
                <w:lang w:eastAsia="en-US"/>
              </w:rPr>
              <w:t xml:space="preserve"> podpůrn</w:t>
            </w:r>
            <w:r>
              <w:rPr>
                <w:lang w:eastAsia="en-US"/>
              </w:rPr>
              <w:t>ých</w:t>
            </w:r>
            <w:r w:rsidRPr="003E1A8D">
              <w:rPr>
                <w:lang w:eastAsia="en-US"/>
              </w:rPr>
              <w:t xml:space="preserve"> služ</w:t>
            </w:r>
            <w:r>
              <w:rPr>
                <w:lang w:eastAsia="en-US"/>
              </w:rPr>
              <w:t>e</w:t>
            </w:r>
            <w:r w:rsidRPr="003E1A8D">
              <w:rPr>
                <w:lang w:eastAsia="en-US"/>
              </w:rPr>
              <w:t>b pro podnikání</w:t>
            </w:r>
            <w:r>
              <w:rPr>
                <w:lang w:eastAsia="en-US"/>
              </w:rPr>
              <w:t xml:space="preserve"> (−0,1 %).</w:t>
            </w:r>
          </w:p>
        </w:tc>
      </w:tr>
      <w:tr w:rsidR="007F0076" w14:paraId="481530E8" w14:textId="77777777" w:rsidTr="00E87182">
        <w:trPr>
          <w:trHeight w:val="145"/>
        </w:trPr>
        <w:tc>
          <w:tcPr>
            <w:tcW w:w="1791" w:type="dxa"/>
            <w:hideMark/>
          </w:tcPr>
          <w:p w14:paraId="5EDF19B5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Loni prudce rostly ceny živočišné výroby.</w:t>
            </w:r>
          </w:p>
        </w:tc>
        <w:tc>
          <w:tcPr>
            <w:tcW w:w="223" w:type="dxa"/>
          </w:tcPr>
          <w:p w14:paraId="2FEA0F7E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41612D57" w14:textId="77777777" w:rsidR="007F0076" w:rsidRDefault="007F0076" w:rsidP="00E87182">
            <w:pPr>
              <w:rPr>
                <w:lang w:eastAsia="en-US"/>
              </w:rPr>
            </w:pPr>
            <w:r>
              <w:rPr>
                <w:lang w:eastAsia="en-US"/>
              </w:rPr>
              <w:t>Ceny zemědělské výroby (včetně ryb) se v roce 2025 celkově zvýšily o 7,9 %. Růst byl tažen zejména vývojem v živočišné výrobě, ale vyšší byly loni i ceny rostlinné výroby, a to o 3,0 %. Vyšší byly ceny váhově významných obilovin (5,2 %), hlavně pšenice (6,9 %), kukuřice (10,3 %) a ostatních obilovin (zejména tritikale, 4,9 %). Naopak stagnovaly ceny ječmene (0,3 %) a propadly se ceny žita (−4,3 %) a ovsa (−10,1 %). Silný přírůstek byl zaznamenán u průmyslových plodin (7,4 %, taženo především růstem cen olejnin o 13,2 % a chmele o 10,0 %, ceny cukrové řepy se propadly o 16,8 %) a vinných hroznů (12,4 %). Vyšší byly loni i ceny krmných plodin (3,1 %) a ovoce (3,8 %). Naopak silný propad byl zachycen u cen brambor (−20,1 %) a dále u zeleniny a zahradnických produktů (−3,4 %). Prudký růst cen vykázala loni živočišná výroba (14,7 %). S výjimkou cen prasat (−9,8 %) rostly ceny napříč celým tímto segmentem zemědělské výroby. Prudce se navýšily ceny skotu (32,0 %) a zdražila drůbež (8,0 %). Značné důsledky pro konečné spotřebitele pak mělo výrazné navýšení cen vajec (36,0 %) a mléka (16,8 %).</w:t>
            </w:r>
          </w:p>
        </w:tc>
      </w:tr>
      <w:tr w:rsidR="007F0076" w14:paraId="7F7DD6CF" w14:textId="77777777" w:rsidTr="00E87182">
        <w:trPr>
          <w:trHeight w:val="145"/>
        </w:trPr>
        <w:tc>
          <w:tcPr>
            <w:tcW w:w="1791" w:type="dxa"/>
          </w:tcPr>
          <w:p w14:paraId="70020700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Ve 4. čtvrtletí meziročně klesly ceny v rostlinné výrobě.</w:t>
            </w:r>
          </w:p>
        </w:tc>
        <w:tc>
          <w:tcPr>
            <w:tcW w:w="223" w:type="dxa"/>
          </w:tcPr>
          <w:p w14:paraId="18D37939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03DE3AAE" w14:textId="77777777" w:rsidR="007F0076" w:rsidRDefault="007F0076" w:rsidP="00E8718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Aktuální epizoda meziročního růstu cen zemědělských výrobců začala už na konci roku 2024 a tato vysoká srovnávací základna byla jedním z důvodů značného zpomalení meziročního přírůstku cen ve 4. čtvrtletí 2025 na 0,9 %. Ceny rostlinné výroby se ve 4. čtvrtletí dostaly do meziročního poklesu o 5,9 %. Ceny obilovin byly meziročně nižší o 7,0 % (pšenice −7,9 %, ječmen −3,5 %, kukuřice −10,1 %). U ovoce došlo k propadu o 19,3 %, u brambor o 18,3 %, u průmyslových plodin o 7,6 % a ceny krmných plodin klesly o 1,9 %. Naopak se ve 4.čtrvrtletí zastavil meziroční pokles cen zeleniny a zahradnických produktů (ceny stagnovaly). Meziroční růst cen živočišné výroby ve 4. čtvrtletí zpomalil na 12,7 %. Prakticky beze změn zůstala dynamika cen skotu (meziroční růst o 39,8 %) a drůbeže (11,9 %) a jen kosmetické bylo zpomalení růstu cen vajec (35,4 %). Přibližně na polovinu se zmírnil meziroční růst cen mléka (10,3 %). Prohloubil se pokles cen prasat na −13,1 %. </w:t>
            </w:r>
          </w:p>
        </w:tc>
      </w:tr>
      <w:tr w:rsidR="007F0076" w14:paraId="0ED2680E" w14:textId="77777777" w:rsidTr="00E87182">
        <w:trPr>
          <w:trHeight w:val="145"/>
        </w:trPr>
        <w:tc>
          <w:tcPr>
            <w:tcW w:w="1791" w:type="dxa"/>
            <w:hideMark/>
          </w:tcPr>
          <w:p w14:paraId="19A6CCD8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lastRenderedPageBreak/>
              <w:t>Ceny vývozu v roce 2025 klesly.</w:t>
            </w:r>
          </w:p>
        </w:tc>
        <w:tc>
          <w:tcPr>
            <w:tcW w:w="223" w:type="dxa"/>
          </w:tcPr>
          <w:p w14:paraId="2F0D47DF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2B8B01D7" w14:textId="77777777" w:rsidR="007F0076" w:rsidRDefault="007F0076" w:rsidP="00E87182">
            <w:pPr>
              <w:rPr>
                <w:lang w:eastAsia="en-US"/>
              </w:rPr>
            </w:pPr>
            <w:r>
              <w:rPr>
                <w:lang w:eastAsia="en-US"/>
              </w:rPr>
              <w:t>Vývoj cen zahraničního obchodu byl po celý rok 2025 silně ovlivňován posilováním koruny vůči euru a dolaru</w:t>
            </w:r>
            <w:r>
              <w:rPr>
                <w:rStyle w:val="Znakapoznpodarou"/>
                <w:lang w:eastAsia="en-US"/>
              </w:rPr>
              <w:footnoteReference w:id="5"/>
            </w:r>
            <w:r>
              <w:rPr>
                <w:lang w:eastAsia="en-US"/>
              </w:rPr>
              <w:t xml:space="preserve">. To mělo výrazný protiinflační efekt, zejména v meziročním srovnání. Za celý rok 2025 se ceny vývozu zboží snížily o 1,2 %. Rostly pouze ceny produktů zemědělství, lesnictví a rybářství (5,5 %) a elektřiny, plynu, páry a klimatizovaného vzduchu (2,8 %). Hluboký propad byl zaznamenán u těžby a dobývání (−12,0 %) a zásobování vodou a činností souvisejících s odpadními vodami (−9,5 %). Snížily se rovněž ceny výrobků zpracovatelského průmyslu (−1,3 %), zejména koksu a rafinovaných ropných produktů (−15,0 %), chemických látek a přípravků (−5,2 %), nábytku (−4,5 %) a základních kovů (−3,8 %). V průběhu roku se také do poklesu dostávaly ceny vývozu u významných exportních odvětví, jako jsou elektrická zařízení (−2,0 % za celý rok 2025), počítače, elektronické a optické přístroje (−1,7 %), stroje a zařízení (−0,6 %), kovodělné výrobky (−0,3 %) nebo motorová vozidla (−0,2 %). Výraznější navýšení bylo zaznamenáno pouze u cen vývozu dřeva a dřevěných výrobků kromě nábytku (6,5 %). </w:t>
            </w:r>
          </w:p>
        </w:tc>
      </w:tr>
      <w:tr w:rsidR="007F0076" w14:paraId="0A36DA53" w14:textId="77777777" w:rsidTr="00E87182">
        <w:trPr>
          <w:trHeight w:val="145"/>
        </w:trPr>
        <w:tc>
          <w:tcPr>
            <w:tcW w:w="1791" w:type="dxa"/>
          </w:tcPr>
          <w:p w14:paraId="38EE977C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V průběhu roku se postupně prohluboval meziroční pokles cen vývozu zboží.</w:t>
            </w:r>
          </w:p>
        </w:tc>
        <w:tc>
          <w:tcPr>
            <w:tcW w:w="223" w:type="dxa"/>
          </w:tcPr>
          <w:p w14:paraId="343644F1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20FFA3AD" w14:textId="7660C640" w:rsidR="007F0076" w:rsidRDefault="007F0076" w:rsidP="00E87182">
            <w:pPr>
              <w:rPr>
                <w:lang w:eastAsia="en-US"/>
              </w:rPr>
            </w:pPr>
            <w:r>
              <w:rPr>
                <w:lang w:eastAsia="en-US"/>
              </w:rPr>
              <w:t>V průběhu roku 2025 se postupně prohluboval meziroční pokles cen exportu zboží až na −4,2 % ve 4. čtvrtletí. Hlavním hybatelem tohoto vývoje byly ceny elektřiny, plynu, páry a klimatizovaného vzduchu, které se postupně dostaly až do meziročního poklesu o 16,4 % ve 4. kvartálu. Udržoval se také hluboký propad cen těžby a dobývání (−11,1 %) a zásobování vodou a činností souvisejících s odpadními vodami (−10,0 %). Na 3,9 % se ve 4. čtvrtletí prohloubil také meziroční pokles cen výrobků zpracovatelského průmyslu. Zde na konci roku meziročně klesaly ceny ve většině oddílů s výjimkou cen dřeva a dřevěných výrobků kromě nábytku (5,8 %) a nápojů (0,4 %). Nejvýraznější pokles cen byl zachycen u koksu a rafinovaných ropných produktů (−13,5 %), chemických látek a přípravků (−9,0 %), papíru a výrobků z papíru (−7,4 %) a nábytku (−6,4 %). Jedinou sekci, kde ceny rostly, byly produkty zemědělství, lesnictví a rybářství (2,2 %). I zde ale meziroční přírůstek v průběhu roku oslaboval. Mezičtvrtletně ceny vývozu klesly ve 4. čtvrtletí o 0,7 %, což byl mírnější pokles než v předchozích dvou kvartálech. Nižší byly ceny exportu v oblasti těžby a dobývání (−3,5</w:t>
            </w:r>
            <w:r w:rsidR="00B10325">
              <w:rPr>
                <w:lang w:eastAsia="en-US"/>
              </w:rPr>
              <w:t> </w:t>
            </w:r>
            <w:r>
              <w:rPr>
                <w:lang w:eastAsia="en-US"/>
              </w:rPr>
              <w:t xml:space="preserve">%), výrobků zpracovatelského průmyslu (−1,0 %) i zásobování vodou a činností souvisejících s odpadními vodami (−2,8 %). Naproti tomu došlo k výraznému mezičtvrtletnímu navýšení cen elektřiny, plynu, páry a klimatizovaného vzduchu (7,9 %) a rostly i ceny produktů zemědělství, lesnictví a rybářství (2,8 %). </w:t>
            </w:r>
          </w:p>
        </w:tc>
      </w:tr>
      <w:tr w:rsidR="007F0076" w14:paraId="6CC10516" w14:textId="77777777" w:rsidTr="00E87182">
        <w:trPr>
          <w:trHeight w:val="145"/>
        </w:trPr>
        <w:tc>
          <w:tcPr>
            <w:tcW w:w="1791" w:type="dxa"/>
          </w:tcPr>
          <w:p w14:paraId="756257A6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 xml:space="preserve">Prudce se propadaly ceny dovozu v oblasti těžby a dobývání. </w:t>
            </w:r>
          </w:p>
        </w:tc>
        <w:tc>
          <w:tcPr>
            <w:tcW w:w="223" w:type="dxa"/>
          </w:tcPr>
          <w:p w14:paraId="58C96FAB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42CDD068" w14:textId="77777777" w:rsidR="007F0076" w:rsidRPr="00901A3A" w:rsidRDefault="007F0076" w:rsidP="00E87182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Dynamika cen dovozu byla podobná jako u vývozu – v průběhu roku 2025 se postupně prohluboval meziroční pokles a celkově ceny loni klesly o 1,6 %. Ceny dovozu produktů zemědělství, lesnictví a rybářství byly vyšší o 6,3 % a elektřiny, plynu, páry a klimatizovaného vzduchu o 4,6 %, ale výsledný celkový pokles cen byl ovlivněn propadem cen dovozu těžby a dobývání o 10,7 % a výrobků zpracovatelského průmyslu o 1,2 %. Ve 4. čtvrtletí se pokles cen importu prohloubil na −5,1 %. Podepsalo se na tom zvýraznění propadu cen těžby a dobývání na −23,0 %, ale znatelnější pokles byl zachycen také u cen dovozu elektřiny, plynu, páry a klimatizovaného vzduchu (−8,6 %) či cen výrobků zpracovatelského průmyslu (−3,9 %). Meziročně stagnovaly ceny produktů zemědělství, lesnictví a rybářství. Mezičtvrtletně klesly ceny dovozu ve 4. kvartálu o 1,1 %. Ceny importu v oblasti těžby a dobývání byly mezičtvrtletně nižší o 6,4 % a výrobků zpracovatelského průmyslu o 0,9 %. Naopak ceny dovezené elektřiny, plynu, páry a klimatizovaného vzduchu vzrostly o 11,0 % a produktů zemědělství, lesnictví a rybářství o 2,1 %.</w:t>
            </w:r>
          </w:p>
        </w:tc>
      </w:tr>
      <w:tr w:rsidR="007F0076" w14:paraId="0E41CC7D" w14:textId="77777777" w:rsidTr="00E87182">
        <w:trPr>
          <w:trHeight w:val="145"/>
        </w:trPr>
        <w:tc>
          <w:tcPr>
            <w:tcW w:w="1791" w:type="dxa"/>
          </w:tcPr>
          <w:p w14:paraId="43ED1EFE" w14:textId="77777777" w:rsidR="007F0076" w:rsidRDefault="007F0076" w:rsidP="00E87182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lastRenderedPageBreak/>
              <w:t>Směnné relace byly v roce 2025 kladné.</w:t>
            </w:r>
          </w:p>
        </w:tc>
        <w:tc>
          <w:tcPr>
            <w:tcW w:w="223" w:type="dxa"/>
          </w:tcPr>
          <w:p w14:paraId="7ACAD5CE" w14:textId="77777777" w:rsidR="007F0076" w:rsidRDefault="007F0076" w:rsidP="00E87182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52793061" w14:textId="77777777" w:rsidR="007F0076" w:rsidRDefault="007F0076" w:rsidP="00E87182">
            <w:pPr>
              <w:rPr>
                <w:lang w:eastAsia="en-US"/>
              </w:rPr>
            </w:pPr>
            <w:r>
              <w:rPr>
                <w:lang w:eastAsia="en-US"/>
              </w:rPr>
              <w:t>Směnné relace zahraničního obchodu se zbožím byly ve všech kvartálech roku 2025 kladné a celkově dosáhly 100,5 %. V samotném 4. čtvrtletí meziroční směnné relace činily 100,9 %. Výrazně pozitivní byly směnné relace obchodu s produkty těžby a dobývání (115,4 %) a produkty zemědělství, lesnictví a rybářství (102,2 %). Směnné relace obchodu s výrobky zpracovatelského průmyslu dosáhly 100,0 %. Naopak do negativního pásma přešly ve 4. čtvrtletí směnné relace obchodu s elektřinou, plynem, párou a klimatizovaným vzduchem (91,4 %). Mezičtvrtletní směnné relace zahraničního obchodu se zbožím ve 4. kvartálu dosáhly 100,4 %. Kladné byly směnné relace obchodu v oblasti těžby a dobývání (103,0 %) a produktů zemědělství, lesnictví a rybářství (100,6 %). Naopak negativní byly mezičtvrtletní směnné relace obchodu s elektřinou, plynem, párou a klimatizovaným vzduchem (97,1 %) a výrobky zpracovatelského průmyslu (99,9 %).</w:t>
            </w:r>
          </w:p>
        </w:tc>
      </w:tr>
    </w:tbl>
    <w:p w14:paraId="0D4E8352" w14:textId="77777777" w:rsidR="007F0076" w:rsidRDefault="007F0076" w:rsidP="007F0076">
      <w:pPr>
        <w:spacing w:after="0"/>
      </w:pPr>
    </w:p>
    <w:p w14:paraId="1810A534" w14:textId="77777777" w:rsidR="007F0076" w:rsidRPr="00C5418A" w:rsidRDefault="007F0076" w:rsidP="007F0076">
      <w:pPr>
        <w:spacing w:after="0"/>
        <w:rPr>
          <w:highlight w:val="yellow"/>
        </w:rPr>
      </w:pPr>
    </w:p>
    <w:sectPr w:rsidR="007F0076" w:rsidRPr="00C5418A" w:rsidSect="0014320A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418" w:left="1134" w:header="680" w:footer="680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834A5" w14:textId="77777777" w:rsidR="00406EEC" w:rsidRDefault="00406EEC" w:rsidP="00E71A58">
      <w:r>
        <w:separator/>
      </w:r>
    </w:p>
  </w:endnote>
  <w:endnote w:type="continuationSeparator" w:id="0">
    <w:p w14:paraId="7654B7CE" w14:textId="77777777" w:rsidR="00406EEC" w:rsidRDefault="00406EEC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62E7" w14:textId="6A50CB90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233D05">
      <w:rPr>
        <w:szCs w:val="16"/>
      </w:rPr>
      <w:t>50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 w:rsidR="00F25B4A">
      <w:rPr>
        <w:szCs w:val="16"/>
      </w:rPr>
      <w:t>rok</w:t>
    </w:r>
    <w:r w:rsidR="00C5418A">
      <w:rPr>
        <w:szCs w:val="16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9" w14:textId="3DCC68EF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 w:rsidR="00F25B4A">
      <w:rPr>
        <w:szCs w:val="16"/>
      </w:rPr>
      <w:t>rok</w:t>
    </w:r>
    <w:r>
      <w:rPr>
        <w:szCs w:val="16"/>
      </w:rPr>
      <w:t xml:space="preserve"> 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233D05">
      <w:rPr>
        <w:rStyle w:val="ZpatChar"/>
        <w:szCs w:val="16"/>
      </w:rPr>
      <w:t>49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42B4E" w14:textId="77777777" w:rsidR="00406EEC" w:rsidRDefault="00406EEC" w:rsidP="00EA4302">
      <w:pPr>
        <w:spacing w:after="0"/>
      </w:pPr>
      <w:r>
        <w:separator/>
      </w:r>
    </w:p>
  </w:footnote>
  <w:footnote w:type="continuationSeparator" w:id="0">
    <w:p w14:paraId="64D01BD1" w14:textId="77777777" w:rsidR="00406EEC" w:rsidRDefault="00406EEC" w:rsidP="00E71A58">
      <w:r>
        <w:continuationSeparator/>
      </w:r>
    </w:p>
  </w:footnote>
  <w:footnote w:id="1">
    <w:p w14:paraId="3AE3FB9B" w14:textId="77777777" w:rsidR="007F0076" w:rsidRDefault="007F0076" w:rsidP="007F0076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Imputované nájemné vyjadřuje náklady vlastnického bydlení. Kromě samotných cen bydlení zahrnuje i náklady na výstavbu a renovace a další poplatky. Více na: </w:t>
      </w:r>
      <w:hyperlink r:id="rId1" w:history="1">
        <w:r>
          <w:rPr>
            <w:rStyle w:val="Hypertextovodkaz"/>
            <w:sz w:val="16"/>
            <w:szCs w:val="16"/>
          </w:rPr>
          <w:t>https://csu.gov.cz/metodicka-poznamka-k-indexu-spotrebitelskych-cen-imputovane-najemne</w:t>
        </w:r>
      </w:hyperlink>
      <w:r>
        <w:rPr>
          <w:rStyle w:val="Hypertextovodkaz"/>
          <w:sz w:val="16"/>
          <w:szCs w:val="16"/>
        </w:rPr>
        <w:t>.</w:t>
      </w:r>
    </w:p>
  </w:footnote>
  <w:footnote w:id="2">
    <w:p w14:paraId="57384180" w14:textId="77777777" w:rsidR="007F0076" w:rsidRDefault="007F0076" w:rsidP="007F0076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Zahrnuje služby osobní péče a osobní potřeby a doplňky, sociální péči, pojištění a další finanční služby apod.</w:t>
      </w:r>
    </w:p>
  </w:footnote>
  <w:footnote w:id="3">
    <w:p w14:paraId="24359D53" w14:textId="77777777" w:rsidR="007F0076" w:rsidRDefault="007F0076" w:rsidP="007F0076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Oproti indexu spotřebitelských cen, který ČSÚ pro českou ekonomiku sestavuje, HICP neobsahuje imputované nájemné, což bývá zdrojem rozdílů mezi HICP a Indexem spotřebitelských cen.</w:t>
      </w:r>
    </w:p>
  </w:footnote>
  <w:footnote w:id="4">
    <w:p w14:paraId="37E13A1E" w14:textId="77777777" w:rsidR="007F0076" w:rsidRDefault="007F0076" w:rsidP="007F0076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Bez cen zásobování vodou a služeb souvisejících s odpadními vodami.</w:t>
      </w:r>
    </w:p>
  </w:footnote>
  <w:footnote w:id="5">
    <w:p w14:paraId="567F56E1" w14:textId="77777777" w:rsidR="007F0076" w:rsidRDefault="007F0076" w:rsidP="007F0076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Podle údajů ČNB byl v roce 2025 průměrný kurz koruny vůči euru 24,693 CZK/EUR a vůči dolaru 21,914 CZK/USD. V roce 2024 přitom kurz průměrně dosahoval 25,119 CZK/EUR a 23,208 CZK/USD. Ve 4. čtvrtletí 2025 dosáhl kurz koruny vůči euru průměrně 24,273 CZK/EUR ve srovnání s 24,498 CZK/EUR ve 3. čtvrtletí a 25,249 CZK/EUR ve 4. čtvrtletí 2024. Kurz vůči dolaru ve 4. čtvrtletí 2025 v průměru činil 20,866 CZK/USD a ve 3. čtvrtletí 20,973 CZK/USD. Ve 4. čtvrtletí roku 2024 to bylo 23,640 CZK/USD.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6" w14:textId="3C11EE3B" w:rsidR="004C456F" w:rsidRPr="00C27E4F" w:rsidRDefault="004C456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7" w14:textId="4F78F164" w:rsidR="004C456F" w:rsidRPr="006F5416" w:rsidRDefault="004C456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4F20"/>
    <w:multiLevelType w:val="hybridMultilevel"/>
    <w:tmpl w:val="ADE25A6C"/>
    <w:lvl w:ilvl="0" w:tplc="04050001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7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30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51B2D"/>
    <w:multiLevelType w:val="hybridMultilevel"/>
    <w:tmpl w:val="858498FC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960533">
    <w:abstractNumId w:val="31"/>
  </w:num>
  <w:num w:numId="2" w16cid:durableId="997685702">
    <w:abstractNumId w:val="8"/>
  </w:num>
  <w:num w:numId="3" w16cid:durableId="2038313518">
    <w:abstractNumId w:val="3"/>
  </w:num>
  <w:num w:numId="4" w16cid:durableId="331031531">
    <w:abstractNumId w:val="2"/>
  </w:num>
  <w:num w:numId="5" w16cid:durableId="1757743337">
    <w:abstractNumId w:val="1"/>
  </w:num>
  <w:num w:numId="6" w16cid:durableId="409816451">
    <w:abstractNumId w:val="0"/>
  </w:num>
  <w:num w:numId="7" w16cid:durableId="1318534121">
    <w:abstractNumId w:val="9"/>
  </w:num>
  <w:num w:numId="8" w16cid:durableId="262305282">
    <w:abstractNumId w:val="7"/>
  </w:num>
  <w:num w:numId="9" w16cid:durableId="136917715">
    <w:abstractNumId w:val="6"/>
  </w:num>
  <w:num w:numId="10" w16cid:durableId="2045862263">
    <w:abstractNumId w:val="5"/>
  </w:num>
  <w:num w:numId="11" w16cid:durableId="191305307">
    <w:abstractNumId w:val="4"/>
  </w:num>
  <w:num w:numId="12" w16cid:durableId="333654438">
    <w:abstractNumId w:val="18"/>
  </w:num>
  <w:num w:numId="13" w16cid:durableId="969557016">
    <w:abstractNumId w:val="34"/>
  </w:num>
  <w:num w:numId="14" w16cid:durableId="607392429">
    <w:abstractNumId w:val="15"/>
  </w:num>
  <w:num w:numId="15" w16cid:durableId="1953782534">
    <w:abstractNumId w:val="24"/>
  </w:num>
  <w:num w:numId="16" w16cid:durableId="2048219208">
    <w:abstractNumId w:val="19"/>
  </w:num>
  <w:num w:numId="17" w16cid:durableId="684745295">
    <w:abstractNumId w:val="35"/>
  </w:num>
  <w:num w:numId="18" w16cid:durableId="1764376373">
    <w:abstractNumId w:val="25"/>
  </w:num>
  <w:num w:numId="19" w16cid:durableId="807280038">
    <w:abstractNumId w:val="38"/>
  </w:num>
  <w:num w:numId="20" w16cid:durableId="1692685976">
    <w:abstractNumId w:val="43"/>
  </w:num>
  <w:num w:numId="21" w16cid:durableId="1978029892">
    <w:abstractNumId w:val="33"/>
  </w:num>
  <w:num w:numId="22" w16cid:durableId="718896653">
    <w:abstractNumId w:val="23"/>
  </w:num>
  <w:num w:numId="23" w16cid:durableId="159078720">
    <w:abstractNumId w:val="21"/>
  </w:num>
  <w:num w:numId="24" w16cid:durableId="1135441192">
    <w:abstractNumId w:val="22"/>
  </w:num>
  <w:num w:numId="25" w16cid:durableId="1815366340">
    <w:abstractNumId w:val="41"/>
  </w:num>
  <w:num w:numId="26" w16cid:durableId="1577863405">
    <w:abstractNumId w:val="42"/>
  </w:num>
  <w:num w:numId="27" w16cid:durableId="223610688">
    <w:abstractNumId w:val="43"/>
  </w:num>
  <w:num w:numId="28" w16cid:durableId="1207061094">
    <w:abstractNumId w:val="13"/>
  </w:num>
  <w:num w:numId="29" w16cid:durableId="1693920833">
    <w:abstractNumId w:val="27"/>
  </w:num>
  <w:num w:numId="30" w16cid:durableId="1876775477">
    <w:abstractNumId w:val="26"/>
  </w:num>
  <w:num w:numId="31" w16cid:durableId="179972127">
    <w:abstractNumId w:val="10"/>
  </w:num>
  <w:num w:numId="32" w16cid:durableId="970136012">
    <w:abstractNumId w:val="28"/>
  </w:num>
  <w:num w:numId="33" w16cid:durableId="1617836376">
    <w:abstractNumId w:val="12"/>
  </w:num>
  <w:num w:numId="34" w16cid:durableId="357007340">
    <w:abstractNumId w:val="45"/>
  </w:num>
  <w:num w:numId="35" w16cid:durableId="2131776467">
    <w:abstractNumId w:val="11"/>
  </w:num>
  <w:num w:numId="36" w16cid:durableId="1776095800">
    <w:abstractNumId w:val="37"/>
  </w:num>
  <w:num w:numId="37" w16cid:durableId="862209000">
    <w:abstractNumId w:val="30"/>
  </w:num>
  <w:num w:numId="38" w16cid:durableId="322010878">
    <w:abstractNumId w:val="29"/>
  </w:num>
  <w:num w:numId="39" w16cid:durableId="1458373311">
    <w:abstractNumId w:val="39"/>
  </w:num>
  <w:num w:numId="40" w16cid:durableId="288441997">
    <w:abstractNumId w:val="44"/>
  </w:num>
  <w:num w:numId="41" w16cid:durableId="952595072">
    <w:abstractNumId w:val="40"/>
  </w:num>
  <w:num w:numId="42" w16cid:durableId="1427652868">
    <w:abstractNumId w:val="32"/>
  </w:num>
  <w:num w:numId="43" w16cid:durableId="1024401835">
    <w:abstractNumId w:val="20"/>
  </w:num>
  <w:num w:numId="44" w16cid:durableId="428089243">
    <w:abstractNumId w:val="14"/>
  </w:num>
  <w:num w:numId="45" w16cid:durableId="82647767">
    <w:abstractNumId w:val="36"/>
  </w:num>
  <w:num w:numId="46" w16cid:durableId="215163427">
    <w:abstractNumId w:val="16"/>
  </w:num>
  <w:num w:numId="47" w16cid:durableId="222064403">
    <w:abstractNumId w:val="43"/>
  </w:num>
  <w:num w:numId="48" w16cid:durableId="1639922006">
    <w:abstractNumId w:val="43"/>
    <w:lvlOverride w:ilvl="0">
      <w:startOverride w:val="1"/>
    </w:lvlOverride>
  </w:num>
  <w:num w:numId="49" w16cid:durableId="15091015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11F39"/>
    <w:rsid w:val="00017058"/>
    <w:rsid w:val="0001750B"/>
    <w:rsid w:val="0002195D"/>
    <w:rsid w:val="000234D6"/>
    <w:rsid w:val="00023D29"/>
    <w:rsid w:val="00026389"/>
    <w:rsid w:val="00031AE0"/>
    <w:rsid w:val="000322EF"/>
    <w:rsid w:val="00033FCD"/>
    <w:rsid w:val="000347D3"/>
    <w:rsid w:val="00040D10"/>
    <w:rsid w:val="00041CEC"/>
    <w:rsid w:val="0004694F"/>
    <w:rsid w:val="000522E4"/>
    <w:rsid w:val="00054EA4"/>
    <w:rsid w:val="00055507"/>
    <w:rsid w:val="000610E1"/>
    <w:rsid w:val="00062EC5"/>
    <w:rsid w:val="00062F22"/>
    <w:rsid w:val="000673C2"/>
    <w:rsid w:val="000712B3"/>
    <w:rsid w:val="00073A4E"/>
    <w:rsid w:val="0008263E"/>
    <w:rsid w:val="000829B1"/>
    <w:rsid w:val="00082C19"/>
    <w:rsid w:val="00085395"/>
    <w:rsid w:val="00087634"/>
    <w:rsid w:val="00087F2B"/>
    <w:rsid w:val="000912CC"/>
    <w:rsid w:val="00092201"/>
    <w:rsid w:val="00095135"/>
    <w:rsid w:val="000974D1"/>
    <w:rsid w:val="0009799E"/>
    <w:rsid w:val="000A1183"/>
    <w:rsid w:val="000A256D"/>
    <w:rsid w:val="000A395A"/>
    <w:rsid w:val="000A3A2C"/>
    <w:rsid w:val="000A5265"/>
    <w:rsid w:val="000A57D4"/>
    <w:rsid w:val="000B3CE2"/>
    <w:rsid w:val="000B7C8D"/>
    <w:rsid w:val="000C004E"/>
    <w:rsid w:val="000C2CF1"/>
    <w:rsid w:val="000C3408"/>
    <w:rsid w:val="000C6AFD"/>
    <w:rsid w:val="000C7C6F"/>
    <w:rsid w:val="000D1B52"/>
    <w:rsid w:val="000D3CE8"/>
    <w:rsid w:val="000D5637"/>
    <w:rsid w:val="000E15EA"/>
    <w:rsid w:val="000E22F0"/>
    <w:rsid w:val="000E6FBD"/>
    <w:rsid w:val="000F49A9"/>
    <w:rsid w:val="00100F5C"/>
    <w:rsid w:val="00101CDA"/>
    <w:rsid w:val="00102C41"/>
    <w:rsid w:val="00104C4C"/>
    <w:rsid w:val="00107F50"/>
    <w:rsid w:val="00117623"/>
    <w:rsid w:val="0012096D"/>
    <w:rsid w:val="0012192F"/>
    <w:rsid w:val="001224E5"/>
    <w:rsid w:val="00124940"/>
    <w:rsid w:val="00125D69"/>
    <w:rsid w:val="001405FA"/>
    <w:rsid w:val="00142254"/>
    <w:rsid w:val="001425C3"/>
    <w:rsid w:val="0014320A"/>
    <w:rsid w:val="001476BD"/>
    <w:rsid w:val="00151983"/>
    <w:rsid w:val="00153D91"/>
    <w:rsid w:val="001612F4"/>
    <w:rsid w:val="00161AB8"/>
    <w:rsid w:val="0016256B"/>
    <w:rsid w:val="001625B5"/>
    <w:rsid w:val="00163793"/>
    <w:rsid w:val="0016649F"/>
    <w:rsid w:val="00170621"/>
    <w:rsid w:val="001706D6"/>
    <w:rsid w:val="001714F2"/>
    <w:rsid w:val="00175B9F"/>
    <w:rsid w:val="00175C9E"/>
    <w:rsid w:val="00181BBC"/>
    <w:rsid w:val="00184B08"/>
    <w:rsid w:val="00185010"/>
    <w:rsid w:val="0019143B"/>
    <w:rsid w:val="001A0487"/>
    <w:rsid w:val="001A108E"/>
    <w:rsid w:val="001A4CA3"/>
    <w:rsid w:val="001A552F"/>
    <w:rsid w:val="001A5B6F"/>
    <w:rsid w:val="001A6170"/>
    <w:rsid w:val="001A7280"/>
    <w:rsid w:val="001B2CA9"/>
    <w:rsid w:val="001B3110"/>
    <w:rsid w:val="001B4729"/>
    <w:rsid w:val="001B6310"/>
    <w:rsid w:val="001B6C09"/>
    <w:rsid w:val="001B73E6"/>
    <w:rsid w:val="001C05CD"/>
    <w:rsid w:val="001C3924"/>
    <w:rsid w:val="001D1815"/>
    <w:rsid w:val="001D40D7"/>
    <w:rsid w:val="001D48D4"/>
    <w:rsid w:val="001D68B2"/>
    <w:rsid w:val="001E1C2E"/>
    <w:rsid w:val="001E504C"/>
    <w:rsid w:val="001E5850"/>
    <w:rsid w:val="001E6062"/>
    <w:rsid w:val="001E6753"/>
    <w:rsid w:val="001F4597"/>
    <w:rsid w:val="00203DA4"/>
    <w:rsid w:val="00207871"/>
    <w:rsid w:val="002118B9"/>
    <w:rsid w:val="00213E46"/>
    <w:rsid w:val="00214CF7"/>
    <w:rsid w:val="002152E4"/>
    <w:rsid w:val="00216286"/>
    <w:rsid w:val="00216A01"/>
    <w:rsid w:val="002175EA"/>
    <w:rsid w:val="00217C5B"/>
    <w:rsid w:val="0022139E"/>
    <w:rsid w:val="00222729"/>
    <w:rsid w:val="00222833"/>
    <w:rsid w:val="002252E0"/>
    <w:rsid w:val="002255F6"/>
    <w:rsid w:val="00227850"/>
    <w:rsid w:val="00227A53"/>
    <w:rsid w:val="00230682"/>
    <w:rsid w:val="00230C6E"/>
    <w:rsid w:val="00233546"/>
    <w:rsid w:val="00233CD7"/>
    <w:rsid w:val="00233D05"/>
    <w:rsid w:val="00236443"/>
    <w:rsid w:val="00237B95"/>
    <w:rsid w:val="00241B06"/>
    <w:rsid w:val="00242119"/>
    <w:rsid w:val="002421C4"/>
    <w:rsid w:val="00242C10"/>
    <w:rsid w:val="002436BA"/>
    <w:rsid w:val="00244A15"/>
    <w:rsid w:val="0024661A"/>
    <w:rsid w:val="00247319"/>
    <w:rsid w:val="0024741D"/>
    <w:rsid w:val="0024799E"/>
    <w:rsid w:val="00247EE7"/>
    <w:rsid w:val="00252D48"/>
    <w:rsid w:val="00253C0F"/>
    <w:rsid w:val="002558C1"/>
    <w:rsid w:val="00255B30"/>
    <w:rsid w:val="00261A17"/>
    <w:rsid w:val="0027099B"/>
    <w:rsid w:val="00271465"/>
    <w:rsid w:val="00275385"/>
    <w:rsid w:val="00281666"/>
    <w:rsid w:val="0028207A"/>
    <w:rsid w:val="00282918"/>
    <w:rsid w:val="00285412"/>
    <w:rsid w:val="00290725"/>
    <w:rsid w:val="00291407"/>
    <w:rsid w:val="00291640"/>
    <w:rsid w:val="0029568F"/>
    <w:rsid w:val="00295A5D"/>
    <w:rsid w:val="002A1407"/>
    <w:rsid w:val="002A16D4"/>
    <w:rsid w:val="002A230C"/>
    <w:rsid w:val="002A66B0"/>
    <w:rsid w:val="002B2299"/>
    <w:rsid w:val="002B4845"/>
    <w:rsid w:val="002B48B4"/>
    <w:rsid w:val="002C2FE9"/>
    <w:rsid w:val="002C43BD"/>
    <w:rsid w:val="002C5568"/>
    <w:rsid w:val="002D0E59"/>
    <w:rsid w:val="002E02A1"/>
    <w:rsid w:val="002E42AC"/>
    <w:rsid w:val="002E4E4C"/>
    <w:rsid w:val="002F3E4F"/>
    <w:rsid w:val="00302ADD"/>
    <w:rsid w:val="00304771"/>
    <w:rsid w:val="0030495D"/>
    <w:rsid w:val="003052D4"/>
    <w:rsid w:val="00306C5B"/>
    <w:rsid w:val="00307B34"/>
    <w:rsid w:val="003103E0"/>
    <w:rsid w:val="0031173F"/>
    <w:rsid w:val="00314F9F"/>
    <w:rsid w:val="003209D6"/>
    <w:rsid w:val="00321205"/>
    <w:rsid w:val="00321924"/>
    <w:rsid w:val="00324442"/>
    <w:rsid w:val="0032656E"/>
    <w:rsid w:val="00327D4E"/>
    <w:rsid w:val="00332190"/>
    <w:rsid w:val="00340188"/>
    <w:rsid w:val="003421E1"/>
    <w:rsid w:val="0034226A"/>
    <w:rsid w:val="00343182"/>
    <w:rsid w:val="0034335E"/>
    <w:rsid w:val="00344668"/>
    <w:rsid w:val="003462D9"/>
    <w:rsid w:val="00360C86"/>
    <w:rsid w:val="00360FBC"/>
    <w:rsid w:val="00362E90"/>
    <w:rsid w:val="00364FA0"/>
    <w:rsid w:val="003657F3"/>
    <w:rsid w:val="00366591"/>
    <w:rsid w:val="00371826"/>
    <w:rsid w:val="00373504"/>
    <w:rsid w:val="00374FEF"/>
    <w:rsid w:val="0038123E"/>
    <w:rsid w:val="003818DC"/>
    <w:rsid w:val="00382C5B"/>
    <w:rsid w:val="00384327"/>
    <w:rsid w:val="00385D98"/>
    <w:rsid w:val="003A1A03"/>
    <w:rsid w:val="003A2B4D"/>
    <w:rsid w:val="003A2B5E"/>
    <w:rsid w:val="003A2D12"/>
    <w:rsid w:val="003A478C"/>
    <w:rsid w:val="003A5525"/>
    <w:rsid w:val="003A6B38"/>
    <w:rsid w:val="003B461F"/>
    <w:rsid w:val="003B5A32"/>
    <w:rsid w:val="003B6B31"/>
    <w:rsid w:val="003B7AFA"/>
    <w:rsid w:val="003C1099"/>
    <w:rsid w:val="003C3490"/>
    <w:rsid w:val="003C6550"/>
    <w:rsid w:val="003C7E62"/>
    <w:rsid w:val="003D5B4E"/>
    <w:rsid w:val="003D6920"/>
    <w:rsid w:val="003E3F1E"/>
    <w:rsid w:val="003E48F2"/>
    <w:rsid w:val="003E4C91"/>
    <w:rsid w:val="003E5DB7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550D"/>
    <w:rsid w:val="004069FF"/>
    <w:rsid w:val="00406EEC"/>
    <w:rsid w:val="00407510"/>
    <w:rsid w:val="00407C13"/>
    <w:rsid w:val="0041041D"/>
    <w:rsid w:val="00410638"/>
    <w:rsid w:val="00410694"/>
    <w:rsid w:val="0041501E"/>
    <w:rsid w:val="004159C3"/>
    <w:rsid w:val="00416EB7"/>
    <w:rsid w:val="00420136"/>
    <w:rsid w:val="00432A58"/>
    <w:rsid w:val="00434617"/>
    <w:rsid w:val="00440900"/>
    <w:rsid w:val="00441BF6"/>
    <w:rsid w:val="00443556"/>
    <w:rsid w:val="004441A0"/>
    <w:rsid w:val="004455BA"/>
    <w:rsid w:val="00446D77"/>
    <w:rsid w:val="0045078A"/>
    <w:rsid w:val="0045086D"/>
    <w:rsid w:val="00451504"/>
    <w:rsid w:val="004557A9"/>
    <w:rsid w:val="00456339"/>
    <w:rsid w:val="004607BF"/>
    <w:rsid w:val="00460FB3"/>
    <w:rsid w:val="00465F26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915CB"/>
    <w:rsid w:val="004924DC"/>
    <w:rsid w:val="004963C7"/>
    <w:rsid w:val="004976EF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180F"/>
    <w:rsid w:val="004C384C"/>
    <w:rsid w:val="004C3867"/>
    <w:rsid w:val="004C456F"/>
    <w:rsid w:val="004C4CD0"/>
    <w:rsid w:val="004C5B81"/>
    <w:rsid w:val="004C6092"/>
    <w:rsid w:val="004C70DC"/>
    <w:rsid w:val="004D0211"/>
    <w:rsid w:val="004D0794"/>
    <w:rsid w:val="004D5C93"/>
    <w:rsid w:val="004E1288"/>
    <w:rsid w:val="004E7C6B"/>
    <w:rsid w:val="004F06F5"/>
    <w:rsid w:val="004F16B2"/>
    <w:rsid w:val="004F2C1B"/>
    <w:rsid w:val="004F33A0"/>
    <w:rsid w:val="004F3A59"/>
    <w:rsid w:val="005040A8"/>
    <w:rsid w:val="00504EE1"/>
    <w:rsid w:val="0050689D"/>
    <w:rsid w:val="00510205"/>
    <w:rsid w:val="005108C0"/>
    <w:rsid w:val="00511873"/>
    <w:rsid w:val="00511DE3"/>
    <w:rsid w:val="00512A2F"/>
    <w:rsid w:val="00513B7E"/>
    <w:rsid w:val="00515684"/>
    <w:rsid w:val="00515C74"/>
    <w:rsid w:val="00516086"/>
    <w:rsid w:val="0051713B"/>
    <w:rsid w:val="0052007E"/>
    <w:rsid w:val="0052337A"/>
    <w:rsid w:val="00525137"/>
    <w:rsid w:val="005251DD"/>
    <w:rsid w:val="00532CE7"/>
    <w:rsid w:val="00532E62"/>
    <w:rsid w:val="0053324C"/>
    <w:rsid w:val="00533DAC"/>
    <w:rsid w:val="00534A28"/>
    <w:rsid w:val="00541508"/>
    <w:rsid w:val="00543498"/>
    <w:rsid w:val="00545512"/>
    <w:rsid w:val="00553016"/>
    <w:rsid w:val="0055599F"/>
    <w:rsid w:val="00556995"/>
    <w:rsid w:val="00556D68"/>
    <w:rsid w:val="00563EB8"/>
    <w:rsid w:val="005647BF"/>
    <w:rsid w:val="0056486D"/>
    <w:rsid w:val="00564AF1"/>
    <w:rsid w:val="0056601A"/>
    <w:rsid w:val="005722EB"/>
    <w:rsid w:val="0057364B"/>
    <w:rsid w:val="00574773"/>
    <w:rsid w:val="0058050D"/>
    <w:rsid w:val="0058308D"/>
    <w:rsid w:val="00583FFD"/>
    <w:rsid w:val="00591099"/>
    <w:rsid w:val="005911BE"/>
    <w:rsid w:val="00593152"/>
    <w:rsid w:val="00596010"/>
    <w:rsid w:val="005A10F2"/>
    <w:rsid w:val="005A14E8"/>
    <w:rsid w:val="005A21E0"/>
    <w:rsid w:val="005A28FF"/>
    <w:rsid w:val="005A3DF8"/>
    <w:rsid w:val="005A5113"/>
    <w:rsid w:val="005A5549"/>
    <w:rsid w:val="005A7038"/>
    <w:rsid w:val="005B121D"/>
    <w:rsid w:val="005B3361"/>
    <w:rsid w:val="005C06ED"/>
    <w:rsid w:val="005C2609"/>
    <w:rsid w:val="005C6CF0"/>
    <w:rsid w:val="005D0D46"/>
    <w:rsid w:val="005D5802"/>
    <w:rsid w:val="005D7119"/>
    <w:rsid w:val="005D7241"/>
    <w:rsid w:val="005D7890"/>
    <w:rsid w:val="005E705E"/>
    <w:rsid w:val="005E7C78"/>
    <w:rsid w:val="005F18C5"/>
    <w:rsid w:val="005F3374"/>
    <w:rsid w:val="005F3491"/>
    <w:rsid w:val="005F3EB1"/>
    <w:rsid w:val="005F46D8"/>
    <w:rsid w:val="005F5469"/>
    <w:rsid w:val="00603FF5"/>
    <w:rsid w:val="00604307"/>
    <w:rsid w:val="0060487F"/>
    <w:rsid w:val="00604EAD"/>
    <w:rsid w:val="00605D96"/>
    <w:rsid w:val="006104FB"/>
    <w:rsid w:val="00612A2F"/>
    <w:rsid w:val="0061390C"/>
    <w:rsid w:val="006165E5"/>
    <w:rsid w:val="00616E05"/>
    <w:rsid w:val="00622275"/>
    <w:rsid w:val="00624093"/>
    <w:rsid w:val="00625F8F"/>
    <w:rsid w:val="006350D5"/>
    <w:rsid w:val="006404A7"/>
    <w:rsid w:val="006451E4"/>
    <w:rsid w:val="00645B33"/>
    <w:rsid w:val="006516CB"/>
    <w:rsid w:val="00656FC8"/>
    <w:rsid w:val="00657E87"/>
    <w:rsid w:val="00660072"/>
    <w:rsid w:val="00664803"/>
    <w:rsid w:val="0066504F"/>
    <w:rsid w:val="00665BA4"/>
    <w:rsid w:val="00667AF2"/>
    <w:rsid w:val="006710C9"/>
    <w:rsid w:val="006712EC"/>
    <w:rsid w:val="0067229E"/>
    <w:rsid w:val="006741AC"/>
    <w:rsid w:val="00674D89"/>
    <w:rsid w:val="00675E37"/>
    <w:rsid w:val="0068174E"/>
    <w:rsid w:val="00681DCE"/>
    <w:rsid w:val="0068260E"/>
    <w:rsid w:val="0068697A"/>
    <w:rsid w:val="00693FEC"/>
    <w:rsid w:val="0069490A"/>
    <w:rsid w:val="00695BEF"/>
    <w:rsid w:val="006977F6"/>
    <w:rsid w:val="00697A13"/>
    <w:rsid w:val="006A109C"/>
    <w:rsid w:val="006A2056"/>
    <w:rsid w:val="006A31AB"/>
    <w:rsid w:val="006B0F92"/>
    <w:rsid w:val="006B173A"/>
    <w:rsid w:val="006B344A"/>
    <w:rsid w:val="006B6C74"/>
    <w:rsid w:val="006B759B"/>
    <w:rsid w:val="006B78D8"/>
    <w:rsid w:val="006C113F"/>
    <w:rsid w:val="006C123E"/>
    <w:rsid w:val="006C1752"/>
    <w:rsid w:val="006C4460"/>
    <w:rsid w:val="006C4ED6"/>
    <w:rsid w:val="006C56D4"/>
    <w:rsid w:val="006C6924"/>
    <w:rsid w:val="006C70EB"/>
    <w:rsid w:val="006C7CA6"/>
    <w:rsid w:val="006D3E8A"/>
    <w:rsid w:val="006D61F6"/>
    <w:rsid w:val="006E279A"/>
    <w:rsid w:val="006E313B"/>
    <w:rsid w:val="006E41EC"/>
    <w:rsid w:val="006E4254"/>
    <w:rsid w:val="006E50F8"/>
    <w:rsid w:val="006E7227"/>
    <w:rsid w:val="006F438E"/>
    <w:rsid w:val="006F5416"/>
    <w:rsid w:val="006F7076"/>
    <w:rsid w:val="00702448"/>
    <w:rsid w:val="00705242"/>
    <w:rsid w:val="00706AD4"/>
    <w:rsid w:val="00707150"/>
    <w:rsid w:val="00710078"/>
    <w:rsid w:val="00710229"/>
    <w:rsid w:val="0071217E"/>
    <w:rsid w:val="007140BE"/>
    <w:rsid w:val="007143B4"/>
    <w:rsid w:val="007211F5"/>
    <w:rsid w:val="0072213B"/>
    <w:rsid w:val="00723946"/>
    <w:rsid w:val="007240E2"/>
    <w:rsid w:val="00725BB5"/>
    <w:rsid w:val="00730517"/>
    <w:rsid w:val="00730AE8"/>
    <w:rsid w:val="00730F1B"/>
    <w:rsid w:val="00733628"/>
    <w:rsid w:val="007342AC"/>
    <w:rsid w:val="00741493"/>
    <w:rsid w:val="00743C34"/>
    <w:rsid w:val="007457F6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521E"/>
    <w:rsid w:val="00765C12"/>
    <w:rsid w:val="007661E9"/>
    <w:rsid w:val="00770784"/>
    <w:rsid w:val="00773220"/>
    <w:rsid w:val="00776169"/>
    <w:rsid w:val="00776527"/>
    <w:rsid w:val="00776EAB"/>
    <w:rsid w:val="00780EF1"/>
    <w:rsid w:val="00782AD8"/>
    <w:rsid w:val="00790711"/>
    <w:rsid w:val="00790764"/>
    <w:rsid w:val="0079124F"/>
    <w:rsid w:val="0079453C"/>
    <w:rsid w:val="00794677"/>
    <w:rsid w:val="00795928"/>
    <w:rsid w:val="00797445"/>
    <w:rsid w:val="007A3861"/>
    <w:rsid w:val="007A4577"/>
    <w:rsid w:val="007A516D"/>
    <w:rsid w:val="007B6689"/>
    <w:rsid w:val="007C6BBD"/>
    <w:rsid w:val="007D293C"/>
    <w:rsid w:val="007D40DF"/>
    <w:rsid w:val="007E29B4"/>
    <w:rsid w:val="007E435A"/>
    <w:rsid w:val="007E76C3"/>
    <w:rsid w:val="007E7E61"/>
    <w:rsid w:val="007E7FCE"/>
    <w:rsid w:val="007F0076"/>
    <w:rsid w:val="007F0845"/>
    <w:rsid w:val="007F708D"/>
    <w:rsid w:val="00800216"/>
    <w:rsid w:val="00801E13"/>
    <w:rsid w:val="00807365"/>
    <w:rsid w:val="00807C82"/>
    <w:rsid w:val="00810C82"/>
    <w:rsid w:val="00811E1D"/>
    <w:rsid w:val="00814B15"/>
    <w:rsid w:val="00816905"/>
    <w:rsid w:val="00821777"/>
    <w:rsid w:val="00821C44"/>
    <w:rsid w:val="00821FF6"/>
    <w:rsid w:val="00822574"/>
    <w:rsid w:val="00825C4D"/>
    <w:rsid w:val="008304D1"/>
    <w:rsid w:val="00830D03"/>
    <w:rsid w:val="0083143E"/>
    <w:rsid w:val="00831CDE"/>
    <w:rsid w:val="00834304"/>
    <w:rsid w:val="00834FAA"/>
    <w:rsid w:val="0083516C"/>
    <w:rsid w:val="00836086"/>
    <w:rsid w:val="00843A14"/>
    <w:rsid w:val="00846121"/>
    <w:rsid w:val="008462A8"/>
    <w:rsid w:val="0084708F"/>
    <w:rsid w:val="008477C8"/>
    <w:rsid w:val="00847963"/>
    <w:rsid w:val="00850815"/>
    <w:rsid w:val="0085114D"/>
    <w:rsid w:val="00852217"/>
    <w:rsid w:val="00853B8D"/>
    <w:rsid w:val="00854F24"/>
    <w:rsid w:val="00855408"/>
    <w:rsid w:val="00855712"/>
    <w:rsid w:val="00856D65"/>
    <w:rsid w:val="00861B41"/>
    <w:rsid w:val="00861BE3"/>
    <w:rsid w:val="00863434"/>
    <w:rsid w:val="00865E4C"/>
    <w:rsid w:val="008701E4"/>
    <w:rsid w:val="0087052A"/>
    <w:rsid w:val="00871069"/>
    <w:rsid w:val="00875A32"/>
    <w:rsid w:val="00876086"/>
    <w:rsid w:val="008766AC"/>
    <w:rsid w:val="00881EAF"/>
    <w:rsid w:val="008825B0"/>
    <w:rsid w:val="00884AD6"/>
    <w:rsid w:val="008873D4"/>
    <w:rsid w:val="00890D6D"/>
    <w:rsid w:val="0089126C"/>
    <w:rsid w:val="0089296D"/>
    <w:rsid w:val="00893E85"/>
    <w:rsid w:val="00894031"/>
    <w:rsid w:val="00895508"/>
    <w:rsid w:val="008A6CB4"/>
    <w:rsid w:val="008B542E"/>
    <w:rsid w:val="008B5CF6"/>
    <w:rsid w:val="008B76AB"/>
    <w:rsid w:val="008B7C02"/>
    <w:rsid w:val="008B7D2B"/>
    <w:rsid w:val="008C0049"/>
    <w:rsid w:val="008C0E88"/>
    <w:rsid w:val="008C1968"/>
    <w:rsid w:val="008C53CB"/>
    <w:rsid w:val="008C6FD4"/>
    <w:rsid w:val="008D1BA1"/>
    <w:rsid w:val="008D1E6A"/>
    <w:rsid w:val="008D2A16"/>
    <w:rsid w:val="008D632C"/>
    <w:rsid w:val="008D6B35"/>
    <w:rsid w:val="008D75D9"/>
    <w:rsid w:val="008E163D"/>
    <w:rsid w:val="008E2C57"/>
    <w:rsid w:val="008E31FF"/>
    <w:rsid w:val="008E6F06"/>
    <w:rsid w:val="008E7FC9"/>
    <w:rsid w:val="008F029B"/>
    <w:rsid w:val="008F0867"/>
    <w:rsid w:val="008F3FC9"/>
    <w:rsid w:val="008F585B"/>
    <w:rsid w:val="009003A8"/>
    <w:rsid w:val="0090151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4464"/>
    <w:rsid w:val="00937AE2"/>
    <w:rsid w:val="00943853"/>
    <w:rsid w:val="0094427A"/>
    <w:rsid w:val="00945245"/>
    <w:rsid w:val="009452D0"/>
    <w:rsid w:val="00956572"/>
    <w:rsid w:val="00957309"/>
    <w:rsid w:val="0095759C"/>
    <w:rsid w:val="009607C5"/>
    <w:rsid w:val="00961532"/>
    <w:rsid w:val="0096774F"/>
    <w:rsid w:val="00967E76"/>
    <w:rsid w:val="009721DB"/>
    <w:rsid w:val="0097239B"/>
    <w:rsid w:val="00974071"/>
    <w:rsid w:val="00974923"/>
    <w:rsid w:val="009808F7"/>
    <w:rsid w:val="00980D3D"/>
    <w:rsid w:val="00981FFA"/>
    <w:rsid w:val="009855E1"/>
    <w:rsid w:val="00986D06"/>
    <w:rsid w:val="00987A30"/>
    <w:rsid w:val="00992CF3"/>
    <w:rsid w:val="00994868"/>
    <w:rsid w:val="0099574A"/>
    <w:rsid w:val="009968D6"/>
    <w:rsid w:val="009A1CAB"/>
    <w:rsid w:val="009A60D1"/>
    <w:rsid w:val="009B6FD3"/>
    <w:rsid w:val="009C02C3"/>
    <w:rsid w:val="009C1750"/>
    <w:rsid w:val="009C2E29"/>
    <w:rsid w:val="009C3F5D"/>
    <w:rsid w:val="009C554B"/>
    <w:rsid w:val="009C719E"/>
    <w:rsid w:val="009C7A10"/>
    <w:rsid w:val="009D1120"/>
    <w:rsid w:val="009D3ACD"/>
    <w:rsid w:val="009D4785"/>
    <w:rsid w:val="009E1988"/>
    <w:rsid w:val="009E5273"/>
    <w:rsid w:val="009E5DDB"/>
    <w:rsid w:val="009E7F05"/>
    <w:rsid w:val="009F46B7"/>
    <w:rsid w:val="009F4CA7"/>
    <w:rsid w:val="009F7558"/>
    <w:rsid w:val="009F791A"/>
    <w:rsid w:val="00A04CEF"/>
    <w:rsid w:val="00A10D66"/>
    <w:rsid w:val="00A14114"/>
    <w:rsid w:val="00A14995"/>
    <w:rsid w:val="00A1537C"/>
    <w:rsid w:val="00A16413"/>
    <w:rsid w:val="00A16E1D"/>
    <w:rsid w:val="00A17D5B"/>
    <w:rsid w:val="00A17EB2"/>
    <w:rsid w:val="00A206E5"/>
    <w:rsid w:val="00A20CC0"/>
    <w:rsid w:val="00A23447"/>
    <w:rsid w:val="00A23E43"/>
    <w:rsid w:val="00A25216"/>
    <w:rsid w:val="00A30F65"/>
    <w:rsid w:val="00A32BF2"/>
    <w:rsid w:val="00A33549"/>
    <w:rsid w:val="00A33A89"/>
    <w:rsid w:val="00A34D27"/>
    <w:rsid w:val="00A40EAC"/>
    <w:rsid w:val="00A40EDD"/>
    <w:rsid w:val="00A418BC"/>
    <w:rsid w:val="00A4206C"/>
    <w:rsid w:val="00A4632B"/>
    <w:rsid w:val="00A46DE0"/>
    <w:rsid w:val="00A472EB"/>
    <w:rsid w:val="00A47FCA"/>
    <w:rsid w:val="00A50D73"/>
    <w:rsid w:val="00A52CAD"/>
    <w:rsid w:val="00A53FC7"/>
    <w:rsid w:val="00A60799"/>
    <w:rsid w:val="00A62CE1"/>
    <w:rsid w:val="00A668A3"/>
    <w:rsid w:val="00A6741E"/>
    <w:rsid w:val="00A754EA"/>
    <w:rsid w:val="00A75E40"/>
    <w:rsid w:val="00A770F4"/>
    <w:rsid w:val="00A77D1D"/>
    <w:rsid w:val="00A84A6A"/>
    <w:rsid w:val="00A857C0"/>
    <w:rsid w:val="00A90FED"/>
    <w:rsid w:val="00AA2996"/>
    <w:rsid w:val="00AA2A70"/>
    <w:rsid w:val="00AA2DA1"/>
    <w:rsid w:val="00AA4B30"/>
    <w:rsid w:val="00AA52BF"/>
    <w:rsid w:val="00AA559A"/>
    <w:rsid w:val="00AB2AF1"/>
    <w:rsid w:val="00AB535B"/>
    <w:rsid w:val="00AC45BD"/>
    <w:rsid w:val="00AC5791"/>
    <w:rsid w:val="00AD168E"/>
    <w:rsid w:val="00AD306C"/>
    <w:rsid w:val="00AD4F16"/>
    <w:rsid w:val="00AD5323"/>
    <w:rsid w:val="00AD68C4"/>
    <w:rsid w:val="00AE09B3"/>
    <w:rsid w:val="00AE0ED3"/>
    <w:rsid w:val="00AE153F"/>
    <w:rsid w:val="00AE1A2E"/>
    <w:rsid w:val="00AE1A83"/>
    <w:rsid w:val="00AE31A7"/>
    <w:rsid w:val="00AF1DE9"/>
    <w:rsid w:val="00AF6128"/>
    <w:rsid w:val="00B00913"/>
    <w:rsid w:val="00B01593"/>
    <w:rsid w:val="00B01CF3"/>
    <w:rsid w:val="00B023F2"/>
    <w:rsid w:val="00B04705"/>
    <w:rsid w:val="00B04E70"/>
    <w:rsid w:val="00B07959"/>
    <w:rsid w:val="00B07BBB"/>
    <w:rsid w:val="00B10325"/>
    <w:rsid w:val="00B10A4D"/>
    <w:rsid w:val="00B14BC1"/>
    <w:rsid w:val="00B17E71"/>
    <w:rsid w:val="00B17FDE"/>
    <w:rsid w:val="00B2379C"/>
    <w:rsid w:val="00B25189"/>
    <w:rsid w:val="00B2687D"/>
    <w:rsid w:val="00B26897"/>
    <w:rsid w:val="00B32DDB"/>
    <w:rsid w:val="00B34528"/>
    <w:rsid w:val="00B34CC9"/>
    <w:rsid w:val="00B402FC"/>
    <w:rsid w:val="00B439DA"/>
    <w:rsid w:val="00B46604"/>
    <w:rsid w:val="00B50624"/>
    <w:rsid w:val="00B530CD"/>
    <w:rsid w:val="00B55F5E"/>
    <w:rsid w:val="00B5752E"/>
    <w:rsid w:val="00B63A11"/>
    <w:rsid w:val="00B63B6A"/>
    <w:rsid w:val="00B64C24"/>
    <w:rsid w:val="00B6608F"/>
    <w:rsid w:val="00B67768"/>
    <w:rsid w:val="00B679FB"/>
    <w:rsid w:val="00B71EF7"/>
    <w:rsid w:val="00B7665A"/>
    <w:rsid w:val="00B76D1E"/>
    <w:rsid w:val="00B8028A"/>
    <w:rsid w:val="00B80B8B"/>
    <w:rsid w:val="00B80EC6"/>
    <w:rsid w:val="00B84CF6"/>
    <w:rsid w:val="00B857A1"/>
    <w:rsid w:val="00B87623"/>
    <w:rsid w:val="00B92D1D"/>
    <w:rsid w:val="00B938C5"/>
    <w:rsid w:val="00B95940"/>
    <w:rsid w:val="00BA37EA"/>
    <w:rsid w:val="00BA5256"/>
    <w:rsid w:val="00BA6C2B"/>
    <w:rsid w:val="00BB22F6"/>
    <w:rsid w:val="00BB46F3"/>
    <w:rsid w:val="00BB4CB1"/>
    <w:rsid w:val="00BB4F98"/>
    <w:rsid w:val="00BB73ED"/>
    <w:rsid w:val="00BC5C12"/>
    <w:rsid w:val="00BC7154"/>
    <w:rsid w:val="00BC731E"/>
    <w:rsid w:val="00BD366B"/>
    <w:rsid w:val="00BD6D50"/>
    <w:rsid w:val="00BE18B9"/>
    <w:rsid w:val="00BE2495"/>
    <w:rsid w:val="00BF1578"/>
    <w:rsid w:val="00BF3B1D"/>
    <w:rsid w:val="00BF6D32"/>
    <w:rsid w:val="00BF71A0"/>
    <w:rsid w:val="00BF723F"/>
    <w:rsid w:val="00C02943"/>
    <w:rsid w:val="00C16FB0"/>
    <w:rsid w:val="00C21F94"/>
    <w:rsid w:val="00C27913"/>
    <w:rsid w:val="00C27E4F"/>
    <w:rsid w:val="00C325AE"/>
    <w:rsid w:val="00C32964"/>
    <w:rsid w:val="00C33B68"/>
    <w:rsid w:val="00C36A79"/>
    <w:rsid w:val="00C401D2"/>
    <w:rsid w:val="00C405D4"/>
    <w:rsid w:val="00C41D07"/>
    <w:rsid w:val="00C4431F"/>
    <w:rsid w:val="00C4513B"/>
    <w:rsid w:val="00C5390B"/>
    <w:rsid w:val="00C53E5D"/>
    <w:rsid w:val="00C54141"/>
    <w:rsid w:val="00C5418A"/>
    <w:rsid w:val="00C54697"/>
    <w:rsid w:val="00C65535"/>
    <w:rsid w:val="00C65C22"/>
    <w:rsid w:val="00C66B0D"/>
    <w:rsid w:val="00C71E85"/>
    <w:rsid w:val="00C72884"/>
    <w:rsid w:val="00C73885"/>
    <w:rsid w:val="00C73BA9"/>
    <w:rsid w:val="00C747B1"/>
    <w:rsid w:val="00C82191"/>
    <w:rsid w:val="00C83134"/>
    <w:rsid w:val="00C85545"/>
    <w:rsid w:val="00C9003C"/>
    <w:rsid w:val="00C90CF4"/>
    <w:rsid w:val="00C92EB6"/>
    <w:rsid w:val="00C93389"/>
    <w:rsid w:val="00C96040"/>
    <w:rsid w:val="00C9769E"/>
    <w:rsid w:val="00CA0914"/>
    <w:rsid w:val="00CA6AB4"/>
    <w:rsid w:val="00CA7BE7"/>
    <w:rsid w:val="00CB2F3F"/>
    <w:rsid w:val="00CB4930"/>
    <w:rsid w:val="00CC0E87"/>
    <w:rsid w:val="00CC2E7D"/>
    <w:rsid w:val="00CC6B42"/>
    <w:rsid w:val="00CD10A5"/>
    <w:rsid w:val="00CD2076"/>
    <w:rsid w:val="00CD29B5"/>
    <w:rsid w:val="00CD6331"/>
    <w:rsid w:val="00CD7704"/>
    <w:rsid w:val="00CD7AFB"/>
    <w:rsid w:val="00CE3E57"/>
    <w:rsid w:val="00CE670B"/>
    <w:rsid w:val="00CF19CB"/>
    <w:rsid w:val="00CF262D"/>
    <w:rsid w:val="00CF322D"/>
    <w:rsid w:val="00CF39C9"/>
    <w:rsid w:val="00CF4908"/>
    <w:rsid w:val="00CF51EC"/>
    <w:rsid w:val="00CF59E5"/>
    <w:rsid w:val="00CF73AE"/>
    <w:rsid w:val="00D040DD"/>
    <w:rsid w:val="00D075BE"/>
    <w:rsid w:val="00D13986"/>
    <w:rsid w:val="00D21D83"/>
    <w:rsid w:val="00D235B7"/>
    <w:rsid w:val="00D23C02"/>
    <w:rsid w:val="00D23F97"/>
    <w:rsid w:val="00D25F28"/>
    <w:rsid w:val="00D26071"/>
    <w:rsid w:val="00D27973"/>
    <w:rsid w:val="00D35E1A"/>
    <w:rsid w:val="00D37C1E"/>
    <w:rsid w:val="00D40B2B"/>
    <w:rsid w:val="00D40F7C"/>
    <w:rsid w:val="00D417B7"/>
    <w:rsid w:val="00D42211"/>
    <w:rsid w:val="00D42756"/>
    <w:rsid w:val="00D50F46"/>
    <w:rsid w:val="00D567C6"/>
    <w:rsid w:val="00D57677"/>
    <w:rsid w:val="00D61DF8"/>
    <w:rsid w:val="00D66223"/>
    <w:rsid w:val="00D674D7"/>
    <w:rsid w:val="00D71625"/>
    <w:rsid w:val="00D751DA"/>
    <w:rsid w:val="00D8084C"/>
    <w:rsid w:val="00D915EA"/>
    <w:rsid w:val="00D95B68"/>
    <w:rsid w:val="00D96855"/>
    <w:rsid w:val="00DA47A8"/>
    <w:rsid w:val="00DA48C1"/>
    <w:rsid w:val="00DA7C0C"/>
    <w:rsid w:val="00DB08A9"/>
    <w:rsid w:val="00DB2EC8"/>
    <w:rsid w:val="00DB5AF8"/>
    <w:rsid w:val="00DB5FC0"/>
    <w:rsid w:val="00DB6566"/>
    <w:rsid w:val="00DC1B9B"/>
    <w:rsid w:val="00DC1E84"/>
    <w:rsid w:val="00DC40D2"/>
    <w:rsid w:val="00DC48F1"/>
    <w:rsid w:val="00DC4EDE"/>
    <w:rsid w:val="00DC5B3B"/>
    <w:rsid w:val="00DD129F"/>
    <w:rsid w:val="00DD4EFE"/>
    <w:rsid w:val="00DE02BD"/>
    <w:rsid w:val="00DE5DBA"/>
    <w:rsid w:val="00DF42FF"/>
    <w:rsid w:val="00DF5908"/>
    <w:rsid w:val="00E01C0E"/>
    <w:rsid w:val="00E03F9A"/>
    <w:rsid w:val="00E0465E"/>
    <w:rsid w:val="00E04694"/>
    <w:rsid w:val="00E063CE"/>
    <w:rsid w:val="00E12B1E"/>
    <w:rsid w:val="00E12F7C"/>
    <w:rsid w:val="00E15B76"/>
    <w:rsid w:val="00E17262"/>
    <w:rsid w:val="00E20B53"/>
    <w:rsid w:val="00E253A2"/>
    <w:rsid w:val="00E314B9"/>
    <w:rsid w:val="00E329EF"/>
    <w:rsid w:val="00E3309D"/>
    <w:rsid w:val="00E374F4"/>
    <w:rsid w:val="00E409C2"/>
    <w:rsid w:val="00E43C1C"/>
    <w:rsid w:val="00E45931"/>
    <w:rsid w:val="00E47EBA"/>
    <w:rsid w:val="00E50156"/>
    <w:rsid w:val="00E51643"/>
    <w:rsid w:val="00E53470"/>
    <w:rsid w:val="00E53874"/>
    <w:rsid w:val="00E539F6"/>
    <w:rsid w:val="00E54E39"/>
    <w:rsid w:val="00E55091"/>
    <w:rsid w:val="00E6519D"/>
    <w:rsid w:val="00E67696"/>
    <w:rsid w:val="00E71654"/>
    <w:rsid w:val="00E71A58"/>
    <w:rsid w:val="00E72A7A"/>
    <w:rsid w:val="00E75C94"/>
    <w:rsid w:val="00E7677B"/>
    <w:rsid w:val="00E849A6"/>
    <w:rsid w:val="00E91024"/>
    <w:rsid w:val="00E920F4"/>
    <w:rsid w:val="00E93820"/>
    <w:rsid w:val="00E944EF"/>
    <w:rsid w:val="00E94A86"/>
    <w:rsid w:val="00E96143"/>
    <w:rsid w:val="00EA038B"/>
    <w:rsid w:val="00EA0987"/>
    <w:rsid w:val="00EA0C68"/>
    <w:rsid w:val="00EA32BC"/>
    <w:rsid w:val="00EA4302"/>
    <w:rsid w:val="00EA6C97"/>
    <w:rsid w:val="00EA7407"/>
    <w:rsid w:val="00EB39C7"/>
    <w:rsid w:val="00EB3D8F"/>
    <w:rsid w:val="00EB4511"/>
    <w:rsid w:val="00EB4A12"/>
    <w:rsid w:val="00EC03D7"/>
    <w:rsid w:val="00EC15CC"/>
    <w:rsid w:val="00EC313D"/>
    <w:rsid w:val="00ED62C6"/>
    <w:rsid w:val="00ED64C1"/>
    <w:rsid w:val="00EE0E68"/>
    <w:rsid w:val="00EE3446"/>
    <w:rsid w:val="00EE3E78"/>
    <w:rsid w:val="00EE4B1B"/>
    <w:rsid w:val="00EE7F19"/>
    <w:rsid w:val="00EF150D"/>
    <w:rsid w:val="00EF1F5A"/>
    <w:rsid w:val="00EF47BF"/>
    <w:rsid w:val="00EF6DB3"/>
    <w:rsid w:val="00F04811"/>
    <w:rsid w:val="00F0488C"/>
    <w:rsid w:val="00F066CF"/>
    <w:rsid w:val="00F10F11"/>
    <w:rsid w:val="00F15AAA"/>
    <w:rsid w:val="00F15BEF"/>
    <w:rsid w:val="00F17E83"/>
    <w:rsid w:val="00F24407"/>
    <w:rsid w:val="00F24931"/>
    <w:rsid w:val="00F24FAA"/>
    <w:rsid w:val="00F252A0"/>
    <w:rsid w:val="00F25B4A"/>
    <w:rsid w:val="00F25DEE"/>
    <w:rsid w:val="00F3364D"/>
    <w:rsid w:val="00F437CC"/>
    <w:rsid w:val="00F43E29"/>
    <w:rsid w:val="00F44537"/>
    <w:rsid w:val="00F44B6A"/>
    <w:rsid w:val="00F47067"/>
    <w:rsid w:val="00F50FC3"/>
    <w:rsid w:val="00F51087"/>
    <w:rsid w:val="00F5188A"/>
    <w:rsid w:val="00F52106"/>
    <w:rsid w:val="00F525EB"/>
    <w:rsid w:val="00F63DDE"/>
    <w:rsid w:val="00F63FB7"/>
    <w:rsid w:val="00F6421B"/>
    <w:rsid w:val="00F649D2"/>
    <w:rsid w:val="00F6602B"/>
    <w:rsid w:val="00F66643"/>
    <w:rsid w:val="00F66E76"/>
    <w:rsid w:val="00F66FD9"/>
    <w:rsid w:val="00F67C4E"/>
    <w:rsid w:val="00F70D20"/>
    <w:rsid w:val="00F72275"/>
    <w:rsid w:val="00F73990"/>
    <w:rsid w:val="00F73A0C"/>
    <w:rsid w:val="00F756DB"/>
    <w:rsid w:val="00F84E7D"/>
    <w:rsid w:val="00F85066"/>
    <w:rsid w:val="00F87A4D"/>
    <w:rsid w:val="00F90035"/>
    <w:rsid w:val="00F92283"/>
    <w:rsid w:val="00F9785E"/>
    <w:rsid w:val="00FA5D4D"/>
    <w:rsid w:val="00FA60AD"/>
    <w:rsid w:val="00FA7115"/>
    <w:rsid w:val="00FB0EE2"/>
    <w:rsid w:val="00FB4423"/>
    <w:rsid w:val="00FB542E"/>
    <w:rsid w:val="00FB6631"/>
    <w:rsid w:val="00FC0E5F"/>
    <w:rsid w:val="00FC1A95"/>
    <w:rsid w:val="00FC56DE"/>
    <w:rsid w:val="00FC6700"/>
    <w:rsid w:val="00FC684B"/>
    <w:rsid w:val="00FD1A5F"/>
    <w:rsid w:val="00FD3265"/>
    <w:rsid w:val="00FD5F92"/>
    <w:rsid w:val="00FD66F9"/>
    <w:rsid w:val="00FD78F8"/>
    <w:rsid w:val="00FE2F78"/>
    <w:rsid w:val="00FE470B"/>
    <w:rsid w:val="00FF4082"/>
    <w:rsid w:val="00FF7090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tabs>
        <w:tab w:val="num" w:pos="360"/>
      </w:tabs>
      <w:spacing w:before="200" w:after="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tabs>
        <w:tab w:val="num" w:pos="360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tabs>
        <w:tab w:val="num" w:pos="360"/>
      </w:tabs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tabs>
        <w:tab w:val="num" w:pos="360"/>
      </w:tabs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  <w:style w:type="character" w:customStyle="1" w:styleId="cfu">
    <w:name w:val="c_fu"/>
    <w:basedOn w:val="Standardnpsmoodstavce"/>
    <w:rsid w:val="00BF3B1D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9E5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/metodicka-poznamka-k-indexu-spotrebitelskych-cen-imputovane-najemn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5Q4/Makroanal&#253;za%20graf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5Q4/Makroanal&#253;za%20graf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5Q4/Makroanal&#253;za%20graf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568840579710145E-2"/>
          <c:y val="2.1811315924220299E-2"/>
          <c:w val="0.92237743255066085"/>
          <c:h val="0.714715752130041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'Ceny 2'!$C$5</c:f>
              <c:strCache>
                <c:ptCount val="1"/>
                <c:pt idx="0">
                  <c:v>Celkem</c:v>
                </c:pt>
              </c:strCache>
            </c:strRef>
          </c:tx>
          <c:spPr>
            <a:solidFill>
              <a:srgbClr val="85898E"/>
            </a:solidFill>
            <a:ln w="19050">
              <a:noFill/>
            </a:ln>
          </c:spPr>
          <c:invertIfNegative val="0"/>
          <c:cat>
            <c:multiLvlStrRef>
              <c:f>'Ceny 2'!$A$14:$B$37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2'!$C$14:$C$37</c:f>
              <c:numCache>
                <c:formatCode>0.0</c:formatCode>
                <c:ptCount val="24"/>
                <c:pt idx="0">
                  <c:v>3.6</c:v>
                </c:pt>
                <c:pt idx="1">
                  <c:v>3.1</c:v>
                </c:pt>
                <c:pt idx="2">
                  <c:v>3.3</c:v>
                </c:pt>
                <c:pt idx="3">
                  <c:v>2.6</c:v>
                </c:pt>
                <c:pt idx="4">
                  <c:v>2.2000000000000002</c:v>
                </c:pt>
                <c:pt idx="5">
                  <c:v>2.9</c:v>
                </c:pt>
                <c:pt idx="6">
                  <c:v>4.0999999999999996</c:v>
                </c:pt>
                <c:pt idx="7">
                  <c:v>6.1</c:v>
                </c:pt>
                <c:pt idx="8">
                  <c:v>11.2</c:v>
                </c:pt>
                <c:pt idx="9">
                  <c:v>15.8</c:v>
                </c:pt>
                <c:pt idx="10">
                  <c:v>17.600000000000001</c:v>
                </c:pt>
                <c:pt idx="11">
                  <c:v>15.7</c:v>
                </c:pt>
                <c:pt idx="12">
                  <c:v>16.399999999999999</c:v>
                </c:pt>
                <c:pt idx="13">
                  <c:v>11.1</c:v>
                </c:pt>
                <c:pt idx="14">
                  <c:v>8</c:v>
                </c:pt>
                <c:pt idx="15">
                  <c:v>7.6</c:v>
                </c:pt>
                <c:pt idx="16">
                  <c:v>2.1</c:v>
                </c:pt>
                <c:pt idx="17">
                  <c:v>2.5</c:v>
                </c:pt>
                <c:pt idx="18">
                  <c:v>2.2999999999999998</c:v>
                </c:pt>
                <c:pt idx="19">
                  <c:v>2.9</c:v>
                </c:pt>
                <c:pt idx="20">
                  <c:v>2.7</c:v>
                </c:pt>
                <c:pt idx="21">
                  <c:v>2.4</c:v>
                </c:pt>
                <c:pt idx="22">
                  <c:v>2.5</c:v>
                </c:pt>
                <c:pt idx="23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BB-4322-A7A0-CBF4AEBFBA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axId val="270120064"/>
        <c:axId val="270121600"/>
      </c:barChart>
      <c:lineChart>
        <c:grouping val="standard"/>
        <c:varyColors val="0"/>
        <c:ser>
          <c:idx val="1"/>
          <c:order val="1"/>
          <c:tx>
            <c:strRef>
              <c:f>'Ceny 2'!$D$5</c:f>
              <c:strCache>
                <c:ptCount val="1"/>
                <c:pt idx="0">
                  <c:v>Potraviny a nealkoholické nápoje</c:v>
                </c:pt>
              </c:strCache>
            </c:strRef>
          </c:tx>
          <c:spPr>
            <a:ln w="19050">
              <a:solidFill>
                <a:srgbClr val="009CB5"/>
              </a:solidFill>
            </a:ln>
          </c:spPr>
          <c:marker>
            <c:symbol val="none"/>
          </c:marker>
          <c:cat>
            <c:multiLvlStrRef>
              <c:f>'Ceny 2'!$A$14:$B$37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2'!$D$14:$D$37</c:f>
              <c:numCache>
                <c:formatCode>0.0</c:formatCode>
                <c:ptCount val="24"/>
                <c:pt idx="0">
                  <c:v>6.1</c:v>
                </c:pt>
                <c:pt idx="1">
                  <c:v>6.5</c:v>
                </c:pt>
                <c:pt idx="2">
                  <c:v>4</c:v>
                </c:pt>
                <c:pt idx="3">
                  <c:v>1.7</c:v>
                </c:pt>
                <c:pt idx="4">
                  <c:v>0.3</c:v>
                </c:pt>
                <c:pt idx="5">
                  <c:v>-0.8</c:v>
                </c:pt>
                <c:pt idx="6">
                  <c:v>1.4</c:v>
                </c:pt>
                <c:pt idx="7">
                  <c:v>2.2999999999999998</c:v>
                </c:pt>
                <c:pt idx="8">
                  <c:v>6.7</c:v>
                </c:pt>
                <c:pt idx="9">
                  <c:v>14.6</c:v>
                </c:pt>
                <c:pt idx="10">
                  <c:v>20</c:v>
                </c:pt>
                <c:pt idx="11">
                  <c:v>25.5</c:v>
                </c:pt>
                <c:pt idx="12">
                  <c:v>24.1</c:v>
                </c:pt>
                <c:pt idx="13">
                  <c:v>14.6</c:v>
                </c:pt>
                <c:pt idx="14">
                  <c:v>7.8</c:v>
                </c:pt>
                <c:pt idx="15">
                  <c:v>1.6</c:v>
                </c:pt>
                <c:pt idx="16">
                  <c:v>-4.9000000000000004</c:v>
                </c:pt>
                <c:pt idx="17">
                  <c:v>-3.6</c:v>
                </c:pt>
                <c:pt idx="18">
                  <c:v>-1.4</c:v>
                </c:pt>
                <c:pt idx="19">
                  <c:v>0.9</c:v>
                </c:pt>
                <c:pt idx="20">
                  <c:v>5.0999999999999996</c:v>
                </c:pt>
                <c:pt idx="21">
                  <c:v>5.2</c:v>
                </c:pt>
                <c:pt idx="22">
                  <c:v>4.2</c:v>
                </c:pt>
                <c:pt idx="23">
                  <c:v>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9BB-4322-A7A0-CBF4AEBFBA82}"/>
            </c:ext>
          </c:extLst>
        </c:ser>
        <c:ser>
          <c:idx val="3"/>
          <c:order val="2"/>
          <c:tx>
            <c:strRef>
              <c:f>'Ceny 2'!$F$5</c:f>
              <c:strCache>
                <c:ptCount val="1"/>
                <c:pt idx="0">
                  <c:v>Bydlení a energie</c:v>
                </c:pt>
              </c:strCache>
            </c:strRef>
          </c:tx>
          <c:spPr>
            <a:ln w="19050">
              <a:solidFill>
                <a:srgbClr val="BC5B80"/>
              </a:solidFill>
            </a:ln>
          </c:spPr>
          <c:marker>
            <c:symbol val="none"/>
          </c:marker>
          <c:cat>
            <c:multiLvlStrRef>
              <c:f>'Ceny 2'!$A$14:$B$37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2'!$F$14:$F$37</c:f>
              <c:numCache>
                <c:formatCode>0.0</c:formatCode>
                <c:ptCount val="24"/>
                <c:pt idx="0">
                  <c:v>4.2</c:v>
                </c:pt>
                <c:pt idx="1">
                  <c:v>3.2</c:v>
                </c:pt>
                <c:pt idx="2">
                  <c:v>2.7</c:v>
                </c:pt>
                <c:pt idx="3">
                  <c:v>1.4</c:v>
                </c:pt>
                <c:pt idx="4">
                  <c:v>0.6</c:v>
                </c:pt>
                <c:pt idx="5">
                  <c:v>1.3</c:v>
                </c:pt>
                <c:pt idx="6">
                  <c:v>3.6</c:v>
                </c:pt>
                <c:pt idx="7">
                  <c:v>5.6</c:v>
                </c:pt>
                <c:pt idx="8">
                  <c:v>16</c:v>
                </c:pt>
                <c:pt idx="9">
                  <c:v>21.4</c:v>
                </c:pt>
                <c:pt idx="10">
                  <c:v>23.6</c:v>
                </c:pt>
                <c:pt idx="11">
                  <c:v>14.9</c:v>
                </c:pt>
                <c:pt idx="12">
                  <c:v>22.2</c:v>
                </c:pt>
                <c:pt idx="13">
                  <c:v>16</c:v>
                </c:pt>
                <c:pt idx="14">
                  <c:v>11.6</c:v>
                </c:pt>
                <c:pt idx="15">
                  <c:v>17.8</c:v>
                </c:pt>
                <c:pt idx="16">
                  <c:v>3.4</c:v>
                </c:pt>
                <c:pt idx="17">
                  <c:v>3.1</c:v>
                </c:pt>
                <c:pt idx="18">
                  <c:v>3.2</c:v>
                </c:pt>
                <c:pt idx="19">
                  <c:v>4.2</c:v>
                </c:pt>
                <c:pt idx="20">
                  <c:v>1.4</c:v>
                </c:pt>
                <c:pt idx="21">
                  <c:v>1.9</c:v>
                </c:pt>
                <c:pt idx="22">
                  <c:v>2</c:v>
                </c:pt>
                <c:pt idx="23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9BB-4322-A7A0-CBF4AEBFBA82}"/>
            </c:ext>
          </c:extLst>
        </c:ser>
        <c:ser>
          <c:idx val="4"/>
          <c:order val="3"/>
          <c:tx>
            <c:strRef>
              <c:f>'Ceny 2'!$G$5</c:f>
              <c:strCache>
                <c:ptCount val="1"/>
                <c:pt idx="0">
                  <c:v>Doprava</c:v>
                </c:pt>
              </c:strCache>
            </c:strRef>
          </c:tx>
          <c:spPr>
            <a:ln w="19050">
              <a:solidFill>
                <a:srgbClr val="174F70"/>
              </a:solidFill>
            </a:ln>
          </c:spPr>
          <c:marker>
            <c:symbol val="none"/>
          </c:marker>
          <c:cat>
            <c:multiLvlStrRef>
              <c:f>'Ceny 2'!$A$14:$B$37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2'!$G$14:$G$37</c:f>
              <c:numCache>
                <c:formatCode>0.0</c:formatCode>
                <c:ptCount val="24"/>
                <c:pt idx="0" formatCode="General">
                  <c:v>1.7</c:v>
                </c:pt>
                <c:pt idx="1">
                  <c:v>-3.4</c:v>
                </c:pt>
                <c:pt idx="2">
                  <c:v>-0.2</c:v>
                </c:pt>
                <c:pt idx="3">
                  <c:v>0.6</c:v>
                </c:pt>
                <c:pt idx="4">
                  <c:v>2.4</c:v>
                </c:pt>
                <c:pt idx="5">
                  <c:v>9.1</c:v>
                </c:pt>
                <c:pt idx="6">
                  <c:v>8.8000000000000007</c:v>
                </c:pt>
                <c:pt idx="7">
                  <c:v>13.1</c:v>
                </c:pt>
                <c:pt idx="8">
                  <c:v>17.2</c:v>
                </c:pt>
                <c:pt idx="9">
                  <c:v>22.7</c:v>
                </c:pt>
                <c:pt idx="10">
                  <c:v>19.7</c:v>
                </c:pt>
                <c:pt idx="11">
                  <c:v>13.1</c:v>
                </c:pt>
                <c:pt idx="12">
                  <c:v>4.5</c:v>
                </c:pt>
                <c:pt idx="13">
                  <c:v>-4</c:v>
                </c:pt>
                <c:pt idx="14">
                  <c:v>-2.4</c:v>
                </c:pt>
                <c:pt idx="15">
                  <c:v>-1.6</c:v>
                </c:pt>
                <c:pt idx="16">
                  <c:v>1.7</c:v>
                </c:pt>
                <c:pt idx="17">
                  <c:v>4.5999999999999996</c:v>
                </c:pt>
                <c:pt idx="18">
                  <c:v>0.9</c:v>
                </c:pt>
                <c:pt idx="19">
                  <c:v>0.1</c:v>
                </c:pt>
                <c:pt idx="20">
                  <c:v>0.3</c:v>
                </c:pt>
                <c:pt idx="21">
                  <c:v>-2.7</c:v>
                </c:pt>
                <c:pt idx="22">
                  <c:v>-0.9</c:v>
                </c:pt>
                <c:pt idx="23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9BB-4322-A7A0-CBF4AEBFBA82}"/>
            </c:ext>
          </c:extLst>
        </c:ser>
        <c:ser>
          <c:idx val="2"/>
          <c:order val="4"/>
          <c:tx>
            <c:strRef>
              <c:f>'Ceny 2'!$E$5</c:f>
              <c:strCache>
                <c:ptCount val="1"/>
                <c:pt idx="0">
                  <c:v>Alkoholické nápoje a tabák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CC9610"/>
              </a:solidFill>
            </a:ln>
          </c:spPr>
          <c:marker>
            <c:symbol val="none"/>
          </c:marker>
          <c:cat>
            <c:multiLvlStrRef>
              <c:f>'Ceny 2'!$A$14:$B$37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2'!$E$14:$E$37</c:f>
              <c:numCache>
                <c:formatCode>0.0</c:formatCode>
                <c:ptCount val="24"/>
                <c:pt idx="0" formatCode="General">
                  <c:v>3.5</c:v>
                </c:pt>
                <c:pt idx="1">
                  <c:v>6.6</c:v>
                </c:pt>
                <c:pt idx="2">
                  <c:v>10.3</c:v>
                </c:pt>
                <c:pt idx="3">
                  <c:v>9.9</c:v>
                </c:pt>
                <c:pt idx="4">
                  <c:v>9.9</c:v>
                </c:pt>
                <c:pt idx="5">
                  <c:v>9.8000000000000007</c:v>
                </c:pt>
                <c:pt idx="6">
                  <c:v>6.5</c:v>
                </c:pt>
                <c:pt idx="7">
                  <c:v>7.7</c:v>
                </c:pt>
                <c:pt idx="8">
                  <c:v>7.1</c:v>
                </c:pt>
                <c:pt idx="9">
                  <c:v>5.6</c:v>
                </c:pt>
                <c:pt idx="10">
                  <c:v>6.3</c:v>
                </c:pt>
                <c:pt idx="11">
                  <c:v>6</c:v>
                </c:pt>
                <c:pt idx="12">
                  <c:v>6.8</c:v>
                </c:pt>
                <c:pt idx="13">
                  <c:v>6.5</c:v>
                </c:pt>
                <c:pt idx="14">
                  <c:v>7.2</c:v>
                </c:pt>
                <c:pt idx="15">
                  <c:v>5.9</c:v>
                </c:pt>
                <c:pt idx="16">
                  <c:v>4.7</c:v>
                </c:pt>
                <c:pt idx="17">
                  <c:v>6.2</c:v>
                </c:pt>
                <c:pt idx="18">
                  <c:v>4.5999999999999996</c:v>
                </c:pt>
                <c:pt idx="19">
                  <c:v>4.8</c:v>
                </c:pt>
                <c:pt idx="20">
                  <c:v>5.0999999999999996</c:v>
                </c:pt>
                <c:pt idx="21">
                  <c:v>3.3</c:v>
                </c:pt>
                <c:pt idx="22">
                  <c:v>3.5</c:v>
                </c:pt>
                <c:pt idx="23">
                  <c:v>4.0999999999999996</c:v>
                </c:pt>
              </c:numCache>
            </c:numRef>
          </c:val>
          <c:smooth val="0"/>
          <c:extLst xmlns:c15="http://schemas.microsoft.com/office/drawing/2012/chart">
            <c:ext xmlns:c16="http://schemas.microsoft.com/office/drawing/2014/chart" uri="{C3380CC4-5D6E-409C-BE32-E72D297353CC}">
              <c16:uniqueId val="{00000004-09BB-4322-A7A0-CBF4AEBFBA82}"/>
            </c:ext>
          </c:extLst>
        </c:ser>
        <c:ser>
          <c:idx val="5"/>
          <c:order val="5"/>
          <c:tx>
            <c:strRef>
              <c:f>'Ceny 2'!$H$5</c:f>
              <c:strCache>
                <c:ptCount val="1"/>
                <c:pt idx="0">
                  <c:v>Stravování a ubytování</c:v>
                </c:pt>
              </c:strCache>
            </c:strRef>
          </c:tx>
          <c:spPr>
            <a:ln w="19050">
              <a:solidFill>
                <a:srgbClr val="86BF5E"/>
              </a:solidFill>
            </a:ln>
          </c:spPr>
          <c:marker>
            <c:symbol val="none"/>
          </c:marker>
          <c:cat>
            <c:multiLvlStrRef>
              <c:f>'Ceny 2'!$A$14:$B$37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2'!$H$14:$H$37</c:f>
              <c:numCache>
                <c:formatCode>0.0</c:formatCode>
                <c:ptCount val="24"/>
                <c:pt idx="0">
                  <c:v>5.5</c:v>
                </c:pt>
                <c:pt idx="1">
                  <c:v>5.0999999999999996</c:v>
                </c:pt>
                <c:pt idx="2">
                  <c:v>4.9000000000000004</c:v>
                </c:pt>
                <c:pt idx="3">
                  <c:v>4.3</c:v>
                </c:pt>
                <c:pt idx="4">
                  <c:v>3</c:v>
                </c:pt>
                <c:pt idx="5">
                  <c:v>2.9</c:v>
                </c:pt>
                <c:pt idx="6">
                  <c:v>4.5999999999999996</c:v>
                </c:pt>
                <c:pt idx="7">
                  <c:v>6.8</c:v>
                </c:pt>
                <c:pt idx="8">
                  <c:v>12.3</c:v>
                </c:pt>
                <c:pt idx="9">
                  <c:v>21.4</c:v>
                </c:pt>
                <c:pt idx="10">
                  <c:v>24.3</c:v>
                </c:pt>
                <c:pt idx="11">
                  <c:v>25.6</c:v>
                </c:pt>
                <c:pt idx="12">
                  <c:v>22.4</c:v>
                </c:pt>
                <c:pt idx="13">
                  <c:v>15.4</c:v>
                </c:pt>
                <c:pt idx="14">
                  <c:v>11.6</c:v>
                </c:pt>
                <c:pt idx="15">
                  <c:v>8.8000000000000007</c:v>
                </c:pt>
                <c:pt idx="16">
                  <c:v>8.6</c:v>
                </c:pt>
                <c:pt idx="17">
                  <c:v>7.8</c:v>
                </c:pt>
                <c:pt idx="18">
                  <c:v>7.2</c:v>
                </c:pt>
                <c:pt idx="19">
                  <c:v>7</c:v>
                </c:pt>
                <c:pt idx="20">
                  <c:v>5.3</c:v>
                </c:pt>
                <c:pt idx="21">
                  <c:v>4.9000000000000004</c:v>
                </c:pt>
                <c:pt idx="22">
                  <c:v>4.8</c:v>
                </c:pt>
                <c:pt idx="23">
                  <c:v>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9BB-4322-A7A0-CBF4AEBFBA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0120064"/>
        <c:axId val="270121600"/>
        <c:extLst>
          <c:ext xmlns:c15="http://schemas.microsoft.com/office/drawing/2012/chart" uri="{02D57815-91ED-43cb-92C2-25804820EDAC}">
            <c15:filteredLineSeries>
              <c15:ser>
                <c:idx val="6"/>
                <c:order val="6"/>
                <c:tx>
                  <c:strRef>
                    <c:extLst>
                      <c:ext uri="{02D57815-91ED-43cb-92C2-25804820EDAC}">
                        <c15:formulaRef>
                          <c15:sqref>'Ceny 2'!$I$5</c15:sqref>
                        </c15:formulaRef>
                      </c:ext>
                    </c:extLst>
                    <c:strCache>
                      <c:ptCount val="1"/>
                      <c:pt idx="0">
                        <c:v>Rekreace a kultura</c:v>
                      </c:pt>
                    </c:strCache>
                  </c:strRef>
                </c:tx>
                <c:spPr>
                  <a:ln w="19050">
                    <a:solidFill>
                      <a:srgbClr val="FF0000"/>
                    </a:solidFill>
                  </a:ln>
                </c:spPr>
                <c:marker>
                  <c:symbol val="none"/>
                </c:marker>
                <c:cat>
                  <c:multiLvlStrRef>
                    <c:extLst>
                      <c:ext uri="{02D57815-91ED-43cb-92C2-25804820EDAC}">
                        <c15:formulaRef>
                          <c15:sqref>'Ceny 2'!$A$14:$B$37</c15:sqref>
                        </c15:formulaRef>
                      </c:ext>
                    </c:extLst>
                    <c:multiLvlStrCache>
                      <c:ptCount val="24"/>
                      <c:lvl>
                        <c:pt idx="0">
                          <c:v>1</c:v>
                        </c:pt>
                        <c:pt idx="1">
                          <c:v>2</c:v>
                        </c:pt>
                        <c:pt idx="2">
                          <c:v>3</c:v>
                        </c:pt>
                        <c:pt idx="3">
                          <c:v>4</c:v>
                        </c:pt>
                        <c:pt idx="4">
                          <c:v>1</c:v>
                        </c:pt>
                        <c:pt idx="5">
                          <c:v>2</c:v>
                        </c:pt>
                        <c:pt idx="6">
                          <c:v>3</c:v>
                        </c:pt>
                        <c:pt idx="7">
                          <c:v>4</c:v>
                        </c:pt>
                        <c:pt idx="8">
                          <c:v>1</c:v>
                        </c:pt>
                        <c:pt idx="9">
                          <c:v>2</c:v>
                        </c:pt>
                        <c:pt idx="10">
                          <c:v>3</c:v>
                        </c:pt>
                        <c:pt idx="11">
                          <c:v>4</c:v>
                        </c:pt>
                        <c:pt idx="12">
                          <c:v>1</c:v>
                        </c:pt>
                        <c:pt idx="13">
                          <c:v>2</c:v>
                        </c:pt>
                        <c:pt idx="14">
                          <c:v>3</c:v>
                        </c:pt>
                        <c:pt idx="15">
                          <c:v>4</c:v>
                        </c:pt>
                        <c:pt idx="16">
                          <c:v>1</c:v>
                        </c:pt>
                        <c:pt idx="17">
                          <c:v>2</c:v>
                        </c:pt>
                        <c:pt idx="18">
                          <c:v>3</c:v>
                        </c:pt>
                        <c:pt idx="19">
                          <c:v>4</c:v>
                        </c:pt>
                        <c:pt idx="20">
                          <c:v>1</c:v>
                        </c:pt>
                        <c:pt idx="21">
                          <c:v>2</c:v>
                        </c:pt>
                        <c:pt idx="22">
                          <c:v>3</c:v>
                        </c:pt>
                        <c:pt idx="23">
                          <c:v>4</c:v>
                        </c:pt>
                      </c:lvl>
                      <c:lvl>
                        <c:pt idx="0">
                          <c:v>2020</c:v>
                        </c:pt>
                        <c:pt idx="4">
                          <c:v>2021</c:v>
                        </c:pt>
                        <c:pt idx="8">
                          <c:v>2022</c:v>
                        </c:pt>
                        <c:pt idx="12">
                          <c:v>2023</c:v>
                        </c:pt>
                        <c:pt idx="16">
                          <c:v>2024</c:v>
                        </c:pt>
                        <c:pt idx="20">
                          <c:v>2025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'Ceny 2'!$I$10:$I$30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1.7000000000000028</c:v>
                      </c:pt>
                      <c:pt idx="1">
                        <c:v>1</c:v>
                      </c:pt>
                      <c:pt idx="2">
                        <c:v>1.7000000000000028</c:v>
                      </c:pt>
                      <c:pt idx="3">
                        <c:v>2.0999999999999943</c:v>
                      </c:pt>
                      <c:pt idx="4">
                        <c:v>2.0999999999999943</c:v>
                      </c:pt>
                      <c:pt idx="5">
                        <c:v>2</c:v>
                      </c:pt>
                      <c:pt idx="6">
                        <c:v>2.2000000000000028</c:v>
                      </c:pt>
                      <c:pt idx="7">
                        <c:v>2.5</c:v>
                      </c:pt>
                      <c:pt idx="8">
                        <c:v>1.4000000000000057</c:v>
                      </c:pt>
                      <c:pt idx="9">
                        <c:v>2</c:v>
                      </c:pt>
                      <c:pt idx="10">
                        <c:v>3.0999999999999943</c:v>
                      </c:pt>
                      <c:pt idx="11">
                        <c:v>5.2999999999999972</c:v>
                      </c:pt>
                      <c:pt idx="12">
                        <c:v>8.5</c:v>
                      </c:pt>
                      <c:pt idx="13">
                        <c:v>11.299999999999997</c:v>
                      </c:pt>
                      <c:pt idx="14">
                        <c:v>12.599999999999994</c:v>
                      </c:pt>
                      <c:pt idx="15" formatCode="0.0">
                        <c:v>13.2</c:v>
                      </c:pt>
                      <c:pt idx="16" formatCode="0.0">
                        <c:v>14</c:v>
                      </c:pt>
                      <c:pt idx="17" formatCode="0.0">
                        <c:v>11.7</c:v>
                      </c:pt>
                      <c:pt idx="18" formatCode="0.0">
                        <c:v>9.6999999999999993</c:v>
                      </c:pt>
                      <c:pt idx="19" formatCode="0.0">
                        <c:v>6.9</c:v>
                      </c:pt>
                      <c:pt idx="20" formatCode="0.0">
                        <c:v>4.4000000000000004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09BB-4322-A7A0-CBF4AEBFBA82}"/>
                  </c:ext>
                </c:extLst>
              </c15:ser>
            </c15:filteredLineSeries>
            <c15:filteredLin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'Ceny 2'!$J$5</c15:sqref>
                        </c15:formulaRef>
                      </c:ext>
                    </c:extLst>
                    <c:strCache>
                      <c:ptCount val="1"/>
                      <c:pt idx="0">
                        <c:v>Odívání a obuv</c:v>
                      </c:pt>
                    </c:strCache>
                  </c:strRef>
                </c:tx>
                <c:spPr>
                  <a:ln w="19050">
                    <a:solidFill>
                      <a:srgbClr val="E8AFB2"/>
                    </a:solidFill>
                  </a:ln>
                </c:spPr>
                <c:marker>
                  <c:symbol val="none"/>
                </c:marker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'Ceny 2'!$A$14:$B$37</c15:sqref>
                        </c15:formulaRef>
                      </c:ext>
                    </c:extLst>
                    <c:multiLvlStrCache>
                      <c:ptCount val="24"/>
                      <c:lvl>
                        <c:pt idx="0">
                          <c:v>1</c:v>
                        </c:pt>
                        <c:pt idx="1">
                          <c:v>2</c:v>
                        </c:pt>
                        <c:pt idx="2">
                          <c:v>3</c:v>
                        </c:pt>
                        <c:pt idx="3">
                          <c:v>4</c:v>
                        </c:pt>
                        <c:pt idx="4">
                          <c:v>1</c:v>
                        </c:pt>
                        <c:pt idx="5">
                          <c:v>2</c:v>
                        </c:pt>
                        <c:pt idx="6">
                          <c:v>3</c:v>
                        </c:pt>
                        <c:pt idx="7">
                          <c:v>4</c:v>
                        </c:pt>
                        <c:pt idx="8">
                          <c:v>1</c:v>
                        </c:pt>
                        <c:pt idx="9">
                          <c:v>2</c:v>
                        </c:pt>
                        <c:pt idx="10">
                          <c:v>3</c:v>
                        </c:pt>
                        <c:pt idx="11">
                          <c:v>4</c:v>
                        </c:pt>
                        <c:pt idx="12">
                          <c:v>1</c:v>
                        </c:pt>
                        <c:pt idx="13">
                          <c:v>2</c:v>
                        </c:pt>
                        <c:pt idx="14">
                          <c:v>3</c:v>
                        </c:pt>
                        <c:pt idx="15">
                          <c:v>4</c:v>
                        </c:pt>
                        <c:pt idx="16">
                          <c:v>1</c:v>
                        </c:pt>
                        <c:pt idx="17">
                          <c:v>2</c:v>
                        </c:pt>
                        <c:pt idx="18">
                          <c:v>3</c:v>
                        </c:pt>
                        <c:pt idx="19">
                          <c:v>4</c:v>
                        </c:pt>
                        <c:pt idx="20">
                          <c:v>1</c:v>
                        </c:pt>
                        <c:pt idx="21">
                          <c:v>2</c:v>
                        </c:pt>
                        <c:pt idx="22">
                          <c:v>3</c:v>
                        </c:pt>
                        <c:pt idx="23">
                          <c:v>4</c:v>
                        </c:pt>
                      </c:lvl>
                      <c:lvl>
                        <c:pt idx="0">
                          <c:v>2020</c:v>
                        </c:pt>
                        <c:pt idx="4">
                          <c:v>2021</c:v>
                        </c:pt>
                        <c:pt idx="8">
                          <c:v>2022</c:v>
                        </c:pt>
                        <c:pt idx="12">
                          <c:v>2023</c:v>
                        </c:pt>
                        <c:pt idx="16">
                          <c:v>2024</c:v>
                        </c:pt>
                        <c:pt idx="20">
                          <c:v>2025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'Ceny 2'!$J$6:$J$24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-0.29999999999999716</c:v>
                      </c:pt>
                      <c:pt idx="1">
                        <c:v>-1</c:v>
                      </c:pt>
                      <c:pt idx="2">
                        <c:v>-1.4000000000000057</c:v>
                      </c:pt>
                      <c:pt idx="3">
                        <c:v>-1.7000000000000028</c:v>
                      </c:pt>
                      <c:pt idx="4">
                        <c:v>-1.0999999999999943</c:v>
                      </c:pt>
                      <c:pt idx="5">
                        <c:v>-1.9000000000000057</c:v>
                      </c:pt>
                      <c:pt idx="6">
                        <c:v>-1.5</c:v>
                      </c:pt>
                      <c:pt idx="7">
                        <c:v>-0.29999999999999716</c:v>
                      </c:pt>
                      <c:pt idx="8">
                        <c:v>3.5</c:v>
                      </c:pt>
                      <c:pt idx="9">
                        <c:v>3.4000000000000057</c:v>
                      </c:pt>
                      <c:pt idx="10">
                        <c:v>4.5</c:v>
                      </c:pt>
                      <c:pt idx="11">
                        <c:v>3.4000000000000057</c:v>
                      </c:pt>
                      <c:pt idx="12">
                        <c:v>2.7000000000000028</c:v>
                      </c:pt>
                      <c:pt idx="13">
                        <c:v>2.9000000000000057</c:v>
                      </c:pt>
                      <c:pt idx="14">
                        <c:v>7.7999999999999972</c:v>
                      </c:pt>
                      <c:pt idx="15">
                        <c:v>12.599999999999994</c:v>
                      </c:pt>
                      <c:pt idx="16">
                        <c:v>16.900000000000006</c:v>
                      </c:pt>
                      <c:pt idx="17">
                        <c:v>20</c:v>
                      </c:pt>
                      <c:pt idx="18">
                        <c:v>19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09BB-4322-A7A0-CBF4AEBFBA82}"/>
                  </c:ext>
                </c:extLst>
              </c15:ser>
            </c15:filteredLineSeries>
          </c:ext>
        </c:extLst>
      </c:lineChart>
      <c:catAx>
        <c:axId val="270120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270121600"/>
        <c:crosses val="autoZero"/>
        <c:auto val="1"/>
        <c:lblAlgn val="ctr"/>
        <c:lblOffset val="100"/>
        <c:noMultiLvlLbl val="0"/>
      </c:catAx>
      <c:valAx>
        <c:axId val="270121600"/>
        <c:scaling>
          <c:orientation val="minMax"/>
          <c:max val="27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70120064"/>
        <c:crosses val="autoZero"/>
        <c:crossBetween val="between"/>
        <c:majorUnit val="3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5.3882134414049307E-2"/>
          <c:y val="0.85802375323651925"/>
          <c:w val="0.92470364741641342"/>
          <c:h val="0.1312535179556456"/>
        </c:manualLayout>
      </c:layout>
      <c:overlay val="0"/>
      <c:spPr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070373184734885E-2"/>
          <c:y val="2.9569886214146503E-2"/>
          <c:w val="0.90493308848362042"/>
          <c:h val="0.735566531577169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'Ceny 1'!$C$5</c:f>
              <c:strCache>
                <c:ptCount val="1"/>
                <c:pt idx="0">
                  <c:v>Realizované ceny starších bytů, ČR</c:v>
                </c:pt>
              </c:strCache>
            </c:strRef>
          </c:tx>
          <c:spPr>
            <a:solidFill>
              <a:srgbClr val="B8BBC0"/>
            </a:solidFill>
            <a:ln w="19050">
              <a:noFill/>
            </a:ln>
          </c:spPr>
          <c:invertIfNegative val="0"/>
          <c:cat>
            <c:multiLvlStrRef>
              <c:f>'Ceny 1'!$A$14:$B$37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1'!$C$14:$C$37</c:f>
              <c:numCache>
                <c:formatCode>0.0</c:formatCode>
                <c:ptCount val="24"/>
                <c:pt idx="0">
                  <c:v>10.599999999999994</c:v>
                </c:pt>
                <c:pt idx="1">
                  <c:v>10.200000000000003</c:v>
                </c:pt>
                <c:pt idx="2">
                  <c:v>11.200000000000003</c:v>
                </c:pt>
                <c:pt idx="3">
                  <c:v>13.299999999999997</c:v>
                </c:pt>
                <c:pt idx="4">
                  <c:v>15.200000000000003</c:v>
                </c:pt>
                <c:pt idx="5">
                  <c:v>17.900000000000006</c:v>
                </c:pt>
                <c:pt idx="6">
                  <c:v>21.299999999999997</c:v>
                </c:pt>
                <c:pt idx="7">
                  <c:v>25.200000000000003</c:v>
                </c:pt>
                <c:pt idx="8">
                  <c:v>27.299999999999997</c:v>
                </c:pt>
                <c:pt idx="9">
                  <c:v>27.599999999999994</c:v>
                </c:pt>
                <c:pt idx="10">
                  <c:v>23.400000000000006</c:v>
                </c:pt>
                <c:pt idx="11">
                  <c:v>13.799999999999997</c:v>
                </c:pt>
                <c:pt idx="12">
                  <c:v>3.7000000000000028</c:v>
                </c:pt>
                <c:pt idx="13">
                  <c:v>-4.0999999999999943</c:v>
                </c:pt>
                <c:pt idx="14">
                  <c:v>-7</c:v>
                </c:pt>
                <c:pt idx="15">
                  <c:v>-5.5</c:v>
                </c:pt>
                <c:pt idx="16">
                  <c:v>9.9999999999994316E-2</c:v>
                </c:pt>
                <c:pt idx="17">
                  <c:v>6.0999999999999943</c:v>
                </c:pt>
                <c:pt idx="18">
                  <c:v>10.700000000000003</c:v>
                </c:pt>
                <c:pt idx="19">
                  <c:v>14.200000000000003</c:v>
                </c:pt>
                <c:pt idx="20">
                  <c:v>15.799999999999997</c:v>
                </c:pt>
                <c:pt idx="21">
                  <c:v>16.299999999999997</c:v>
                </c:pt>
                <c:pt idx="22">
                  <c:v>15.900000000000006</c:v>
                </c:pt>
                <c:pt idx="2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A7-4B74-8836-145BFD80056B}"/>
            </c:ext>
          </c:extLst>
        </c:ser>
        <c:ser>
          <c:idx val="1"/>
          <c:order val="1"/>
          <c:tx>
            <c:strRef>
              <c:f>'Ceny 1'!$D$5</c:f>
              <c:strCache>
                <c:ptCount val="1"/>
                <c:pt idx="0">
                  <c:v>Realizované ceny starších bytů, Praha</c:v>
                </c:pt>
              </c:strCache>
            </c:strRef>
          </c:tx>
          <c:spPr>
            <a:solidFill>
              <a:srgbClr val="85898E"/>
            </a:solidFill>
            <a:ln w="19050">
              <a:noFill/>
            </a:ln>
          </c:spPr>
          <c:invertIfNegative val="0"/>
          <c:cat>
            <c:multiLvlStrRef>
              <c:f>'Ceny 1'!$A$14:$B$37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1'!$D$14:$D$37</c:f>
              <c:numCache>
                <c:formatCode>0.0</c:formatCode>
                <c:ptCount val="24"/>
                <c:pt idx="0">
                  <c:v>6.2000000000000028</c:v>
                </c:pt>
                <c:pt idx="1">
                  <c:v>8</c:v>
                </c:pt>
                <c:pt idx="2">
                  <c:v>9.4000000000000057</c:v>
                </c:pt>
                <c:pt idx="3">
                  <c:v>10.599999999999994</c:v>
                </c:pt>
                <c:pt idx="4">
                  <c:v>14.299999999999997</c:v>
                </c:pt>
                <c:pt idx="5">
                  <c:v>15.799999999999997</c:v>
                </c:pt>
                <c:pt idx="6">
                  <c:v>16.599999999999994</c:v>
                </c:pt>
                <c:pt idx="7">
                  <c:v>20</c:v>
                </c:pt>
                <c:pt idx="8">
                  <c:v>19</c:v>
                </c:pt>
                <c:pt idx="9">
                  <c:v>16.700000000000003</c:v>
                </c:pt>
                <c:pt idx="10">
                  <c:v>15.599999999999994</c:v>
                </c:pt>
                <c:pt idx="11">
                  <c:v>8.4000000000000057</c:v>
                </c:pt>
                <c:pt idx="12">
                  <c:v>1.2000000000000028</c:v>
                </c:pt>
                <c:pt idx="13">
                  <c:v>-3.5999999999999943</c:v>
                </c:pt>
                <c:pt idx="14">
                  <c:v>-5.2999999999999972</c:v>
                </c:pt>
                <c:pt idx="15">
                  <c:v>-2.5999999999999943</c:v>
                </c:pt>
                <c:pt idx="16">
                  <c:v>1</c:v>
                </c:pt>
                <c:pt idx="17">
                  <c:v>8.5999999999999943</c:v>
                </c:pt>
                <c:pt idx="18">
                  <c:v>11.799999999999997</c:v>
                </c:pt>
                <c:pt idx="19">
                  <c:v>12.099999999999994</c:v>
                </c:pt>
                <c:pt idx="20">
                  <c:v>15.799999999999997</c:v>
                </c:pt>
                <c:pt idx="21">
                  <c:v>13.599999999999994</c:v>
                </c:pt>
                <c:pt idx="22">
                  <c:v>13.400000000000006</c:v>
                </c:pt>
                <c:pt idx="23">
                  <c:v>13.700000000000003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A7-4B74-8836-145BFD8005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axId val="270057856"/>
        <c:axId val="270059392"/>
      </c:barChart>
      <c:lineChart>
        <c:grouping val="standard"/>
        <c:varyColors val="0"/>
        <c:ser>
          <c:idx val="2"/>
          <c:order val="2"/>
          <c:tx>
            <c:strRef>
              <c:f>'Ceny 1'!$E$5</c:f>
              <c:strCache>
                <c:ptCount val="1"/>
                <c:pt idx="0">
                  <c:v>Nabídkové ceny bytů, ČR</c:v>
                </c:pt>
              </c:strCache>
            </c:strRef>
          </c:tx>
          <c:spPr>
            <a:ln w="19050">
              <a:solidFill>
                <a:srgbClr val="BC5B80"/>
              </a:solidFill>
            </a:ln>
          </c:spPr>
          <c:marker>
            <c:symbol val="none"/>
          </c:marker>
          <c:cat>
            <c:multiLvlStrRef>
              <c:f>'Ceny 1'!$A$14:$B$37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1'!$E$14:$E$37</c:f>
              <c:numCache>
                <c:formatCode>0.0</c:formatCode>
                <c:ptCount val="24"/>
                <c:pt idx="0">
                  <c:v>6.0465116279069662</c:v>
                </c:pt>
                <c:pt idx="1">
                  <c:v>7.1334214002641829</c:v>
                </c:pt>
                <c:pt idx="2">
                  <c:v>7.9870129870129887</c:v>
                </c:pt>
                <c:pt idx="3">
                  <c:v>7.6481835564053569</c:v>
                </c:pt>
                <c:pt idx="4">
                  <c:v>7.6441102756892292</c:v>
                </c:pt>
                <c:pt idx="5">
                  <c:v>7.9531442663378584</c:v>
                </c:pt>
                <c:pt idx="6">
                  <c:v>9.3205051112447421</c:v>
                </c:pt>
                <c:pt idx="7">
                  <c:v>12.433392539964473</c:v>
                </c:pt>
                <c:pt idx="8">
                  <c:v>16.880093131548307</c:v>
                </c:pt>
                <c:pt idx="9">
                  <c:v>24.671616219303274</c:v>
                </c:pt>
                <c:pt idx="10">
                  <c:v>22.937293729372925</c:v>
                </c:pt>
                <c:pt idx="11">
                  <c:v>18.325434439178508</c:v>
                </c:pt>
                <c:pt idx="12">
                  <c:v>9.8107569721115624</c:v>
                </c:pt>
                <c:pt idx="13">
                  <c:v>-0.73293632615667548</c:v>
                </c:pt>
                <c:pt idx="14">
                  <c:v>-3.3109619686800897</c:v>
                </c:pt>
                <c:pt idx="15">
                  <c:v>-4.1833555852247315</c:v>
                </c:pt>
                <c:pt idx="16">
                  <c:v>-0.68027210884353906</c:v>
                </c:pt>
                <c:pt idx="17">
                  <c:v>3.3687125057683573</c:v>
                </c:pt>
                <c:pt idx="18">
                  <c:v>6.9412309116150084</c:v>
                </c:pt>
                <c:pt idx="19">
                  <c:v>10.682768230376212</c:v>
                </c:pt>
                <c:pt idx="20">
                  <c:v>15.662100456621019</c:v>
                </c:pt>
                <c:pt idx="21">
                  <c:v>17.008928571428569</c:v>
                </c:pt>
                <c:pt idx="22">
                  <c:v>17.654694937256593</c:v>
                </c:pt>
                <c:pt idx="23">
                  <c:v>16.869492236676436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7A7-4B74-8836-145BFD80056B}"/>
            </c:ext>
          </c:extLst>
        </c:ser>
        <c:ser>
          <c:idx val="3"/>
          <c:order val="3"/>
          <c:tx>
            <c:strRef>
              <c:f>'Ceny 1'!$F$5</c:f>
              <c:strCache>
                <c:ptCount val="1"/>
                <c:pt idx="0">
                  <c:v>Nabídkové ceny bytů, Praha</c:v>
                </c:pt>
              </c:strCache>
            </c:strRef>
          </c:tx>
          <c:spPr>
            <a:ln w="19050">
              <a:solidFill>
                <a:srgbClr val="009CB5"/>
              </a:solidFill>
            </a:ln>
          </c:spPr>
          <c:marker>
            <c:symbol val="none"/>
          </c:marker>
          <c:cat>
            <c:multiLvlStrRef>
              <c:f>'Ceny 1'!$A$14:$B$37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1'!$F$14:$F$37</c:f>
              <c:numCache>
                <c:formatCode>0.0</c:formatCode>
                <c:ptCount val="24"/>
                <c:pt idx="0">
                  <c:v>3.5530085959885298</c:v>
                </c:pt>
                <c:pt idx="1">
                  <c:v>5.2812858783008068</c:v>
                </c:pt>
                <c:pt idx="2">
                  <c:v>6.2356979405034281</c:v>
                </c:pt>
                <c:pt idx="3">
                  <c:v>5.1743532058492718</c:v>
                </c:pt>
                <c:pt idx="4">
                  <c:v>4.759269507470961</c:v>
                </c:pt>
                <c:pt idx="5">
                  <c:v>4.5256270447110012</c:v>
                </c:pt>
                <c:pt idx="6">
                  <c:v>6.2466343564889826</c:v>
                </c:pt>
                <c:pt idx="7">
                  <c:v>9.1443850267379503</c:v>
                </c:pt>
                <c:pt idx="8">
                  <c:v>12.255678816693077</c:v>
                </c:pt>
                <c:pt idx="9">
                  <c:v>19.718309859154942</c:v>
                </c:pt>
                <c:pt idx="10">
                  <c:v>18.499746578813998</c:v>
                </c:pt>
                <c:pt idx="11">
                  <c:v>16.903478686918177</c:v>
                </c:pt>
                <c:pt idx="12">
                  <c:v>10.305882352941182</c:v>
                </c:pt>
                <c:pt idx="13">
                  <c:v>0.30501089324617681</c:v>
                </c:pt>
                <c:pt idx="14">
                  <c:v>-1.5825491873396089</c:v>
                </c:pt>
                <c:pt idx="15">
                  <c:v>-3.5624476110645418</c:v>
                </c:pt>
                <c:pt idx="16">
                  <c:v>0.3412969283276226</c:v>
                </c:pt>
                <c:pt idx="17">
                  <c:v>3.9965247610773247</c:v>
                </c:pt>
                <c:pt idx="18">
                  <c:v>6.7796610169491629</c:v>
                </c:pt>
                <c:pt idx="19">
                  <c:v>10.386788352890036</c:v>
                </c:pt>
                <c:pt idx="20">
                  <c:v>16.496598639455783</c:v>
                </c:pt>
                <c:pt idx="21">
                  <c:v>16.207184628237243</c:v>
                </c:pt>
                <c:pt idx="22">
                  <c:v>16.076516076516072</c:v>
                </c:pt>
                <c:pt idx="23">
                  <c:v>14.763779527559052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7A7-4B74-8836-145BFD8005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0057856"/>
        <c:axId val="270059392"/>
      </c:lineChart>
      <c:catAx>
        <c:axId val="270057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270059392"/>
        <c:crosses val="autoZero"/>
        <c:auto val="1"/>
        <c:lblAlgn val="ctr"/>
        <c:lblOffset val="100"/>
        <c:noMultiLvlLbl val="0"/>
      </c:catAx>
      <c:valAx>
        <c:axId val="270059392"/>
        <c:scaling>
          <c:orientation val="minMax"/>
          <c:max val="28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70057856"/>
        <c:crosses val="autoZero"/>
        <c:crossBetween val="between"/>
        <c:majorUnit val="4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7.3334810874704504E-2"/>
          <c:y val="0.88817854328492629"/>
          <c:w val="0.89999282337048292"/>
          <c:h val="9.8380614657210319E-2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948270126413842E-2"/>
          <c:y val="2.181131592422042E-2"/>
          <c:w val="0.91916383898868925"/>
          <c:h val="0.716632331419565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'Ceny 4'!$C$5</c:f>
              <c:strCache>
                <c:ptCount val="1"/>
                <c:pt idx="0">
                  <c:v>Celkem</c:v>
                </c:pt>
              </c:strCache>
            </c:strRef>
          </c:tx>
          <c:spPr>
            <a:solidFill>
              <a:srgbClr val="85898E"/>
            </a:solidFill>
            <a:ln w="19050">
              <a:noFill/>
            </a:ln>
          </c:spPr>
          <c:invertIfNegative val="0"/>
          <c:cat>
            <c:multiLvlStrRef>
              <c:f>'Ceny 4'!$A$14:$B$37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4'!$C$14:$C$37</c:f>
              <c:numCache>
                <c:formatCode>General</c:formatCode>
                <c:ptCount val="24"/>
                <c:pt idx="0">
                  <c:v>1.4000000000000057</c:v>
                </c:pt>
                <c:pt idx="1">
                  <c:v>-0.59999999999999432</c:v>
                </c:pt>
                <c:pt idx="2">
                  <c:v>-0.29999999999999716</c:v>
                </c:pt>
                <c:pt idx="3">
                  <c:v>9.9999999999994316E-2</c:v>
                </c:pt>
                <c:pt idx="4">
                  <c:v>1.5</c:v>
                </c:pt>
                <c:pt idx="5">
                  <c:v>5.2999999999999972</c:v>
                </c:pt>
                <c:pt idx="6">
                  <c:v>9</c:v>
                </c:pt>
                <c:pt idx="7">
                  <c:v>12.799999999999997</c:v>
                </c:pt>
                <c:pt idx="8">
                  <c:v>21.799999999999997</c:v>
                </c:pt>
                <c:pt idx="9">
                  <c:v>27.700000000000003</c:v>
                </c:pt>
                <c:pt idx="10">
                  <c:v>25.900000000000006</c:v>
                </c:pt>
                <c:pt idx="11">
                  <c:v>21.799999999999997</c:v>
                </c:pt>
                <c:pt idx="12">
                  <c:v>15</c:v>
                </c:pt>
                <c:pt idx="13">
                  <c:v>3.9000000000000057</c:v>
                </c:pt>
                <c:pt idx="14">
                  <c:v>1.3</c:v>
                </c:pt>
                <c:pt idx="15">
                  <c:v>0.8</c:v>
                </c:pt>
                <c:pt idx="16">
                  <c:v>-0.9</c:v>
                </c:pt>
                <c:pt idx="17">
                  <c:v>1.1000000000000001</c:v>
                </c:pt>
                <c:pt idx="18">
                  <c:v>1.2</c:v>
                </c:pt>
                <c:pt idx="19">
                  <c:v>1.8</c:v>
                </c:pt>
                <c:pt idx="20">
                  <c:v>0</c:v>
                </c:pt>
                <c:pt idx="21">
                  <c:v>-0.9</c:v>
                </c:pt>
                <c:pt idx="22">
                  <c:v>-1</c:v>
                </c:pt>
                <c:pt idx="23">
                  <c:v>-1.5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9F-4080-ABA1-035A6FAC90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6"/>
        <c:axId val="271374208"/>
        <c:axId val="271375744"/>
      </c:barChart>
      <c:lineChart>
        <c:grouping val="standard"/>
        <c:varyColors val="0"/>
        <c:ser>
          <c:idx val="1"/>
          <c:order val="1"/>
          <c:tx>
            <c:strRef>
              <c:f>'Ceny 4'!$D$5</c:f>
              <c:strCache>
                <c:ptCount val="1"/>
                <c:pt idx="0">
                  <c:v>Těžba a dobývání</c:v>
                </c:pt>
              </c:strCache>
            </c:strRef>
          </c:tx>
          <c:spPr>
            <a:ln w="19050">
              <a:solidFill>
                <a:srgbClr val="86BF5E"/>
              </a:solidFill>
            </a:ln>
          </c:spPr>
          <c:marker>
            <c:symbol val="none"/>
          </c:marker>
          <c:cat>
            <c:multiLvlStrRef>
              <c:f>'Ceny 4'!$A$14:$B$37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4'!$D$14:$D$37</c:f>
              <c:numCache>
                <c:formatCode>General</c:formatCode>
                <c:ptCount val="24"/>
                <c:pt idx="0">
                  <c:v>-2.0999999999999943</c:v>
                </c:pt>
                <c:pt idx="1">
                  <c:v>-3.5</c:v>
                </c:pt>
                <c:pt idx="2">
                  <c:v>-3.5999999999999943</c:v>
                </c:pt>
                <c:pt idx="3">
                  <c:v>-2</c:v>
                </c:pt>
                <c:pt idx="4">
                  <c:v>-0.5</c:v>
                </c:pt>
                <c:pt idx="5">
                  <c:v>0.79999999999999716</c:v>
                </c:pt>
                <c:pt idx="6">
                  <c:v>3.2999999999999972</c:v>
                </c:pt>
                <c:pt idx="7">
                  <c:v>13.799999999999997</c:v>
                </c:pt>
                <c:pt idx="8">
                  <c:v>25.200000000000003</c:v>
                </c:pt>
                <c:pt idx="9">
                  <c:v>31.900000000000006</c:v>
                </c:pt>
                <c:pt idx="10">
                  <c:v>30.199999999999989</c:v>
                </c:pt>
                <c:pt idx="11">
                  <c:v>23.299999999999997</c:v>
                </c:pt>
                <c:pt idx="12">
                  <c:v>54</c:v>
                </c:pt>
                <c:pt idx="13">
                  <c:v>47.599999999999994</c:v>
                </c:pt>
                <c:pt idx="14">
                  <c:v>44.5</c:v>
                </c:pt>
                <c:pt idx="15">
                  <c:v>40.200000000000003</c:v>
                </c:pt>
                <c:pt idx="16">
                  <c:v>-1.2</c:v>
                </c:pt>
                <c:pt idx="17">
                  <c:v>-1.7</c:v>
                </c:pt>
                <c:pt idx="18">
                  <c:v>-0.5</c:v>
                </c:pt>
                <c:pt idx="19">
                  <c:v>-1.8</c:v>
                </c:pt>
                <c:pt idx="20">
                  <c:v>-2.6</c:v>
                </c:pt>
                <c:pt idx="21">
                  <c:v>-4.2</c:v>
                </c:pt>
                <c:pt idx="22">
                  <c:v>-4.3</c:v>
                </c:pt>
                <c:pt idx="23">
                  <c:v>-4.2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79F-4080-ABA1-035A6FAC9097}"/>
            </c:ext>
          </c:extLst>
        </c:ser>
        <c:ser>
          <c:idx val="2"/>
          <c:order val="2"/>
          <c:tx>
            <c:strRef>
              <c:f>'Ceny 4'!$E$5</c:f>
              <c:strCache>
                <c:ptCount val="1"/>
                <c:pt idx="0">
                  <c:v>Zpracovatelský průmysl</c:v>
                </c:pt>
              </c:strCache>
            </c:strRef>
          </c:tx>
          <c:spPr>
            <a:ln w="19050">
              <a:solidFill>
                <a:srgbClr val="BC5B80"/>
              </a:solidFill>
            </a:ln>
          </c:spPr>
          <c:marker>
            <c:symbol val="none"/>
          </c:marker>
          <c:cat>
            <c:multiLvlStrRef>
              <c:f>'Ceny 4'!$A$14:$B$37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4'!$E$14:$E$37</c:f>
              <c:numCache>
                <c:formatCode>General</c:formatCode>
                <c:ptCount val="24"/>
                <c:pt idx="0">
                  <c:v>0</c:v>
                </c:pt>
                <c:pt idx="1">
                  <c:v>-2.2999999999999972</c:v>
                </c:pt>
                <c:pt idx="2">
                  <c:v>-1.7999999999999972</c:v>
                </c:pt>
                <c:pt idx="3">
                  <c:v>-1.2000000000000028</c:v>
                </c:pt>
                <c:pt idx="4">
                  <c:v>1.7999999999999972</c:v>
                </c:pt>
                <c:pt idx="5">
                  <c:v>6.5</c:v>
                </c:pt>
                <c:pt idx="6">
                  <c:v>11</c:v>
                </c:pt>
                <c:pt idx="7">
                  <c:v>14.5</c:v>
                </c:pt>
                <c:pt idx="8">
                  <c:v>17.5</c:v>
                </c:pt>
                <c:pt idx="9">
                  <c:v>24.200000000000003</c:v>
                </c:pt>
                <c:pt idx="10">
                  <c:v>20.5</c:v>
                </c:pt>
                <c:pt idx="11">
                  <c:v>16</c:v>
                </c:pt>
                <c:pt idx="12">
                  <c:v>10.299999999999997</c:v>
                </c:pt>
                <c:pt idx="13">
                  <c:v>-0.90000000000000568</c:v>
                </c:pt>
                <c:pt idx="14">
                  <c:v>-2.4</c:v>
                </c:pt>
                <c:pt idx="15">
                  <c:v>-2.2999999999999998</c:v>
                </c:pt>
                <c:pt idx="16">
                  <c:v>-1.7</c:v>
                </c:pt>
                <c:pt idx="17">
                  <c:v>0.1</c:v>
                </c:pt>
                <c:pt idx="18">
                  <c:v>0.2</c:v>
                </c:pt>
                <c:pt idx="19">
                  <c:v>0.4</c:v>
                </c:pt>
                <c:pt idx="20">
                  <c:v>0.4</c:v>
                </c:pt>
                <c:pt idx="21">
                  <c:v>-0.2</c:v>
                </c:pt>
                <c:pt idx="22">
                  <c:v>-0.3</c:v>
                </c:pt>
                <c:pt idx="23">
                  <c:v>-0.9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79F-4080-ABA1-035A6FAC9097}"/>
            </c:ext>
          </c:extLst>
        </c:ser>
        <c:ser>
          <c:idx val="3"/>
          <c:order val="3"/>
          <c:tx>
            <c:strRef>
              <c:f>'Ceny 4'!$F$5</c:f>
              <c:strCache>
                <c:ptCount val="1"/>
                <c:pt idx="0">
                  <c:v>Elektřina, plyn, pára a klim. vzduch</c:v>
                </c:pt>
              </c:strCache>
            </c:strRef>
          </c:tx>
          <c:spPr>
            <a:ln w="19050">
              <a:solidFill>
                <a:srgbClr val="CC9610"/>
              </a:solidFill>
            </a:ln>
          </c:spPr>
          <c:marker>
            <c:symbol val="none"/>
          </c:marker>
          <c:cat>
            <c:multiLvlStrRef>
              <c:f>'Ceny 4'!$A$14:$B$37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4'!$F$14:$F$37</c:f>
              <c:numCache>
                <c:formatCode>General</c:formatCode>
                <c:ptCount val="24"/>
                <c:pt idx="0">
                  <c:v>8.9000000000000057</c:v>
                </c:pt>
                <c:pt idx="1">
                  <c:v>8.2000000000000028</c:v>
                </c:pt>
                <c:pt idx="2">
                  <c:v>7.7999999999999972</c:v>
                </c:pt>
                <c:pt idx="3">
                  <c:v>6.0999999999999943</c:v>
                </c:pt>
                <c:pt idx="4">
                  <c:v>0.29999999999999716</c:v>
                </c:pt>
                <c:pt idx="5">
                  <c:v>9.9999999999994316E-2</c:v>
                </c:pt>
                <c:pt idx="6">
                  <c:v>0.79999999999999716</c:v>
                </c:pt>
                <c:pt idx="7">
                  <c:v>5.5</c:v>
                </c:pt>
                <c:pt idx="8">
                  <c:v>45</c:v>
                </c:pt>
                <c:pt idx="9">
                  <c:v>47.199999999999989</c:v>
                </c:pt>
                <c:pt idx="10">
                  <c:v>56</c:v>
                </c:pt>
                <c:pt idx="11">
                  <c:v>54.300000000000011</c:v>
                </c:pt>
                <c:pt idx="12">
                  <c:v>28.400000000000006</c:v>
                </c:pt>
                <c:pt idx="13">
                  <c:v>18.400000000000006</c:v>
                </c:pt>
                <c:pt idx="14">
                  <c:v>10.5</c:v>
                </c:pt>
                <c:pt idx="15">
                  <c:v>7.1</c:v>
                </c:pt>
                <c:pt idx="16">
                  <c:v>0.8</c:v>
                </c:pt>
                <c:pt idx="17">
                  <c:v>4.5</c:v>
                </c:pt>
                <c:pt idx="18">
                  <c:v>4.2</c:v>
                </c:pt>
                <c:pt idx="19">
                  <c:v>6.7</c:v>
                </c:pt>
                <c:pt idx="20">
                  <c:v>-1.2</c:v>
                </c:pt>
                <c:pt idx="21">
                  <c:v>-3.4</c:v>
                </c:pt>
                <c:pt idx="22">
                  <c:v>-3.2</c:v>
                </c:pt>
                <c:pt idx="23">
                  <c:v>-3.8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79F-4080-ABA1-035A6FAC9097}"/>
            </c:ext>
          </c:extLst>
        </c:ser>
        <c:ser>
          <c:idx val="4"/>
          <c:order val="4"/>
          <c:tx>
            <c:strRef>
              <c:f>'Ceny 4'!$G$5</c:f>
              <c:strCache>
                <c:ptCount val="1"/>
                <c:pt idx="0">
                  <c:v>Zás. vodou; odpadní vody</c:v>
                </c:pt>
              </c:strCache>
            </c:strRef>
          </c:tx>
          <c:spPr>
            <a:ln w="1905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'Ceny 4'!$A$14:$B$37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4'!$G$14:$G$37</c:f>
              <c:numCache>
                <c:formatCode>General</c:formatCode>
                <c:ptCount val="24"/>
                <c:pt idx="0">
                  <c:v>5.4000000000000057</c:v>
                </c:pt>
                <c:pt idx="1">
                  <c:v>6.0999999999999943</c:v>
                </c:pt>
                <c:pt idx="2">
                  <c:v>6.4000000000000057</c:v>
                </c:pt>
                <c:pt idx="3">
                  <c:v>6.4000000000000057</c:v>
                </c:pt>
                <c:pt idx="4">
                  <c:v>6.9000000000000057</c:v>
                </c:pt>
                <c:pt idx="5">
                  <c:v>6.2000000000000028</c:v>
                </c:pt>
                <c:pt idx="6">
                  <c:v>5.9000000000000057</c:v>
                </c:pt>
                <c:pt idx="7">
                  <c:v>5.9000000000000057</c:v>
                </c:pt>
                <c:pt idx="8">
                  <c:v>5.2999999999999972</c:v>
                </c:pt>
                <c:pt idx="9">
                  <c:v>5.2999999999999972</c:v>
                </c:pt>
                <c:pt idx="10">
                  <c:v>5.2999999999999972</c:v>
                </c:pt>
                <c:pt idx="11">
                  <c:v>5.2999999999999972</c:v>
                </c:pt>
                <c:pt idx="12">
                  <c:v>16.299999999999997</c:v>
                </c:pt>
                <c:pt idx="13">
                  <c:v>16.299999999999997</c:v>
                </c:pt>
                <c:pt idx="14">
                  <c:v>16.3</c:v>
                </c:pt>
                <c:pt idx="15">
                  <c:v>16.3</c:v>
                </c:pt>
                <c:pt idx="16">
                  <c:v>9.1999999999999993</c:v>
                </c:pt>
                <c:pt idx="17">
                  <c:v>9.1999999999999993</c:v>
                </c:pt>
                <c:pt idx="18">
                  <c:v>9.1999999999999993</c:v>
                </c:pt>
                <c:pt idx="19">
                  <c:v>9.1999999999999993</c:v>
                </c:pt>
                <c:pt idx="20">
                  <c:v>4.0999999999999996</c:v>
                </c:pt>
                <c:pt idx="21">
                  <c:v>4.0999999999999996</c:v>
                </c:pt>
                <c:pt idx="22">
                  <c:v>4.0999999999999996</c:v>
                </c:pt>
                <c:pt idx="23">
                  <c:v>4.0999999999999996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79F-4080-ABA1-035A6FAC90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1374208"/>
        <c:axId val="271375744"/>
      </c:lineChart>
      <c:catAx>
        <c:axId val="271374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crossAx val="271375744"/>
        <c:crosses val="autoZero"/>
        <c:auto val="1"/>
        <c:lblAlgn val="ctr"/>
        <c:lblOffset val="100"/>
        <c:noMultiLvlLbl val="0"/>
      </c:catAx>
      <c:valAx>
        <c:axId val="271375744"/>
        <c:scaling>
          <c:orientation val="minMax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71374208"/>
        <c:crosses val="autoZero"/>
        <c:crossBetween val="between"/>
        <c:majorUnit val="5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5.0756819693945444E-2"/>
          <c:y val="0.86223931272106069"/>
          <c:w val="0.91957268795741853"/>
          <c:h val="0.12109402425765226"/>
        </c:manualLayout>
      </c:layout>
      <c:overlay val="0"/>
      <c:spPr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3CEA5EB905EA4A80C471566B3EA34E" ma:contentTypeVersion="4" ma:contentTypeDescription="Vytvoří nový dokument" ma:contentTypeScope="" ma:versionID="665595f58a29ebd0fb50f52fd1a3fb16">
  <xsd:schema xmlns:xsd="http://www.w3.org/2001/XMLSchema" xmlns:xs="http://www.w3.org/2001/XMLSchema" xmlns:p="http://schemas.microsoft.com/office/2006/metadata/properties" xmlns:ns2="7af72279-59da-4f02-a702-8316938752d7" targetNamespace="http://schemas.microsoft.com/office/2006/metadata/properties" ma:root="true" ma:fieldsID="8b23c26673a00a9a43ab51476a2e445e" ns2:_="">
    <xsd:import namespace="7af72279-59da-4f02-a702-83169387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2279-59da-4f02-a702-831693875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C6C72-FE0A-4006-8736-F1547CB67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2279-59da-4f02-a702-831693875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681AD-41B0-431A-9D34-CF6700A12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508513-78FC-4939-82F8-E0A4971F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3482</Words>
  <Characters>20546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23981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6</cp:revision>
  <cp:lastPrinted>2014-07-17T14:07:00Z</cp:lastPrinted>
  <dcterms:created xsi:type="dcterms:W3CDTF">2026-03-20T11:45:00Z</dcterms:created>
  <dcterms:modified xsi:type="dcterms:W3CDTF">2026-03-20T12:03:00Z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0x010100A83CEA5EB905EA4A80C471566B3EA34E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