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206" w:rsidRPr="00F354CB" w:rsidRDefault="00415206" w:rsidP="00B23532">
      <w:pPr>
        <w:pStyle w:val="Nadpis1"/>
        <w:rPr>
          <w:i/>
          <w:lang w:val="en-GB"/>
        </w:rPr>
      </w:pPr>
      <w:bookmarkStart w:id="0" w:name="_Toc490036466"/>
      <w:r w:rsidRPr="00F354CB">
        <w:rPr>
          <w:i/>
          <w:lang w:val="en-GB"/>
        </w:rPr>
        <w:t>Sampling and grossing-up methodology</w:t>
      </w:r>
      <w:bookmarkEnd w:id="0"/>
    </w:p>
    <w:p w:rsidR="00415206" w:rsidRPr="00F354CB" w:rsidRDefault="00415206" w:rsidP="00A86A73">
      <w:pPr>
        <w:pStyle w:val="Nadpis2"/>
        <w:rPr>
          <w:i/>
          <w:lang w:val="en-GB"/>
        </w:rPr>
      </w:pPr>
      <w:bookmarkStart w:id="1" w:name="_Toc490036467"/>
      <w:r w:rsidRPr="00F354CB">
        <w:rPr>
          <w:i/>
          <w:lang w:val="en-GB"/>
        </w:rPr>
        <w:t>Population and sample</w:t>
      </w:r>
      <w:bookmarkEnd w:id="1"/>
    </w:p>
    <w:p w:rsidR="00415206" w:rsidRPr="00F354CB" w:rsidRDefault="00415206" w:rsidP="00415206">
      <w:pPr>
        <w:jc w:val="both"/>
        <w:rPr>
          <w:i/>
          <w:lang w:val="en-GB"/>
        </w:rPr>
      </w:pPr>
      <w:r w:rsidRPr="00F354CB">
        <w:rPr>
          <w:b/>
          <w:i/>
          <w:lang w:val="en-GB"/>
        </w:rPr>
        <w:t xml:space="preserve">The population </w:t>
      </w:r>
      <w:r w:rsidRPr="00F354CB">
        <w:rPr>
          <w:i/>
          <w:lang w:val="en-GB"/>
        </w:rPr>
        <w:t>for</w:t>
      </w:r>
      <w:r w:rsidR="0052278C" w:rsidRPr="00F354CB">
        <w:rPr>
          <w:i/>
          <w:lang w:val="en-GB"/>
        </w:rPr>
        <w:t xml:space="preserve"> Integrated </w:t>
      </w:r>
      <w:r w:rsidRPr="00F354CB">
        <w:rPr>
          <w:i/>
          <w:lang w:val="en-GB"/>
        </w:rPr>
        <w:t>Farm Survey 20</w:t>
      </w:r>
      <w:r w:rsidR="0052278C" w:rsidRPr="00F354CB">
        <w:rPr>
          <w:i/>
          <w:lang w:val="en-GB"/>
        </w:rPr>
        <w:t>23</w:t>
      </w:r>
      <w:r w:rsidRPr="00F354CB">
        <w:rPr>
          <w:i/>
          <w:lang w:val="en-GB"/>
        </w:rPr>
        <w:t xml:space="preserve"> is based on the Farm Register (</w:t>
      </w:r>
      <w:r w:rsidR="00F354CB" w:rsidRPr="00F354CB">
        <w:rPr>
          <w:i/>
          <w:lang w:val="en-GB"/>
        </w:rPr>
        <w:t xml:space="preserve">46 525 </w:t>
      </w:r>
      <w:r w:rsidRPr="00F354CB">
        <w:rPr>
          <w:i/>
          <w:lang w:val="en-GB"/>
        </w:rPr>
        <w:t>active agricultural holdings); it was developed using threshold values (see</w:t>
      </w:r>
      <w:r w:rsidR="00684284" w:rsidRPr="00F354CB">
        <w:rPr>
          <w:i/>
          <w:lang w:val="en-GB"/>
        </w:rPr>
        <w:t xml:space="preserve"> </w:t>
      </w:r>
      <w:r w:rsidR="0052278C" w:rsidRPr="00F354CB">
        <w:rPr>
          <w:i/>
          <w:lang w:val="en-GB"/>
        </w:rPr>
        <w:t>the definition of the agricultural holding in the chapter Introduction</w:t>
      </w:r>
      <w:r w:rsidRPr="00F354CB">
        <w:rPr>
          <w:i/>
          <w:lang w:val="en-GB"/>
        </w:rPr>
        <w:t>).</w:t>
      </w:r>
    </w:p>
    <w:p w:rsidR="00415206" w:rsidRPr="00F354CB" w:rsidRDefault="0052278C" w:rsidP="00415206">
      <w:pPr>
        <w:jc w:val="both"/>
        <w:rPr>
          <w:i/>
          <w:lang w:val="en-GB"/>
        </w:rPr>
      </w:pPr>
      <w:r w:rsidRPr="00F354CB">
        <w:rPr>
          <w:i/>
          <w:lang w:val="en-GB"/>
        </w:rPr>
        <w:t xml:space="preserve">In total </w:t>
      </w:r>
      <w:r w:rsidR="00345770" w:rsidRPr="00F354CB">
        <w:rPr>
          <w:i/>
          <w:lang w:val="en-GB"/>
        </w:rPr>
        <w:t>33 7</w:t>
      </w:r>
      <w:r w:rsidR="00F354CB" w:rsidRPr="00F354CB">
        <w:rPr>
          <w:i/>
          <w:lang w:val="en-GB"/>
        </w:rPr>
        <w:t>4</w:t>
      </w:r>
      <w:r w:rsidR="00345770" w:rsidRPr="00F354CB">
        <w:rPr>
          <w:i/>
          <w:lang w:val="en-GB"/>
        </w:rPr>
        <w:t>5</w:t>
      </w:r>
      <w:r w:rsidRPr="00F354CB">
        <w:rPr>
          <w:i/>
          <w:lang w:val="en-GB"/>
        </w:rPr>
        <w:t xml:space="preserve"> units o</w:t>
      </w:r>
      <w:r w:rsidR="00415206" w:rsidRPr="00F354CB">
        <w:rPr>
          <w:i/>
          <w:lang w:val="en-GB"/>
        </w:rPr>
        <w:t xml:space="preserve">ut of these active units were involved in the sample. These units cover </w:t>
      </w:r>
      <w:r w:rsidR="00F354CB" w:rsidRPr="00F354CB">
        <w:rPr>
          <w:i/>
          <w:lang w:val="en-GB"/>
        </w:rPr>
        <w:t>99</w:t>
      </w:r>
      <w:r w:rsidR="00415206" w:rsidRPr="00F354CB">
        <w:rPr>
          <w:i/>
          <w:lang w:val="en-GB"/>
        </w:rPr>
        <w:t>.</w:t>
      </w:r>
      <w:r w:rsidR="00F354CB" w:rsidRPr="00F354CB">
        <w:rPr>
          <w:i/>
          <w:lang w:val="en-GB"/>
        </w:rPr>
        <w:t>4</w:t>
      </w:r>
      <w:r w:rsidR="00415206" w:rsidRPr="00F354CB">
        <w:rPr>
          <w:i/>
          <w:lang w:val="en-GB"/>
        </w:rPr>
        <w:t xml:space="preserve">% of the utilised agricultural area and </w:t>
      </w:r>
      <w:r w:rsidR="00F354CB" w:rsidRPr="00F354CB">
        <w:rPr>
          <w:i/>
          <w:lang w:val="en-GB"/>
        </w:rPr>
        <w:t>98</w:t>
      </w:r>
      <w:r w:rsidRPr="00F354CB">
        <w:rPr>
          <w:i/>
          <w:lang w:val="en-GB"/>
        </w:rPr>
        <w:t>.</w:t>
      </w:r>
      <w:r w:rsidR="00F354CB" w:rsidRPr="00F354CB">
        <w:rPr>
          <w:i/>
          <w:lang w:val="en-GB"/>
        </w:rPr>
        <w:t>6</w:t>
      </w:r>
      <w:r w:rsidR="00415206" w:rsidRPr="00F354CB">
        <w:rPr>
          <w:i/>
          <w:lang w:val="en-GB"/>
        </w:rPr>
        <w:t>% of the Livestock units (LSU) in total.</w:t>
      </w:r>
    </w:p>
    <w:p w:rsidR="00415206" w:rsidRPr="00F354CB" w:rsidRDefault="00415206" w:rsidP="00415206">
      <w:pPr>
        <w:jc w:val="both"/>
        <w:rPr>
          <w:i/>
          <w:lang w:val="en-GB"/>
        </w:rPr>
      </w:pPr>
      <w:r w:rsidRPr="00F354CB">
        <w:rPr>
          <w:b/>
          <w:i/>
          <w:lang w:val="en-GB"/>
        </w:rPr>
        <w:t>The sample</w:t>
      </w:r>
      <w:r w:rsidRPr="00F354CB">
        <w:rPr>
          <w:i/>
          <w:lang w:val="en-GB"/>
        </w:rPr>
        <w:t xml:space="preserve"> was defined as stratified random sample from the population based on affiliation of each unit to defined grossing-up group (stratum). Certain sampling rates for all the units in the group (stratum) within the population were assigned to each stratum. Units with sampling rate under 100% were generated from the population using random number generator without replication. Random number generator program SAS Enterprise Guide 4.2 was used for this purpose.</w:t>
      </w:r>
    </w:p>
    <w:p w:rsidR="00415206" w:rsidRPr="00F354CB" w:rsidRDefault="00415206" w:rsidP="00A86A73">
      <w:pPr>
        <w:pStyle w:val="Nadpis2"/>
        <w:rPr>
          <w:i/>
          <w:lang w:val="en-GB"/>
        </w:rPr>
      </w:pPr>
      <w:bookmarkStart w:id="2" w:name="_Toc490036468"/>
      <w:r w:rsidRPr="00F354CB">
        <w:rPr>
          <w:i/>
          <w:lang w:val="en-GB"/>
        </w:rPr>
        <w:t>Stratification and grossing-up</w:t>
      </w:r>
      <w:bookmarkEnd w:id="2"/>
    </w:p>
    <w:p w:rsidR="00415206" w:rsidRPr="00F354CB" w:rsidRDefault="00415206" w:rsidP="00415206">
      <w:pPr>
        <w:rPr>
          <w:i/>
          <w:lang w:val="en-GB"/>
        </w:rPr>
      </w:pPr>
      <w:r w:rsidRPr="00F354CB">
        <w:rPr>
          <w:i/>
          <w:lang w:val="en-GB"/>
        </w:rPr>
        <w:t>Reporting units were sorted into strata on the basis of combination of three variables:</w:t>
      </w:r>
    </w:p>
    <w:p w:rsidR="0052278C" w:rsidRPr="00F354CB" w:rsidRDefault="0052278C" w:rsidP="0052278C">
      <w:pPr>
        <w:pStyle w:val="Seznam"/>
        <w:numPr>
          <w:ilvl w:val="0"/>
          <w:numId w:val="32"/>
        </w:numPr>
        <w:rPr>
          <w:rStyle w:val="Siln"/>
          <w:rFonts w:cs="Arial"/>
          <w:b w:val="0"/>
          <w:i/>
        </w:rPr>
      </w:pPr>
      <w:proofErr w:type="spellStart"/>
      <w:r w:rsidRPr="00F354CB">
        <w:rPr>
          <w:rStyle w:val="Siln"/>
          <w:rFonts w:cs="Arial"/>
          <w:b w:val="0"/>
          <w:i/>
        </w:rPr>
        <w:t>legal</w:t>
      </w:r>
      <w:proofErr w:type="spellEnd"/>
      <w:r w:rsidRPr="00F354CB">
        <w:rPr>
          <w:rStyle w:val="Siln"/>
          <w:rFonts w:cs="Arial"/>
          <w:b w:val="0"/>
          <w:i/>
        </w:rPr>
        <w:t xml:space="preserve"> </w:t>
      </w:r>
      <w:proofErr w:type="spellStart"/>
      <w:r w:rsidRPr="00F354CB">
        <w:rPr>
          <w:rStyle w:val="Siln"/>
          <w:rFonts w:cs="Arial"/>
          <w:b w:val="0"/>
          <w:i/>
        </w:rPr>
        <w:t>form</w:t>
      </w:r>
      <w:proofErr w:type="spellEnd"/>
      <w:r w:rsidRPr="00F354CB">
        <w:rPr>
          <w:rStyle w:val="Siln"/>
          <w:rFonts w:cs="Arial"/>
          <w:b w:val="0"/>
          <w:i/>
        </w:rPr>
        <w:t xml:space="preserve"> </w:t>
      </w:r>
    </w:p>
    <w:p w:rsidR="00415206" w:rsidRPr="00F354CB" w:rsidRDefault="00415206" w:rsidP="00415206">
      <w:pPr>
        <w:pStyle w:val="Seznam"/>
        <w:numPr>
          <w:ilvl w:val="0"/>
          <w:numId w:val="32"/>
        </w:numPr>
        <w:rPr>
          <w:rStyle w:val="Siln"/>
          <w:rFonts w:cs="Arial"/>
          <w:b w:val="0"/>
          <w:i/>
          <w:lang w:val="en-GB"/>
        </w:rPr>
      </w:pPr>
      <w:r w:rsidRPr="00F354CB">
        <w:rPr>
          <w:rStyle w:val="Siln"/>
          <w:rFonts w:cs="Arial"/>
          <w:b w:val="0"/>
          <w:i/>
          <w:lang w:val="en-GB"/>
        </w:rPr>
        <w:t>size category,</w:t>
      </w:r>
    </w:p>
    <w:p w:rsidR="00415206" w:rsidRPr="00F354CB" w:rsidRDefault="00415206" w:rsidP="00415206">
      <w:pPr>
        <w:pStyle w:val="Seznam"/>
        <w:numPr>
          <w:ilvl w:val="0"/>
          <w:numId w:val="32"/>
        </w:numPr>
        <w:rPr>
          <w:rStyle w:val="Siln"/>
          <w:rFonts w:cs="Arial"/>
          <w:b w:val="0"/>
          <w:i/>
          <w:lang w:val="en-GB"/>
        </w:rPr>
      </w:pPr>
      <w:r w:rsidRPr="00F354CB">
        <w:rPr>
          <w:rStyle w:val="Siln"/>
          <w:rFonts w:cs="Arial"/>
          <w:b w:val="0"/>
          <w:i/>
          <w:lang w:val="en-GB"/>
        </w:rPr>
        <w:t>affiliation with a region according to farm’s headquarters or natural person’s permanent residence,</w:t>
      </w:r>
    </w:p>
    <w:p w:rsidR="00415206" w:rsidRPr="00F354CB" w:rsidRDefault="00415206" w:rsidP="00415206">
      <w:pPr>
        <w:pStyle w:val="Seznam"/>
        <w:numPr>
          <w:ilvl w:val="0"/>
          <w:numId w:val="32"/>
        </w:numPr>
        <w:rPr>
          <w:rStyle w:val="Siln"/>
          <w:rFonts w:cs="Arial"/>
          <w:b w:val="0"/>
          <w:i/>
          <w:lang w:val="en-GB"/>
        </w:rPr>
      </w:pPr>
      <w:proofErr w:type="gramStart"/>
      <w:r w:rsidRPr="00F354CB">
        <w:rPr>
          <w:rStyle w:val="Siln"/>
          <w:rFonts w:cs="Arial"/>
          <w:b w:val="0"/>
          <w:i/>
          <w:lang w:val="en-GB"/>
        </w:rPr>
        <w:t>affiliation</w:t>
      </w:r>
      <w:proofErr w:type="gramEnd"/>
      <w:r w:rsidRPr="00F354CB">
        <w:rPr>
          <w:rStyle w:val="Siln"/>
          <w:rFonts w:cs="Arial"/>
          <w:b w:val="0"/>
          <w:i/>
          <w:lang w:val="en-GB"/>
        </w:rPr>
        <w:t xml:space="preserve"> with an agricultural production area.</w:t>
      </w:r>
    </w:p>
    <w:p w:rsidR="00415206" w:rsidRPr="00F354CB" w:rsidRDefault="00415206" w:rsidP="00415206">
      <w:pPr>
        <w:rPr>
          <w:i/>
          <w:lang w:val="en-GB"/>
        </w:rPr>
      </w:pPr>
      <w:r w:rsidRPr="00F354CB">
        <w:rPr>
          <w:i/>
          <w:lang w:val="en-GB"/>
        </w:rPr>
        <w:t xml:space="preserve">Each code of stratum consists of </w:t>
      </w:r>
      <w:r w:rsidR="0052278C" w:rsidRPr="00F354CB">
        <w:rPr>
          <w:i/>
          <w:lang w:val="en-GB"/>
        </w:rPr>
        <w:t>seven</w:t>
      </w:r>
      <w:r w:rsidRPr="00F354CB">
        <w:rPr>
          <w:i/>
          <w:lang w:val="en-GB"/>
        </w:rPr>
        <w:t>-digit chain X</w:t>
      </w:r>
      <w:r w:rsidR="0052278C" w:rsidRPr="00F354CB">
        <w:rPr>
          <w:i/>
          <w:lang w:val="en-GB"/>
        </w:rPr>
        <w:t>AABBCC</w:t>
      </w:r>
      <w:r w:rsidRPr="00F354CB">
        <w:rPr>
          <w:i/>
          <w:lang w:val="en-GB"/>
        </w:rPr>
        <w:t>, where:</w:t>
      </w:r>
    </w:p>
    <w:p w:rsidR="0052278C" w:rsidRPr="00F354CB" w:rsidRDefault="0052278C" w:rsidP="0052278C">
      <w:pPr>
        <w:pStyle w:val="Seznam"/>
        <w:numPr>
          <w:ilvl w:val="0"/>
          <w:numId w:val="20"/>
        </w:numPr>
        <w:spacing w:after="0"/>
        <w:rPr>
          <w:i/>
          <w:lang w:val="en-GB"/>
        </w:rPr>
      </w:pPr>
      <w:r w:rsidRPr="00F354CB">
        <w:rPr>
          <w:i/>
          <w:lang w:val="en-GB"/>
        </w:rPr>
        <w:t xml:space="preserve">X </w:t>
      </w:r>
      <w:r w:rsidRPr="00F354CB">
        <w:rPr>
          <w:rStyle w:val="Siln"/>
          <w:rFonts w:cs="Arial"/>
          <w:b w:val="0"/>
          <w:i/>
          <w:lang w:val="en-GB"/>
        </w:rPr>
        <w:t xml:space="preserve">reaches value </w:t>
      </w:r>
      <w:r w:rsidRPr="00F354CB">
        <w:rPr>
          <w:i/>
          <w:lang w:val="en-GB"/>
        </w:rPr>
        <w:t>1 for holdings of natural persons or value 2 for holdings of legal persons.</w:t>
      </w:r>
    </w:p>
    <w:p w:rsidR="00415206" w:rsidRPr="00F354CB" w:rsidRDefault="00415206" w:rsidP="00415206">
      <w:pPr>
        <w:pStyle w:val="Seznam"/>
        <w:numPr>
          <w:ilvl w:val="0"/>
          <w:numId w:val="33"/>
        </w:numPr>
        <w:rPr>
          <w:rStyle w:val="Siln"/>
          <w:rFonts w:cs="Arial"/>
          <w:b w:val="0"/>
          <w:i/>
          <w:lang w:val="en-GB"/>
        </w:rPr>
      </w:pPr>
      <w:r w:rsidRPr="00F354CB">
        <w:rPr>
          <w:rStyle w:val="Siln"/>
          <w:rFonts w:cs="Arial"/>
          <w:b w:val="0"/>
          <w:i/>
          <w:lang w:val="en-GB"/>
        </w:rPr>
        <w:t>XX reaches value 11 to 15 or 99 and depends on size of the holding as concerns UAA and/or LSU:</w:t>
      </w:r>
    </w:p>
    <w:tbl>
      <w:tblPr>
        <w:tblStyle w:val="Mkatabulky"/>
        <w:tblW w:w="0" w:type="auto"/>
        <w:tblInd w:w="854" w:type="dxa"/>
        <w:tblBorders>
          <w:top w:val="single" w:sz="8" w:space="0" w:color="auto"/>
          <w:left w:val="none" w:sz="0" w:space="0" w:color="auto"/>
          <w:bottom w:val="single" w:sz="8" w:space="0" w:color="auto"/>
          <w:right w:val="none" w:sz="0" w:space="0" w:color="auto"/>
          <w:insideH w:val="single" w:sz="8" w:space="0" w:color="auto"/>
          <w:insideV w:val="single" w:sz="6" w:space="0" w:color="auto"/>
        </w:tblBorders>
        <w:tblLook w:val="04A0" w:firstRow="1" w:lastRow="0" w:firstColumn="1" w:lastColumn="0" w:noHBand="0" w:noVBand="1"/>
      </w:tblPr>
      <w:tblGrid>
        <w:gridCol w:w="644"/>
        <w:gridCol w:w="4157"/>
        <w:gridCol w:w="1914"/>
        <w:gridCol w:w="1914"/>
      </w:tblGrid>
      <w:tr w:rsidR="009D29ED" w:rsidRPr="00F354CB" w:rsidTr="00540BC4">
        <w:trPr>
          <w:trHeight w:val="197"/>
        </w:trPr>
        <w:tc>
          <w:tcPr>
            <w:tcW w:w="644" w:type="dxa"/>
            <w:tcBorders>
              <w:bottom w:val="single" w:sz="8" w:space="0" w:color="auto"/>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AA</w:t>
            </w:r>
          </w:p>
        </w:tc>
        <w:tc>
          <w:tcPr>
            <w:tcW w:w="4157" w:type="dxa"/>
            <w:tcBorders>
              <w:bottom w:val="single" w:sz="8" w:space="0" w:color="auto"/>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bCs/>
                <w:i/>
                <w:sz w:val="20"/>
                <w:szCs w:val="20"/>
                <w:lang w:val="en-GB"/>
              </w:rPr>
              <w:t>Size category</w:t>
            </w:r>
          </w:p>
        </w:tc>
        <w:tc>
          <w:tcPr>
            <w:tcW w:w="1914" w:type="dxa"/>
            <w:tcBorders>
              <w:bottom w:val="single" w:sz="8" w:space="0" w:color="auto"/>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bCs/>
                <w:i/>
                <w:sz w:val="20"/>
                <w:szCs w:val="20"/>
                <w:lang w:val="en-GB"/>
              </w:rPr>
              <w:t>% of the sample – natural persons</w:t>
            </w:r>
          </w:p>
        </w:tc>
        <w:tc>
          <w:tcPr>
            <w:tcW w:w="1914" w:type="dxa"/>
            <w:tcBorders>
              <w:bottom w:val="single" w:sz="8" w:space="0" w:color="auto"/>
            </w:tcBorders>
          </w:tcPr>
          <w:p w:rsidR="0052278C" w:rsidRPr="00540BC4" w:rsidRDefault="0052278C" w:rsidP="009D29ED">
            <w:pPr>
              <w:autoSpaceDE w:val="0"/>
              <w:autoSpaceDN w:val="0"/>
              <w:adjustRightInd w:val="0"/>
              <w:spacing w:after="0"/>
              <w:jc w:val="center"/>
              <w:rPr>
                <w:rFonts w:cs="Arial"/>
                <w:bCs/>
                <w:i/>
                <w:sz w:val="20"/>
                <w:szCs w:val="20"/>
                <w:lang w:val="en-GB"/>
              </w:rPr>
            </w:pPr>
            <w:r w:rsidRPr="00540BC4">
              <w:rPr>
                <w:rFonts w:cs="Arial"/>
                <w:bCs/>
                <w:i/>
                <w:sz w:val="20"/>
                <w:szCs w:val="20"/>
                <w:lang w:val="en-GB"/>
              </w:rPr>
              <w:t xml:space="preserve">% of the sample – </w:t>
            </w:r>
            <w:r w:rsidR="009D29ED" w:rsidRPr="00540BC4">
              <w:rPr>
                <w:rFonts w:cs="Arial"/>
                <w:bCs/>
                <w:i/>
                <w:sz w:val="20"/>
                <w:szCs w:val="20"/>
                <w:lang w:val="en-GB"/>
              </w:rPr>
              <w:t>legal</w:t>
            </w:r>
            <w:r w:rsidRPr="00540BC4">
              <w:rPr>
                <w:rFonts w:cs="Arial"/>
                <w:bCs/>
                <w:i/>
                <w:sz w:val="20"/>
                <w:szCs w:val="20"/>
                <w:lang w:val="en-GB"/>
              </w:rPr>
              <w:t xml:space="preserve"> persons</w:t>
            </w:r>
          </w:p>
        </w:tc>
      </w:tr>
      <w:tr w:rsidR="009D29ED" w:rsidRPr="00F354CB" w:rsidTr="00540BC4">
        <w:tc>
          <w:tcPr>
            <w:tcW w:w="644" w:type="dxa"/>
            <w:tcBorders>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11</w:t>
            </w:r>
          </w:p>
        </w:tc>
        <w:tc>
          <w:tcPr>
            <w:tcW w:w="4157" w:type="dxa"/>
            <w:tcBorders>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9,99 ha UAA and less or 1,99 LSU and less</w:t>
            </w:r>
          </w:p>
        </w:tc>
        <w:tc>
          <w:tcPr>
            <w:tcW w:w="1914" w:type="dxa"/>
            <w:tcBorders>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8</w:t>
            </w:r>
          </w:p>
        </w:tc>
        <w:tc>
          <w:tcPr>
            <w:tcW w:w="1914" w:type="dxa"/>
            <w:tcBorders>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15</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12</w:t>
            </w:r>
          </w:p>
        </w:tc>
        <w:tc>
          <w:tcPr>
            <w:tcW w:w="4157" w:type="dxa"/>
            <w:tcBorders>
              <w:top w:val="nil"/>
              <w:bottom w:val="nil"/>
            </w:tcBorders>
            <w:vAlign w:val="center"/>
          </w:tcPr>
          <w:p w:rsidR="0052278C" w:rsidRPr="00540BC4" w:rsidRDefault="0052278C" w:rsidP="0052278C">
            <w:pPr>
              <w:autoSpaceDE w:val="0"/>
              <w:autoSpaceDN w:val="0"/>
              <w:adjustRightInd w:val="0"/>
              <w:spacing w:after="0"/>
              <w:rPr>
                <w:rFonts w:cs="Arial"/>
                <w:i/>
                <w:sz w:val="20"/>
                <w:szCs w:val="20"/>
                <w:lang w:val="en-GB"/>
              </w:rPr>
            </w:pPr>
            <w:r w:rsidRPr="00540BC4">
              <w:rPr>
                <w:rFonts w:cs="Arial"/>
                <w:i/>
                <w:sz w:val="20"/>
                <w:szCs w:val="20"/>
                <w:lang w:val="en-GB"/>
              </w:rPr>
              <w:t>10,00 – 24,99 ha UAA or 2 – 4,99 LSU</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25</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13</w:t>
            </w:r>
          </w:p>
        </w:tc>
        <w:tc>
          <w:tcPr>
            <w:tcW w:w="4157" w:type="dxa"/>
            <w:tcBorders>
              <w:top w:val="nil"/>
              <w:bottom w:val="nil"/>
            </w:tcBorders>
            <w:vAlign w:val="center"/>
          </w:tcPr>
          <w:p w:rsidR="0052278C" w:rsidRPr="00540BC4" w:rsidRDefault="0052278C" w:rsidP="0052278C">
            <w:pPr>
              <w:autoSpaceDE w:val="0"/>
              <w:autoSpaceDN w:val="0"/>
              <w:adjustRightInd w:val="0"/>
              <w:spacing w:after="0"/>
              <w:rPr>
                <w:rFonts w:cs="Arial"/>
                <w:i/>
                <w:sz w:val="20"/>
                <w:szCs w:val="20"/>
                <w:lang w:val="en-GB"/>
              </w:rPr>
            </w:pPr>
            <w:r w:rsidRPr="00540BC4">
              <w:rPr>
                <w:rFonts w:cs="Arial"/>
                <w:i/>
                <w:sz w:val="20"/>
                <w:szCs w:val="20"/>
                <w:lang w:val="en-GB"/>
              </w:rPr>
              <w:t>25,00 – 49,99 ha UAA or 5 – 9,99 LSU</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15</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50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14</w:t>
            </w:r>
          </w:p>
        </w:tc>
        <w:tc>
          <w:tcPr>
            <w:tcW w:w="4157" w:type="dxa"/>
            <w:tcBorders>
              <w:top w:val="nil"/>
              <w:bottom w:val="nil"/>
            </w:tcBorders>
            <w:vAlign w:val="center"/>
          </w:tcPr>
          <w:p w:rsidR="0052278C" w:rsidRPr="00540BC4" w:rsidRDefault="0052278C" w:rsidP="00331466">
            <w:pPr>
              <w:autoSpaceDE w:val="0"/>
              <w:autoSpaceDN w:val="0"/>
              <w:adjustRightInd w:val="0"/>
              <w:spacing w:after="0"/>
              <w:jc w:val="center"/>
              <w:rPr>
                <w:rFonts w:cs="Arial"/>
                <w:i/>
                <w:sz w:val="20"/>
                <w:szCs w:val="20"/>
                <w:lang w:val="en-GB"/>
              </w:rPr>
            </w:pPr>
            <w:r w:rsidRPr="00540BC4">
              <w:rPr>
                <w:rFonts w:cs="Arial"/>
                <w:i/>
                <w:sz w:val="20"/>
                <w:szCs w:val="20"/>
                <w:lang w:val="en-GB"/>
              </w:rPr>
              <w:t>50,00 – 99,99 ha UAA or 10 – 24,99 LSU</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22</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50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w:t>
            </w:r>
          </w:p>
        </w:tc>
        <w:tc>
          <w:tcPr>
            <w:tcW w:w="4157" w:type="dxa"/>
            <w:tcBorders>
              <w:top w:val="nil"/>
              <w:bottom w:val="nil"/>
            </w:tcBorders>
            <w:vAlign w:val="center"/>
          </w:tcPr>
          <w:p w:rsidR="0052278C" w:rsidRPr="00540BC4" w:rsidRDefault="00331466" w:rsidP="0052278C">
            <w:pPr>
              <w:autoSpaceDE w:val="0"/>
              <w:autoSpaceDN w:val="0"/>
              <w:adjustRightInd w:val="0"/>
              <w:spacing w:after="0"/>
              <w:jc w:val="center"/>
              <w:rPr>
                <w:rFonts w:cs="Arial"/>
                <w:i/>
                <w:sz w:val="20"/>
                <w:szCs w:val="20"/>
                <w:lang w:val="en-GB"/>
              </w:rPr>
            </w:pPr>
            <w:r w:rsidRPr="00540BC4">
              <w:rPr>
                <w:rFonts w:cs="Arial"/>
                <w:i/>
                <w:sz w:val="20"/>
                <w:szCs w:val="20"/>
                <w:lang w:val="en-GB"/>
              </w:rPr>
              <w:t>1</w:t>
            </w:r>
            <w:r w:rsidR="0052278C" w:rsidRPr="00540BC4">
              <w:rPr>
                <w:rFonts w:cs="Arial"/>
                <w:i/>
                <w:sz w:val="20"/>
                <w:szCs w:val="20"/>
                <w:lang w:val="en-GB"/>
              </w:rPr>
              <w:t>00,00 ha UAA and more</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w:t>
            </w:r>
          </w:p>
        </w:tc>
        <w:tc>
          <w:tcPr>
            <w:tcW w:w="4157"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25 LSU and mo</w:t>
            </w:r>
            <w:bookmarkStart w:id="3" w:name="_GoBack"/>
            <w:bookmarkEnd w:id="3"/>
            <w:r w:rsidRPr="00540BC4">
              <w:rPr>
                <w:rFonts w:cs="Arial"/>
                <w:i/>
                <w:sz w:val="20"/>
                <w:szCs w:val="20"/>
                <w:lang w:val="en-GB"/>
              </w:rPr>
              <w:t>re</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w:t>
            </w:r>
          </w:p>
        </w:tc>
        <w:tc>
          <w:tcPr>
            <w:tcW w:w="4157"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40 head of poultry and more</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w:t>
            </w:r>
          </w:p>
        </w:tc>
        <w:tc>
          <w:tcPr>
            <w:tcW w:w="4157" w:type="dxa"/>
            <w:tcBorders>
              <w:top w:val="nil"/>
              <w:bottom w:val="nil"/>
            </w:tcBorders>
            <w:vAlign w:val="center"/>
          </w:tcPr>
          <w:p w:rsidR="0052278C" w:rsidRPr="00540BC4" w:rsidRDefault="0052278C" w:rsidP="009D29ED">
            <w:pPr>
              <w:autoSpaceDE w:val="0"/>
              <w:autoSpaceDN w:val="0"/>
              <w:adjustRightInd w:val="0"/>
              <w:spacing w:after="0"/>
              <w:jc w:val="center"/>
              <w:rPr>
                <w:rFonts w:cs="Arial"/>
                <w:i/>
                <w:sz w:val="20"/>
                <w:szCs w:val="20"/>
                <w:lang w:val="en-GB"/>
              </w:rPr>
            </w:pPr>
            <w:r w:rsidRPr="00540BC4">
              <w:rPr>
                <w:rFonts w:cs="Arial"/>
                <w:i/>
                <w:sz w:val="20"/>
                <w:szCs w:val="20"/>
                <w:lang w:val="en-GB"/>
              </w:rPr>
              <w:t xml:space="preserve">20 </w:t>
            </w:r>
            <w:r w:rsidR="009D29ED" w:rsidRPr="00540BC4">
              <w:rPr>
                <w:rFonts w:cs="Arial"/>
                <w:i/>
                <w:sz w:val="20"/>
                <w:szCs w:val="20"/>
                <w:lang w:val="en-GB"/>
              </w:rPr>
              <w:t>head of sheep and more</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w:t>
            </w:r>
          </w:p>
        </w:tc>
        <w:tc>
          <w:tcPr>
            <w:tcW w:w="4157" w:type="dxa"/>
            <w:tcBorders>
              <w:top w:val="nil"/>
              <w:bottom w:val="nil"/>
            </w:tcBorders>
            <w:vAlign w:val="center"/>
          </w:tcPr>
          <w:p w:rsidR="0052278C" w:rsidRPr="00540BC4" w:rsidRDefault="0052278C" w:rsidP="009D29ED">
            <w:pPr>
              <w:autoSpaceDE w:val="0"/>
              <w:autoSpaceDN w:val="0"/>
              <w:adjustRightInd w:val="0"/>
              <w:spacing w:after="0"/>
              <w:jc w:val="center"/>
              <w:rPr>
                <w:rFonts w:cs="Arial"/>
                <w:i/>
                <w:sz w:val="20"/>
                <w:szCs w:val="20"/>
                <w:lang w:val="en-GB"/>
              </w:rPr>
            </w:pPr>
            <w:r w:rsidRPr="00540BC4">
              <w:rPr>
                <w:rFonts w:cs="Arial"/>
                <w:i/>
                <w:sz w:val="20"/>
                <w:szCs w:val="20"/>
                <w:lang w:val="en-GB"/>
              </w:rPr>
              <w:t xml:space="preserve">5 </w:t>
            </w:r>
            <w:r w:rsidR="009D29ED" w:rsidRPr="00540BC4">
              <w:rPr>
                <w:rFonts w:cs="Arial"/>
                <w:i/>
                <w:sz w:val="20"/>
                <w:szCs w:val="20"/>
                <w:lang w:val="en-GB"/>
              </w:rPr>
              <w:t>head of goats and more</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w:t>
            </w:r>
          </w:p>
        </w:tc>
        <w:tc>
          <w:tcPr>
            <w:tcW w:w="4157" w:type="dxa"/>
            <w:tcBorders>
              <w:top w:val="nil"/>
              <w:bottom w:val="nil"/>
            </w:tcBorders>
            <w:vAlign w:val="center"/>
          </w:tcPr>
          <w:p w:rsidR="0052278C" w:rsidRPr="00540BC4" w:rsidRDefault="0052278C" w:rsidP="009D29ED">
            <w:pPr>
              <w:autoSpaceDE w:val="0"/>
              <w:autoSpaceDN w:val="0"/>
              <w:adjustRightInd w:val="0"/>
              <w:spacing w:after="0"/>
              <w:jc w:val="center"/>
              <w:rPr>
                <w:rFonts w:cs="Arial"/>
                <w:i/>
                <w:sz w:val="20"/>
                <w:szCs w:val="20"/>
                <w:lang w:val="en-GB"/>
              </w:rPr>
            </w:pPr>
            <w:r w:rsidRPr="00540BC4">
              <w:rPr>
                <w:rFonts w:cs="Arial"/>
                <w:i/>
                <w:sz w:val="20"/>
                <w:szCs w:val="20"/>
                <w:lang w:val="en-GB"/>
              </w:rPr>
              <w:t xml:space="preserve">1,50 </w:t>
            </w:r>
            <w:r w:rsidR="009D29ED" w:rsidRPr="00540BC4">
              <w:rPr>
                <w:rFonts w:cs="Arial"/>
                <w:i/>
                <w:sz w:val="20"/>
                <w:szCs w:val="20"/>
                <w:lang w:val="en-GB"/>
              </w:rPr>
              <w:t>ha of vineyards and more</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w:t>
            </w:r>
          </w:p>
        </w:tc>
        <w:tc>
          <w:tcPr>
            <w:tcW w:w="4157" w:type="dxa"/>
            <w:tcBorders>
              <w:top w:val="nil"/>
              <w:bottom w:val="nil"/>
            </w:tcBorders>
            <w:vAlign w:val="center"/>
          </w:tcPr>
          <w:p w:rsidR="0052278C" w:rsidRPr="00540BC4" w:rsidRDefault="0052278C" w:rsidP="009D29ED">
            <w:pPr>
              <w:autoSpaceDE w:val="0"/>
              <w:autoSpaceDN w:val="0"/>
              <w:adjustRightInd w:val="0"/>
              <w:spacing w:after="0"/>
              <w:jc w:val="center"/>
              <w:rPr>
                <w:rFonts w:cs="Arial"/>
                <w:i/>
                <w:sz w:val="20"/>
                <w:szCs w:val="20"/>
                <w:lang w:val="en-GB"/>
              </w:rPr>
            </w:pPr>
            <w:r w:rsidRPr="00540BC4">
              <w:rPr>
                <w:rFonts w:cs="Arial"/>
                <w:i/>
                <w:sz w:val="20"/>
                <w:szCs w:val="20"/>
                <w:lang w:val="en-GB"/>
              </w:rPr>
              <w:t xml:space="preserve">2,00 </w:t>
            </w:r>
            <w:r w:rsidR="009D29ED" w:rsidRPr="00540BC4">
              <w:rPr>
                <w:rFonts w:cs="Arial"/>
                <w:i/>
                <w:sz w:val="20"/>
                <w:szCs w:val="20"/>
                <w:lang w:val="en-GB"/>
              </w:rPr>
              <w:t>ha of orchards and more</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w:t>
            </w:r>
          </w:p>
        </w:tc>
        <w:tc>
          <w:tcPr>
            <w:tcW w:w="4157" w:type="dxa"/>
            <w:tcBorders>
              <w:top w:val="nil"/>
              <w:bottom w:val="nil"/>
            </w:tcBorders>
            <w:vAlign w:val="center"/>
          </w:tcPr>
          <w:p w:rsidR="0052278C" w:rsidRPr="00540BC4" w:rsidRDefault="0052278C" w:rsidP="009D29ED">
            <w:pPr>
              <w:autoSpaceDE w:val="0"/>
              <w:autoSpaceDN w:val="0"/>
              <w:adjustRightInd w:val="0"/>
              <w:spacing w:after="0"/>
              <w:jc w:val="center"/>
              <w:rPr>
                <w:rFonts w:cs="Arial"/>
                <w:i/>
                <w:sz w:val="20"/>
                <w:szCs w:val="20"/>
                <w:lang w:val="en-GB"/>
              </w:rPr>
            </w:pPr>
            <w:r w:rsidRPr="00540BC4">
              <w:rPr>
                <w:rFonts w:cs="Arial"/>
                <w:i/>
                <w:sz w:val="20"/>
                <w:szCs w:val="20"/>
                <w:lang w:val="en-GB"/>
              </w:rPr>
              <w:t xml:space="preserve">1,10 </w:t>
            </w:r>
            <w:r w:rsidR="009D29ED" w:rsidRPr="00540BC4">
              <w:rPr>
                <w:rFonts w:cs="Arial"/>
                <w:i/>
                <w:sz w:val="20"/>
                <w:szCs w:val="20"/>
                <w:lang w:val="en-GB"/>
              </w:rPr>
              <w:t>ha of vegetables and more</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w:t>
            </w:r>
          </w:p>
        </w:tc>
        <w:tc>
          <w:tcPr>
            <w:tcW w:w="4157" w:type="dxa"/>
            <w:tcBorders>
              <w:top w:val="nil"/>
              <w:bottom w:val="nil"/>
            </w:tcBorders>
            <w:vAlign w:val="center"/>
          </w:tcPr>
          <w:p w:rsidR="0052278C" w:rsidRPr="00540BC4" w:rsidRDefault="0052278C" w:rsidP="009D29ED">
            <w:pPr>
              <w:autoSpaceDE w:val="0"/>
              <w:autoSpaceDN w:val="0"/>
              <w:adjustRightInd w:val="0"/>
              <w:spacing w:after="0"/>
              <w:jc w:val="center"/>
              <w:rPr>
                <w:rFonts w:cs="Arial"/>
                <w:i/>
                <w:sz w:val="20"/>
                <w:szCs w:val="20"/>
                <w:lang w:val="en-GB"/>
              </w:rPr>
            </w:pPr>
            <w:r w:rsidRPr="00540BC4">
              <w:rPr>
                <w:rFonts w:cs="Arial"/>
                <w:i/>
                <w:sz w:val="20"/>
                <w:szCs w:val="20"/>
                <w:lang w:val="en-GB"/>
              </w:rPr>
              <w:t xml:space="preserve">0,30 </w:t>
            </w:r>
            <w:r w:rsidR="009D29ED" w:rsidRPr="00540BC4">
              <w:rPr>
                <w:rFonts w:cs="Arial"/>
                <w:i/>
                <w:sz w:val="20"/>
                <w:szCs w:val="20"/>
                <w:lang w:val="en-GB"/>
              </w:rPr>
              <w:t>ha of flowers and more</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r>
      <w:tr w:rsidR="009D29ED" w:rsidRPr="00F354CB" w:rsidTr="00540BC4">
        <w:tc>
          <w:tcPr>
            <w:tcW w:w="64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99</w:t>
            </w:r>
          </w:p>
        </w:tc>
        <w:tc>
          <w:tcPr>
            <w:tcW w:w="4157" w:type="dxa"/>
            <w:tcBorders>
              <w:top w:val="nil"/>
              <w:bottom w:val="nil"/>
            </w:tcBorders>
            <w:vAlign w:val="center"/>
          </w:tcPr>
          <w:p w:rsidR="0052278C" w:rsidRPr="00540BC4" w:rsidRDefault="0052278C" w:rsidP="009D29ED">
            <w:pPr>
              <w:autoSpaceDE w:val="0"/>
              <w:autoSpaceDN w:val="0"/>
              <w:adjustRightInd w:val="0"/>
              <w:spacing w:after="0"/>
              <w:jc w:val="center"/>
              <w:rPr>
                <w:rFonts w:cs="Arial"/>
                <w:i/>
                <w:sz w:val="20"/>
                <w:szCs w:val="20"/>
                <w:lang w:val="en-GB"/>
              </w:rPr>
            </w:pPr>
            <w:r w:rsidRPr="00540BC4">
              <w:rPr>
                <w:rFonts w:cs="Arial"/>
                <w:i/>
                <w:sz w:val="20"/>
                <w:szCs w:val="20"/>
                <w:lang w:val="en-GB"/>
              </w:rPr>
              <w:t xml:space="preserve">0,30 </w:t>
            </w:r>
            <w:r w:rsidR="009D29ED" w:rsidRPr="00540BC4">
              <w:rPr>
                <w:rFonts w:cs="Arial"/>
                <w:i/>
                <w:sz w:val="20"/>
                <w:szCs w:val="20"/>
                <w:lang w:val="en-GB"/>
              </w:rPr>
              <w:t>ha of strawberries and more</w:t>
            </w:r>
          </w:p>
        </w:tc>
        <w:tc>
          <w:tcPr>
            <w:tcW w:w="1914" w:type="dxa"/>
            <w:tcBorders>
              <w:top w:val="nil"/>
              <w:bottom w:val="nil"/>
            </w:tcBorders>
            <w:vAlign w:val="center"/>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c>
          <w:tcPr>
            <w:tcW w:w="1914" w:type="dxa"/>
            <w:tcBorders>
              <w:top w:val="nil"/>
              <w:bottom w:val="nil"/>
            </w:tcBorders>
          </w:tcPr>
          <w:p w:rsidR="0052278C" w:rsidRPr="00540BC4" w:rsidRDefault="0052278C" w:rsidP="0052278C">
            <w:pPr>
              <w:autoSpaceDE w:val="0"/>
              <w:autoSpaceDN w:val="0"/>
              <w:adjustRightInd w:val="0"/>
              <w:spacing w:after="0"/>
              <w:jc w:val="center"/>
              <w:rPr>
                <w:rFonts w:cs="Arial"/>
                <w:i/>
                <w:sz w:val="20"/>
                <w:szCs w:val="20"/>
                <w:lang w:val="en-GB"/>
              </w:rPr>
            </w:pPr>
            <w:r w:rsidRPr="00540BC4">
              <w:rPr>
                <w:rFonts w:cs="Arial"/>
                <w:i/>
                <w:sz w:val="20"/>
                <w:szCs w:val="20"/>
                <w:lang w:val="en-GB"/>
              </w:rPr>
              <w:t>100</w:t>
            </w:r>
          </w:p>
        </w:tc>
      </w:tr>
    </w:tbl>
    <w:p w:rsidR="0052278C" w:rsidRPr="00F354CB" w:rsidRDefault="0052278C" w:rsidP="00FF45CB">
      <w:pPr>
        <w:spacing w:after="0"/>
        <w:jc w:val="both"/>
        <w:rPr>
          <w:i/>
          <w:lang w:val="en-GB"/>
        </w:rPr>
      </w:pPr>
    </w:p>
    <w:p w:rsidR="00415206" w:rsidRPr="00F354CB" w:rsidRDefault="00415206" w:rsidP="00415206">
      <w:pPr>
        <w:jc w:val="both"/>
        <w:rPr>
          <w:i/>
          <w:lang w:val="en-GB"/>
        </w:rPr>
      </w:pPr>
      <w:r w:rsidRPr="00F354CB">
        <w:rPr>
          <w:i/>
          <w:lang w:val="en-GB"/>
        </w:rPr>
        <w:t>For this classification to particular size categories reaching any minimum value in category “99” was more important for a concerned unit than its utilised agricultural area or livestock units.</w:t>
      </w:r>
    </w:p>
    <w:p w:rsidR="00415206" w:rsidRPr="00F354CB" w:rsidRDefault="00415206" w:rsidP="00415206">
      <w:pPr>
        <w:pStyle w:val="Seznam"/>
        <w:numPr>
          <w:ilvl w:val="0"/>
          <w:numId w:val="33"/>
        </w:numPr>
        <w:jc w:val="both"/>
        <w:rPr>
          <w:rStyle w:val="Siln"/>
          <w:rFonts w:cs="Arial"/>
          <w:b w:val="0"/>
          <w:i/>
          <w:lang w:val="en-GB"/>
        </w:rPr>
      </w:pPr>
      <w:r w:rsidRPr="00F354CB">
        <w:rPr>
          <w:rStyle w:val="Siln"/>
          <w:rFonts w:cs="Arial"/>
          <w:b w:val="0"/>
          <w:i/>
          <w:lang w:val="en-GB"/>
        </w:rPr>
        <w:t>YY represents abbreviated code of region (NUTS3) and reaches one of the following values: 11, 21, 31, 32, 41, 42, 51, 52, 53, 61, 62, 71, 72, and 81.</w:t>
      </w:r>
    </w:p>
    <w:p w:rsidR="00415206" w:rsidRPr="00F354CB" w:rsidRDefault="00415206" w:rsidP="00415206">
      <w:pPr>
        <w:pStyle w:val="Seznam"/>
        <w:numPr>
          <w:ilvl w:val="0"/>
          <w:numId w:val="33"/>
        </w:numPr>
        <w:rPr>
          <w:rStyle w:val="Siln"/>
          <w:rFonts w:cs="Arial"/>
          <w:b w:val="0"/>
          <w:i/>
          <w:lang w:val="en-GB"/>
        </w:rPr>
      </w:pPr>
      <w:r w:rsidRPr="00F354CB">
        <w:rPr>
          <w:rStyle w:val="Siln"/>
          <w:rFonts w:cs="Arial"/>
          <w:b w:val="0"/>
          <w:i/>
          <w:lang w:val="en-GB"/>
        </w:rPr>
        <w:lastRenderedPageBreak/>
        <w:t>ZZ indicates affiliation of a unit to agricultural production area:</w:t>
      </w:r>
    </w:p>
    <w:p w:rsidR="00415206" w:rsidRPr="00F354CB" w:rsidRDefault="00415206" w:rsidP="00415206">
      <w:pPr>
        <w:pStyle w:val="Seznam"/>
        <w:numPr>
          <w:ilvl w:val="1"/>
          <w:numId w:val="35"/>
        </w:numPr>
        <w:rPr>
          <w:i/>
          <w:lang w:val="en-GB"/>
        </w:rPr>
      </w:pPr>
      <w:r w:rsidRPr="00F354CB">
        <w:rPr>
          <w:i/>
          <w:lang w:val="en-GB"/>
        </w:rPr>
        <w:t>Maize area and its subareas 11, 12, 13,</w:t>
      </w:r>
    </w:p>
    <w:p w:rsidR="00415206" w:rsidRPr="00F354CB" w:rsidRDefault="00415206" w:rsidP="00415206">
      <w:pPr>
        <w:pStyle w:val="Seznam"/>
        <w:numPr>
          <w:ilvl w:val="1"/>
          <w:numId w:val="35"/>
        </w:numPr>
        <w:rPr>
          <w:i/>
          <w:lang w:val="en-GB"/>
        </w:rPr>
      </w:pPr>
      <w:r w:rsidRPr="00F354CB">
        <w:rPr>
          <w:rStyle w:val="Siln"/>
          <w:rFonts w:cs="Arial"/>
          <w:b w:val="0"/>
          <w:i/>
          <w:lang w:val="en-GB"/>
        </w:rPr>
        <w:t>Sugar beet</w:t>
      </w:r>
      <w:r w:rsidRPr="00F354CB">
        <w:rPr>
          <w:i/>
          <w:lang w:val="en-GB"/>
        </w:rPr>
        <w:t xml:space="preserve"> area and its subareas 21, 22, 23,</w:t>
      </w:r>
    </w:p>
    <w:p w:rsidR="00415206" w:rsidRPr="00F354CB" w:rsidRDefault="00415206" w:rsidP="00415206">
      <w:pPr>
        <w:pStyle w:val="Seznam"/>
        <w:numPr>
          <w:ilvl w:val="1"/>
          <w:numId w:val="35"/>
        </w:numPr>
        <w:rPr>
          <w:i/>
          <w:lang w:val="en-GB"/>
        </w:rPr>
      </w:pPr>
      <w:r w:rsidRPr="00F354CB">
        <w:rPr>
          <w:rStyle w:val="Siln"/>
          <w:rFonts w:cs="Arial"/>
          <w:b w:val="0"/>
          <w:i/>
          <w:lang w:val="en-GB"/>
        </w:rPr>
        <w:t>Potato</w:t>
      </w:r>
      <w:r w:rsidRPr="00F354CB">
        <w:rPr>
          <w:i/>
          <w:lang w:val="en-GB"/>
        </w:rPr>
        <w:t xml:space="preserve"> area and its subareas 31, 32,</w:t>
      </w:r>
    </w:p>
    <w:p w:rsidR="00415206" w:rsidRPr="00F354CB" w:rsidRDefault="00415206" w:rsidP="00415206">
      <w:pPr>
        <w:pStyle w:val="Seznam"/>
        <w:numPr>
          <w:ilvl w:val="1"/>
          <w:numId w:val="35"/>
        </w:numPr>
        <w:rPr>
          <w:i/>
          <w:lang w:val="en-GB"/>
        </w:rPr>
      </w:pPr>
      <w:r w:rsidRPr="00F354CB">
        <w:rPr>
          <w:rStyle w:val="Siln"/>
          <w:rFonts w:cs="Arial"/>
          <w:b w:val="0"/>
          <w:i/>
          <w:lang w:val="en-GB"/>
        </w:rPr>
        <w:t>Potato-oats</w:t>
      </w:r>
      <w:r w:rsidRPr="00F354CB">
        <w:rPr>
          <w:i/>
          <w:lang w:val="en-GB"/>
        </w:rPr>
        <w:t xml:space="preserve"> area and its subareas 33,</w:t>
      </w:r>
    </w:p>
    <w:p w:rsidR="00415206" w:rsidRPr="00F354CB" w:rsidRDefault="00415206" w:rsidP="00415206">
      <w:pPr>
        <w:pStyle w:val="Seznam"/>
        <w:numPr>
          <w:ilvl w:val="1"/>
          <w:numId w:val="35"/>
        </w:numPr>
        <w:rPr>
          <w:i/>
          <w:lang w:val="en-GB"/>
        </w:rPr>
      </w:pPr>
      <w:r w:rsidRPr="00F354CB">
        <w:rPr>
          <w:rStyle w:val="Siln"/>
          <w:rFonts w:cs="Arial"/>
          <w:b w:val="0"/>
          <w:i/>
          <w:lang w:val="en-GB"/>
        </w:rPr>
        <w:t>Mountainous</w:t>
      </w:r>
      <w:r w:rsidRPr="00F354CB">
        <w:rPr>
          <w:i/>
          <w:lang w:val="en-GB"/>
        </w:rPr>
        <w:t xml:space="preserve"> area and its subareas 41, 42.</w:t>
      </w:r>
    </w:p>
    <w:p w:rsidR="00415206" w:rsidRPr="00F354CB" w:rsidRDefault="00415206" w:rsidP="00415206">
      <w:pPr>
        <w:jc w:val="both"/>
        <w:rPr>
          <w:i/>
          <w:lang w:val="en-GB"/>
        </w:rPr>
      </w:pPr>
      <w:r w:rsidRPr="00F354CB">
        <w:rPr>
          <w:i/>
          <w:lang w:val="en-GB"/>
        </w:rPr>
        <w:t>Due to insufficient total area in subareas 11, 12, and 13, the units belonging to subareas 12 and 13 were attached to subarea 11. Similarly, subarea code 42 was replaced by code 41. Therefore only codes 11, 21, 22, 23, 31, 32, 33 and 41 were allowed.</w:t>
      </w:r>
    </w:p>
    <w:p w:rsidR="00415206" w:rsidRPr="00F354CB" w:rsidRDefault="00415206" w:rsidP="00415206">
      <w:pPr>
        <w:jc w:val="both"/>
        <w:rPr>
          <w:i/>
          <w:lang w:val="en-GB"/>
        </w:rPr>
      </w:pPr>
      <w:r w:rsidRPr="00F354CB">
        <w:rPr>
          <w:i/>
          <w:lang w:val="en-GB"/>
        </w:rPr>
        <w:t xml:space="preserve">Number of grossing-up strata constructed using this way results in </w:t>
      </w:r>
      <w:r w:rsidR="00F354CB">
        <w:rPr>
          <w:i/>
          <w:lang w:val="en-GB"/>
        </w:rPr>
        <w:t>928</w:t>
      </w:r>
      <w:r w:rsidRPr="00F354CB">
        <w:rPr>
          <w:i/>
          <w:lang w:val="en-GB"/>
        </w:rPr>
        <w:t xml:space="preserve"> combinations, although the theoretical maximum of combinations is </w:t>
      </w:r>
      <w:r w:rsidR="009B03D5" w:rsidRPr="00F354CB">
        <w:rPr>
          <w:i/>
        </w:rPr>
        <w:t>1120 (2 x 5</w:t>
      </w:r>
      <w:r w:rsidR="009B03D5" w:rsidRPr="00F354CB">
        <w:t xml:space="preserve"> </w:t>
      </w:r>
      <w:r w:rsidRPr="00F354CB">
        <w:rPr>
          <w:i/>
          <w:lang w:val="en-GB"/>
        </w:rPr>
        <w:t xml:space="preserve">x 14 x 2). This classification was employed only in sample generating (keeping the proportionality among regions) and in final aggregation by region. Only </w:t>
      </w:r>
      <w:r w:rsidR="009B03D5" w:rsidRPr="00F354CB">
        <w:rPr>
          <w:i/>
          <w:lang w:val="en-GB"/>
        </w:rPr>
        <w:t>AACC</w:t>
      </w:r>
      <w:r w:rsidRPr="00F354CB">
        <w:rPr>
          <w:i/>
          <w:lang w:val="en-GB"/>
        </w:rPr>
        <w:t xml:space="preserve"> code, i.e. maximum 4</w:t>
      </w:r>
      <w:r w:rsidR="009B03D5" w:rsidRPr="00F354CB">
        <w:rPr>
          <w:i/>
          <w:lang w:val="en-GB"/>
        </w:rPr>
        <w:t>0</w:t>
      </w:r>
      <w:r w:rsidRPr="00F354CB">
        <w:rPr>
          <w:i/>
          <w:lang w:val="en-GB"/>
        </w:rPr>
        <w:t xml:space="preserve"> grossing-up strata, was used in final grossing-up to the population level.</w:t>
      </w:r>
    </w:p>
    <w:p w:rsidR="009B03D5" w:rsidRPr="00F354CB" w:rsidRDefault="009B03D5" w:rsidP="009B03D5">
      <w:pPr>
        <w:jc w:val="both"/>
      </w:pPr>
      <w:r w:rsidRPr="00F354CB">
        <w:t>NON-RESPONSE TREATMENT</w:t>
      </w:r>
    </w:p>
    <w:p w:rsidR="009B03D5" w:rsidRPr="00F354CB" w:rsidRDefault="009B03D5" w:rsidP="009B03D5">
      <w:pPr>
        <w:jc w:val="both"/>
      </w:pPr>
      <w:proofErr w:type="spellStart"/>
      <w:r w:rsidRPr="00F354CB">
        <w:t>Incomplete</w:t>
      </w:r>
      <w:proofErr w:type="spellEnd"/>
      <w:r w:rsidRPr="00F354CB">
        <w:t xml:space="preserve"> (</w:t>
      </w:r>
      <w:proofErr w:type="spellStart"/>
      <w:r w:rsidRPr="00F354CB">
        <w:t>partially</w:t>
      </w:r>
      <w:proofErr w:type="spellEnd"/>
      <w:r w:rsidRPr="00F354CB">
        <w:t xml:space="preserve">) </w:t>
      </w:r>
      <w:proofErr w:type="spellStart"/>
      <w:r w:rsidRPr="00F354CB">
        <w:t>completed</w:t>
      </w:r>
      <w:proofErr w:type="spellEnd"/>
      <w:r w:rsidRPr="00F354CB">
        <w:t xml:space="preserve"> </w:t>
      </w:r>
      <w:proofErr w:type="spellStart"/>
      <w:r w:rsidRPr="00F354CB">
        <w:t>questionnaires</w:t>
      </w:r>
      <w:proofErr w:type="spellEnd"/>
      <w:r w:rsidRPr="00F354CB">
        <w:t xml:space="preserve"> had to </w:t>
      </w:r>
      <w:proofErr w:type="spellStart"/>
      <w:r w:rsidRPr="00F354CB">
        <w:t>be</w:t>
      </w:r>
      <w:proofErr w:type="spellEnd"/>
      <w:r w:rsidRPr="00F354CB">
        <w:t xml:space="preserve"> </w:t>
      </w:r>
      <w:proofErr w:type="spellStart"/>
      <w:r w:rsidRPr="00F354CB">
        <w:t>retrieved</w:t>
      </w:r>
      <w:proofErr w:type="spellEnd"/>
      <w:r w:rsidRPr="00F354CB">
        <w:t xml:space="preserve"> by </w:t>
      </w:r>
      <w:proofErr w:type="spellStart"/>
      <w:r w:rsidRPr="00F354CB">
        <w:t>the</w:t>
      </w:r>
      <w:proofErr w:type="spellEnd"/>
      <w:r w:rsidRPr="00F354CB">
        <w:t xml:space="preserve"> </w:t>
      </w:r>
      <w:proofErr w:type="spellStart"/>
      <w:r w:rsidRPr="00F354CB">
        <w:t>control</w:t>
      </w:r>
      <w:proofErr w:type="spellEnd"/>
      <w:r w:rsidRPr="00F354CB">
        <w:t xml:space="preserve"> </w:t>
      </w:r>
      <w:proofErr w:type="spellStart"/>
      <w:r w:rsidRPr="00F354CB">
        <w:t>system</w:t>
      </w:r>
      <w:proofErr w:type="spellEnd"/>
      <w:r w:rsidRPr="00F354CB">
        <w:t xml:space="preserve"> and </w:t>
      </w:r>
      <w:proofErr w:type="spellStart"/>
      <w:r w:rsidRPr="00F354CB">
        <w:t>manually</w:t>
      </w:r>
      <w:proofErr w:type="spellEnd"/>
      <w:r w:rsidRPr="00F354CB">
        <w:t xml:space="preserve"> </w:t>
      </w:r>
      <w:proofErr w:type="spellStart"/>
      <w:r w:rsidRPr="00F354CB">
        <w:t>completed</w:t>
      </w:r>
      <w:proofErr w:type="spellEnd"/>
      <w:r w:rsidRPr="00F354CB">
        <w:t xml:space="preserve"> by </w:t>
      </w:r>
      <w:proofErr w:type="spellStart"/>
      <w:r w:rsidRPr="00F354CB">
        <w:t>individual</w:t>
      </w:r>
      <w:proofErr w:type="spellEnd"/>
      <w:r w:rsidRPr="00F354CB">
        <w:t xml:space="preserve"> </w:t>
      </w:r>
      <w:proofErr w:type="spellStart"/>
      <w:r w:rsidRPr="00F354CB">
        <w:t>assessment</w:t>
      </w:r>
      <w:proofErr w:type="spellEnd"/>
      <w:r w:rsidRPr="00F354CB">
        <w:t xml:space="preserve"> </w:t>
      </w:r>
      <w:proofErr w:type="spellStart"/>
      <w:r w:rsidRPr="00F354CB">
        <w:t>before</w:t>
      </w:r>
      <w:proofErr w:type="spellEnd"/>
      <w:r w:rsidRPr="00F354CB">
        <w:t xml:space="preserve"> </w:t>
      </w:r>
      <w:proofErr w:type="spellStart"/>
      <w:r w:rsidRPr="00F354CB">
        <w:t>the</w:t>
      </w:r>
      <w:proofErr w:type="spellEnd"/>
      <w:r w:rsidRPr="00F354CB">
        <w:t xml:space="preserve"> </w:t>
      </w:r>
      <w:proofErr w:type="spellStart"/>
      <w:r w:rsidRPr="00F354CB">
        <w:t>calculation</w:t>
      </w:r>
      <w:proofErr w:type="spellEnd"/>
      <w:r w:rsidRPr="00F354CB">
        <w:t xml:space="preserve"> </w:t>
      </w:r>
      <w:proofErr w:type="spellStart"/>
      <w:r w:rsidRPr="00F354CB">
        <w:t>procedure</w:t>
      </w:r>
      <w:proofErr w:type="spellEnd"/>
      <w:r w:rsidRPr="00F354CB">
        <w:t>:</w:t>
      </w:r>
    </w:p>
    <w:p w:rsidR="009B03D5" w:rsidRPr="00F354CB" w:rsidRDefault="009B03D5" w:rsidP="009B03D5">
      <w:pPr>
        <w:jc w:val="both"/>
      </w:pPr>
      <w:r w:rsidRPr="00F354CB">
        <w:t xml:space="preserve">(a) </w:t>
      </w:r>
      <w:proofErr w:type="spellStart"/>
      <w:r w:rsidRPr="00F354CB">
        <w:t>similar</w:t>
      </w:r>
      <w:proofErr w:type="spellEnd"/>
      <w:r w:rsidRPr="00F354CB">
        <w:t xml:space="preserve"> reporting </w:t>
      </w:r>
      <w:proofErr w:type="spellStart"/>
      <w:r w:rsidRPr="00F354CB">
        <w:t>units</w:t>
      </w:r>
      <w:proofErr w:type="spellEnd"/>
      <w:r w:rsidRPr="00F354CB">
        <w:t xml:space="preserve"> </w:t>
      </w:r>
      <w:proofErr w:type="spellStart"/>
      <w:r w:rsidRPr="00F354CB">
        <w:t>within</w:t>
      </w:r>
      <w:proofErr w:type="spellEnd"/>
      <w:r w:rsidRPr="00F354CB">
        <w:t xml:space="preserve"> a </w:t>
      </w:r>
      <w:proofErr w:type="spellStart"/>
      <w:r w:rsidRPr="00F354CB">
        <w:t>stratum</w:t>
      </w:r>
      <w:proofErr w:type="spellEnd"/>
      <w:r w:rsidRPr="00F354CB">
        <w:t xml:space="preserve"> </w:t>
      </w:r>
      <w:proofErr w:type="spellStart"/>
      <w:r w:rsidRPr="00F354CB">
        <w:t>shall</w:t>
      </w:r>
      <w:proofErr w:type="spellEnd"/>
      <w:r w:rsidRPr="00F354CB">
        <w:t xml:space="preserve"> </w:t>
      </w:r>
      <w:proofErr w:type="spellStart"/>
      <w:r w:rsidRPr="00F354CB">
        <w:t>be</w:t>
      </w:r>
      <w:proofErr w:type="spellEnd"/>
      <w:r w:rsidRPr="00F354CB">
        <w:t xml:space="preserve"> </w:t>
      </w:r>
      <w:proofErr w:type="spellStart"/>
      <w:r w:rsidRPr="00F354CB">
        <w:t>assigned</w:t>
      </w:r>
      <w:proofErr w:type="spellEnd"/>
      <w:r w:rsidRPr="00F354CB">
        <w:t xml:space="preserve"> </w:t>
      </w:r>
      <w:proofErr w:type="spellStart"/>
      <w:r w:rsidRPr="00F354CB">
        <w:t>the</w:t>
      </w:r>
      <w:proofErr w:type="spellEnd"/>
      <w:r w:rsidRPr="00F354CB">
        <w:t xml:space="preserve"> </w:t>
      </w:r>
      <w:proofErr w:type="spellStart"/>
      <w:r w:rsidRPr="00F354CB">
        <w:t>averaged</w:t>
      </w:r>
      <w:proofErr w:type="spellEnd"/>
      <w:r w:rsidRPr="00F354CB">
        <w:t xml:space="preserve"> </w:t>
      </w:r>
      <w:proofErr w:type="spellStart"/>
      <w:r w:rsidRPr="00F354CB">
        <w:t>values</w:t>
      </w:r>
      <w:proofErr w:type="spellEnd"/>
      <w:r w:rsidRPr="00F354CB">
        <w:t xml:space="preserve"> </w:t>
      </w:r>
      <w:proofErr w:type="spellStart"/>
      <w:r w:rsidRPr="00F354CB">
        <w:t>for</w:t>
      </w:r>
      <w:proofErr w:type="spellEnd"/>
      <w:r w:rsidRPr="00F354CB">
        <w:t xml:space="preserve"> </w:t>
      </w:r>
      <w:proofErr w:type="spellStart"/>
      <w:r w:rsidRPr="00F354CB">
        <w:t>the</w:t>
      </w:r>
      <w:proofErr w:type="spellEnd"/>
      <w:r w:rsidRPr="00F354CB">
        <w:t xml:space="preserve"> </w:t>
      </w:r>
      <w:r w:rsidR="00EC004A" w:rsidRPr="00F354CB">
        <w:t>holding</w:t>
      </w:r>
      <w:r w:rsidRPr="00F354CB">
        <w:t xml:space="preserve"> in </w:t>
      </w:r>
      <w:proofErr w:type="spellStart"/>
      <w:r w:rsidRPr="00F354CB">
        <w:t>that</w:t>
      </w:r>
      <w:proofErr w:type="spellEnd"/>
      <w:r w:rsidRPr="00F354CB">
        <w:t xml:space="preserve"> </w:t>
      </w:r>
      <w:proofErr w:type="spellStart"/>
      <w:r w:rsidRPr="00F354CB">
        <w:t>stratum</w:t>
      </w:r>
      <w:proofErr w:type="spellEnd"/>
    </w:p>
    <w:p w:rsidR="00EC004A" w:rsidRPr="00F354CB" w:rsidRDefault="009B03D5" w:rsidP="009B03D5">
      <w:pPr>
        <w:jc w:val="both"/>
      </w:pPr>
      <w:r w:rsidRPr="00F354CB">
        <w:t xml:space="preserve">(b) </w:t>
      </w:r>
      <w:proofErr w:type="spellStart"/>
      <w:r w:rsidRPr="00F354CB">
        <w:t>for</w:t>
      </w:r>
      <w:proofErr w:type="spellEnd"/>
      <w:r w:rsidRPr="00F354CB">
        <w:t xml:space="preserve"> a reporting unit reporting </w:t>
      </w:r>
      <w:proofErr w:type="spellStart"/>
      <w:r w:rsidRPr="00F354CB">
        <w:t>extremes</w:t>
      </w:r>
      <w:proofErr w:type="spellEnd"/>
      <w:r w:rsidRPr="00F354CB">
        <w:t xml:space="preserve">, </w:t>
      </w:r>
      <w:proofErr w:type="spellStart"/>
      <w:r w:rsidRPr="00F354CB">
        <w:t>the</w:t>
      </w:r>
      <w:proofErr w:type="spellEnd"/>
      <w:r w:rsidRPr="00F354CB">
        <w:t xml:space="preserve"> last </w:t>
      </w:r>
      <w:proofErr w:type="spellStart"/>
      <w:r w:rsidRPr="00F354CB">
        <w:t>known</w:t>
      </w:r>
      <w:proofErr w:type="spellEnd"/>
      <w:r w:rsidRPr="00F354CB">
        <w:t xml:space="preserve"> data are </w:t>
      </w:r>
      <w:proofErr w:type="spellStart"/>
      <w:r w:rsidRPr="00F354CB">
        <w:t>imputed</w:t>
      </w:r>
      <w:proofErr w:type="spellEnd"/>
      <w:r w:rsidRPr="00F354CB">
        <w:t>.</w:t>
      </w:r>
    </w:p>
    <w:p w:rsidR="009B03D5" w:rsidRPr="00F354CB" w:rsidRDefault="00EC004A" w:rsidP="009B03D5">
      <w:pPr>
        <w:jc w:val="both"/>
      </w:pPr>
      <w:r w:rsidRPr="00F354CB">
        <w:t>GROSSING-UP PROCEDURE</w:t>
      </w:r>
    </w:p>
    <w:p w:rsidR="00415206" w:rsidRPr="00F354CB" w:rsidRDefault="00415206" w:rsidP="00415206">
      <w:pPr>
        <w:jc w:val="both"/>
        <w:rPr>
          <w:i/>
          <w:lang w:val="en-GB"/>
        </w:rPr>
      </w:pPr>
      <w:r w:rsidRPr="00F354CB">
        <w:rPr>
          <w:i/>
          <w:lang w:val="en-GB"/>
        </w:rPr>
        <w:t>Weights for particular strata were calculated according to formula:</w:t>
      </w:r>
    </w:p>
    <w:p w:rsidR="00415206" w:rsidRPr="00F354CB" w:rsidRDefault="00BD3AB9" w:rsidP="00415206">
      <w:pPr>
        <w:pStyle w:val="Box2"/>
        <w:rPr>
          <w:i/>
          <w:lang w:val="en-GB"/>
        </w:rPr>
      </w:pPr>
      <m:oMath>
        <m:sSub>
          <m:sSubPr>
            <m:ctrlPr>
              <w:rPr>
                <w:rFonts w:ascii="Cambria Math" w:hAnsi="Cambria Math"/>
                <w:i/>
              </w:rPr>
            </m:ctrlPr>
          </m:sSubPr>
          <m:e>
            <m:r>
              <w:rPr>
                <w:rFonts w:ascii="Cambria Math" w:hAnsi="Cambria Math"/>
              </w:rPr>
              <m:t>W</m:t>
            </m:r>
          </m:e>
          <m:sub>
            <m:r>
              <w:rPr>
                <w:rFonts w:ascii="Cambria Math" w:hAnsi="Cambria Math"/>
              </w:rPr>
              <m:t>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oMath>
      <w:r w:rsidR="00415206" w:rsidRPr="00F354CB">
        <w:rPr>
          <w:i/>
          <w:lang w:val="en-GB"/>
        </w:rPr>
        <w:t xml:space="preserve">; </w:t>
      </w:r>
      <w:proofErr w:type="gramStart"/>
      <w:r w:rsidR="00415206" w:rsidRPr="00F354CB">
        <w:rPr>
          <w:i/>
          <w:lang w:val="en-GB"/>
        </w:rPr>
        <w:t>where</w:t>
      </w:r>
      <w:proofErr w:type="gramEnd"/>
      <w:r w:rsidR="00415206" w:rsidRPr="00F354CB">
        <w:rPr>
          <w:i/>
          <w:lang w:val="en-GB"/>
        </w:rPr>
        <w:t>:</w:t>
      </w:r>
    </w:p>
    <w:p w:rsidR="00415206" w:rsidRPr="00F354CB" w:rsidRDefault="00415206" w:rsidP="00415206">
      <w:pPr>
        <w:pStyle w:val="Box2"/>
        <w:rPr>
          <w:b/>
          <w:i/>
          <w:lang w:val="en-GB"/>
        </w:rPr>
      </w:pPr>
      <w:proofErr w:type="spellStart"/>
      <w:proofErr w:type="gramStart"/>
      <w:r w:rsidRPr="00F354CB">
        <w:rPr>
          <w:i/>
          <w:lang w:val="en-GB"/>
        </w:rPr>
        <w:t>W</w:t>
      </w:r>
      <w:r w:rsidRPr="00F354CB">
        <w:rPr>
          <w:i/>
          <w:vertAlign w:val="subscript"/>
          <w:lang w:val="en-GB"/>
        </w:rPr>
        <w:t>h</w:t>
      </w:r>
      <w:proofErr w:type="spellEnd"/>
      <w:proofErr w:type="gramEnd"/>
      <w:r w:rsidRPr="00F354CB">
        <w:rPr>
          <w:i/>
          <w:vertAlign w:val="subscript"/>
          <w:lang w:val="en-GB"/>
        </w:rPr>
        <w:t xml:space="preserve"> </w:t>
      </w:r>
      <w:r w:rsidRPr="00F354CB">
        <w:rPr>
          <w:i/>
          <w:lang w:val="en-GB"/>
        </w:rPr>
        <w:tab/>
      </w:r>
      <w:r w:rsidRPr="00F354CB">
        <w:rPr>
          <w:rStyle w:val="Siln"/>
          <w:b w:val="0"/>
          <w:i/>
          <w:lang w:val="en-GB"/>
        </w:rPr>
        <w:t xml:space="preserve">weighting coefficient for stratum h; </w:t>
      </w:r>
    </w:p>
    <w:p w:rsidR="00415206" w:rsidRPr="00F354CB" w:rsidRDefault="00415206" w:rsidP="00415206">
      <w:pPr>
        <w:pStyle w:val="Box2"/>
        <w:rPr>
          <w:rStyle w:val="Siln"/>
          <w:b w:val="0"/>
          <w:i/>
          <w:lang w:val="en-GB"/>
        </w:rPr>
      </w:pPr>
      <w:proofErr w:type="spellStart"/>
      <w:proofErr w:type="gramStart"/>
      <w:r w:rsidRPr="00F354CB">
        <w:rPr>
          <w:i/>
          <w:lang w:val="en-GB"/>
        </w:rPr>
        <w:t>N</w:t>
      </w:r>
      <w:r w:rsidRPr="00F354CB">
        <w:rPr>
          <w:i/>
          <w:vertAlign w:val="subscript"/>
          <w:lang w:val="en-GB"/>
        </w:rPr>
        <w:t>h</w:t>
      </w:r>
      <w:proofErr w:type="spellEnd"/>
      <w:proofErr w:type="gramEnd"/>
      <w:r w:rsidRPr="00F354CB">
        <w:rPr>
          <w:i/>
          <w:lang w:val="en-GB"/>
        </w:rPr>
        <w:tab/>
      </w:r>
      <w:r w:rsidRPr="00F354CB">
        <w:rPr>
          <w:rStyle w:val="Siln"/>
          <w:b w:val="0"/>
          <w:i/>
          <w:lang w:val="en-GB"/>
        </w:rPr>
        <w:t>number of units in the population generated from Farm Register in stratum h;</w:t>
      </w:r>
    </w:p>
    <w:p w:rsidR="00415206" w:rsidRPr="00F354CB" w:rsidRDefault="00415206" w:rsidP="00415206">
      <w:pPr>
        <w:pStyle w:val="Box2"/>
        <w:rPr>
          <w:b/>
          <w:i/>
          <w:lang w:val="en-GB"/>
        </w:rPr>
      </w:pPr>
      <w:proofErr w:type="spellStart"/>
      <w:proofErr w:type="gramStart"/>
      <w:r w:rsidRPr="00F354CB">
        <w:rPr>
          <w:i/>
          <w:lang w:val="en-GB"/>
        </w:rPr>
        <w:t>n</w:t>
      </w:r>
      <w:r w:rsidRPr="00F354CB">
        <w:rPr>
          <w:i/>
          <w:vertAlign w:val="subscript"/>
          <w:lang w:val="en-GB"/>
        </w:rPr>
        <w:t>h</w:t>
      </w:r>
      <w:proofErr w:type="spellEnd"/>
      <w:proofErr w:type="gramEnd"/>
      <w:r w:rsidRPr="00F354CB">
        <w:rPr>
          <w:i/>
          <w:lang w:val="en-GB"/>
        </w:rPr>
        <w:tab/>
      </w:r>
      <w:r w:rsidRPr="00F354CB">
        <w:rPr>
          <w:rStyle w:val="Siln"/>
          <w:b w:val="0"/>
          <w:i/>
          <w:lang w:val="en-GB"/>
        </w:rPr>
        <w:t>number of units in a sample in stratum h.</w:t>
      </w:r>
    </w:p>
    <w:p w:rsidR="00415206" w:rsidRPr="00F354CB" w:rsidRDefault="00415206" w:rsidP="00415206">
      <w:pPr>
        <w:jc w:val="both"/>
        <w:rPr>
          <w:i/>
          <w:lang w:val="en-GB"/>
        </w:rPr>
      </w:pPr>
      <w:r w:rsidRPr="00F354CB">
        <w:rPr>
          <w:i/>
          <w:lang w:val="en-GB"/>
        </w:rPr>
        <w:t>The output of the grossing-up procedure is an aggregated dataset derived from the dataset whose records consist of aggregates for particular grossing-up groups.</w:t>
      </w:r>
    </w:p>
    <w:p w:rsidR="00415206" w:rsidRPr="00F354CB" w:rsidRDefault="00415206" w:rsidP="00415206">
      <w:pPr>
        <w:jc w:val="both"/>
        <w:rPr>
          <w:i/>
          <w:lang w:val="en-GB"/>
        </w:rPr>
      </w:pPr>
      <w:r w:rsidRPr="00F354CB">
        <w:rPr>
          <w:i/>
          <w:lang w:val="en-GB"/>
        </w:rPr>
        <w:t>Note: During calculation of relative standard errors</w:t>
      </w:r>
      <w:r w:rsidR="00974085" w:rsidRPr="00F354CB">
        <w:rPr>
          <w:i/>
          <w:lang w:val="en-GB"/>
        </w:rPr>
        <w:t>,</w:t>
      </w:r>
      <w:r w:rsidRPr="00F354CB">
        <w:rPr>
          <w:i/>
          <w:lang w:val="en-GB"/>
        </w:rPr>
        <w:t xml:space="preserve"> </w:t>
      </w:r>
      <w:r w:rsidR="00F354CB">
        <w:rPr>
          <w:i/>
          <w:lang w:val="en-GB"/>
        </w:rPr>
        <w:t>1 718</w:t>
      </w:r>
      <w:r w:rsidRPr="00F354CB">
        <w:rPr>
          <w:i/>
          <w:lang w:val="en-GB"/>
        </w:rPr>
        <w:t xml:space="preserve"> units showing extreme values were identified; their weighting factor had to be changed to 1 and these units were moved to stratum of 100%.</w:t>
      </w:r>
    </w:p>
    <w:p w:rsidR="00415206" w:rsidRPr="00F354CB" w:rsidRDefault="00415206" w:rsidP="00A86A73">
      <w:pPr>
        <w:pStyle w:val="Nadpis2"/>
        <w:rPr>
          <w:i/>
          <w:lang w:val="en-GB"/>
        </w:rPr>
      </w:pPr>
      <w:bookmarkStart w:id="4" w:name="_Toc490036469"/>
      <w:r w:rsidRPr="00F354CB">
        <w:rPr>
          <w:i/>
          <w:lang w:val="en-GB"/>
        </w:rPr>
        <w:t>Output tables</w:t>
      </w:r>
      <w:bookmarkEnd w:id="4"/>
    </w:p>
    <w:p w:rsidR="00415206" w:rsidRPr="00F354CB" w:rsidRDefault="00415206" w:rsidP="00415206">
      <w:pPr>
        <w:jc w:val="both"/>
        <w:rPr>
          <w:i/>
          <w:lang w:val="en-GB"/>
        </w:rPr>
      </w:pPr>
      <w:r w:rsidRPr="00F354CB">
        <w:rPr>
          <w:i/>
          <w:lang w:val="en-GB"/>
        </w:rPr>
        <w:t>Published tables contain summarized grossed-up results for the population (the whole agricultural sector in the Czech Republic) and for agricultural holdings having together at least 98% of utilised agricultural area or at least 98% of livestock units.</w:t>
      </w:r>
    </w:p>
    <w:p w:rsidR="00415206" w:rsidRPr="00F354CB" w:rsidRDefault="00415206" w:rsidP="00415206">
      <w:pPr>
        <w:jc w:val="both"/>
        <w:rPr>
          <w:rStyle w:val="Siln"/>
          <w:rFonts w:cs="Arial"/>
          <w:b w:val="0"/>
          <w:i/>
          <w:lang w:val="en-GB"/>
        </w:rPr>
      </w:pPr>
      <w:r w:rsidRPr="00F354CB">
        <w:rPr>
          <w:rStyle w:val="Siln"/>
          <w:rFonts w:cs="Arial"/>
          <w:b w:val="0"/>
          <w:i/>
          <w:lang w:val="en-GB"/>
        </w:rPr>
        <w:t xml:space="preserve">The results were calculated using non-rounded values (with </w:t>
      </w:r>
      <w:r w:rsidR="004F3B61" w:rsidRPr="00F354CB">
        <w:rPr>
          <w:rStyle w:val="Siln"/>
          <w:rFonts w:cs="Arial"/>
          <w:b w:val="0"/>
          <w:i/>
          <w:lang w:val="en-GB"/>
        </w:rPr>
        <w:t>6</w:t>
      </w:r>
      <w:r w:rsidRPr="00F354CB">
        <w:rPr>
          <w:rStyle w:val="Siln"/>
          <w:rFonts w:cs="Arial"/>
          <w:b w:val="0"/>
          <w:i/>
          <w:lang w:val="en-GB"/>
        </w:rPr>
        <w:t xml:space="preserve"> decimal places). Therefore summary totals in the tables not always equal to the sum of their sub-items which are published in a rounded form.</w:t>
      </w:r>
    </w:p>
    <w:p w:rsidR="00684284" w:rsidRPr="00684284" w:rsidRDefault="00684284" w:rsidP="007544A1">
      <w:pPr>
        <w:spacing w:before="360" w:line="240" w:lineRule="auto"/>
        <w:jc w:val="center"/>
        <w:rPr>
          <w:i/>
          <w:lang w:val="en-GB"/>
        </w:rPr>
      </w:pPr>
      <w:r w:rsidRPr="00F354CB">
        <w:rPr>
          <w:rFonts w:ascii="Wingdings" w:hAnsi="Wingdings" w:cs="Arial"/>
          <w:sz w:val="48"/>
          <w:szCs w:val="48"/>
          <w:lang w:val="en-GB"/>
        </w:rPr>
        <w:t></w:t>
      </w:r>
    </w:p>
    <w:sectPr w:rsidR="00684284" w:rsidRPr="00684284" w:rsidSect="00E55B23">
      <w:footerReference w:type="even" r:id="rId8"/>
      <w:footerReference w:type="default" r:id="rId9"/>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AB9" w:rsidRDefault="00BD3AB9" w:rsidP="00E71A58">
      <w:r>
        <w:separator/>
      </w:r>
    </w:p>
  </w:endnote>
  <w:endnote w:type="continuationSeparator" w:id="0">
    <w:p w:rsidR="00BD3AB9" w:rsidRDefault="00BD3AB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EUAlbertina">
    <w:altName w:val="Arial"/>
    <w:charset w:val="EE"/>
    <w:family w:val="roman"/>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331" w:rsidRPr="00F1639F" w:rsidRDefault="005B3331" w:rsidP="00A418BC">
    <w:pPr>
      <w:pStyle w:val="Zpat"/>
      <w:rPr>
        <w:szCs w:val="16"/>
      </w:rPr>
    </w:pPr>
    <w:r w:rsidRPr="00F1639F">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331" w:rsidRPr="00F1639F" w:rsidRDefault="005B3331" w:rsidP="00A418BC">
    <w:pPr>
      <w:pStyle w:val="Zpat"/>
      <w:rPr>
        <w:szCs w:val="16"/>
      </w:rPr>
    </w:pPr>
    <w:r w:rsidRPr="00F1639F">
      <w:rPr>
        <w:szCs w:val="16"/>
      </w:rPr>
      <w:tab/>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AB9" w:rsidRDefault="00BD3AB9" w:rsidP="00E71A58">
      <w:r>
        <w:separator/>
      </w:r>
    </w:p>
  </w:footnote>
  <w:footnote w:type="continuationSeparator" w:id="0">
    <w:p w:rsidR="00BD3AB9" w:rsidRDefault="00BD3AB9" w:rsidP="00E71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F715B"/>
    <w:multiLevelType w:val="multilevel"/>
    <w:tmpl w:val="C2D4B4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4364B17"/>
    <w:multiLevelType w:val="hybridMultilevel"/>
    <w:tmpl w:val="9FB8EA20"/>
    <w:lvl w:ilvl="0" w:tplc="04050001">
      <w:start w:val="1"/>
      <w:numFmt w:val="bullet"/>
      <w:lvlText w:val=""/>
      <w:lvlJc w:val="left"/>
      <w:pPr>
        <w:ind w:left="720" w:hanging="360"/>
      </w:pPr>
      <w:rPr>
        <w:rFonts w:ascii="Symbol" w:hAnsi="Symbol" w:hint="default"/>
      </w:rPr>
    </w:lvl>
    <w:lvl w:ilvl="1" w:tplc="75B2D11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1D7D93"/>
    <w:multiLevelType w:val="multilevel"/>
    <w:tmpl w:val="E2F213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8D15EFD"/>
    <w:multiLevelType w:val="multilevel"/>
    <w:tmpl w:val="0EEA8F3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ABB5305"/>
    <w:multiLevelType w:val="hybridMultilevel"/>
    <w:tmpl w:val="6C904350"/>
    <w:lvl w:ilvl="0" w:tplc="468865E8">
      <w:start w:val="2"/>
      <w:numFmt w:val="bullet"/>
      <w:lvlText w:val="-"/>
      <w:lvlJc w:val="left"/>
      <w:pPr>
        <w:tabs>
          <w:tab w:val="num" w:pos="780"/>
        </w:tabs>
        <w:ind w:left="78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7068C0"/>
    <w:multiLevelType w:val="multilevel"/>
    <w:tmpl w:val="33F814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EEC3520"/>
    <w:multiLevelType w:val="hybridMultilevel"/>
    <w:tmpl w:val="800E42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1FF05F5"/>
    <w:multiLevelType w:val="hybridMultilevel"/>
    <w:tmpl w:val="89E24386"/>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68D668B"/>
    <w:multiLevelType w:val="hybridMultilevel"/>
    <w:tmpl w:val="CA886E34"/>
    <w:lvl w:ilvl="0" w:tplc="234EAAC8">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96854DF"/>
    <w:multiLevelType w:val="hybridMultilevel"/>
    <w:tmpl w:val="89CCEDC6"/>
    <w:lvl w:ilvl="0" w:tplc="FB0A487C">
      <w:start w:val="1"/>
      <w:numFmt w:val="bullet"/>
      <w:lvlText w:val=""/>
      <w:lvlJc w:val="left"/>
      <w:pPr>
        <w:ind w:left="720" w:hanging="360"/>
      </w:pPr>
      <w:rPr>
        <w:rFonts w:ascii="Symbol" w:hAnsi="Symbo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D30779B"/>
    <w:multiLevelType w:val="hybridMultilevel"/>
    <w:tmpl w:val="93443C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8C6909"/>
    <w:multiLevelType w:val="hybridMultilevel"/>
    <w:tmpl w:val="9558B5C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16141C8"/>
    <w:multiLevelType w:val="hybridMultilevel"/>
    <w:tmpl w:val="90D0F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9573451"/>
    <w:multiLevelType w:val="hybridMultilevel"/>
    <w:tmpl w:val="96780A8C"/>
    <w:lvl w:ilvl="0" w:tplc="04050003">
      <w:start w:val="1"/>
      <w:numFmt w:val="bullet"/>
      <w:lvlText w:val="o"/>
      <w:lvlJc w:val="left"/>
      <w:pPr>
        <w:ind w:left="720" w:hanging="360"/>
      </w:pPr>
      <w:rPr>
        <w:rFonts w:ascii="Courier New" w:hAnsi="Courier New" w:hint="default"/>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9B71A60"/>
    <w:multiLevelType w:val="hybridMultilevel"/>
    <w:tmpl w:val="36605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BE47667"/>
    <w:multiLevelType w:val="hybridMultilevel"/>
    <w:tmpl w:val="1F24FD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895613F"/>
    <w:multiLevelType w:val="hybridMultilevel"/>
    <w:tmpl w:val="16727E5C"/>
    <w:lvl w:ilvl="0" w:tplc="FFCA6EA2">
      <w:start w:val="1"/>
      <w:numFmt w:val="lowerLetter"/>
      <w:lvlText w:val="%1)"/>
      <w:lvlJc w:val="left"/>
      <w:pPr>
        <w:tabs>
          <w:tab w:val="num" w:pos="644"/>
        </w:tabs>
        <w:ind w:left="568" w:hanging="284"/>
      </w:pPr>
      <w:rPr>
        <w:rFonts w:hint="default"/>
      </w:rPr>
    </w:lvl>
    <w:lvl w:ilvl="1" w:tplc="04050019">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8" w15:restartNumberingAfterBreak="0">
    <w:nsid w:val="39717490"/>
    <w:multiLevelType w:val="hybridMultilevel"/>
    <w:tmpl w:val="16B813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C3327D5"/>
    <w:multiLevelType w:val="hybridMultilevel"/>
    <w:tmpl w:val="C5F01EF0"/>
    <w:lvl w:ilvl="0" w:tplc="FB0A487C">
      <w:start w:val="1"/>
      <w:numFmt w:val="bullet"/>
      <w:lvlText w:val=""/>
      <w:lvlJc w:val="left"/>
      <w:pPr>
        <w:ind w:left="720" w:hanging="360"/>
      </w:pPr>
      <w:rPr>
        <w:rFonts w:ascii="Symbol" w:hAnsi="Symbo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FE026B3"/>
    <w:multiLevelType w:val="hybridMultilevel"/>
    <w:tmpl w:val="D96CBC56"/>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2CC3F81"/>
    <w:multiLevelType w:val="hybridMultilevel"/>
    <w:tmpl w:val="FFFC3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BC19BC"/>
    <w:multiLevelType w:val="multilevel"/>
    <w:tmpl w:val="D7E85926"/>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C6912A7"/>
    <w:multiLevelType w:val="multilevel"/>
    <w:tmpl w:val="0D12EE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4D4D5AE3"/>
    <w:multiLevelType w:val="hybridMultilevel"/>
    <w:tmpl w:val="E56AD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35A69B0"/>
    <w:multiLevelType w:val="hybridMultilevel"/>
    <w:tmpl w:val="BACA4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4F04865"/>
    <w:multiLevelType w:val="hybridMultilevel"/>
    <w:tmpl w:val="09380B1E"/>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59734E50"/>
    <w:multiLevelType w:val="hybridMultilevel"/>
    <w:tmpl w:val="3D740B32"/>
    <w:lvl w:ilvl="0" w:tplc="468865E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2BA4A61"/>
    <w:multiLevelType w:val="multilevel"/>
    <w:tmpl w:val="0A56C7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43061B3"/>
    <w:multiLevelType w:val="hybridMultilevel"/>
    <w:tmpl w:val="BF583AAA"/>
    <w:lvl w:ilvl="0" w:tplc="FB0A487C">
      <w:start w:val="1"/>
      <w:numFmt w:val="bullet"/>
      <w:lvlText w:val=""/>
      <w:lvlJc w:val="left"/>
      <w:pPr>
        <w:ind w:left="720" w:hanging="360"/>
      </w:pPr>
      <w:rPr>
        <w:rFonts w:ascii="Symbol" w:hAnsi="Symbo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F237A9"/>
    <w:multiLevelType w:val="hybridMultilevel"/>
    <w:tmpl w:val="1E32B44E"/>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D778B6"/>
    <w:multiLevelType w:val="multilevel"/>
    <w:tmpl w:val="120C9FF8"/>
    <w:lvl w:ilvl="0">
      <w:start w:val="3"/>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4" w15:restartNumberingAfterBreak="0">
    <w:nsid w:val="6F502CFF"/>
    <w:multiLevelType w:val="hybridMultilevel"/>
    <w:tmpl w:val="C23E6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FE7E4E"/>
    <w:multiLevelType w:val="hybridMultilevel"/>
    <w:tmpl w:val="86422B60"/>
    <w:lvl w:ilvl="0" w:tplc="468865E8">
      <w:start w:val="2"/>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9C7840"/>
    <w:multiLevelType w:val="multilevel"/>
    <w:tmpl w:val="302A3C9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EFC6816"/>
    <w:multiLevelType w:val="hybridMultilevel"/>
    <w:tmpl w:val="E10E7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3"/>
  </w:num>
  <w:num w:numId="13">
    <w:abstractNumId w:val="34"/>
  </w:num>
  <w:num w:numId="14">
    <w:abstractNumId w:val="14"/>
  </w:num>
  <w:num w:numId="15">
    <w:abstractNumId w:val="27"/>
  </w:num>
  <w:num w:numId="16">
    <w:abstractNumId w:val="39"/>
  </w:num>
  <w:num w:numId="17">
    <w:abstractNumId w:val="29"/>
  </w:num>
  <w:num w:numId="18">
    <w:abstractNumId w:val="19"/>
  </w:num>
  <w:num w:numId="19">
    <w:abstractNumId w:val="26"/>
  </w:num>
  <w:num w:numId="20">
    <w:abstractNumId w:val="41"/>
  </w:num>
  <w:num w:numId="21">
    <w:abstractNumId w:val="24"/>
  </w:num>
  <w:num w:numId="22">
    <w:abstractNumId w:val="11"/>
  </w:num>
  <w:num w:numId="23">
    <w:abstractNumId w:val="42"/>
  </w:num>
  <w:num w:numId="24">
    <w:abstractNumId w:val="38"/>
  </w:num>
  <w:num w:numId="25">
    <w:abstractNumId w:val="37"/>
  </w:num>
  <w:num w:numId="26">
    <w:abstractNumId w:val="44"/>
  </w:num>
  <w:num w:numId="27">
    <w:abstractNumId w:val="20"/>
  </w:num>
  <w:num w:numId="28">
    <w:abstractNumId w:val="31"/>
  </w:num>
  <w:num w:numId="29">
    <w:abstractNumId w:val="22"/>
  </w:num>
  <w:num w:numId="30">
    <w:abstractNumId w:val="45"/>
  </w:num>
  <w:num w:numId="31">
    <w:abstractNumId w:val="16"/>
  </w:num>
  <w:num w:numId="32">
    <w:abstractNumId w:val="47"/>
  </w:num>
  <w:num w:numId="33">
    <w:abstractNumId w:val="25"/>
  </w:num>
  <w:num w:numId="34">
    <w:abstractNumId w:val="30"/>
  </w:num>
  <w:num w:numId="35">
    <w:abstractNumId w:val="17"/>
  </w:num>
  <w:num w:numId="36">
    <w:abstractNumId w:val="18"/>
  </w:num>
  <w:num w:numId="37">
    <w:abstractNumId w:val="36"/>
  </w:num>
  <w:num w:numId="38">
    <w:abstractNumId w:val="28"/>
  </w:num>
  <w:num w:numId="39">
    <w:abstractNumId w:val="21"/>
  </w:num>
  <w:num w:numId="40">
    <w:abstractNumId w:val="15"/>
  </w:num>
  <w:num w:numId="41">
    <w:abstractNumId w:val="13"/>
  </w:num>
  <w:num w:numId="42">
    <w:abstractNumId w:val="12"/>
  </w:num>
  <w:num w:numId="43">
    <w:abstractNumId w:val="46"/>
  </w:num>
  <w:num w:numId="44">
    <w:abstractNumId w:val="40"/>
  </w:num>
  <w:num w:numId="45">
    <w:abstractNumId w:val="10"/>
  </w:num>
  <w:num w:numId="46">
    <w:abstractNumId w:val="35"/>
  </w:num>
  <w:num w:numId="47">
    <w:abstractNumId w:val="33"/>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6A"/>
    <w:rsid w:val="0000209D"/>
    <w:rsid w:val="00004D5A"/>
    <w:rsid w:val="000056D5"/>
    <w:rsid w:val="0000767A"/>
    <w:rsid w:val="00010702"/>
    <w:rsid w:val="00017159"/>
    <w:rsid w:val="000234D6"/>
    <w:rsid w:val="00023D29"/>
    <w:rsid w:val="00026389"/>
    <w:rsid w:val="00031AE0"/>
    <w:rsid w:val="000322EF"/>
    <w:rsid w:val="00033FCD"/>
    <w:rsid w:val="00041CEC"/>
    <w:rsid w:val="0004227F"/>
    <w:rsid w:val="0004694F"/>
    <w:rsid w:val="00046D4F"/>
    <w:rsid w:val="000522E4"/>
    <w:rsid w:val="00060C89"/>
    <w:rsid w:val="000610E1"/>
    <w:rsid w:val="0006295D"/>
    <w:rsid w:val="00062EC5"/>
    <w:rsid w:val="00062F22"/>
    <w:rsid w:val="000712B3"/>
    <w:rsid w:val="00072C1D"/>
    <w:rsid w:val="00073FD6"/>
    <w:rsid w:val="0008263E"/>
    <w:rsid w:val="00082C19"/>
    <w:rsid w:val="00085395"/>
    <w:rsid w:val="00087634"/>
    <w:rsid w:val="00087F2B"/>
    <w:rsid w:val="00095E19"/>
    <w:rsid w:val="000974D1"/>
    <w:rsid w:val="0009799E"/>
    <w:rsid w:val="000A1183"/>
    <w:rsid w:val="000A256D"/>
    <w:rsid w:val="000A3A2C"/>
    <w:rsid w:val="000B0498"/>
    <w:rsid w:val="000B0E71"/>
    <w:rsid w:val="000B116A"/>
    <w:rsid w:val="000C0055"/>
    <w:rsid w:val="000C3408"/>
    <w:rsid w:val="000C6AFD"/>
    <w:rsid w:val="000D5637"/>
    <w:rsid w:val="000E6BB6"/>
    <w:rsid w:val="000E6FBD"/>
    <w:rsid w:val="00100F5C"/>
    <w:rsid w:val="00101AAD"/>
    <w:rsid w:val="00104C4C"/>
    <w:rsid w:val="0012192F"/>
    <w:rsid w:val="00124BF7"/>
    <w:rsid w:val="00125605"/>
    <w:rsid w:val="00125D69"/>
    <w:rsid w:val="0012600C"/>
    <w:rsid w:val="00136074"/>
    <w:rsid w:val="001405FA"/>
    <w:rsid w:val="001425C3"/>
    <w:rsid w:val="00143503"/>
    <w:rsid w:val="00146DED"/>
    <w:rsid w:val="00155B77"/>
    <w:rsid w:val="0016256B"/>
    <w:rsid w:val="00163793"/>
    <w:rsid w:val="00167DC2"/>
    <w:rsid w:val="001706D6"/>
    <w:rsid w:val="001714F2"/>
    <w:rsid w:val="0017155A"/>
    <w:rsid w:val="00177B04"/>
    <w:rsid w:val="00184B08"/>
    <w:rsid w:val="00185010"/>
    <w:rsid w:val="00187A2A"/>
    <w:rsid w:val="00194F9D"/>
    <w:rsid w:val="001A552F"/>
    <w:rsid w:val="001A6605"/>
    <w:rsid w:val="001B2CA9"/>
    <w:rsid w:val="001B3110"/>
    <w:rsid w:val="001B4729"/>
    <w:rsid w:val="001B6C09"/>
    <w:rsid w:val="001C05CD"/>
    <w:rsid w:val="001C4C16"/>
    <w:rsid w:val="001C7F11"/>
    <w:rsid w:val="001D43C7"/>
    <w:rsid w:val="001D68B2"/>
    <w:rsid w:val="001E183D"/>
    <w:rsid w:val="001E63ED"/>
    <w:rsid w:val="001F4597"/>
    <w:rsid w:val="002118B9"/>
    <w:rsid w:val="00217C5B"/>
    <w:rsid w:val="0022139E"/>
    <w:rsid w:val="002252E0"/>
    <w:rsid w:val="002255F6"/>
    <w:rsid w:val="00227850"/>
    <w:rsid w:val="00230C6E"/>
    <w:rsid w:val="0023297F"/>
    <w:rsid w:val="00236443"/>
    <w:rsid w:val="0024063E"/>
    <w:rsid w:val="0024308B"/>
    <w:rsid w:val="002436BA"/>
    <w:rsid w:val="00244A15"/>
    <w:rsid w:val="00246FB3"/>
    <w:rsid w:val="00247319"/>
    <w:rsid w:val="0024799E"/>
    <w:rsid w:val="00252657"/>
    <w:rsid w:val="00253C0F"/>
    <w:rsid w:val="002618AD"/>
    <w:rsid w:val="00261B9A"/>
    <w:rsid w:val="00271465"/>
    <w:rsid w:val="00284D7B"/>
    <w:rsid w:val="00285412"/>
    <w:rsid w:val="002A16D4"/>
    <w:rsid w:val="002A1C37"/>
    <w:rsid w:val="002A1C78"/>
    <w:rsid w:val="002A230C"/>
    <w:rsid w:val="002A4BED"/>
    <w:rsid w:val="002A775B"/>
    <w:rsid w:val="002C43BD"/>
    <w:rsid w:val="002C6023"/>
    <w:rsid w:val="002C74BD"/>
    <w:rsid w:val="002D0211"/>
    <w:rsid w:val="002D0E59"/>
    <w:rsid w:val="002E02A1"/>
    <w:rsid w:val="002E4E4C"/>
    <w:rsid w:val="002E57D3"/>
    <w:rsid w:val="002F44D5"/>
    <w:rsid w:val="002F6328"/>
    <w:rsid w:val="00304771"/>
    <w:rsid w:val="003052D4"/>
    <w:rsid w:val="00305E58"/>
    <w:rsid w:val="00306C5B"/>
    <w:rsid w:val="003073F9"/>
    <w:rsid w:val="003209D6"/>
    <w:rsid w:val="00323DEA"/>
    <w:rsid w:val="00325E4E"/>
    <w:rsid w:val="0032656E"/>
    <w:rsid w:val="00331466"/>
    <w:rsid w:val="00332190"/>
    <w:rsid w:val="00337865"/>
    <w:rsid w:val="00344668"/>
    <w:rsid w:val="00345770"/>
    <w:rsid w:val="003461F0"/>
    <w:rsid w:val="003462D9"/>
    <w:rsid w:val="00352B21"/>
    <w:rsid w:val="003561C8"/>
    <w:rsid w:val="00361741"/>
    <w:rsid w:val="003657F3"/>
    <w:rsid w:val="003818DC"/>
    <w:rsid w:val="00385D98"/>
    <w:rsid w:val="00390FD1"/>
    <w:rsid w:val="003A2B4D"/>
    <w:rsid w:val="003A478C"/>
    <w:rsid w:val="003A5525"/>
    <w:rsid w:val="003A69F6"/>
    <w:rsid w:val="003A6B38"/>
    <w:rsid w:val="003B5672"/>
    <w:rsid w:val="003B5A32"/>
    <w:rsid w:val="003C2208"/>
    <w:rsid w:val="003C3490"/>
    <w:rsid w:val="003C7371"/>
    <w:rsid w:val="003C7643"/>
    <w:rsid w:val="003D3BEB"/>
    <w:rsid w:val="003D4239"/>
    <w:rsid w:val="003D6920"/>
    <w:rsid w:val="003E4C91"/>
    <w:rsid w:val="003F0E64"/>
    <w:rsid w:val="003F313C"/>
    <w:rsid w:val="003F439B"/>
    <w:rsid w:val="003F551C"/>
    <w:rsid w:val="00402ED3"/>
    <w:rsid w:val="004048C9"/>
    <w:rsid w:val="00407C13"/>
    <w:rsid w:val="00410638"/>
    <w:rsid w:val="00415206"/>
    <w:rsid w:val="00427685"/>
    <w:rsid w:val="00430BF7"/>
    <w:rsid w:val="004329E6"/>
    <w:rsid w:val="00432A58"/>
    <w:rsid w:val="00433C0B"/>
    <w:rsid w:val="00434617"/>
    <w:rsid w:val="0043575E"/>
    <w:rsid w:val="00440900"/>
    <w:rsid w:val="004441A0"/>
    <w:rsid w:val="00453639"/>
    <w:rsid w:val="0046769C"/>
    <w:rsid w:val="00476240"/>
    <w:rsid w:val="00476439"/>
    <w:rsid w:val="0047735C"/>
    <w:rsid w:val="004776BC"/>
    <w:rsid w:val="0048139F"/>
    <w:rsid w:val="00481E40"/>
    <w:rsid w:val="00484ECE"/>
    <w:rsid w:val="004915CB"/>
    <w:rsid w:val="004935DD"/>
    <w:rsid w:val="004A1719"/>
    <w:rsid w:val="004A3212"/>
    <w:rsid w:val="004A61C5"/>
    <w:rsid w:val="004A77DF"/>
    <w:rsid w:val="004B1417"/>
    <w:rsid w:val="004B4CD4"/>
    <w:rsid w:val="004B55B7"/>
    <w:rsid w:val="004B6468"/>
    <w:rsid w:val="004C384C"/>
    <w:rsid w:val="004C3867"/>
    <w:rsid w:val="004C4CD0"/>
    <w:rsid w:val="004C70DC"/>
    <w:rsid w:val="004C719A"/>
    <w:rsid w:val="004D0211"/>
    <w:rsid w:val="004D0794"/>
    <w:rsid w:val="004D197D"/>
    <w:rsid w:val="004F06F5"/>
    <w:rsid w:val="004F33A0"/>
    <w:rsid w:val="004F3B61"/>
    <w:rsid w:val="004F6474"/>
    <w:rsid w:val="005108C0"/>
    <w:rsid w:val="00511873"/>
    <w:rsid w:val="00512A2F"/>
    <w:rsid w:val="00513B7E"/>
    <w:rsid w:val="00513D7B"/>
    <w:rsid w:val="00515695"/>
    <w:rsid w:val="00515C74"/>
    <w:rsid w:val="0052007E"/>
    <w:rsid w:val="0052278C"/>
    <w:rsid w:val="00522975"/>
    <w:rsid w:val="0052337A"/>
    <w:rsid w:val="00525137"/>
    <w:rsid w:val="005251DD"/>
    <w:rsid w:val="00532CE7"/>
    <w:rsid w:val="0053324C"/>
    <w:rsid w:val="00534715"/>
    <w:rsid w:val="00534A28"/>
    <w:rsid w:val="00540BC4"/>
    <w:rsid w:val="00541508"/>
    <w:rsid w:val="00552EA9"/>
    <w:rsid w:val="005531CF"/>
    <w:rsid w:val="0055599F"/>
    <w:rsid w:val="00556D68"/>
    <w:rsid w:val="005647BF"/>
    <w:rsid w:val="0057364B"/>
    <w:rsid w:val="0057413D"/>
    <w:rsid w:val="00574773"/>
    <w:rsid w:val="00574FD9"/>
    <w:rsid w:val="00582AD7"/>
    <w:rsid w:val="00583FFD"/>
    <w:rsid w:val="005911BE"/>
    <w:rsid w:val="00593152"/>
    <w:rsid w:val="00596BAD"/>
    <w:rsid w:val="00596D36"/>
    <w:rsid w:val="005A10F2"/>
    <w:rsid w:val="005A182A"/>
    <w:rsid w:val="005A21E0"/>
    <w:rsid w:val="005A28FF"/>
    <w:rsid w:val="005A3C97"/>
    <w:rsid w:val="005A3DF8"/>
    <w:rsid w:val="005A5549"/>
    <w:rsid w:val="005A6380"/>
    <w:rsid w:val="005B121D"/>
    <w:rsid w:val="005B3331"/>
    <w:rsid w:val="005C06ED"/>
    <w:rsid w:val="005D5802"/>
    <w:rsid w:val="005D751F"/>
    <w:rsid w:val="005D7890"/>
    <w:rsid w:val="005E103C"/>
    <w:rsid w:val="005E7C78"/>
    <w:rsid w:val="005F3EB1"/>
    <w:rsid w:val="005F7DD5"/>
    <w:rsid w:val="00604307"/>
    <w:rsid w:val="0060487F"/>
    <w:rsid w:val="00604EAD"/>
    <w:rsid w:val="006104FB"/>
    <w:rsid w:val="00612A2F"/>
    <w:rsid w:val="00613C06"/>
    <w:rsid w:val="0061482D"/>
    <w:rsid w:val="00616E05"/>
    <w:rsid w:val="00617940"/>
    <w:rsid w:val="00624093"/>
    <w:rsid w:val="00636A76"/>
    <w:rsid w:val="00640267"/>
    <w:rsid w:val="006404A7"/>
    <w:rsid w:val="006451E4"/>
    <w:rsid w:val="00645B33"/>
    <w:rsid w:val="006516CB"/>
    <w:rsid w:val="00653E2F"/>
    <w:rsid w:val="00655496"/>
    <w:rsid w:val="00657C9A"/>
    <w:rsid w:val="00657E87"/>
    <w:rsid w:val="00664803"/>
    <w:rsid w:val="00665BA4"/>
    <w:rsid w:val="00666615"/>
    <w:rsid w:val="00667AF2"/>
    <w:rsid w:val="0067104B"/>
    <w:rsid w:val="006710C9"/>
    <w:rsid w:val="00673FC7"/>
    <w:rsid w:val="006742E1"/>
    <w:rsid w:val="00674D89"/>
    <w:rsid w:val="00675E37"/>
    <w:rsid w:val="0068174E"/>
    <w:rsid w:val="00681DCE"/>
    <w:rsid w:val="00682182"/>
    <w:rsid w:val="0068260E"/>
    <w:rsid w:val="00684284"/>
    <w:rsid w:val="006860B2"/>
    <w:rsid w:val="00690320"/>
    <w:rsid w:val="00695BEF"/>
    <w:rsid w:val="006964E9"/>
    <w:rsid w:val="00696AEA"/>
    <w:rsid w:val="006977F6"/>
    <w:rsid w:val="00697A13"/>
    <w:rsid w:val="006A109C"/>
    <w:rsid w:val="006A3491"/>
    <w:rsid w:val="006A6488"/>
    <w:rsid w:val="006B344A"/>
    <w:rsid w:val="006B78D8"/>
    <w:rsid w:val="006C113F"/>
    <w:rsid w:val="006C56D4"/>
    <w:rsid w:val="006C6924"/>
    <w:rsid w:val="006C7CA6"/>
    <w:rsid w:val="006D150B"/>
    <w:rsid w:val="006D3565"/>
    <w:rsid w:val="006D3D23"/>
    <w:rsid w:val="006D3E8A"/>
    <w:rsid w:val="006D61F6"/>
    <w:rsid w:val="006E279A"/>
    <w:rsid w:val="006E2957"/>
    <w:rsid w:val="006E313B"/>
    <w:rsid w:val="006F461B"/>
    <w:rsid w:val="00706AD4"/>
    <w:rsid w:val="007140BE"/>
    <w:rsid w:val="00714D71"/>
    <w:rsid w:val="00716DFE"/>
    <w:rsid w:val="007211F5"/>
    <w:rsid w:val="00725B64"/>
    <w:rsid w:val="00725BB5"/>
    <w:rsid w:val="00727962"/>
    <w:rsid w:val="00730AE8"/>
    <w:rsid w:val="00740E4F"/>
    <w:rsid w:val="00741493"/>
    <w:rsid w:val="00745C1C"/>
    <w:rsid w:val="00750971"/>
    <w:rsid w:val="00752180"/>
    <w:rsid w:val="007544A1"/>
    <w:rsid w:val="00755202"/>
    <w:rsid w:val="00755D3A"/>
    <w:rsid w:val="007578D3"/>
    <w:rsid w:val="007602B5"/>
    <w:rsid w:val="00760849"/>
    <w:rsid w:val="007609C6"/>
    <w:rsid w:val="007611C9"/>
    <w:rsid w:val="0076521E"/>
    <w:rsid w:val="007661E9"/>
    <w:rsid w:val="00770A49"/>
    <w:rsid w:val="00775269"/>
    <w:rsid w:val="00776169"/>
    <w:rsid w:val="00776527"/>
    <w:rsid w:val="00780EF1"/>
    <w:rsid w:val="00790764"/>
    <w:rsid w:val="0079453C"/>
    <w:rsid w:val="00794677"/>
    <w:rsid w:val="007964BD"/>
    <w:rsid w:val="007965EA"/>
    <w:rsid w:val="007A17D1"/>
    <w:rsid w:val="007A400F"/>
    <w:rsid w:val="007B6689"/>
    <w:rsid w:val="007D40DF"/>
    <w:rsid w:val="007E2816"/>
    <w:rsid w:val="007E5A43"/>
    <w:rsid w:val="007E6E70"/>
    <w:rsid w:val="007E7E61"/>
    <w:rsid w:val="007F0845"/>
    <w:rsid w:val="007F31A5"/>
    <w:rsid w:val="007F4E24"/>
    <w:rsid w:val="00807C82"/>
    <w:rsid w:val="00807CD7"/>
    <w:rsid w:val="00816905"/>
    <w:rsid w:val="00821FF6"/>
    <w:rsid w:val="0083143E"/>
    <w:rsid w:val="00831CDE"/>
    <w:rsid w:val="00834304"/>
    <w:rsid w:val="00834FAA"/>
    <w:rsid w:val="00836086"/>
    <w:rsid w:val="0084087F"/>
    <w:rsid w:val="0084226F"/>
    <w:rsid w:val="0084708F"/>
    <w:rsid w:val="008477C8"/>
    <w:rsid w:val="0085114D"/>
    <w:rsid w:val="00852217"/>
    <w:rsid w:val="00855408"/>
    <w:rsid w:val="00856D65"/>
    <w:rsid w:val="00861B41"/>
    <w:rsid w:val="00863434"/>
    <w:rsid w:val="00864B7A"/>
    <w:rsid w:val="00865E4C"/>
    <w:rsid w:val="008701E4"/>
    <w:rsid w:val="00875A32"/>
    <w:rsid w:val="00876086"/>
    <w:rsid w:val="0088158C"/>
    <w:rsid w:val="00884704"/>
    <w:rsid w:val="008873D4"/>
    <w:rsid w:val="00893E85"/>
    <w:rsid w:val="00894031"/>
    <w:rsid w:val="008B6775"/>
    <w:rsid w:val="008B75EC"/>
    <w:rsid w:val="008B7C02"/>
    <w:rsid w:val="008B7D2B"/>
    <w:rsid w:val="008C0049"/>
    <w:rsid w:val="008C0E88"/>
    <w:rsid w:val="008D1E6A"/>
    <w:rsid w:val="008D2A16"/>
    <w:rsid w:val="008D5B4E"/>
    <w:rsid w:val="008E2677"/>
    <w:rsid w:val="008E2C57"/>
    <w:rsid w:val="008E31FF"/>
    <w:rsid w:val="008E6F06"/>
    <w:rsid w:val="008F029B"/>
    <w:rsid w:val="008F3FC9"/>
    <w:rsid w:val="008F585B"/>
    <w:rsid w:val="009003A8"/>
    <w:rsid w:val="00900CDE"/>
    <w:rsid w:val="00902500"/>
    <w:rsid w:val="00902EFF"/>
    <w:rsid w:val="009061C2"/>
    <w:rsid w:val="0091155E"/>
    <w:rsid w:val="00912A92"/>
    <w:rsid w:val="0091728D"/>
    <w:rsid w:val="009203E6"/>
    <w:rsid w:val="0092180B"/>
    <w:rsid w:val="00921F14"/>
    <w:rsid w:val="00923C72"/>
    <w:rsid w:val="00924AC8"/>
    <w:rsid w:val="0092513F"/>
    <w:rsid w:val="0092597A"/>
    <w:rsid w:val="00927C29"/>
    <w:rsid w:val="00930CFE"/>
    <w:rsid w:val="009337B9"/>
    <w:rsid w:val="00937AE2"/>
    <w:rsid w:val="009404FE"/>
    <w:rsid w:val="0094427A"/>
    <w:rsid w:val="00953544"/>
    <w:rsid w:val="00956240"/>
    <w:rsid w:val="009660C0"/>
    <w:rsid w:val="00970896"/>
    <w:rsid w:val="00974085"/>
    <w:rsid w:val="00974923"/>
    <w:rsid w:val="00980D3D"/>
    <w:rsid w:val="00981A53"/>
    <w:rsid w:val="00991CD8"/>
    <w:rsid w:val="00992CF3"/>
    <w:rsid w:val="009952F5"/>
    <w:rsid w:val="0099573A"/>
    <w:rsid w:val="009968D6"/>
    <w:rsid w:val="009A1211"/>
    <w:rsid w:val="009A1CAB"/>
    <w:rsid w:val="009A2FF5"/>
    <w:rsid w:val="009A60D1"/>
    <w:rsid w:val="009B03D5"/>
    <w:rsid w:val="009B6FD3"/>
    <w:rsid w:val="009C1750"/>
    <w:rsid w:val="009C2E29"/>
    <w:rsid w:val="009C554B"/>
    <w:rsid w:val="009C6146"/>
    <w:rsid w:val="009C719E"/>
    <w:rsid w:val="009D29ED"/>
    <w:rsid w:val="009D3ACD"/>
    <w:rsid w:val="009E5DDB"/>
    <w:rsid w:val="009F1140"/>
    <w:rsid w:val="009F4CA7"/>
    <w:rsid w:val="00A10D66"/>
    <w:rsid w:val="00A14114"/>
    <w:rsid w:val="00A23E43"/>
    <w:rsid w:val="00A30393"/>
    <w:rsid w:val="00A30F65"/>
    <w:rsid w:val="00A361D5"/>
    <w:rsid w:val="00A418BC"/>
    <w:rsid w:val="00A44AFD"/>
    <w:rsid w:val="00A45FC4"/>
    <w:rsid w:val="00A46653"/>
    <w:rsid w:val="00A46DE0"/>
    <w:rsid w:val="00A50D73"/>
    <w:rsid w:val="00A51E38"/>
    <w:rsid w:val="00A52CAD"/>
    <w:rsid w:val="00A53FC7"/>
    <w:rsid w:val="00A61828"/>
    <w:rsid w:val="00A62CE1"/>
    <w:rsid w:val="00A6741E"/>
    <w:rsid w:val="00A75E28"/>
    <w:rsid w:val="00A75E40"/>
    <w:rsid w:val="00A767F4"/>
    <w:rsid w:val="00A77D1D"/>
    <w:rsid w:val="00A857C0"/>
    <w:rsid w:val="00A86A73"/>
    <w:rsid w:val="00A94D1E"/>
    <w:rsid w:val="00AA2996"/>
    <w:rsid w:val="00AA52BF"/>
    <w:rsid w:val="00AA559A"/>
    <w:rsid w:val="00AB0716"/>
    <w:rsid w:val="00AB2AF1"/>
    <w:rsid w:val="00AD2963"/>
    <w:rsid w:val="00AD306C"/>
    <w:rsid w:val="00AD4FBC"/>
    <w:rsid w:val="00AD7C34"/>
    <w:rsid w:val="00AE09B3"/>
    <w:rsid w:val="00AE1A83"/>
    <w:rsid w:val="00AF168A"/>
    <w:rsid w:val="00AF4D49"/>
    <w:rsid w:val="00B00913"/>
    <w:rsid w:val="00B013F7"/>
    <w:rsid w:val="00B01593"/>
    <w:rsid w:val="00B05083"/>
    <w:rsid w:val="00B10A4D"/>
    <w:rsid w:val="00B14863"/>
    <w:rsid w:val="00B17E71"/>
    <w:rsid w:val="00B17FDE"/>
    <w:rsid w:val="00B23532"/>
    <w:rsid w:val="00B2379C"/>
    <w:rsid w:val="00B23A48"/>
    <w:rsid w:val="00B2687D"/>
    <w:rsid w:val="00B32DDB"/>
    <w:rsid w:val="00B34528"/>
    <w:rsid w:val="00B34A7E"/>
    <w:rsid w:val="00B402FC"/>
    <w:rsid w:val="00B4410E"/>
    <w:rsid w:val="00B46604"/>
    <w:rsid w:val="00B55F5E"/>
    <w:rsid w:val="00B5752E"/>
    <w:rsid w:val="00B63A11"/>
    <w:rsid w:val="00B64C24"/>
    <w:rsid w:val="00B6608F"/>
    <w:rsid w:val="00B679FB"/>
    <w:rsid w:val="00B76D1E"/>
    <w:rsid w:val="00B80EC6"/>
    <w:rsid w:val="00B90A28"/>
    <w:rsid w:val="00B92D1D"/>
    <w:rsid w:val="00B938C5"/>
    <w:rsid w:val="00B95940"/>
    <w:rsid w:val="00BB46F3"/>
    <w:rsid w:val="00BB4CB1"/>
    <w:rsid w:val="00BB4F98"/>
    <w:rsid w:val="00BC48DA"/>
    <w:rsid w:val="00BC7154"/>
    <w:rsid w:val="00BC7F91"/>
    <w:rsid w:val="00BD085C"/>
    <w:rsid w:val="00BD366B"/>
    <w:rsid w:val="00BD3AB9"/>
    <w:rsid w:val="00BD6D50"/>
    <w:rsid w:val="00BE18B9"/>
    <w:rsid w:val="00BE2495"/>
    <w:rsid w:val="00BE3108"/>
    <w:rsid w:val="00BE5DC9"/>
    <w:rsid w:val="00BF015A"/>
    <w:rsid w:val="00BF1578"/>
    <w:rsid w:val="00BF79BC"/>
    <w:rsid w:val="00C07BC3"/>
    <w:rsid w:val="00C133A9"/>
    <w:rsid w:val="00C17507"/>
    <w:rsid w:val="00C21F94"/>
    <w:rsid w:val="00C22662"/>
    <w:rsid w:val="00C27913"/>
    <w:rsid w:val="00C33B68"/>
    <w:rsid w:val="00C36A79"/>
    <w:rsid w:val="00C405D4"/>
    <w:rsid w:val="00C436F1"/>
    <w:rsid w:val="00C43C2A"/>
    <w:rsid w:val="00C4513B"/>
    <w:rsid w:val="00C51513"/>
    <w:rsid w:val="00C54697"/>
    <w:rsid w:val="00C563D9"/>
    <w:rsid w:val="00C73885"/>
    <w:rsid w:val="00C747B1"/>
    <w:rsid w:val="00C80B63"/>
    <w:rsid w:val="00C82191"/>
    <w:rsid w:val="00C90CF4"/>
    <w:rsid w:val="00C92EB6"/>
    <w:rsid w:val="00C93389"/>
    <w:rsid w:val="00C94C6E"/>
    <w:rsid w:val="00CA333B"/>
    <w:rsid w:val="00CB2A4F"/>
    <w:rsid w:val="00CB4930"/>
    <w:rsid w:val="00CB6DD1"/>
    <w:rsid w:val="00CC22B1"/>
    <w:rsid w:val="00CC2E7D"/>
    <w:rsid w:val="00CC6B35"/>
    <w:rsid w:val="00CD10A5"/>
    <w:rsid w:val="00CD2076"/>
    <w:rsid w:val="00CD2D16"/>
    <w:rsid w:val="00CD40C1"/>
    <w:rsid w:val="00CD5CD9"/>
    <w:rsid w:val="00CE670B"/>
    <w:rsid w:val="00CF51EC"/>
    <w:rsid w:val="00CF68B0"/>
    <w:rsid w:val="00CF73AE"/>
    <w:rsid w:val="00D007CB"/>
    <w:rsid w:val="00D040DD"/>
    <w:rsid w:val="00D068B5"/>
    <w:rsid w:val="00D13986"/>
    <w:rsid w:val="00D17DDA"/>
    <w:rsid w:val="00D2214C"/>
    <w:rsid w:val="00D25F28"/>
    <w:rsid w:val="00D27973"/>
    <w:rsid w:val="00D36159"/>
    <w:rsid w:val="00D4731F"/>
    <w:rsid w:val="00D50460"/>
    <w:rsid w:val="00D50F46"/>
    <w:rsid w:val="00D61D2F"/>
    <w:rsid w:val="00D66223"/>
    <w:rsid w:val="00D66FF1"/>
    <w:rsid w:val="00D76C38"/>
    <w:rsid w:val="00D8084C"/>
    <w:rsid w:val="00D8096D"/>
    <w:rsid w:val="00D837B4"/>
    <w:rsid w:val="00D83D17"/>
    <w:rsid w:val="00D87ED5"/>
    <w:rsid w:val="00DA0D5C"/>
    <w:rsid w:val="00DA7C0C"/>
    <w:rsid w:val="00DB2EC8"/>
    <w:rsid w:val="00DB3D4D"/>
    <w:rsid w:val="00DB5695"/>
    <w:rsid w:val="00DC4528"/>
    <w:rsid w:val="00DC5B3B"/>
    <w:rsid w:val="00DD129F"/>
    <w:rsid w:val="00DD1FAB"/>
    <w:rsid w:val="00DD685B"/>
    <w:rsid w:val="00DD6DF7"/>
    <w:rsid w:val="00DE0174"/>
    <w:rsid w:val="00DF3861"/>
    <w:rsid w:val="00DF42FF"/>
    <w:rsid w:val="00E01C0E"/>
    <w:rsid w:val="00E03F9A"/>
    <w:rsid w:val="00E04694"/>
    <w:rsid w:val="00E11214"/>
    <w:rsid w:val="00E12B1E"/>
    <w:rsid w:val="00E14A79"/>
    <w:rsid w:val="00E15845"/>
    <w:rsid w:val="00E17262"/>
    <w:rsid w:val="00E253A2"/>
    <w:rsid w:val="00E3309D"/>
    <w:rsid w:val="00E37833"/>
    <w:rsid w:val="00E43326"/>
    <w:rsid w:val="00E50156"/>
    <w:rsid w:val="00E53470"/>
    <w:rsid w:val="00E539F6"/>
    <w:rsid w:val="00E55B23"/>
    <w:rsid w:val="00E5611E"/>
    <w:rsid w:val="00E6519D"/>
    <w:rsid w:val="00E67696"/>
    <w:rsid w:val="00E704DB"/>
    <w:rsid w:val="00E71A58"/>
    <w:rsid w:val="00E72A7A"/>
    <w:rsid w:val="00E75C94"/>
    <w:rsid w:val="00E93820"/>
    <w:rsid w:val="00E96E34"/>
    <w:rsid w:val="00EA0C68"/>
    <w:rsid w:val="00EA3936"/>
    <w:rsid w:val="00EA3D7F"/>
    <w:rsid w:val="00EC004A"/>
    <w:rsid w:val="00EC03D7"/>
    <w:rsid w:val="00ED62C6"/>
    <w:rsid w:val="00ED64C1"/>
    <w:rsid w:val="00ED73D0"/>
    <w:rsid w:val="00EE05AF"/>
    <w:rsid w:val="00EE3446"/>
    <w:rsid w:val="00EE396A"/>
    <w:rsid w:val="00EE3E78"/>
    <w:rsid w:val="00EE4B1B"/>
    <w:rsid w:val="00EF150D"/>
    <w:rsid w:val="00EF1F5A"/>
    <w:rsid w:val="00EF2F8E"/>
    <w:rsid w:val="00EF60FF"/>
    <w:rsid w:val="00F03732"/>
    <w:rsid w:val="00F04811"/>
    <w:rsid w:val="00F0488C"/>
    <w:rsid w:val="00F0585C"/>
    <w:rsid w:val="00F121F3"/>
    <w:rsid w:val="00F15AAA"/>
    <w:rsid w:val="00F15BEF"/>
    <w:rsid w:val="00F1639F"/>
    <w:rsid w:val="00F24407"/>
    <w:rsid w:val="00F24FAA"/>
    <w:rsid w:val="00F32EB3"/>
    <w:rsid w:val="00F3364D"/>
    <w:rsid w:val="00F354CB"/>
    <w:rsid w:val="00F42AA5"/>
    <w:rsid w:val="00F437CC"/>
    <w:rsid w:val="00F43A2F"/>
    <w:rsid w:val="00F47067"/>
    <w:rsid w:val="00F510D8"/>
    <w:rsid w:val="00F525EB"/>
    <w:rsid w:val="00F52961"/>
    <w:rsid w:val="00F625D0"/>
    <w:rsid w:val="00F63DDE"/>
    <w:rsid w:val="00F63FB7"/>
    <w:rsid w:val="00F646A2"/>
    <w:rsid w:val="00F649D2"/>
    <w:rsid w:val="00F6602B"/>
    <w:rsid w:val="00F73A0C"/>
    <w:rsid w:val="00F756DB"/>
    <w:rsid w:val="00F85066"/>
    <w:rsid w:val="00F86B80"/>
    <w:rsid w:val="00F971E8"/>
    <w:rsid w:val="00FA5D4D"/>
    <w:rsid w:val="00FC0E5F"/>
    <w:rsid w:val="00FC1A95"/>
    <w:rsid w:val="00FC246A"/>
    <w:rsid w:val="00FC56DE"/>
    <w:rsid w:val="00FC684B"/>
    <w:rsid w:val="00FD5E9D"/>
    <w:rsid w:val="00FE2F78"/>
    <w:rsid w:val="00FE4EA7"/>
    <w:rsid w:val="00FE7A8E"/>
    <w:rsid w:val="00FF45CB"/>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C8851A17-35C8-42CA-AF54-1327142C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numPr>
        <w:numId w:val="48"/>
      </w:numPr>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numPr>
        <w:ilvl w:val="1"/>
        <w:numId w:val="48"/>
      </w:numPr>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numPr>
        <w:ilvl w:val="2"/>
        <w:numId w:val="48"/>
      </w:numPr>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numPr>
        <w:ilvl w:val="3"/>
        <w:numId w:val="48"/>
      </w:numPr>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A361D5"/>
    <w:pPr>
      <w:keepNext/>
      <w:keepLines/>
      <w:numPr>
        <w:ilvl w:val="4"/>
        <w:numId w:val="48"/>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361D5"/>
    <w:pPr>
      <w:keepNext/>
      <w:keepLines/>
      <w:numPr>
        <w:ilvl w:val="5"/>
        <w:numId w:val="48"/>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361D5"/>
    <w:pPr>
      <w:keepNext/>
      <w:keepLines/>
      <w:numPr>
        <w:ilvl w:val="6"/>
        <w:numId w:val="48"/>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361D5"/>
    <w:pPr>
      <w:keepNext/>
      <w:keepLines/>
      <w:numPr>
        <w:ilvl w:val="7"/>
        <w:numId w:val="48"/>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A30F65"/>
    <w:pPr>
      <w:numPr>
        <w:ilvl w:val="8"/>
        <w:numId w:val="48"/>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lang w:eastAsia="cs-CZ"/>
    </w:rPr>
  </w:style>
  <w:style w:type="character" w:customStyle="1" w:styleId="Nadpis3Char">
    <w:name w:val="Nadpis 3 Char"/>
    <w:link w:val="Nadpis3"/>
    <w:uiPriority w:val="9"/>
    <w:rsid w:val="00BE3108"/>
    <w:rPr>
      <w:rFonts w:ascii="Arial" w:eastAsia="MS Gothic" w:hAnsi="Arial"/>
      <w:b/>
      <w:bCs/>
      <w:sz w:val="24"/>
      <w:szCs w:val="24"/>
      <w:lang w:eastAsia="cs-CZ"/>
    </w:rPr>
  </w:style>
  <w:style w:type="character" w:customStyle="1" w:styleId="Nadpis4Char">
    <w:name w:val="Nadpis 4 Char"/>
    <w:link w:val="Nadpis4"/>
    <w:uiPriority w:val="9"/>
    <w:rsid w:val="00BE3108"/>
    <w:rPr>
      <w:rFonts w:ascii="Arial" w:eastAsia="MS Gothic" w:hAnsi="Arial"/>
      <w:b/>
      <w:bCs/>
      <w:iCs/>
      <w:szCs w:val="24"/>
      <w:lang w:eastAsia="cs-CZ"/>
    </w:rPr>
  </w:style>
  <w:style w:type="character" w:customStyle="1" w:styleId="Nadpis9Char">
    <w:name w:val="Nadpis 9 Char"/>
    <w:link w:val="Nadpis9"/>
    <w:uiPriority w:val="9"/>
    <w:semiHidden/>
    <w:rsid w:val="00A30F65"/>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
    <w:name w:val="Body Text"/>
    <w:basedOn w:val="Normln"/>
    <w:link w:val="ZkladntextChar"/>
    <w:semiHidden/>
    <w:rsid w:val="00C07BC3"/>
    <w:pPr>
      <w:spacing w:after="0" w:line="240" w:lineRule="auto"/>
    </w:pPr>
    <w:rPr>
      <w:rFonts w:cs="Arial"/>
      <w:bCs/>
      <w:iCs/>
      <w:szCs w:val="20"/>
    </w:rPr>
  </w:style>
  <w:style w:type="character" w:customStyle="1" w:styleId="ZkladntextChar">
    <w:name w:val="Základní text Char"/>
    <w:basedOn w:val="Standardnpsmoodstavce"/>
    <w:link w:val="Zkladntext"/>
    <w:semiHidden/>
    <w:rsid w:val="00C07BC3"/>
    <w:rPr>
      <w:rFonts w:ascii="Arial" w:eastAsia="Times New Roman" w:hAnsi="Arial" w:cs="Arial"/>
      <w:bCs/>
      <w:iCs/>
      <w:lang w:eastAsia="cs-CZ"/>
    </w:rPr>
  </w:style>
  <w:style w:type="paragraph" w:styleId="Zkladntextodsazen">
    <w:name w:val="Body Text Indent"/>
    <w:basedOn w:val="Normln"/>
    <w:link w:val="ZkladntextodsazenChar"/>
    <w:semiHidden/>
    <w:rsid w:val="00C07BC3"/>
    <w:pPr>
      <w:spacing w:after="0" w:line="360" w:lineRule="auto"/>
      <w:ind w:firstLine="709"/>
      <w:jc w:val="both"/>
    </w:pPr>
    <w:rPr>
      <w:rFonts w:cs="Arial"/>
      <w:bCs/>
      <w:sz w:val="22"/>
      <w:szCs w:val="18"/>
    </w:rPr>
  </w:style>
  <w:style w:type="character" w:customStyle="1" w:styleId="ZkladntextodsazenChar">
    <w:name w:val="Základní text odsazený Char"/>
    <w:basedOn w:val="Standardnpsmoodstavce"/>
    <w:link w:val="Zkladntextodsazen"/>
    <w:semiHidden/>
    <w:rsid w:val="00C07BC3"/>
    <w:rPr>
      <w:rFonts w:ascii="Arial" w:eastAsia="Times New Roman" w:hAnsi="Arial" w:cs="Arial"/>
      <w:bCs/>
      <w:sz w:val="22"/>
      <w:szCs w:val="18"/>
      <w:lang w:eastAsia="cs-CZ"/>
    </w:rPr>
  </w:style>
  <w:style w:type="paragraph" w:styleId="Odstavecseseznamem">
    <w:name w:val="List Paragraph"/>
    <w:basedOn w:val="Normln"/>
    <w:uiPriority w:val="34"/>
    <w:rsid w:val="00C07BC3"/>
    <w:pPr>
      <w:ind w:left="720"/>
      <w:contextualSpacing/>
    </w:pPr>
  </w:style>
  <w:style w:type="paragraph" w:styleId="Textpoznpodarou">
    <w:name w:val="footnote text"/>
    <w:basedOn w:val="Normln"/>
    <w:link w:val="TextpoznpodarouChar"/>
    <w:semiHidden/>
    <w:rsid w:val="003C2208"/>
    <w:pPr>
      <w:spacing w:after="0" w:line="240" w:lineRule="auto"/>
    </w:pPr>
    <w:rPr>
      <w:rFonts w:ascii="Times New Roman" w:hAnsi="Times New Roman"/>
      <w:bCs/>
      <w:iCs/>
      <w:szCs w:val="20"/>
    </w:rPr>
  </w:style>
  <w:style w:type="character" w:customStyle="1" w:styleId="TextpoznpodarouChar">
    <w:name w:val="Text pozn. pod čarou Char"/>
    <w:basedOn w:val="Standardnpsmoodstavce"/>
    <w:link w:val="Textpoznpodarou"/>
    <w:semiHidden/>
    <w:rsid w:val="003C2208"/>
    <w:rPr>
      <w:rFonts w:ascii="Times New Roman" w:eastAsia="Times New Roman" w:hAnsi="Times New Roman"/>
      <w:bCs/>
      <w:iCs/>
      <w:lang w:eastAsia="cs-CZ"/>
    </w:rPr>
  </w:style>
  <w:style w:type="character" w:styleId="Znakapoznpodarou">
    <w:name w:val="footnote reference"/>
    <w:basedOn w:val="Standardnpsmoodstavce"/>
    <w:semiHidden/>
    <w:rsid w:val="003C2208"/>
    <w:rPr>
      <w:vertAlign w:val="superscript"/>
    </w:rPr>
  </w:style>
  <w:style w:type="paragraph" w:styleId="Normlnweb">
    <w:name w:val="Normal (Web)"/>
    <w:basedOn w:val="Normln"/>
    <w:semiHidden/>
    <w:rsid w:val="00AD2963"/>
    <w:pPr>
      <w:spacing w:before="100" w:beforeAutospacing="1" w:after="100" w:afterAutospacing="1" w:line="240" w:lineRule="auto"/>
    </w:pPr>
    <w:rPr>
      <w:rFonts w:ascii="Arial Unicode MS" w:eastAsia="Arial Unicode MS" w:hAnsi="Arial Unicode MS" w:cs="Arial Unicode MS"/>
      <w:color w:val="000000"/>
      <w:sz w:val="24"/>
    </w:rPr>
  </w:style>
  <w:style w:type="character" w:customStyle="1" w:styleId="nezalamovatgen">
    <w:name w:val="nezalamovatgen"/>
    <w:basedOn w:val="Standardnpsmoodstavce"/>
    <w:rsid w:val="00AD2963"/>
  </w:style>
  <w:style w:type="paragraph" w:styleId="Zkladntextodsazen3">
    <w:name w:val="Body Text Indent 3"/>
    <w:basedOn w:val="Normln"/>
    <w:link w:val="Zkladntextodsazen3Char"/>
    <w:uiPriority w:val="99"/>
    <w:semiHidden/>
    <w:unhideWhenUsed/>
    <w:rsid w:val="003461F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461F0"/>
    <w:rPr>
      <w:rFonts w:ascii="Arial" w:eastAsia="Times New Roman" w:hAnsi="Arial"/>
      <w:sz w:val="16"/>
      <w:szCs w:val="16"/>
      <w:lang w:eastAsia="cs-CZ"/>
    </w:rPr>
  </w:style>
  <w:style w:type="paragraph" w:styleId="Zkladntext3">
    <w:name w:val="Body Text 3"/>
    <w:basedOn w:val="Normln"/>
    <w:link w:val="Zkladntext3Char"/>
    <w:uiPriority w:val="99"/>
    <w:semiHidden/>
    <w:unhideWhenUsed/>
    <w:rsid w:val="003461F0"/>
    <w:pPr>
      <w:spacing w:after="120"/>
    </w:pPr>
    <w:rPr>
      <w:sz w:val="16"/>
      <w:szCs w:val="16"/>
    </w:rPr>
  </w:style>
  <w:style w:type="character" w:customStyle="1" w:styleId="Zkladntext3Char">
    <w:name w:val="Základní text 3 Char"/>
    <w:basedOn w:val="Standardnpsmoodstavce"/>
    <w:link w:val="Zkladntext3"/>
    <w:uiPriority w:val="99"/>
    <w:semiHidden/>
    <w:rsid w:val="003461F0"/>
    <w:rPr>
      <w:rFonts w:ascii="Arial" w:eastAsia="Times New Roman" w:hAnsi="Arial"/>
      <w:sz w:val="16"/>
      <w:szCs w:val="16"/>
      <w:lang w:eastAsia="cs-CZ"/>
    </w:rPr>
  </w:style>
  <w:style w:type="paragraph" w:customStyle="1" w:styleId="Default">
    <w:name w:val="Default"/>
    <w:rsid w:val="00D068B5"/>
    <w:pPr>
      <w:autoSpaceDE w:val="0"/>
      <w:autoSpaceDN w:val="0"/>
      <w:adjustRightInd w:val="0"/>
    </w:pPr>
    <w:rPr>
      <w:rFonts w:ascii="EUAlbertina" w:hAnsi="EUAlbertina" w:cs="EUAlbertina"/>
      <w:color w:val="000000"/>
      <w:sz w:val="24"/>
      <w:szCs w:val="24"/>
    </w:rPr>
  </w:style>
  <w:style w:type="character" w:customStyle="1" w:styleId="hps">
    <w:name w:val="hps"/>
    <w:basedOn w:val="Standardnpsmoodstavce"/>
    <w:rsid w:val="001E183D"/>
  </w:style>
  <w:style w:type="character" w:customStyle="1" w:styleId="Nadpis5Char">
    <w:name w:val="Nadpis 5 Char"/>
    <w:basedOn w:val="Standardnpsmoodstavce"/>
    <w:link w:val="Nadpis5"/>
    <w:uiPriority w:val="9"/>
    <w:semiHidden/>
    <w:rsid w:val="00A361D5"/>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A361D5"/>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A361D5"/>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A361D5"/>
    <w:rPr>
      <w:rFonts w:asciiTheme="majorHAnsi" w:eastAsiaTheme="majorEastAsia" w:hAnsiTheme="majorHAnsi" w:cstheme="majorBidi"/>
      <w:color w:val="404040" w:themeColor="text1" w:themeTint="BF"/>
      <w:lang w:eastAsia="cs-CZ"/>
    </w:rPr>
  </w:style>
  <w:style w:type="table" w:styleId="Mkatabulky">
    <w:name w:val="Table Grid"/>
    <w:basedOn w:val="Normlntabulka"/>
    <w:uiPriority w:val="59"/>
    <w:rsid w:val="0052278C"/>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18115888">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RMAK~1\AppData\Local\Temp\Publikace%20cb%20CZ-EN_2016-12-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12520-E467-485D-933B-B6996670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cb CZ-EN_2016-12-19.dotx</Template>
  <TotalTime>10</TotalTime>
  <Pages>2</Pages>
  <Words>716</Words>
  <Characters>4226</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cermakova138</dc:creator>
  <cp:lastModifiedBy>Olšovská Jelínková Lucie</cp:lastModifiedBy>
  <cp:revision>5</cp:revision>
  <cp:lastPrinted>2017-08-03T07:31:00Z</cp:lastPrinted>
  <dcterms:created xsi:type="dcterms:W3CDTF">2024-09-18T12:21:00Z</dcterms:created>
  <dcterms:modified xsi:type="dcterms:W3CDTF">2024-09-23T07:46:00Z</dcterms:modified>
</cp:coreProperties>
</file>