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3" w:rsidRDefault="00292063" w:rsidP="00292063">
      <w:pPr>
        <w:pStyle w:val="Nadpis1"/>
      </w:pPr>
      <w:bookmarkStart w:id="0" w:name="_Toc438111975"/>
      <w:r>
        <w:t xml:space="preserve">2. </w:t>
      </w:r>
      <w:r w:rsidRPr="00363E03">
        <w:t>Cizinci pobývající na území ČR podle kategorií pobytu</w:t>
      </w:r>
      <w:bookmarkEnd w:id="0"/>
    </w:p>
    <w:p w:rsidR="00292063" w:rsidRPr="001C15B4" w:rsidRDefault="00292063" w:rsidP="00292063"/>
    <w:p w:rsidR="00292063" w:rsidRPr="00525904" w:rsidRDefault="00292063" w:rsidP="00292063">
      <w:pPr>
        <w:spacing w:line="360" w:lineRule="auto"/>
        <w:jc w:val="both"/>
        <w:rPr>
          <w:rFonts w:cs="Arial"/>
          <w:szCs w:val="20"/>
        </w:rPr>
      </w:pPr>
      <w:r w:rsidRPr="0004037F">
        <w:rPr>
          <w:sz w:val="24"/>
        </w:rPr>
        <w:tab/>
      </w:r>
      <w:r w:rsidRPr="0004037F">
        <w:rPr>
          <w:rFonts w:cs="Arial"/>
          <w:szCs w:val="20"/>
        </w:rPr>
        <w:t xml:space="preserve">K 31. 12. </w:t>
      </w:r>
      <w:r>
        <w:rPr>
          <w:rFonts w:cs="Arial"/>
          <w:szCs w:val="20"/>
        </w:rPr>
        <w:t>2020</w:t>
      </w:r>
      <w:r w:rsidRPr="0004037F">
        <w:rPr>
          <w:rFonts w:cs="Arial"/>
          <w:szCs w:val="20"/>
        </w:rPr>
        <w:t xml:space="preserve"> pobývalo legálně na území České republiky celkem </w:t>
      </w:r>
      <w:r>
        <w:rPr>
          <w:rFonts w:cs="Arial"/>
          <w:szCs w:val="20"/>
        </w:rPr>
        <w:t>634 790</w:t>
      </w:r>
      <w:r w:rsidRPr="0004037F">
        <w:rPr>
          <w:rFonts w:cs="Arial"/>
          <w:szCs w:val="20"/>
        </w:rPr>
        <w:t xml:space="preserve"> cizinců, z to</w:t>
      </w:r>
      <w:r>
        <w:rPr>
          <w:rFonts w:cs="Arial"/>
          <w:szCs w:val="20"/>
        </w:rPr>
        <w:t>ho více než polovina (326 411 neboli 51,4 %</w:t>
      </w:r>
      <w:r w:rsidRPr="0004037F">
        <w:rPr>
          <w:rFonts w:cs="Arial"/>
          <w:szCs w:val="20"/>
        </w:rPr>
        <w:t>) na základě</w:t>
      </w:r>
      <w:r>
        <w:rPr>
          <w:rFonts w:cs="Arial"/>
          <w:szCs w:val="20"/>
        </w:rPr>
        <w:t xml:space="preserve"> některého z druhů</w:t>
      </w:r>
      <w:r w:rsidRPr="000403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přechodného pobytu (občané tzv. třetích zemí na dlouhodobá víza</w:t>
      </w:r>
      <w:r w:rsidRPr="0004037F">
        <w:rPr>
          <w:rFonts w:cs="Arial"/>
          <w:szCs w:val="20"/>
        </w:rPr>
        <w:t xml:space="preserve"> nebo dlouhodobý pobyt, občané EU a jejich rodinní příslušníci </w:t>
      </w:r>
      <w:r>
        <w:rPr>
          <w:rFonts w:cs="Arial"/>
          <w:szCs w:val="20"/>
        </w:rPr>
        <w:t xml:space="preserve">na základě  registrovaného </w:t>
      </w:r>
      <w:r w:rsidRPr="0004037F">
        <w:rPr>
          <w:rFonts w:cs="Arial"/>
          <w:szCs w:val="20"/>
        </w:rPr>
        <w:t>pře</w:t>
      </w:r>
      <w:r>
        <w:rPr>
          <w:rFonts w:cs="Arial"/>
          <w:szCs w:val="20"/>
        </w:rPr>
        <w:t>chodného pobytu). Celkem 308 379 cizinců mělo na území našeho státu platné povolení k trvalému pobytu. Zbytek, tj. 2 220</w:t>
      </w:r>
      <w:r w:rsidRPr="0004037F">
        <w:rPr>
          <w:rFonts w:cs="Arial"/>
          <w:szCs w:val="20"/>
        </w:rPr>
        <w:t xml:space="preserve"> osob, tvořili cizinci, kterým byl na území České republiky udělen azyl.</w:t>
      </w:r>
      <w:r>
        <w:rPr>
          <w:rFonts w:cs="Arial"/>
          <w:szCs w:val="20"/>
        </w:rPr>
        <w:t xml:space="preserve"> Podíl cizinců na populaci ČR tak v roce 2020 </w:t>
      </w:r>
      <w:proofErr w:type="gramStart"/>
      <w:r>
        <w:rPr>
          <w:rFonts w:cs="Arial"/>
          <w:szCs w:val="20"/>
        </w:rPr>
        <w:t>vzrostl  na</w:t>
      </w:r>
      <w:proofErr w:type="gramEnd"/>
      <w:r>
        <w:rPr>
          <w:rFonts w:cs="Arial"/>
          <w:szCs w:val="20"/>
        </w:rPr>
        <w:t xml:space="preserve"> 5,9 %, přičemž meziroční přírůstek celkového počtu cizinců činil  39 tisíc.</w:t>
      </w:r>
    </w:p>
    <w:p w:rsidR="00292063" w:rsidRDefault="00292063" w:rsidP="00292063">
      <w:pPr>
        <w:pStyle w:val="Nadpis3"/>
        <w:jc w:val="center"/>
      </w:pPr>
      <w:r>
        <w:rPr>
          <w:noProof/>
        </w:rPr>
        <w:drawing>
          <wp:inline distT="0" distB="0" distL="0" distR="0" wp14:anchorId="27BC3A3C" wp14:editId="7B12DC12">
            <wp:extent cx="4457700" cy="3531846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92063" w:rsidRPr="0078279D" w:rsidRDefault="00292063" w:rsidP="00292063"/>
    <w:p w:rsidR="00292063" w:rsidRPr="0004037F" w:rsidRDefault="00292063" w:rsidP="00292063">
      <w:pPr>
        <w:spacing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Podíváme-li se na časovou řadu podle jednotlivých kategor</w:t>
      </w:r>
      <w:r>
        <w:rPr>
          <w:rFonts w:cs="Arial"/>
          <w:szCs w:val="20"/>
        </w:rPr>
        <w:t>ií pobytu, je patrné, že</w:t>
      </w:r>
      <w:r w:rsidRPr="0004037F">
        <w:rPr>
          <w:rFonts w:cs="Arial"/>
          <w:szCs w:val="20"/>
        </w:rPr>
        <w:t xml:space="preserve"> do roku 2012 převažovali mezi cizinci s udě</w:t>
      </w:r>
      <w:r>
        <w:rPr>
          <w:rFonts w:cs="Arial"/>
          <w:szCs w:val="20"/>
        </w:rPr>
        <w:t>leným povolením k pobytu zahraniční občané</w:t>
      </w:r>
      <w:r w:rsidRPr="0004037F">
        <w:rPr>
          <w:rFonts w:cs="Arial"/>
          <w:szCs w:val="20"/>
        </w:rPr>
        <w:t xml:space="preserve"> s něk</w:t>
      </w:r>
      <w:r>
        <w:rPr>
          <w:rFonts w:cs="Arial"/>
          <w:szCs w:val="20"/>
        </w:rPr>
        <w:t>terým z typů přechodného pobytu.</w:t>
      </w:r>
      <w:r w:rsidRPr="000403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 roky 2013 – 2019 byl tento poměr obrácený a převažovali</w:t>
      </w:r>
      <w:r w:rsidRPr="0004037F">
        <w:rPr>
          <w:rFonts w:cs="Arial"/>
          <w:szCs w:val="20"/>
        </w:rPr>
        <w:t xml:space="preserve"> držit</w:t>
      </w:r>
      <w:r>
        <w:rPr>
          <w:rFonts w:cs="Arial"/>
          <w:szCs w:val="20"/>
        </w:rPr>
        <w:t xml:space="preserve">elé povolení k trvalému pobytu, přičemž počty cizinců s přechodným pobytem od začátku ekonomické krize v roce 2009 až do konce roku 2014 klesaly. Od roku 2015 je však u posledně zmíněné kategorie cizinců patrné opětovné oživení a růst, které postupně vedou až k obrácení trendu ve vývoji legálně pobývajících cizinců na našem území v roce 2020. Za celé sledované období je patrný vliv střídajících se ekonomických cyklů (klesající počty cizinců s přechodným pobytem v období ekonomické recese a naopak jejich rostoucí stavy v době ekonomické konjunktury). Narůstající počty cizinců s trvalým pobytem jsou ovlivněny zvyšujícími se počty zahraničních občanů, kteří získávají nárok na tento typ pobytu (tj. po pěti letech nepřetržitého přechodného pobytu cizince na území ČR). </w:t>
      </w:r>
      <w:r w:rsidRPr="0004037F">
        <w:rPr>
          <w:rFonts w:cs="Arial"/>
          <w:szCs w:val="20"/>
        </w:rPr>
        <w:t xml:space="preserve">Počet cizinců, kteří </w:t>
      </w:r>
      <w:r w:rsidRPr="0004037F">
        <w:rPr>
          <w:rFonts w:cs="Arial"/>
          <w:szCs w:val="20"/>
        </w:rPr>
        <w:lastRenderedPageBreak/>
        <w:t>v ČR získali azyl nebo dočasnou ochranu</w:t>
      </w:r>
      <w:r>
        <w:rPr>
          <w:rFonts w:cs="Arial"/>
          <w:szCs w:val="20"/>
        </w:rPr>
        <w:t xml:space="preserve"> se,</w:t>
      </w:r>
      <w:r w:rsidRPr="0004037F">
        <w:rPr>
          <w:rFonts w:cs="Arial"/>
          <w:szCs w:val="20"/>
        </w:rPr>
        <w:t xml:space="preserve"> vzhledem k nízkým počtům kladně vyřízených žádostí</w:t>
      </w:r>
      <w:r>
        <w:rPr>
          <w:rFonts w:cs="Arial"/>
          <w:szCs w:val="20"/>
        </w:rPr>
        <w:t>, udržuje v poslední době na zhruba stejné, nízké úrovni (cca 2 tis. osob).</w:t>
      </w:r>
    </w:p>
    <w:p w:rsidR="00292063" w:rsidRDefault="00292063" w:rsidP="00292063">
      <w:pPr>
        <w:pStyle w:val="Nadpis3"/>
      </w:pPr>
    </w:p>
    <w:p w:rsidR="00292063" w:rsidRDefault="00292063" w:rsidP="00292063">
      <w:pPr>
        <w:pStyle w:val="Nadpis3"/>
        <w:jc w:val="center"/>
      </w:pPr>
      <w:r>
        <w:rPr>
          <w:noProof/>
        </w:rPr>
        <w:drawing>
          <wp:inline distT="0" distB="0" distL="0" distR="0" wp14:anchorId="1D919B4C" wp14:editId="75FF76B7">
            <wp:extent cx="5497975" cy="3676650"/>
            <wp:effectExtent l="0" t="0" r="762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1" w:name="_GoBack"/>
      <w:bookmarkEnd w:id="1"/>
    </w:p>
    <w:p w:rsidR="00292063" w:rsidRDefault="00292063" w:rsidP="00292063">
      <w:pPr>
        <w:pStyle w:val="Nadpis3"/>
      </w:pPr>
    </w:p>
    <w:p w:rsidR="00292063" w:rsidRPr="0004037F" w:rsidRDefault="00292063" w:rsidP="00292063">
      <w:pPr>
        <w:spacing w:after="6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Zastoupení žen mezi cizinci s povoleným pobytem</w:t>
      </w:r>
      <w:r>
        <w:rPr>
          <w:rFonts w:cs="Arial"/>
          <w:szCs w:val="20"/>
        </w:rPr>
        <w:t xml:space="preserve"> se v poslední době víceméně příliš nemění, přičemž</w:t>
      </w:r>
      <w:r w:rsidRPr="0004037F">
        <w:rPr>
          <w:rFonts w:cs="Arial"/>
          <w:szCs w:val="20"/>
        </w:rPr>
        <w:t xml:space="preserve"> muži mají stále většinu. Ko</w:t>
      </w:r>
      <w:r>
        <w:rPr>
          <w:rFonts w:cs="Arial"/>
          <w:szCs w:val="20"/>
        </w:rPr>
        <w:t>ncem roku 2020 tvořily ženy 42,9</w:t>
      </w:r>
      <w:r w:rsidRPr="0004037F">
        <w:rPr>
          <w:rFonts w:cs="Arial"/>
          <w:szCs w:val="20"/>
        </w:rPr>
        <w:t xml:space="preserve"> % legálně žijících cizinc</w:t>
      </w:r>
      <w:r>
        <w:rPr>
          <w:rFonts w:cs="Arial"/>
          <w:szCs w:val="20"/>
        </w:rPr>
        <w:t>ů v ČR (pro srovnání v roce 2015 to bylo 43,6</w:t>
      </w:r>
      <w:r w:rsidRPr="0004037F">
        <w:rPr>
          <w:rFonts w:cs="Arial"/>
          <w:szCs w:val="20"/>
        </w:rPr>
        <w:t xml:space="preserve"> %).</w:t>
      </w:r>
    </w:p>
    <w:p w:rsidR="00292063" w:rsidRDefault="00292063" w:rsidP="00292063">
      <w:pPr>
        <w:spacing w:after="6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Občané</w:t>
      </w:r>
      <w:r>
        <w:rPr>
          <w:rFonts w:cs="Arial"/>
          <w:szCs w:val="20"/>
        </w:rPr>
        <w:t xml:space="preserve"> států EU-27 tvořili v roce 2020 téměř čtyři desetiny (38,4</w:t>
      </w:r>
      <w:r w:rsidRPr="0004037F">
        <w:rPr>
          <w:rFonts w:cs="Arial"/>
          <w:szCs w:val="20"/>
        </w:rPr>
        <w:t xml:space="preserve"> %) z l</w:t>
      </w:r>
      <w:r>
        <w:rPr>
          <w:rFonts w:cs="Arial"/>
          <w:szCs w:val="20"/>
        </w:rPr>
        <w:t xml:space="preserve">egálně pobývajících cizinců v ČR. Jejich </w:t>
      </w:r>
      <w:r w:rsidRPr="0004037F">
        <w:rPr>
          <w:rFonts w:cs="Arial"/>
          <w:szCs w:val="20"/>
        </w:rPr>
        <w:t xml:space="preserve">zastoupení </w:t>
      </w:r>
      <w:r>
        <w:rPr>
          <w:rFonts w:cs="Arial"/>
          <w:szCs w:val="20"/>
        </w:rPr>
        <w:t>se však meziročně celkem výrazně snížilo (v roce 2019 dosahovali 41,2</w:t>
      </w:r>
      <w:r w:rsidRPr="0004037F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 V tomto vývoji se zřejmě značnou měrou promítlo vystoupení Velké Británie z EU začátkem roku 2020. </w:t>
      </w:r>
    </w:p>
    <w:p w:rsidR="00292063" w:rsidRDefault="00292063" w:rsidP="00292063">
      <w:pPr>
        <w:spacing w:after="6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nejvíce zastoupených státních občanství se ve statistikách cizinců s povoleným pobytem v poslední době výrazněji nemění. Mezi nejvíce zastoupené skupiny patří tradičně občané Ukrajiny</w:t>
      </w:r>
      <w:r>
        <w:rPr>
          <w:rFonts w:cs="Arial"/>
          <w:szCs w:val="20"/>
        </w:rPr>
        <w:t xml:space="preserve"> (165 654 osob)</w:t>
      </w:r>
      <w:r w:rsidRPr="0004037F">
        <w:rPr>
          <w:rFonts w:cs="Arial"/>
          <w:szCs w:val="20"/>
        </w:rPr>
        <w:t>, Slovenska</w:t>
      </w:r>
      <w:r>
        <w:rPr>
          <w:rFonts w:cs="Arial"/>
          <w:szCs w:val="20"/>
        </w:rPr>
        <w:t xml:space="preserve"> (124 544)</w:t>
      </w:r>
      <w:r w:rsidRPr="0004037F">
        <w:rPr>
          <w:rFonts w:cs="Arial"/>
          <w:szCs w:val="20"/>
        </w:rPr>
        <w:t xml:space="preserve"> a Vietnamu</w:t>
      </w:r>
      <w:r>
        <w:rPr>
          <w:rFonts w:cs="Arial"/>
          <w:szCs w:val="20"/>
        </w:rPr>
        <w:t xml:space="preserve"> (62 884)</w:t>
      </w:r>
      <w:r w:rsidRPr="0004037F">
        <w:rPr>
          <w:rFonts w:cs="Arial"/>
          <w:szCs w:val="20"/>
        </w:rPr>
        <w:t>. Občané tě</w:t>
      </w:r>
      <w:r>
        <w:rPr>
          <w:rFonts w:cs="Arial"/>
          <w:szCs w:val="20"/>
        </w:rPr>
        <w:t>chto tří zemí tvořili v roce 2020 celkem 55,6 % cizinců s povolením k </w:t>
      </w:r>
      <w:r w:rsidRPr="0004037F">
        <w:rPr>
          <w:rFonts w:cs="Arial"/>
          <w:szCs w:val="20"/>
        </w:rPr>
        <w:t>pobytu</w:t>
      </w:r>
      <w:r>
        <w:rPr>
          <w:rFonts w:cs="Arial"/>
          <w:szCs w:val="20"/>
        </w:rPr>
        <w:t xml:space="preserve"> (resp. s povoleným nebo evidovaným pobytem)</w:t>
      </w:r>
      <w:r w:rsidRPr="0004037F">
        <w:rPr>
          <w:rFonts w:cs="Arial"/>
          <w:szCs w:val="20"/>
        </w:rPr>
        <w:t xml:space="preserve"> v České republice.</w:t>
      </w:r>
    </w:p>
    <w:p w:rsidR="00292063" w:rsidRDefault="00292063" w:rsidP="00292063">
      <w:pPr>
        <w:spacing w:after="60"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Ani p</w:t>
      </w:r>
      <w:r w:rsidRPr="0004037F">
        <w:rPr>
          <w:rFonts w:cs="Arial"/>
          <w:szCs w:val="20"/>
        </w:rPr>
        <w:t>ořadí na ostatních míste</w:t>
      </w:r>
      <w:r>
        <w:rPr>
          <w:rFonts w:cs="Arial"/>
          <w:szCs w:val="20"/>
        </w:rPr>
        <w:t xml:space="preserve">ch </w:t>
      </w:r>
      <w:r w:rsidRPr="0004037F">
        <w:rPr>
          <w:rFonts w:cs="Arial"/>
          <w:szCs w:val="20"/>
        </w:rPr>
        <w:t>žebříčku se v průběhu l</w:t>
      </w:r>
      <w:r>
        <w:rPr>
          <w:rFonts w:cs="Arial"/>
          <w:szCs w:val="20"/>
        </w:rPr>
        <w:t>et příliš nezměnilo. V roce 2020</w:t>
      </w:r>
      <w:r w:rsidRPr="0004037F">
        <w:rPr>
          <w:rFonts w:cs="Arial"/>
          <w:szCs w:val="20"/>
        </w:rPr>
        <w:t xml:space="preserve"> byli</w:t>
      </w:r>
      <w:r>
        <w:rPr>
          <w:rFonts w:cs="Arial"/>
          <w:szCs w:val="20"/>
        </w:rPr>
        <w:t xml:space="preserve"> na čtvrtém místě, stejně jako v předchozím roce, Rusové (41 907</w:t>
      </w:r>
      <w:r w:rsidRPr="0004037F">
        <w:rPr>
          <w:rFonts w:cs="Arial"/>
          <w:szCs w:val="20"/>
        </w:rPr>
        <w:t>),</w:t>
      </w:r>
      <w:r>
        <w:rPr>
          <w:rFonts w:cs="Arial"/>
          <w:szCs w:val="20"/>
        </w:rPr>
        <w:t xml:space="preserve"> s odstupem </w:t>
      </w:r>
      <w:r w:rsidRPr="0004037F">
        <w:rPr>
          <w:rFonts w:cs="Arial"/>
          <w:szCs w:val="20"/>
        </w:rPr>
        <w:t>následováni</w:t>
      </w:r>
      <w:r>
        <w:rPr>
          <w:rFonts w:cs="Arial"/>
          <w:szCs w:val="20"/>
        </w:rPr>
        <w:t xml:space="preserve"> Němci (20 861</w:t>
      </w:r>
      <w:r w:rsidRPr="0004037F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a Poláky (20 733</w:t>
      </w:r>
      <w:r w:rsidRPr="0004037F">
        <w:rPr>
          <w:rFonts w:cs="Arial"/>
          <w:szCs w:val="20"/>
        </w:rPr>
        <w:t xml:space="preserve">). Další místa byla obsazena </w:t>
      </w:r>
      <w:r>
        <w:rPr>
          <w:rFonts w:cs="Arial"/>
          <w:szCs w:val="20"/>
        </w:rPr>
        <w:t>Rumuny (18 396), Bulhary (17 917), občany Mongolska (10 141</w:t>
      </w:r>
      <w:r w:rsidRPr="0004037F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a Velké Británie (9 084)</w:t>
      </w:r>
      <w:r w:rsidRPr="0004037F">
        <w:rPr>
          <w:rFonts w:cs="Arial"/>
          <w:szCs w:val="20"/>
        </w:rPr>
        <w:t>.</w:t>
      </w:r>
    </w:p>
    <w:p w:rsidR="00292063" w:rsidRDefault="00292063" w:rsidP="00292063">
      <w:pPr>
        <w:spacing w:after="120" w:line="360" w:lineRule="auto"/>
        <w:ind w:firstLine="708"/>
        <w:jc w:val="both"/>
        <w:rPr>
          <w:rFonts w:cs="Arial"/>
          <w:szCs w:val="20"/>
        </w:rPr>
      </w:pPr>
    </w:p>
    <w:p w:rsidR="00292063" w:rsidRDefault="00292063" w:rsidP="00292063">
      <w:pPr>
        <w:spacing w:after="120" w:line="360" w:lineRule="auto"/>
        <w:ind w:firstLine="708"/>
        <w:jc w:val="both"/>
        <w:rPr>
          <w:rFonts w:cs="Arial"/>
          <w:szCs w:val="20"/>
        </w:rPr>
      </w:pPr>
    </w:p>
    <w:sectPr w:rsidR="0029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3"/>
    <w:rsid w:val="00292063"/>
    <w:rsid w:val="00315EAC"/>
    <w:rsid w:val="00B6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2A2F-8470-457E-A0F4-C121D539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063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92063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3">
    <w:name w:val="heading 3"/>
    <w:next w:val="Normln"/>
    <w:link w:val="Nadpis3Char"/>
    <w:uiPriority w:val="9"/>
    <w:qFormat/>
    <w:rsid w:val="00292063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063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2063"/>
    <w:rPr>
      <w:rFonts w:ascii="Arial" w:eastAsia="MS Gothic" w:hAnsi="Arial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resova16607\Documents\Dokumenty\Kopie%20-%20Podklady_tiskovka-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Kopie%20-%20Podklady_tiskovka-21xlsx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Graf 1:</a:t>
            </a:r>
            <a:r>
              <a:rPr lang="cs-CZ" sz="1200" baseline="0">
                <a:latin typeface="Arial" panose="020B0604020202020204" pitchFamily="34" charset="0"/>
                <a:cs typeface="Arial" panose="020B0604020202020204" pitchFamily="34" charset="0"/>
              </a:rPr>
              <a:t> Cizinci v ČR podle kategorie pobytu - data  k 31. 12. 2020 </a:t>
            </a:r>
            <a:endParaRPr lang="cs-CZ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1610382035578885"/>
          <c:y val="2.15788527243301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33661417322833"/>
          <c:y val="0.22431647200912228"/>
          <c:w val="0.52875721784776908"/>
          <c:h val="0.6524510657247535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15FD-4312-901C-1747BA6A409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15FD-4312-901C-1747BA6A409D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15FD-4312-901C-1747BA6A409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List1!$B$3:$B$5</c:f>
              <c:strCache>
                <c:ptCount val="3"/>
                <c:pt idx="0">
                  <c:v>Trvalý pobyt</c:v>
                </c:pt>
                <c:pt idx="1">
                  <c:v>Přechodný pobyt</c:v>
                </c:pt>
                <c:pt idx="2">
                  <c:v>Azylanti</c:v>
                </c:pt>
              </c:strCache>
            </c:strRef>
          </c:cat>
          <c:val>
            <c:numRef>
              <c:f>List1!$C$3:$C$5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15FD-4312-901C-1747BA6A409D}"/>
            </c:ext>
          </c:extLst>
        </c:ser>
        <c:ser>
          <c:idx val="1"/>
          <c:order val="1"/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8-15FD-4312-901C-1747BA6A409D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A-15FD-4312-901C-1747BA6A4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List1!$B$3:$B$5</c:f>
              <c:strCache>
                <c:ptCount val="3"/>
                <c:pt idx="0">
                  <c:v>Trvalý pobyt</c:v>
                </c:pt>
                <c:pt idx="1">
                  <c:v>Přechodný pobyt</c:v>
                </c:pt>
                <c:pt idx="2">
                  <c:v>Azylanti</c:v>
                </c:pt>
              </c:strCache>
            </c:strRef>
          </c:cat>
          <c:val>
            <c:numRef>
              <c:f>List1!$D$3:$D$5</c:f>
              <c:numCache>
                <c:formatCode>0.0%</c:formatCode>
                <c:ptCount val="3"/>
                <c:pt idx="0">
                  <c:v>0.48599999999999999</c:v>
                </c:pt>
                <c:pt idx="1">
                  <c:v>0.51100000000000001</c:v>
                </c:pt>
                <c:pt idx="2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5FD-4312-901C-1747BA6A4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4"/>
      </c:doughnutChart>
    </c:plotArea>
    <c:legend>
      <c:legendPos val="r"/>
      <c:layout>
        <c:manualLayout>
          <c:xMode val="edge"/>
          <c:yMode val="edge"/>
          <c:x val="0.72336900195167908"/>
          <c:y val="0.4737821187205043"/>
          <c:w val="0.25953698095430378"/>
          <c:h val="0.2740143320962779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Graf 2:</a:t>
            </a:r>
            <a:r>
              <a:rPr lang="cs-CZ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Cizinci v ČR podle kategorie pobytu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cs-CZ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v letech 2010 - 2020</a:t>
            </a:r>
            <a:r>
              <a:rPr lang="en-US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List3!$B$5</c:f>
              <c:strCache>
                <c:ptCount val="1"/>
                <c:pt idx="0">
                  <c:v>Trvalý pobyt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List3!$C$4:$M$4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List3!$C$5:$M$5</c:f>
              <c:numCache>
                <c:formatCode>General</c:formatCode>
                <c:ptCount val="11"/>
                <c:pt idx="0" formatCode="0.0">
                  <c:v>189</c:v>
                </c:pt>
                <c:pt idx="1">
                  <c:v>196.4</c:v>
                </c:pt>
                <c:pt idx="2">
                  <c:v>212.5</c:v>
                </c:pt>
                <c:pt idx="3">
                  <c:v>236.5</c:v>
                </c:pt>
                <c:pt idx="4">
                  <c:v>249.9</c:v>
                </c:pt>
                <c:pt idx="5" formatCode="0.0">
                  <c:v>260</c:v>
                </c:pt>
                <c:pt idx="6" formatCode="0.0">
                  <c:v>272</c:v>
                </c:pt>
                <c:pt idx="7">
                  <c:v>281.5</c:v>
                </c:pt>
                <c:pt idx="8">
                  <c:v>289.5</c:v>
                </c:pt>
                <c:pt idx="9">
                  <c:v>299.5</c:v>
                </c:pt>
                <c:pt idx="10">
                  <c:v>308.39999999999998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F-423C-815D-5498036D210A}"/>
            </c:ext>
          </c:extLst>
        </c:ser>
        <c:ser>
          <c:idx val="1"/>
          <c:order val="1"/>
          <c:tx>
            <c:strRef>
              <c:f>List3!$B$6</c:f>
              <c:strCache>
                <c:ptCount val="1"/>
                <c:pt idx="0">
                  <c:v>Přechodný pobyt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List3!$C$4:$M$4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List3!$C$6:$M$6</c:f>
              <c:numCache>
                <c:formatCode>General</c:formatCode>
                <c:ptCount val="11"/>
                <c:pt idx="0">
                  <c:v>235.3</c:v>
                </c:pt>
                <c:pt idx="1">
                  <c:v>237.7</c:v>
                </c:pt>
                <c:pt idx="2">
                  <c:v>223.5</c:v>
                </c:pt>
                <c:pt idx="3">
                  <c:v>202.6</c:v>
                </c:pt>
                <c:pt idx="4">
                  <c:v>199.5</c:v>
                </c:pt>
                <c:pt idx="5">
                  <c:v>204.6</c:v>
                </c:pt>
                <c:pt idx="6">
                  <c:v>221.5</c:v>
                </c:pt>
                <c:pt idx="7">
                  <c:v>242.7</c:v>
                </c:pt>
                <c:pt idx="8">
                  <c:v>274.89999999999998</c:v>
                </c:pt>
                <c:pt idx="9">
                  <c:v>293.89999999999998</c:v>
                </c:pt>
                <c:pt idx="10">
                  <c:v>324.2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6F-423C-815D-5498036D210A}"/>
            </c:ext>
          </c:extLst>
        </c:ser>
        <c:ser>
          <c:idx val="2"/>
          <c:order val="2"/>
          <c:tx>
            <c:strRef>
              <c:f>List3!$B$7</c:f>
              <c:strCache>
                <c:ptCount val="1"/>
                <c:pt idx="0">
                  <c:v>Azylanti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List3!$C$4:$M$4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List3!$C$7:$M$7</c:f>
              <c:numCache>
                <c:formatCode>General</c:formatCode>
                <c:ptCount val="11"/>
                <c:pt idx="0">
                  <c:v>2.1</c:v>
                </c:pt>
                <c:pt idx="1">
                  <c:v>2.2000000000000002</c:v>
                </c:pt>
                <c:pt idx="2">
                  <c:v>2.1</c:v>
                </c:pt>
                <c:pt idx="3">
                  <c:v>2.2999999999999998</c:v>
                </c:pt>
                <c:pt idx="4">
                  <c:v>2.6</c:v>
                </c:pt>
                <c:pt idx="5">
                  <c:v>2.9</c:v>
                </c:pt>
                <c:pt idx="6" formatCode="0.0">
                  <c:v>3</c:v>
                </c:pt>
                <c:pt idx="7">
                  <c:v>2.7</c:v>
                </c:pt>
                <c:pt idx="8">
                  <c:v>2.6</c:v>
                </c:pt>
                <c:pt idx="9">
                  <c:v>2.5</c:v>
                </c:pt>
                <c:pt idx="1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6F-423C-815D-5498036D2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632096"/>
        <c:axId val="90644160"/>
      </c:barChart>
      <c:catAx>
        <c:axId val="906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0644160"/>
        <c:crosses val="autoZero"/>
        <c:auto val="1"/>
        <c:lblAlgn val="ctr"/>
        <c:lblOffset val="100"/>
        <c:noMultiLvlLbl val="0"/>
      </c:catAx>
      <c:valAx>
        <c:axId val="9064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chemeClr val="tx1"/>
                    </a:solidFill>
                  </a:rPr>
                  <a:t>Tisíce osob</a:t>
                </a:r>
                <a:endParaRPr lang="en-US" baseline="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2.5410025410025409E-2"/>
              <c:y val="0.408063046523329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06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0.80208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657600" y="2200274"/>
          <a:ext cx="914400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</cdr:x>
      <cdr:y>0.875</cdr:y>
    </cdr:from>
    <cdr:to>
      <cdr:x>1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65760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Zdroj:</a:t>
          </a:r>
          <a:r>
            <a:rPr lang="cs-CZ" sz="900" baseline="0">
              <a:latin typeface="Arial" panose="020B0604020202020204" pitchFamily="34" charset="0"/>
              <a:cs typeface="Arial" panose="020B0604020202020204" pitchFamily="34" charset="0"/>
            </a:rPr>
            <a:t> ŘSCP</a:t>
          </a:r>
          <a:endParaRPr lang="cs-CZ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</cdr:x>
      <cdr:y>0.80208</cdr:y>
    </cdr:from>
    <cdr:to>
      <cdr:x>1</cdr:x>
      <cdr:y>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3657600" y="2200274"/>
          <a:ext cx="914400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0.86598</cdr:x>
      <cdr:y>0.91935</cdr:y>
    </cdr:from>
    <cdr:to>
      <cdr:x>1</cdr:x>
      <cdr:y>1</cdr:y>
    </cdr:to>
    <cdr:sp macro="" textlink="">
      <cdr:nvSpPr>
        <cdr:cNvPr id="5" name="TextovéPole 2"/>
        <cdr:cNvSpPr txBox="1"/>
      </cdr:nvSpPr>
      <cdr:spPr>
        <a:xfrm xmlns:a="http://schemas.openxmlformats.org/drawingml/2006/main">
          <a:off x="6048672" y="4104456"/>
          <a:ext cx="936104" cy="36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0.82222</cdr:x>
      <cdr:y>0.92573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29100" y="3324224"/>
          <a:ext cx="914400" cy="266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Zdroj</a:t>
          </a:r>
          <a:r>
            <a:rPr lang="cs-CZ" sz="1000">
              <a:latin typeface="+mn-lt"/>
            </a:rPr>
            <a:t>: ŘSCP</a:t>
          </a:r>
        </a:p>
      </cdr:txBody>
    </cdr:sp>
  </cdr:relSizeAnchor>
  <cdr:relSizeAnchor xmlns:cdr="http://schemas.openxmlformats.org/drawingml/2006/chartDrawing">
    <cdr:from>
      <cdr:x>0</cdr:x>
      <cdr:y>0.08549</cdr:y>
    </cdr:from>
    <cdr:to>
      <cdr:x>0.21236</cdr:x>
      <cdr:y>0.3342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0" y="314325"/>
          <a:ext cx="10477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0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Jarmila Marešová</dc:creator>
  <cp:keywords/>
  <dc:description/>
  <cp:lastModifiedBy>RNDr. Jarmila Marešová</cp:lastModifiedBy>
  <cp:revision>2</cp:revision>
  <dcterms:created xsi:type="dcterms:W3CDTF">2021-12-02T09:23:00Z</dcterms:created>
  <dcterms:modified xsi:type="dcterms:W3CDTF">2021-12-02T11:33:00Z</dcterms:modified>
</cp:coreProperties>
</file>