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827" w:rsidRPr="00430524" w:rsidRDefault="00721AFD" w:rsidP="001D5071">
      <w:pPr>
        <w:widowControl/>
        <w:tabs>
          <w:tab w:val="left" w:pos="0"/>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072"/>
          <w:tab w:val="left" w:pos="9360"/>
        </w:tabs>
        <w:jc w:val="center"/>
        <w:rPr>
          <w:rFonts w:ascii="Arial" w:hAnsi="Arial" w:cs="Arial"/>
          <w:b/>
          <w:i/>
          <w:iCs/>
          <w:sz w:val="24"/>
          <w:szCs w:val="24"/>
        </w:rPr>
      </w:pPr>
      <w:bookmarkStart w:id="0" w:name="_GoBack"/>
      <w:bookmarkEnd w:id="0"/>
      <w:r w:rsidRPr="00430524">
        <w:rPr>
          <w:rFonts w:ascii="Arial" w:hAnsi="Arial" w:cs="Arial"/>
          <w:b/>
          <w:i/>
          <w:iCs/>
          <w:sz w:val="24"/>
          <w:szCs w:val="24"/>
        </w:rPr>
        <w:t>7. CURRENCY AND BALANCE OF PAYMENTS</w:t>
      </w:r>
    </w:p>
    <w:p w:rsidR="00AD5827" w:rsidRPr="00430524" w:rsidRDefault="00AD5827" w:rsidP="001D5071">
      <w:pPr>
        <w:widowControl/>
        <w:tabs>
          <w:tab w:val="left" w:pos="0"/>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072"/>
          <w:tab w:val="left" w:pos="9360"/>
        </w:tabs>
        <w:suppressAutoHyphens/>
        <w:jc w:val="both"/>
        <w:rPr>
          <w:rFonts w:ascii="Arial" w:hAnsi="Arial" w:cs="Arial"/>
          <w:bCs/>
          <w:i/>
          <w:iCs/>
        </w:rPr>
      </w:pPr>
    </w:p>
    <w:p w:rsidR="00AD5827" w:rsidRPr="00430524" w:rsidRDefault="00721AFD" w:rsidP="001D5071">
      <w:pPr>
        <w:widowControl/>
        <w:tabs>
          <w:tab w:val="left" w:pos="0"/>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072"/>
          <w:tab w:val="left" w:pos="9360"/>
        </w:tabs>
        <w:suppressAutoHyphens/>
        <w:ind w:firstLine="709"/>
        <w:jc w:val="both"/>
        <w:rPr>
          <w:rFonts w:ascii="Arial" w:hAnsi="Arial" w:cs="Arial"/>
          <w:i/>
          <w:iCs/>
          <w:spacing w:val="-3"/>
        </w:rPr>
      </w:pPr>
      <w:r w:rsidRPr="00430524">
        <w:rPr>
          <w:rFonts w:ascii="Arial" w:hAnsi="Arial" w:cs="Arial"/>
          <w:i/>
          <w:iCs/>
          <w:spacing w:val="-3"/>
        </w:rPr>
        <w:t>The source of the data presented in this chapter is the Czech National Bank. All tables where the titles of reports are given are exhaustive investigations. Otherwise, qualified estimates and calculations are used.</w:t>
      </w:r>
    </w:p>
    <w:p w:rsidR="00AD5827" w:rsidRPr="00430524" w:rsidRDefault="00AD5827" w:rsidP="001D5071">
      <w:pPr>
        <w:widowControl/>
        <w:tabs>
          <w:tab w:val="left" w:pos="0"/>
          <w:tab w:val="left" w:pos="396"/>
          <w:tab w:val="left" w:pos="738"/>
          <w:tab w:val="left" w:pos="1440"/>
        </w:tabs>
        <w:suppressAutoHyphens/>
        <w:jc w:val="both"/>
        <w:rPr>
          <w:rFonts w:ascii="Arial" w:hAnsi="Arial" w:cs="Arial"/>
          <w:i/>
          <w:iCs/>
          <w:spacing w:val="-3"/>
        </w:rPr>
      </w:pPr>
    </w:p>
    <w:p w:rsidR="00AD5827" w:rsidRPr="00430524" w:rsidRDefault="00AD5827" w:rsidP="001D5071">
      <w:pPr>
        <w:widowControl/>
        <w:tabs>
          <w:tab w:val="left" w:pos="0"/>
          <w:tab w:val="left" w:pos="396"/>
          <w:tab w:val="left" w:pos="738"/>
          <w:tab w:val="left" w:pos="1440"/>
        </w:tabs>
        <w:suppressAutoHyphens/>
        <w:jc w:val="both"/>
        <w:rPr>
          <w:rFonts w:ascii="Arial" w:hAnsi="Arial" w:cs="Arial"/>
          <w:i/>
          <w:iCs/>
          <w:spacing w:val="-3"/>
        </w:rPr>
      </w:pPr>
    </w:p>
    <w:p w:rsidR="00902012" w:rsidRPr="00430524" w:rsidRDefault="00902012" w:rsidP="001D5071">
      <w:pPr>
        <w:widowControl/>
        <w:tabs>
          <w:tab w:val="left" w:pos="0"/>
          <w:tab w:val="left" w:pos="396"/>
          <w:tab w:val="left" w:pos="738"/>
          <w:tab w:val="left" w:pos="1440"/>
        </w:tabs>
        <w:suppressAutoHyphens/>
        <w:jc w:val="both"/>
        <w:rPr>
          <w:rFonts w:ascii="Arial" w:hAnsi="Arial" w:cs="Arial"/>
          <w:i/>
          <w:iCs/>
          <w:spacing w:val="-3"/>
        </w:rPr>
      </w:pPr>
    </w:p>
    <w:p w:rsidR="00AD5827" w:rsidRPr="00430524" w:rsidRDefault="00721AFD" w:rsidP="001D5071">
      <w:pPr>
        <w:pStyle w:val="Nadpis2"/>
        <w:keepNext w:val="0"/>
        <w:widowControl/>
        <w:spacing w:line="240" w:lineRule="auto"/>
        <w:rPr>
          <w:rFonts w:cs="Arial"/>
          <w:iCs/>
        </w:rPr>
      </w:pPr>
      <w:r w:rsidRPr="00430524">
        <w:rPr>
          <w:rFonts w:cs="Arial"/>
          <w:iCs/>
        </w:rPr>
        <w:t>Notes on Tables</w:t>
      </w:r>
    </w:p>
    <w:p w:rsidR="00AD5827" w:rsidRPr="00430524" w:rsidRDefault="00AD5827" w:rsidP="001D5071">
      <w:pPr>
        <w:widowControl/>
        <w:tabs>
          <w:tab w:val="left" w:pos="0"/>
          <w:tab w:val="left" w:pos="396"/>
          <w:tab w:val="left" w:pos="738"/>
          <w:tab w:val="left" w:pos="1440"/>
        </w:tabs>
        <w:suppressAutoHyphens/>
        <w:jc w:val="both"/>
        <w:rPr>
          <w:rFonts w:ascii="Arial" w:hAnsi="Arial" w:cs="Arial"/>
          <w:i/>
          <w:iCs/>
          <w:spacing w:val="-3"/>
        </w:rPr>
      </w:pPr>
    </w:p>
    <w:p w:rsidR="00AD5827" w:rsidRPr="00430524" w:rsidRDefault="00AD5827" w:rsidP="001D5071">
      <w:pPr>
        <w:widowControl/>
        <w:tabs>
          <w:tab w:val="left" w:pos="0"/>
          <w:tab w:val="left" w:pos="396"/>
          <w:tab w:val="left" w:pos="738"/>
          <w:tab w:val="left" w:pos="1440"/>
        </w:tabs>
        <w:suppressAutoHyphens/>
        <w:jc w:val="both"/>
        <w:rPr>
          <w:rFonts w:ascii="Arial" w:hAnsi="Arial" w:cs="Arial"/>
          <w:i/>
          <w:iCs/>
          <w:spacing w:val="-3"/>
        </w:rPr>
      </w:pPr>
    </w:p>
    <w:p w:rsidR="00AD5827" w:rsidRPr="00430524" w:rsidRDefault="00721AFD" w:rsidP="001D5071">
      <w:pPr>
        <w:widowControl/>
        <w:jc w:val="both"/>
        <w:outlineLvl w:val="0"/>
        <w:rPr>
          <w:rFonts w:ascii="Arial" w:hAnsi="Arial" w:cs="Arial"/>
          <w:b/>
          <w:i/>
          <w:snapToGrid w:val="0"/>
        </w:rPr>
      </w:pPr>
      <w:r w:rsidRPr="00430524">
        <w:rPr>
          <w:rFonts w:ascii="Arial" w:hAnsi="Arial" w:cs="Arial"/>
          <w:i/>
          <w:iCs/>
          <w:spacing w:val="-3"/>
        </w:rPr>
        <w:t xml:space="preserve">Table </w:t>
      </w:r>
      <w:r w:rsidRPr="00430524">
        <w:rPr>
          <w:rFonts w:ascii="Arial" w:hAnsi="Arial" w:cs="Arial"/>
          <w:b/>
          <w:i/>
          <w:iCs/>
          <w:spacing w:val="-3"/>
        </w:rPr>
        <w:t>7</w:t>
      </w:r>
      <w:r w:rsidRPr="00430524">
        <w:rPr>
          <w:rFonts w:ascii="Arial" w:hAnsi="Arial" w:cs="Arial"/>
          <w:bCs/>
          <w:i/>
          <w:iCs/>
          <w:spacing w:val="-3"/>
        </w:rPr>
        <w:t>-</w:t>
      </w:r>
      <w:r w:rsidRPr="00430524">
        <w:rPr>
          <w:rFonts w:ascii="Arial" w:hAnsi="Arial" w:cs="Arial"/>
          <w:i/>
          <w:iCs/>
          <w:spacing w:val="-3"/>
        </w:rPr>
        <w:t>1</w:t>
      </w:r>
      <w:r w:rsidR="00AD5827" w:rsidRPr="00430524">
        <w:rPr>
          <w:rFonts w:ascii="Arial" w:hAnsi="Arial" w:cs="Arial"/>
          <w:i/>
          <w:iCs/>
          <w:spacing w:val="-3"/>
        </w:rPr>
        <w:t xml:space="preserve"> </w:t>
      </w:r>
      <w:r w:rsidR="00AD5827" w:rsidRPr="00430524">
        <w:rPr>
          <w:rFonts w:ascii="Arial" w:hAnsi="Arial"/>
          <w:b/>
          <w:i/>
          <w:snapToGrid w:val="0"/>
        </w:rPr>
        <w:t xml:space="preserve">Monetary </w:t>
      </w:r>
      <w:r w:rsidR="00E846EC" w:rsidRPr="00430524">
        <w:rPr>
          <w:rFonts w:ascii="Arial" w:hAnsi="Arial"/>
          <w:b/>
          <w:i/>
          <w:snapToGrid w:val="0"/>
        </w:rPr>
        <w:t>aggregates and counterparts</w:t>
      </w:r>
    </w:p>
    <w:p w:rsidR="00AD5827" w:rsidRPr="00430524" w:rsidRDefault="007D59ED" w:rsidP="001D5071">
      <w:pPr>
        <w:pStyle w:val="Podnadpis"/>
        <w:spacing w:before="120"/>
        <w:ind w:firstLine="709"/>
        <w:jc w:val="both"/>
        <w:rPr>
          <w:rFonts w:ascii="Arial" w:hAnsi="Arial" w:cs="Arial"/>
          <w:i/>
          <w:sz w:val="20"/>
        </w:rPr>
      </w:pPr>
      <w:r w:rsidRPr="00430524">
        <w:rPr>
          <w:rFonts w:ascii="Arial" w:hAnsi="Arial"/>
          <w:i/>
          <w:sz w:val="20"/>
        </w:rPr>
        <w:t xml:space="preserve">The </w:t>
      </w:r>
      <w:r w:rsidR="00E846EC" w:rsidRPr="00430524">
        <w:rPr>
          <w:rFonts w:ascii="Arial" w:hAnsi="Arial"/>
          <w:i/>
          <w:sz w:val="20"/>
        </w:rPr>
        <w:t xml:space="preserve">table on </w:t>
      </w:r>
      <w:r w:rsidRPr="00430524">
        <w:rPr>
          <w:rFonts w:ascii="Arial" w:hAnsi="Arial"/>
          <w:i/>
          <w:sz w:val="20"/>
        </w:rPr>
        <w:t>m</w:t>
      </w:r>
      <w:r w:rsidR="00AD5827" w:rsidRPr="00430524">
        <w:rPr>
          <w:rFonts w:ascii="Arial" w:hAnsi="Arial"/>
          <w:i/>
          <w:sz w:val="20"/>
        </w:rPr>
        <w:t xml:space="preserve">onetary </w:t>
      </w:r>
      <w:r w:rsidR="00E846EC" w:rsidRPr="00430524">
        <w:rPr>
          <w:rFonts w:ascii="Arial" w:hAnsi="Arial"/>
          <w:i/>
          <w:sz w:val="20"/>
        </w:rPr>
        <w:t>aggregates and their counterparts</w:t>
      </w:r>
      <w:r w:rsidR="00AD5827" w:rsidRPr="00430524">
        <w:rPr>
          <w:rFonts w:ascii="Arial" w:hAnsi="Arial"/>
          <w:i/>
          <w:sz w:val="20"/>
        </w:rPr>
        <w:t xml:space="preserve"> is</w:t>
      </w:r>
      <w:r w:rsidR="0005001C" w:rsidRPr="00430524">
        <w:rPr>
          <w:rFonts w:ascii="Arial" w:hAnsi="Arial"/>
          <w:i/>
          <w:sz w:val="20"/>
        </w:rPr>
        <w:t xml:space="preserve"> </w:t>
      </w:r>
      <w:r w:rsidR="00E846EC" w:rsidRPr="00430524">
        <w:rPr>
          <w:rFonts w:ascii="Arial" w:hAnsi="Arial"/>
          <w:i/>
          <w:sz w:val="20"/>
        </w:rPr>
        <w:t xml:space="preserve">a </w:t>
      </w:r>
      <w:r w:rsidR="00AD5827" w:rsidRPr="00430524">
        <w:rPr>
          <w:rFonts w:ascii="Arial" w:hAnsi="Arial"/>
          <w:i/>
          <w:sz w:val="20"/>
        </w:rPr>
        <w:t>concise balance sheet of monetary financial institutions (MFIs) providing</w:t>
      </w:r>
      <w:r w:rsidR="0005001C" w:rsidRPr="00430524">
        <w:rPr>
          <w:rFonts w:ascii="Arial" w:hAnsi="Arial"/>
          <w:i/>
          <w:sz w:val="20"/>
        </w:rPr>
        <w:t xml:space="preserve"> </w:t>
      </w:r>
      <w:r w:rsidR="00AD5827" w:rsidRPr="00430524">
        <w:rPr>
          <w:rFonts w:ascii="Arial" w:hAnsi="Arial"/>
          <w:i/>
          <w:sz w:val="20"/>
        </w:rPr>
        <w:t>users with</w:t>
      </w:r>
      <w:r w:rsidR="0005001C" w:rsidRPr="00430524">
        <w:rPr>
          <w:rFonts w:ascii="Arial" w:hAnsi="Arial"/>
          <w:i/>
          <w:sz w:val="20"/>
        </w:rPr>
        <w:t xml:space="preserve"> </w:t>
      </w:r>
      <w:r w:rsidR="00E846EC" w:rsidRPr="00430524">
        <w:rPr>
          <w:rFonts w:ascii="Arial" w:hAnsi="Arial"/>
          <w:i/>
          <w:sz w:val="20"/>
        </w:rPr>
        <w:t xml:space="preserve">a </w:t>
      </w:r>
      <w:r w:rsidR="00AD5827" w:rsidRPr="00430524">
        <w:rPr>
          <w:rFonts w:ascii="Arial" w:hAnsi="Arial"/>
          <w:i/>
          <w:sz w:val="20"/>
        </w:rPr>
        <w:t>basic overview of</w:t>
      </w:r>
      <w:r w:rsidR="0005001C" w:rsidRPr="00430524">
        <w:rPr>
          <w:rFonts w:ascii="Arial" w:hAnsi="Arial"/>
          <w:i/>
          <w:sz w:val="20"/>
        </w:rPr>
        <w:t xml:space="preserve"> </w:t>
      </w:r>
      <w:r w:rsidR="00E846EC" w:rsidRPr="00430524">
        <w:rPr>
          <w:rFonts w:ascii="Arial" w:hAnsi="Arial"/>
          <w:i/>
          <w:sz w:val="20"/>
        </w:rPr>
        <w:t xml:space="preserve">the </w:t>
      </w:r>
      <w:r w:rsidR="00AD5827" w:rsidRPr="00430524">
        <w:rPr>
          <w:rFonts w:ascii="Arial" w:hAnsi="Arial"/>
          <w:i/>
          <w:sz w:val="20"/>
        </w:rPr>
        <w:t>position of</w:t>
      </w:r>
      <w:r w:rsidR="0005001C" w:rsidRPr="00430524">
        <w:rPr>
          <w:rFonts w:ascii="Arial" w:hAnsi="Arial"/>
          <w:i/>
          <w:sz w:val="20"/>
        </w:rPr>
        <w:t xml:space="preserve"> </w:t>
      </w:r>
      <w:r w:rsidR="00E846EC" w:rsidRPr="00430524">
        <w:rPr>
          <w:rFonts w:ascii="Arial" w:hAnsi="Arial"/>
          <w:i/>
          <w:sz w:val="20"/>
        </w:rPr>
        <w:t xml:space="preserve">the </w:t>
      </w:r>
      <w:r w:rsidR="00AD5827" w:rsidRPr="00430524">
        <w:rPr>
          <w:rFonts w:ascii="Arial" w:hAnsi="Arial"/>
          <w:i/>
          <w:sz w:val="20"/>
        </w:rPr>
        <w:t>MFI sector vis-à-vis other resident and non-resident sectors.</w:t>
      </w:r>
    </w:p>
    <w:p w:rsidR="00E846EC" w:rsidRPr="00430524" w:rsidRDefault="00721AFD" w:rsidP="001D5071">
      <w:pPr>
        <w:pStyle w:val="Podnadpis"/>
        <w:spacing w:before="120"/>
        <w:ind w:firstLine="709"/>
        <w:jc w:val="both"/>
        <w:rPr>
          <w:rFonts w:ascii="Arial" w:hAnsi="Arial" w:cs="Arial"/>
          <w:i/>
          <w:sz w:val="20"/>
        </w:rPr>
      </w:pPr>
      <w:r w:rsidRPr="00430524">
        <w:rPr>
          <w:rFonts w:ascii="Arial" w:hAnsi="Arial"/>
          <w:i/>
          <w:sz w:val="20"/>
        </w:rPr>
        <w:t xml:space="preserve">Monetary aggregates represent the amount of money in the economy and are calculated from the monetary liabilities of resident monetary financial institutions (the money-creating sector) to other resident sectors (the money-holding sector). </w:t>
      </w:r>
    </w:p>
    <w:p w:rsidR="00E846EC" w:rsidRPr="00430524" w:rsidRDefault="00721AFD" w:rsidP="001D5071">
      <w:pPr>
        <w:pStyle w:val="Podnadpis"/>
        <w:spacing w:before="120"/>
        <w:ind w:firstLine="709"/>
        <w:jc w:val="both"/>
        <w:rPr>
          <w:rFonts w:ascii="Arial" w:hAnsi="Arial" w:cs="Arial"/>
          <w:i/>
          <w:sz w:val="20"/>
        </w:rPr>
      </w:pPr>
      <w:r w:rsidRPr="00430524">
        <w:rPr>
          <w:rFonts w:ascii="Arial" w:hAnsi="Arial"/>
          <w:i/>
          <w:sz w:val="20"/>
        </w:rPr>
        <w:t>The money-holding sector comprises all Czech residents other than MFIs (excluding central government). In addition to households</w:t>
      </w:r>
      <w:r w:rsidR="00D03D35">
        <w:rPr>
          <w:rFonts w:ascii="Arial" w:hAnsi="Arial"/>
          <w:i/>
          <w:sz w:val="20"/>
        </w:rPr>
        <w:t xml:space="preserve"> and NPISH</w:t>
      </w:r>
      <w:r w:rsidRPr="00430524">
        <w:rPr>
          <w:rFonts w:ascii="Arial" w:hAnsi="Arial"/>
          <w:i/>
          <w:sz w:val="20"/>
        </w:rPr>
        <w:t>, it includes non-financial corporations, financial corporations other than MFIs, local government and social security funds. In the Czech Republic, MFIs comprise the ce</w:t>
      </w:r>
      <w:r w:rsidRPr="00430524">
        <w:rPr>
          <w:rFonts w:ascii="Arial" w:hAnsi="Arial" w:cs="Arial"/>
          <w:i/>
          <w:sz w:val="20"/>
        </w:rPr>
        <w:t>ntral bank (S.121) and other monetary financial institutions (S.122</w:t>
      </w:r>
      <w:r w:rsidR="004268E1" w:rsidRPr="004268E1">
        <w:rPr>
          <w:rFonts w:ascii="Arial" w:hAnsi="Arial" w:cs="Arial"/>
          <w:i/>
          <w:sz w:val="20"/>
        </w:rPr>
        <w:t xml:space="preserve"> and S.123</w:t>
      </w:r>
      <w:r w:rsidR="00E846EC" w:rsidRPr="00430524">
        <w:rPr>
          <w:rFonts w:ascii="Arial" w:hAnsi="Arial" w:cs="Arial"/>
          <w:i/>
          <w:sz w:val="20"/>
        </w:rPr>
        <w:t xml:space="preserve">), i.e. banks, money market funds and credit unions. Central government is considered to be a money-neutral sector. </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cs="Arial"/>
          <w:i/>
          <w:sz w:val="20"/>
        </w:rPr>
        <w:t xml:space="preserve">Monetary aggregates differ according to the degree of liquidity of the individual components. </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cs="Arial"/>
          <w:i/>
          <w:sz w:val="20"/>
        </w:rPr>
        <w:t xml:space="preserve">The </w:t>
      </w:r>
      <w:r w:rsidRPr="00430524">
        <w:rPr>
          <w:rFonts w:ascii="Arial" w:hAnsi="Arial" w:cs="Arial"/>
          <w:b/>
          <w:i/>
          <w:sz w:val="20"/>
        </w:rPr>
        <w:t xml:space="preserve">narrow monetary aggregate M1 </w:t>
      </w:r>
      <w:r w:rsidRPr="00430524">
        <w:rPr>
          <w:rFonts w:ascii="Arial" w:hAnsi="Arial" w:cs="Arial"/>
          <w:i/>
          <w:sz w:val="20"/>
        </w:rPr>
        <w:t xml:space="preserve">comprises currency in circulation plus overnight deposits. </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cs="Arial"/>
          <w:i/>
          <w:sz w:val="20"/>
        </w:rPr>
        <w:t xml:space="preserve">The </w:t>
      </w:r>
      <w:r w:rsidRPr="00430524">
        <w:rPr>
          <w:rFonts w:ascii="Arial" w:hAnsi="Arial" w:cs="Arial"/>
          <w:b/>
          <w:i/>
          <w:sz w:val="20"/>
        </w:rPr>
        <w:t>intermediate monetary aggregate M2</w:t>
      </w:r>
      <w:r w:rsidRPr="00430524">
        <w:rPr>
          <w:rFonts w:ascii="Arial" w:hAnsi="Arial" w:cs="Arial"/>
          <w:i/>
          <w:sz w:val="20"/>
        </w:rPr>
        <w:t xml:space="preserve"> comprises M1, deposits redeemable at a period of notice of up to and including three months, and deposits with an agreed maturity of up to and including two years. </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cs="Arial"/>
          <w:i/>
          <w:sz w:val="20"/>
        </w:rPr>
        <w:t xml:space="preserve">The </w:t>
      </w:r>
      <w:r w:rsidRPr="00430524">
        <w:rPr>
          <w:rFonts w:ascii="Arial" w:hAnsi="Arial" w:cs="Arial"/>
          <w:b/>
          <w:i/>
          <w:sz w:val="20"/>
        </w:rPr>
        <w:t>broad monetary aggregate M3</w:t>
      </w:r>
      <w:r w:rsidRPr="00430524">
        <w:rPr>
          <w:rFonts w:ascii="Arial" w:hAnsi="Arial" w:cs="Arial"/>
          <w:i/>
          <w:sz w:val="20"/>
        </w:rPr>
        <w:t xml:space="preserve"> comprises M2 plus </w:t>
      </w:r>
      <w:r w:rsidR="009E6697">
        <w:rPr>
          <w:rFonts w:ascii="Arial" w:hAnsi="Arial" w:cs="Arial"/>
          <w:i/>
          <w:sz w:val="20"/>
        </w:rPr>
        <w:t xml:space="preserve">marketable instruments consisting of </w:t>
      </w:r>
      <w:r w:rsidRPr="00430524">
        <w:rPr>
          <w:rFonts w:ascii="Arial" w:hAnsi="Arial" w:cs="Arial"/>
          <w:i/>
          <w:sz w:val="20"/>
        </w:rPr>
        <w:t xml:space="preserve">money market fund </w:t>
      </w:r>
      <w:r w:rsidR="009E6697" w:rsidRPr="00430524">
        <w:rPr>
          <w:rFonts w:ascii="Arial" w:hAnsi="Arial" w:cs="Arial"/>
          <w:i/>
          <w:sz w:val="20"/>
        </w:rPr>
        <w:t>units</w:t>
      </w:r>
      <w:r w:rsidR="009E6697">
        <w:rPr>
          <w:rFonts w:ascii="Arial" w:hAnsi="Arial" w:cs="Arial"/>
          <w:i/>
          <w:sz w:val="20"/>
        </w:rPr>
        <w:t>/</w:t>
      </w:r>
      <w:r w:rsidRPr="00430524">
        <w:rPr>
          <w:rFonts w:ascii="Arial" w:hAnsi="Arial" w:cs="Arial"/>
          <w:i/>
          <w:sz w:val="20"/>
        </w:rPr>
        <w:t>shares, debt securities with a maturity of up to and including two years, and repurchase agreements.</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cs="Arial"/>
          <w:i/>
          <w:sz w:val="20"/>
        </w:rPr>
        <w:t xml:space="preserve">The main counterparts of </w:t>
      </w:r>
      <w:r w:rsidR="00224193" w:rsidRPr="00430524">
        <w:rPr>
          <w:rFonts w:ascii="Arial" w:hAnsi="Arial" w:cs="Arial"/>
          <w:i/>
          <w:sz w:val="20"/>
        </w:rPr>
        <w:t xml:space="preserve">the </w:t>
      </w:r>
      <w:r w:rsidRPr="00430524">
        <w:rPr>
          <w:rFonts w:ascii="Arial" w:hAnsi="Arial" w:cs="Arial"/>
          <w:i/>
          <w:sz w:val="20"/>
        </w:rPr>
        <w:t>monetary aggregates are as follows:</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cs="Arial"/>
          <w:b/>
          <w:i/>
          <w:sz w:val="20"/>
        </w:rPr>
        <w:t>Longer-term financial liabilities</w:t>
      </w:r>
      <w:r w:rsidRPr="00430524">
        <w:rPr>
          <w:rFonts w:ascii="Arial" w:hAnsi="Arial" w:cs="Arial"/>
          <w:i/>
          <w:sz w:val="20"/>
        </w:rPr>
        <w:t xml:space="preserve">, which comprise deposits redeemable at a period of notice of over three months, deposits with an agreed maturity of over two years, capital and reserves. </w:t>
      </w:r>
    </w:p>
    <w:p w:rsidR="00E846EC" w:rsidRPr="00430524" w:rsidRDefault="00721AFD" w:rsidP="001D5071">
      <w:pPr>
        <w:pStyle w:val="Podnadpis"/>
        <w:spacing w:before="120"/>
        <w:ind w:firstLine="709"/>
        <w:jc w:val="both"/>
        <w:rPr>
          <w:rFonts w:ascii="Arial" w:hAnsi="Arial" w:cs="Arial"/>
          <w:i/>
          <w:sz w:val="20"/>
        </w:rPr>
      </w:pPr>
      <w:r w:rsidRPr="00430524">
        <w:rPr>
          <w:rFonts w:ascii="Arial" w:hAnsi="Arial" w:cs="Arial"/>
          <w:b/>
          <w:i/>
          <w:sz w:val="20"/>
        </w:rPr>
        <w:t xml:space="preserve">Loans to general government </w:t>
      </w:r>
      <w:r w:rsidRPr="00430524">
        <w:rPr>
          <w:rFonts w:ascii="Arial" w:hAnsi="Arial" w:cs="Arial"/>
          <w:i/>
          <w:sz w:val="20"/>
        </w:rPr>
        <w:t>(S.13) under the ESA</w:t>
      </w:r>
      <w:r w:rsidR="00430524">
        <w:rPr>
          <w:rFonts w:ascii="Arial" w:hAnsi="Arial" w:cs="Arial"/>
          <w:i/>
          <w:sz w:val="20"/>
        </w:rPr>
        <w:t> </w:t>
      </w:r>
      <w:r w:rsidR="004268E1" w:rsidRPr="004268E1">
        <w:rPr>
          <w:rFonts w:ascii="Arial" w:hAnsi="Arial" w:cs="Arial"/>
          <w:i/>
          <w:sz w:val="20"/>
        </w:rPr>
        <w:t>2010</w:t>
      </w:r>
      <w:r w:rsidR="00F36831" w:rsidRPr="00430524">
        <w:rPr>
          <w:rFonts w:ascii="Arial" w:hAnsi="Arial" w:cs="Arial"/>
          <w:i/>
          <w:sz w:val="20"/>
        </w:rPr>
        <w:t xml:space="preserve"> </w:t>
      </w:r>
      <w:r w:rsidR="00E846EC" w:rsidRPr="00430524">
        <w:rPr>
          <w:rFonts w:ascii="Arial" w:hAnsi="Arial" w:cs="Arial"/>
          <w:i/>
          <w:sz w:val="20"/>
        </w:rPr>
        <w:t>classification</w:t>
      </w:r>
      <w:r w:rsidR="00224193" w:rsidRPr="00430524">
        <w:rPr>
          <w:rFonts w:ascii="Arial" w:hAnsi="Arial" w:cs="Arial"/>
          <w:i/>
          <w:sz w:val="20"/>
        </w:rPr>
        <w:t>,</w:t>
      </w:r>
      <w:r w:rsidR="00E846EC" w:rsidRPr="00430524">
        <w:rPr>
          <w:rFonts w:ascii="Arial" w:hAnsi="Arial" w:cs="Arial"/>
          <w:i/>
          <w:sz w:val="20"/>
        </w:rPr>
        <w:t xml:space="preserve"> including purchased debt and equity securities issued by general government.</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cs="Arial"/>
          <w:b/>
          <w:i/>
          <w:sz w:val="20"/>
        </w:rPr>
        <w:t>Loans</w:t>
      </w:r>
      <w:r w:rsidR="00430524">
        <w:rPr>
          <w:rFonts w:ascii="Arial" w:hAnsi="Arial" w:cs="Arial"/>
          <w:b/>
          <w:i/>
          <w:sz w:val="20"/>
        </w:rPr>
        <w:t> </w:t>
      </w:r>
      <w:r w:rsidRPr="00430524">
        <w:rPr>
          <w:rFonts w:ascii="Arial" w:hAnsi="Arial" w:cs="Arial"/>
          <w:b/>
          <w:i/>
          <w:sz w:val="20"/>
        </w:rPr>
        <w:t>to</w:t>
      </w:r>
      <w:r w:rsidR="00430524">
        <w:rPr>
          <w:rFonts w:ascii="Arial" w:hAnsi="Arial" w:cs="Arial"/>
          <w:b/>
          <w:i/>
          <w:sz w:val="20"/>
        </w:rPr>
        <w:t> </w:t>
      </w:r>
      <w:r w:rsidRPr="00430524">
        <w:rPr>
          <w:rFonts w:ascii="Arial" w:hAnsi="Arial" w:cs="Arial"/>
          <w:b/>
          <w:i/>
          <w:sz w:val="20"/>
        </w:rPr>
        <w:t>the</w:t>
      </w:r>
      <w:r w:rsidR="00430524">
        <w:rPr>
          <w:rFonts w:ascii="Arial" w:hAnsi="Arial" w:cs="Arial"/>
          <w:b/>
          <w:i/>
          <w:sz w:val="20"/>
        </w:rPr>
        <w:t> </w:t>
      </w:r>
      <w:r w:rsidRPr="00430524">
        <w:rPr>
          <w:rFonts w:ascii="Arial" w:hAnsi="Arial" w:cs="Arial"/>
          <w:b/>
          <w:i/>
          <w:sz w:val="20"/>
        </w:rPr>
        <w:t>private</w:t>
      </w:r>
      <w:r w:rsidR="00430524">
        <w:rPr>
          <w:rFonts w:ascii="Arial" w:hAnsi="Arial" w:cs="Arial"/>
          <w:b/>
          <w:i/>
          <w:sz w:val="20"/>
        </w:rPr>
        <w:t> </w:t>
      </w:r>
      <w:r w:rsidRPr="00430524">
        <w:rPr>
          <w:rFonts w:ascii="Arial" w:hAnsi="Arial" w:cs="Arial"/>
          <w:b/>
          <w:i/>
          <w:sz w:val="20"/>
        </w:rPr>
        <w:t>sector</w:t>
      </w:r>
      <w:r w:rsidR="00430524">
        <w:rPr>
          <w:rFonts w:ascii="Arial" w:hAnsi="Arial" w:cs="Arial"/>
          <w:i/>
          <w:sz w:val="20"/>
        </w:rPr>
        <w:t> </w:t>
      </w:r>
      <w:r w:rsidRPr="00430524">
        <w:rPr>
          <w:rFonts w:ascii="Arial" w:hAnsi="Arial" w:cs="Arial"/>
          <w:i/>
          <w:sz w:val="20"/>
        </w:rPr>
        <w:t>(S.11+S.124+S.125+</w:t>
      </w:r>
      <w:r w:rsidR="004268E1" w:rsidRPr="004268E1">
        <w:rPr>
          <w:rFonts w:ascii="Arial" w:hAnsi="Arial" w:cs="Arial"/>
          <w:i/>
          <w:sz w:val="20"/>
        </w:rPr>
        <w:t>S.126+S.127+S.128+S.129+</w:t>
      </w:r>
      <w:r w:rsidRPr="00430524">
        <w:rPr>
          <w:rFonts w:ascii="Arial" w:hAnsi="Arial" w:cs="Arial"/>
          <w:i/>
          <w:sz w:val="20"/>
        </w:rPr>
        <w:t xml:space="preserve">S.14+S.15) under </w:t>
      </w:r>
      <w:r w:rsidR="00224193" w:rsidRPr="00430524">
        <w:rPr>
          <w:rFonts w:ascii="Arial" w:hAnsi="Arial" w:cs="Arial"/>
          <w:i/>
          <w:sz w:val="20"/>
        </w:rPr>
        <w:t xml:space="preserve">the </w:t>
      </w:r>
      <w:r w:rsidRPr="00430524">
        <w:rPr>
          <w:rFonts w:ascii="Arial" w:hAnsi="Arial" w:cs="Arial"/>
          <w:i/>
          <w:sz w:val="20"/>
        </w:rPr>
        <w:t>ESA</w:t>
      </w:r>
      <w:r w:rsidR="00430524">
        <w:rPr>
          <w:rFonts w:ascii="Arial" w:hAnsi="Arial" w:cs="Arial"/>
          <w:i/>
          <w:sz w:val="20"/>
        </w:rPr>
        <w:t> </w:t>
      </w:r>
      <w:r w:rsidR="00F36831" w:rsidRPr="00430524">
        <w:rPr>
          <w:rFonts w:ascii="Arial" w:hAnsi="Arial" w:cs="Arial"/>
          <w:i/>
          <w:sz w:val="20"/>
        </w:rPr>
        <w:t>2010</w:t>
      </w:r>
      <w:r w:rsidRPr="00430524">
        <w:rPr>
          <w:rFonts w:ascii="Arial" w:hAnsi="Arial" w:cs="Arial"/>
          <w:i/>
          <w:sz w:val="20"/>
        </w:rPr>
        <w:t xml:space="preserve"> classification</w:t>
      </w:r>
      <w:r w:rsidR="00224193" w:rsidRPr="00430524">
        <w:rPr>
          <w:rFonts w:ascii="Arial" w:hAnsi="Arial" w:cs="Arial"/>
          <w:i/>
          <w:sz w:val="20"/>
        </w:rPr>
        <w:t>,</w:t>
      </w:r>
      <w:r w:rsidRPr="00430524">
        <w:rPr>
          <w:rFonts w:ascii="Arial" w:hAnsi="Arial" w:cs="Arial"/>
          <w:i/>
          <w:sz w:val="20"/>
        </w:rPr>
        <w:t xml:space="preserve"> including purchased debt and equity securities issued by this sector.</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cs="Arial"/>
          <w:b/>
          <w:i/>
          <w:sz w:val="20"/>
        </w:rPr>
        <w:t>Net external assets</w:t>
      </w:r>
      <w:r w:rsidRPr="00430524">
        <w:rPr>
          <w:rFonts w:ascii="Arial" w:hAnsi="Arial" w:cs="Arial"/>
          <w:i/>
          <w:sz w:val="20"/>
        </w:rPr>
        <w:t xml:space="preserve">, which comprise external assets of Czech MFIs (such as monetary gold, non-koruna cash, securities issued by non-residents and loans granted to non-residents) minus external liabilities of the Czech MFI sector (such as non-residents’ holdings of deposits, repurchase agreements, money market fund </w:t>
      </w:r>
      <w:r w:rsidR="0084203B">
        <w:rPr>
          <w:rFonts w:ascii="Arial" w:hAnsi="Arial" w:cs="Arial"/>
          <w:i/>
          <w:sz w:val="20"/>
        </w:rPr>
        <w:t>share certificates/</w:t>
      </w:r>
      <w:r w:rsidRPr="00430524">
        <w:rPr>
          <w:rFonts w:ascii="Arial" w:hAnsi="Arial" w:cs="Arial"/>
          <w:i/>
          <w:sz w:val="20"/>
        </w:rPr>
        <w:t>shares, and debt securities with a maturity of up to and including two years issued by MFIs and held by non-residents).</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cs="Arial"/>
          <w:i/>
          <w:sz w:val="20"/>
        </w:rPr>
        <w:t>Monetary aggregates and their counterparts in the Czech Republic are compiled on the basis of the harmonised consolidated balance sheet of the MFI sector. It is the sum of the balance sheet of the central bank and the aggregated balance sheet of other monetary financial institutions excluding mutual loans and deposits, including non-marketable securities; cash at MFI cash desks is subtracted from issued currency in</w:t>
      </w:r>
      <w:r w:rsidRPr="00430524">
        <w:rPr>
          <w:rFonts w:ascii="Arial" w:hAnsi="Arial"/>
          <w:i/>
          <w:sz w:val="20"/>
        </w:rPr>
        <w:t xml:space="preserve"> circulation and other debt</w:t>
      </w:r>
      <w:r w:rsidR="0057586F" w:rsidRPr="00430524">
        <w:rPr>
          <w:rFonts w:ascii="Arial" w:hAnsi="Arial"/>
          <w:i/>
          <w:sz w:val="20"/>
        </w:rPr>
        <w:t>,</w:t>
      </w:r>
      <w:r w:rsidRPr="00430524">
        <w:rPr>
          <w:rFonts w:ascii="Arial" w:hAnsi="Arial"/>
          <w:i/>
          <w:sz w:val="20"/>
        </w:rPr>
        <w:t xml:space="preserve"> and equity securities held by MFIs on the asset side are subtracted from MFI liabilities </w:t>
      </w:r>
      <w:r w:rsidR="0057586F" w:rsidRPr="00430524">
        <w:rPr>
          <w:rFonts w:ascii="Arial" w:hAnsi="Arial"/>
          <w:i/>
          <w:sz w:val="20"/>
        </w:rPr>
        <w:t xml:space="preserve">arising </w:t>
      </w:r>
      <w:r w:rsidRPr="00430524">
        <w:rPr>
          <w:rFonts w:ascii="Arial" w:hAnsi="Arial"/>
          <w:i/>
          <w:sz w:val="20"/>
        </w:rPr>
        <w:t xml:space="preserve">from the issuance of such instruments. </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i/>
          <w:sz w:val="20"/>
        </w:rPr>
        <w:t>Money and banking statistics statements and the CNB’s own calculation</w:t>
      </w:r>
      <w:r w:rsidR="00721AFD" w:rsidRPr="00430524">
        <w:rPr>
          <w:rFonts w:ascii="Arial" w:hAnsi="Arial"/>
          <w:i/>
          <w:sz w:val="20"/>
        </w:rPr>
        <w:t xml:space="preserve">s are the data sources for the compilation of the MFI consolidated balance sheet. </w:t>
      </w:r>
    </w:p>
    <w:p w:rsidR="00AD5827" w:rsidRPr="00430524" w:rsidRDefault="00721AFD" w:rsidP="001D5071">
      <w:pPr>
        <w:pStyle w:val="Podnadpis"/>
        <w:spacing w:before="120"/>
        <w:ind w:firstLine="709"/>
        <w:jc w:val="both"/>
        <w:rPr>
          <w:rFonts w:ascii="Arial" w:hAnsi="Arial" w:cs="Arial"/>
          <w:i/>
          <w:iCs/>
          <w:sz w:val="20"/>
        </w:rPr>
      </w:pPr>
      <w:r w:rsidRPr="00430524">
        <w:rPr>
          <w:rFonts w:ascii="Arial" w:hAnsi="Arial"/>
          <w:i/>
          <w:sz w:val="20"/>
        </w:rPr>
        <w:lastRenderedPageBreak/>
        <w:t xml:space="preserve">The collection methodology (statistical principles, sector definitions, instrument classification, method of calculation of annual changes) is harmonised with European and international standards (ECB Regulations </w:t>
      </w:r>
      <w:r w:rsidR="003C60ED">
        <w:rPr>
          <w:rFonts w:ascii="Arial" w:hAnsi="Arial"/>
          <w:i/>
          <w:sz w:val="20"/>
        </w:rPr>
        <w:t xml:space="preserve">and Recommendations, </w:t>
      </w:r>
      <w:r w:rsidRPr="00430524">
        <w:rPr>
          <w:rFonts w:ascii="Arial" w:hAnsi="Arial"/>
          <w:i/>
          <w:sz w:val="20"/>
        </w:rPr>
        <w:t>IMF Monetary and Financial Statistics Manual, etc.).</w:t>
      </w:r>
    </w:p>
    <w:p w:rsidR="00AD5827" w:rsidRPr="00430524" w:rsidRDefault="00AD5827" w:rsidP="001D5071">
      <w:pPr>
        <w:pStyle w:val="Podnadpis"/>
        <w:jc w:val="both"/>
        <w:rPr>
          <w:rFonts w:ascii="Arial" w:hAnsi="Arial" w:cs="Arial"/>
          <w:i/>
          <w:color w:val="000000"/>
          <w:sz w:val="20"/>
        </w:rPr>
      </w:pPr>
    </w:p>
    <w:p w:rsidR="00AD5827" w:rsidRPr="00430524" w:rsidRDefault="00721AFD" w:rsidP="001D5071">
      <w:pPr>
        <w:widowControl/>
        <w:jc w:val="both"/>
        <w:rPr>
          <w:rFonts w:ascii="Arial" w:hAnsi="Arial" w:cs="Arial"/>
          <w:b/>
          <w:i/>
        </w:rPr>
      </w:pPr>
      <w:r w:rsidRPr="00430524">
        <w:rPr>
          <w:rFonts w:ascii="Arial" w:hAnsi="Arial" w:cs="Arial"/>
          <w:b/>
          <w:i/>
        </w:rPr>
        <w:t>Calculation of growth rates</w:t>
      </w:r>
    </w:p>
    <w:p w:rsidR="00AD5827" w:rsidRPr="00430524" w:rsidRDefault="00721AFD" w:rsidP="001D5071">
      <w:pPr>
        <w:pStyle w:val="Zkladntextodsazen"/>
        <w:widowControl/>
        <w:spacing w:before="120"/>
        <w:ind w:firstLine="709"/>
      </w:pPr>
      <w:r w:rsidRPr="00430524">
        <w:t>The growth rates for the reference period are calculated from the volumes of monthly financial transactions and the outstanding amounts at the beginning of each month. Monthly transactions are calculated from differences in outstanding amounts adjusted for reclassifications, other revaluations, exchange rate variations and other changes which do not arise from transactions. This data thus reflects only those changes that arise from accepting financial assets or providing financial liabilities. Reclassifications and other non-transaction corrections are introduced into the transaction statistics to preserve the comparability of the gradual monitoring results, thereby enabling calculation of the indices of expected outstanding balances of the monitored variables and determination of their growth rates.</w:t>
      </w:r>
    </w:p>
    <w:p w:rsidR="00AD5827" w:rsidRPr="00430524" w:rsidRDefault="00AD5827" w:rsidP="001D5071">
      <w:pPr>
        <w:widowControl/>
        <w:jc w:val="both"/>
        <w:rPr>
          <w:rFonts w:ascii="Arial" w:hAnsi="Arial" w:cs="Arial"/>
          <w:i/>
        </w:rPr>
      </w:pPr>
    </w:p>
    <w:p w:rsidR="00935395" w:rsidRDefault="00721AFD" w:rsidP="001D5071">
      <w:pPr>
        <w:pStyle w:val="Nadpis3"/>
        <w:keepNext w:val="0"/>
        <w:widowControl/>
      </w:pPr>
      <w:r w:rsidRPr="00430524">
        <w:t>Method of calculation</w:t>
      </w:r>
    </w:p>
    <w:p w:rsidR="00AD5827" w:rsidRPr="00430524" w:rsidRDefault="005A35F6" w:rsidP="001D5071">
      <w:pPr>
        <w:widowControl/>
        <w:jc w:val="both"/>
        <w:rPr>
          <w:rFonts w:ascii="Arial" w:hAnsi="Arial" w:cs="Arial"/>
          <w:i/>
          <w:iCs/>
        </w:rPr>
      </w:pPr>
      <w:r>
        <w:rPr>
          <w:rFonts w:ascii="Arial" w:hAnsi="Arial" w:cs="Arial"/>
          <w:i/>
          <w:iCs/>
        </w:rPr>
        <w:object w:dxaOrig="78" w:dyaOrig="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0.15pt;margin-top:6.45pt;width:17.75pt;height:24pt;z-index:251658752" fillcolor="#ff9">
            <v:imagedata r:id="rId8" o:title=""/>
          </v:shape>
          <o:OLEObject Type="Embed" ProgID="Equation.3" ShapeID="_x0000_s1028" DrawAspect="Content" ObjectID="_1697609378" r:id="rId9"/>
        </w:object>
      </w:r>
    </w:p>
    <w:p w:rsidR="00AD5827" w:rsidRPr="00430524" w:rsidRDefault="00AD5827" w:rsidP="001D5071">
      <w:pPr>
        <w:widowControl/>
        <w:jc w:val="both"/>
        <w:rPr>
          <w:rFonts w:ascii="Arial" w:hAnsi="Arial" w:cs="Arial"/>
          <w:i/>
        </w:rPr>
      </w:pPr>
      <w:r w:rsidRPr="00430524">
        <w:rPr>
          <w:rFonts w:ascii="Arial" w:hAnsi="Arial" w:cs="Arial"/>
          <w:i/>
        </w:rPr>
        <w:t>1.</w:t>
      </w:r>
      <w:r w:rsidR="0005001C" w:rsidRPr="00430524">
        <w:rPr>
          <w:rFonts w:ascii="Arial" w:hAnsi="Arial" w:cs="Arial"/>
          <w:i/>
        </w:rPr>
        <w:t xml:space="preserve"> The </w:t>
      </w:r>
      <w:r w:rsidRPr="00430524">
        <w:rPr>
          <w:rFonts w:ascii="Arial" w:hAnsi="Arial" w:cs="Arial"/>
          <w:i/>
        </w:rPr>
        <w:t>month-on-month percentage change</w:t>
      </w:r>
      <w:r w:rsidR="004C51A4" w:rsidRPr="00430524">
        <w:rPr>
          <w:rFonts w:ascii="Arial" w:hAnsi="Arial" w:cs="Arial"/>
          <w:i/>
        </w:rPr>
        <w:t xml:space="preserve">           </w:t>
      </w:r>
      <w:r w:rsidRPr="00430524">
        <w:rPr>
          <w:rFonts w:ascii="Arial" w:hAnsi="Arial" w:cs="Arial"/>
          <w:i/>
        </w:rPr>
        <w:t xml:space="preserve">for month t is calculated as: </w:t>
      </w:r>
    </w:p>
    <w:p w:rsidR="00AD5827" w:rsidRPr="00430524" w:rsidRDefault="005A35F6" w:rsidP="001D5071">
      <w:pPr>
        <w:widowControl/>
        <w:jc w:val="both"/>
        <w:rPr>
          <w:rFonts w:ascii="Arial" w:hAnsi="Arial" w:cs="Arial"/>
          <w:i/>
          <w:iCs/>
        </w:rPr>
      </w:pPr>
      <w:r>
        <w:rPr>
          <w:rFonts w:ascii="Arial" w:hAnsi="Arial" w:cs="Arial"/>
          <w:i/>
          <w:iCs/>
        </w:rPr>
        <w:object w:dxaOrig="78" w:dyaOrig="68">
          <v:shape id="_x0000_s1026" type="#_x0000_t75" style="position:absolute;left:0;text-align:left;margin-left:39.6pt;margin-top:6.9pt;width:105pt;height:34pt;z-index:251656704" fillcolor="#ff9">
            <v:imagedata r:id="rId10" o:title=""/>
          </v:shape>
          <o:OLEObject Type="Embed" ProgID="Equation.3" ShapeID="_x0000_s1026" DrawAspect="Content" ObjectID="_1697609379" r:id="rId11"/>
        </w:object>
      </w:r>
    </w:p>
    <w:p w:rsidR="00AD5827" w:rsidRPr="00430524" w:rsidRDefault="00AD5827" w:rsidP="001D5071">
      <w:pPr>
        <w:widowControl/>
        <w:jc w:val="both"/>
        <w:rPr>
          <w:rFonts w:ascii="Arial" w:hAnsi="Arial" w:cs="Arial"/>
          <w:i/>
        </w:rPr>
      </w:pPr>
      <w:r w:rsidRPr="00430524">
        <w:rPr>
          <w:rFonts w:ascii="Arial" w:hAnsi="Arial" w:cs="Arial"/>
          <w:i/>
        </w:rPr>
        <w:t>(a)</w:t>
      </w:r>
    </w:p>
    <w:p w:rsidR="00AD5827" w:rsidRPr="00430524" w:rsidRDefault="00AD5827" w:rsidP="001D5071">
      <w:pPr>
        <w:pStyle w:val="Zkladntext3"/>
        <w:widowControl/>
        <w:tabs>
          <w:tab w:val="clear" w:pos="0"/>
          <w:tab w:val="clear" w:pos="396"/>
          <w:tab w:val="clear" w:pos="738"/>
          <w:tab w:val="clear" w:pos="1440"/>
        </w:tabs>
        <w:suppressAutoHyphens w:val="0"/>
        <w:spacing w:line="240" w:lineRule="auto"/>
        <w:rPr>
          <w:rFonts w:cs="Arial"/>
          <w:spacing w:val="0"/>
        </w:rPr>
      </w:pPr>
    </w:p>
    <w:p w:rsidR="00AD5827" w:rsidRPr="00430524" w:rsidRDefault="00AD5827" w:rsidP="001D5071">
      <w:pPr>
        <w:pStyle w:val="Zkladntext3"/>
        <w:widowControl/>
        <w:tabs>
          <w:tab w:val="clear" w:pos="0"/>
          <w:tab w:val="clear" w:pos="396"/>
          <w:tab w:val="clear" w:pos="738"/>
          <w:tab w:val="clear" w:pos="1440"/>
        </w:tabs>
        <w:suppressAutoHyphens w:val="0"/>
        <w:spacing w:line="240" w:lineRule="auto"/>
        <w:rPr>
          <w:rFonts w:cs="Arial"/>
          <w:spacing w:val="0"/>
        </w:rPr>
      </w:pPr>
    </w:p>
    <w:p w:rsidR="00AD5827" w:rsidRPr="00430524" w:rsidRDefault="00244B0B" w:rsidP="001D5071">
      <w:pPr>
        <w:pStyle w:val="Zkladntext3"/>
        <w:widowControl/>
        <w:tabs>
          <w:tab w:val="clear" w:pos="0"/>
          <w:tab w:val="clear" w:pos="396"/>
          <w:tab w:val="clear" w:pos="738"/>
          <w:tab w:val="clear" w:pos="1440"/>
        </w:tabs>
        <w:suppressAutoHyphens w:val="0"/>
        <w:spacing w:line="240" w:lineRule="auto"/>
        <w:ind w:left="170" w:hanging="170"/>
        <w:rPr>
          <w:rFonts w:cs="Arial"/>
          <w:spacing w:val="0"/>
        </w:rPr>
      </w:pPr>
      <w:r w:rsidRPr="00430524">
        <w:rPr>
          <w:rFonts w:cs="Arial"/>
          <w:spacing w:val="0"/>
        </w:rPr>
        <w:t>2.</w:t>
      </w:r>
      <w:r w:rsidR="0005001C" w:rsidRPr="00430524">
        <w:rPr>
          <w:rFonts w:cs="Arial"/>
          <w:spacing w:val="0"/>
        </w:rPr>
        <w:t xml:space="preserve"> The </w:t>
      </w:r>
      <w:r w:rsidR="00AD5827" w:rsidRPr="00430524">
        <w:rPr>
          <w:rFonts w:cs="Arial"/>
          <w:spacing w:val="0"/>
        </w:rPr>
        <w:t xml:space="preserve">annual growth rate for month </w:t>
      </w:r>
      <w:r w:rsidR="00AD5827" w:rsidRPr="00430524">
        <w:rPr>
          <w:rFonts w:cs="Arial"/>
          <w:iCs/>
          <w:spacing w:val="0"/>
        </w:rPr>
        <w:t>t</w:t>
      </w:r>
      <w:r w:rsidR="00AD5827" w:rsidRPr="00430524">
        <w:rPr>
          <w:rFonts w:cs="Arial"/>
          <w:spacing w:val="0"/>
        </w:rPr>
        <w:t>, i.e.</w:t>
      </w:r>
      <w:r w:rsidR="0005001C" w:rsidRPr="00430524">
        <w:rPr>
          <w:rFonts w:cs="Arial"/>
          <w:spacing w:val="0"/>
        </w:rPr>
        <w:t xml:space="preserve"> the </w:t>
      </w:r>
      <w:r w:rsidR="00AD5827" w:rsidRPr="00430524">
        <w:rPr>
          <w:rFonts w:cs="Arial"/>
          <w:spacing w:val="0"/>
        </w:rPr>
        <w:t>change for</w:t>
      </w:r>
      <w:r w:rsidR="0005001C" w:rsidRPr="00430524">
        <w:rPr>
          <w:rFonts w:cs="Arial"/>
          <w:spacing w:val="0"/>
        </w:rPr>
        <w:t xml:space="preserve"> the </w:t>
      </w:r>
      <w:r w:rsidR="00AD5827" w:rsidRPr="00430524">
        <w:rPr>
          <w:rFonts w:cs="Arial"/>
          <w:spacing w:val="0"/>
        </w:rPr>
        <w:t>last 12</w:t>
      </w:r>
      <w:r w:rsidR="007219D8" w:rsidRPr="00430524">
        <w:rPr>
          <w:rFonts w:cs="Arial"/>
          <w:spacing w:val="0"/>
        </w:rPr>
        <w:t> </w:t>
      </w:r>
      <w:r w:rsidR="00AD5827" w:rsidRPr="00430524">
        <w:rPr>
          <w:rFonts w:cs="Arial"/>
          <w:spacing w:val="0"/>
        </w:rPr>
        <w:t xml:space="preserve">months ending with month </w:t>
      </w:r>
      <w:r w:rsidR="00AD5827" w:rsidRPr="00430524">
        <w:rPr>
          <w:rFonts w:cs="Arial"/>
          <w:iCs/>
          <w:spacing w:val="0"/>
        </w:rPr>
        <w:t>t</w:t>
      </w:r>
      <w:r w:rsidR="00AD5827" w:rsidRPr="00430524">
        <w:rPr>
          <w:rFonts w:cs="Arial"/>
          <w:spacing w:val="0"/>
        </w:rPr>
        <w:t>, is calculated as</w:t>
      </w:r>
      <w:r w:rsidR="0005001C" w:rsidRPr="00430524">
        <w:rPr>
          <w:rFonts w:cs="Arial"/>
          <w:spacing w:val="0"/>
        </w:rPr>
        <w:t xml:space="preserve"> the </w:t>
      </w:r>
      <w:r w:rsidR="00721AFD" w:rsidRPr="00430524">
        <w:rPr>
          <w:rFonts w:cs="Arial"/>
          <w:spacing w:val="0"/>
        </w:rPr>
        <w:t>product of the twelve coefficients for each previous month. The calculation of the annual growth rate from the month-on-month growth rates thus enables transaction changes and non-transaction effects in the individual months to be taken into account:</w:t>
      </w:r>
    </w:p>
    <w:p w:rsidR="00AD5827" w:rsidRPr="00430524" w:rsidRDefault="005A35F6" w:rsidP="001D5071">
      <w:pPr>
        <w:widowControl/>
        <w:jc w:val="both"/>
        <w:rPr>
          <w:rFonts w:ascii="Arial" w:hAnsi="Arial" w:cs="Arial"/>
          <w:i/>
          <w:iCs/>
        </w:rPr>
      </w:pPr>
      <w:r>
        <w:rPr>
          <w:rFonts w:ascii="Arial" w:hAnsi="Arial" w:cs="Arial"/>
          <w:i/>
          <w:iCs/>
        </w:rPr>
        <w:object w:dxaOrig="78" w:dyaOrig="68">
          <v:shape id="_x0000_s1027" type="#_x0000_t75" style="position:absolute;left:0;text-align:left;margin-left:48.6pt;margin-top:10.1pt;width:161pt;height:36pt;z-index:251657728" fillcolor="#ff9" strokecolor="#ff9">
            <v:imagedata r:id="rId12" o:title=""/>
          </v:shape>
          <o:OLEObject Type="Embed" ProgID="Equation.3" ShapeID="_x0000_s1027" DrawAspect="Content" ObjectID="_1697609380" r:id="rId13"/>
        </w:object>
      </w:r>
    </w:p>
    <w:p w:rsidR="00AD5827" w:rsidRPr="00430524" w:rsidRDefault="00AD5827" w:rsidP="001D5071">
      <w:pPr>
        <w:widowControl/>
        <w:jc w:val="both"/>
        <w:rPr>
          <w:rFonts w:ascii="Arial" w:hAnsi="Arial" w:cs="Arial"/>
          <w:i/>
        </w:rPr>
      </w:pPr>
    </w:p>
    <w:p w:rsidR="00AD5827" w:rsidRPr="00430524" w:rsidRDefault="00AD5827" w:rsidP="001D5071">
      <w:pPr>
        <w:widowControl/>
        <w:jc w:val="both"/>
        <w:rPr>
          <w:rFonts w:ascii="Arial" w:hAnsi="Arial" w:cs="Arial"/>
          <w:i/>
        </w:rPr>
      </w:pPr>
      <w:r w:rsidRPr="00430524">
        <w:rPr>
          <w:rFonts w:ascii="Arial" w:hAnsi="Arial" w:cs="Arial"/>
          <w:i/>
        </w:rPr>
        <w:t>(b)</w:t>
      </w:r>
    </w:p>
    <w:p w:rsidR="00AD5827" w:rsidRPr="00430524" w:rsidRDefault="00AD5827" w:rsidP="001D5071">
      <w:pPr>
        <w:widowControl/>
        <w:jc w:val="both"/>
        <w:rPr>
          <w:rFonts w:ascii="Arial" w:hAnsi="Arial" w:cs="Arial"/>
          <w:i/>
        </w:rPr>
      </w:pPr>
    </w:p>
    <w:p w:rsidR="00AD5827" w:rsidRPr="00430524" w:rsidRDefault="00AD5827" w:rsidP="001D5071">
      <w:pPr>
        <w:widowControl/>
        <w:jc w:val="both"/>
        <w:rPr>
          <w:rFonts w:ascii="Arial" w:hAnsi="Arial" w:cs="Arial"/>
          <w:i/>
        </w:rPr>
      </w:pPr>
    </w:p>
    <w:p w:rsidR="00AD5827" w:rsidRPr="00430524" w:rsidRDefault="00AD5827" w:rsidP="001D5071">
      <w:pPr>
        <w:widowControl/>
        <w:jc w:val="both"/>
        <w:rPr>
          <w:rFonts w:ascii="Arial" w:hAnsi="Arial" w:cs="Arial"/>
          <w:i/>
        </w:rPr>
      </w:pPr>
      <w:r w:rsidRPr="00430524">
        <w:rPr>
          <w:rFonts w:ascii="Arial" w:hAnsi="Arial" w:cs="Arial"/>
          <w:i/>
        </w:rPr>
        <w:t xml:space="preserve">where </w:t>
      </w:r>
    </w:p>
    <w:p w:rsidR="00AD5827" w:rsidRPr="00430524" w:rsidRDefault="00AD5827" w:rsidP="001D5071">
      <w:pPr>
        <w:widowControl/>
        <w:ind w:firstLine="720"/>
        <w:jc w:val="both"/>
        <w:rPr>
          <w:rFonts w:ascii="Arial" w:hAnsi="Arial" w:cs="Arial"/>
          <w:i/>
        </w:rPr>
      </w:pPr>
      <w:r w:rsidRPr="00430524">
        <w:rPr>
          <w:rFonts w:ascii="Arial" w:hAnsi="Arial" w:cs="Arial"/>
          <w:i/>
          <w:iCs/>
        </w:rPr>
        <w:t xml:space="preserve">F </w:t>
      </w:r>
      <w:r w:rsidRPr="00430524">
        <w:rPr>
          <w:rFonts w:ascii="Arial" w:hAnsi="Arial" w:cs="Arial"/>
          <w:i/>
          <w:iCs/>
          <w:vertAlign w:val="subscript"/>
        </w:rPr>
        <w:t>t</w:t>
      </w:r>
      <w:r w:rsidRPr="00430524">
        <w:rPr>
          <w:rFonts w:ascii="Arial" w:hAnsi="Arial" w:cs="Arial"/>
          <w:i/>
          <w:iCs/>
          <w:vertAlign w:val="superscript"/>
        </w:rPr>
        <w:t xml:space="preserve">M </w:t>
      </w:r>
      <w:r w:rsidRPr="00430524">
        <w:rPr>
          <w:rFonts w:ascii="Arial" w:hAnsi="Arial" w:cs="Arial"/>
          <w:i/>
          <w:vertAlign w:val="subscript"/>
        </w:rPr>
        <w:t xml:space="preserve"> </w:t>
      </w:r>
      <w:r w:rsidRPr="00430524">
        <w:rPr>
          <w:rFonts w:ascii="Arial" w:hAnsi="Arial" w:cs="Arial"/>
          <w:i/>
        </w:rPr>
        <w:t xml:space="preserve">– transactions in month </w:t>
      </w:r>
      <w:r w:rsidRPr="00430524">
        <w:rPr>
          <w:rFonts w:ascii="Arial" w:hAnsi="Arial" w:cs="Arial"/>
          <w:i/>
          <w:iCs/>
        </w:rPr>
        <w:t>t</w:t>
      </w:r>
      <w:r w:rsidRPr="00430524">
        <w:rPr>
          <w:rFonts w:ascii="Arial" w:hAnsi="Arial" w:cs="Arial"/>
          <w:i/>
        </w:rPr>
        <w:t xml:space="preserve"> </w:t>
      </w:r>
    </w:p>
    <w:p w:rsidR="00AD5827" w:rsidRPr="00430524" w:rsidRDefault="00471EAE" w:rsidP="001D5071">
      <w:pPr>
        <w:widowControl/>
        <w:ind w:firstLine="720"/>
        <w:jc w:val="both"/>
        <w:rPr>
          <w:rFonts w:ascii="Arial" w:hAnsi="Arial"/>
          <w:i/>
        </w:rPr>
      </w:pPr>
      <w:r w:rsidRPr="00471EAE">
        <w:rPr>
          <w:rFonts w:ascii="Arial" w:hAnsi="Arial"/>
          <w:i/>
        </w:rPr>
        <w:t>F</w:t>
      </w:r>
      <w:r w:rsidR="00AD5827" w:rsidRPr="00430524">
        <w:rPr>
          <w:rFonts w:ascii="Arial" w:hAnsi="Arial" w:cs="Arial"/>
          <w:i/>
          <w:iCs/>
        </w:rPr>
        <w:t xml:space="preserve"> </w:t>
      </w:r>
      <w:r w:rsidR="00721AFD" w:rsidRPr="00430524">
        <w:rPr>
          <w:rFonts w:ascii="Arial" w:hAnsi="Arial" w:cs="Arial"/>
          <w:i/>
          <w:iCs/>
          <w:vertAlign w:val="subscript"/>
        </w:rPr>
        <w:t>t</w:t>
      </w:r>
      <w:r w:rsidR="00721AFD" w:rsidRPr="00430524">
        <w:rPr>
          <w:rFonts w:ascii="Arial" w:hAnsi="Arial" w:cs="Arial"/>
          <w:i/>
          <w:iCs/>
          <w:vertAlign w:val="superscript"/>
        </w:rPr>
        <w:t>M</w:t>
      </w:r>
      <w:r w:rsidRPr="00471EAE">
        <w:rPr>
          <w:rFonts w:ascii="Arial" w:hAnsi="Arial"/>
          <w:i/>
          <w:vertAlign w:val="superscript"/>
        </w:rPr>
        <w:t xml:space="preserve"> </w:t>
      </w:r>
      <w:r w:rsidRPr="00471EAE">
        <w:rPr>
          <w:rFonts w:ascii="Arial" w:hAnsi="Arial"/>
          <w:i/>
          <w:vertAlign w:val="subscript"/>
        </w:rPr>
        <w:t xml:space="preserve"> </w:t>
      </w:r>
      <w:r w:rsidRPr="00471EAE">
        <w:rPr>
          <w:rFonts w:ascii="Arial" w:hAnsi="Arial"/>
          <w:i/>
        </w:rPr>
        <w:t xml:space="preserve">= (L </w:t>
      </w:r>
      <w:r w:rsidRPr="00471EAE">
        <w:rPr>
          <w:rFonts w:ascii="Arial" w:hAnsi="Arial"/>
          <w:i/>
          <w:vertAlign w:val="subscript"/>
        </w:rPr>
        <w:t>t</w:t>
      </w:r>
      <w:r w:rsidRPr="00471EAE">
        <w:rPr>
          <w:rFonts w:ascii="Arial" w:hAnsi="Arial"/>
          <w:i/>
        </w:rPr>
        <w:t xml:space="preserve"> </w:t>
      </w:r>
      <w:r w:rsidR="002B229D" w:rsidRPr="00396AE3">
        <w:rPr>
          <w:rFonts w:ascii="Arial" w:hAnsi="Arial" w:cs="Arial"/>
          <w:i/>
          <w:iCs/>
          <w:lang w:val="de-DE"/>
        </w:rPr>
        <w:t>-</w:t>
      </w:r>
      <w:r w:rsidR="00F039C9" w:rsidRPr="00514908">
        <w:rPr>
          <w:rFonts w:ascii="Arial" w:hAnsi="Arial"/>
          <w:i/>
          <w:lang w:val="de-DE"/>
        </w:rPr>
        <w:t xml:space="preserve"> </w:t>
      </w:r>
      <w:r w:rsidRPr="00471EAE">
        <w:rPr>
          <w:rFonts w:ascii="Arial" w:hAnsi="Arial"/>
          <w:i/>
        </w:rPr>
        <w:t xml:space="preserve">L </w:t>
      </w:r>
      <w:r w:rsidRPr="00471EAE">
        <w:rPr>
          <w:rFonts w:ascii="Arial" w:hAnsi="Arial"/>
          <w:i/>
          <w:vertAlign w:val="subscript"/>
        </w:rPr>
        <w:t>t-1</w:t>
      </w:r>
      <w:r w:rsidRPr="00471EAE">
        <w:rPr>
          <w:rFonts w:ascii="Arial" w:hAnsi="Arial"/>
          <w:i/>
        </w:rPr>
        <w:t xml:space="preserve">) - C </w:t>
      </w:r>
      <w:r w:rsidRPr="00471EAE">
        <w:rPr>
          <w:rFonts w:ascii="Arial" w:hAnsi="Arial"/>
          <w:i/>
          <w:vertAlign w:val="subscript"/>
        </w:rPr>
        <w:t>t</w:t>
      </w:r>
      <w:r w:rsidRPr="00471EAE">
        <w:rPr>
          <w:rFonts w:ascii="Arial" w:hAnsi="Arial"/>
          <w:i/>
          <w:vertAlign w:val="superscript"/>
        </w:rPr>
        <w:t>M</w:t>
      </w:r>
      <w:r w:rsidRPr="00471EAE">
        <w:rPr>
          <w:rFonts w:ascii="Arial" w:hAnsi="Arial"/>
          <w:i/>
        </w:rPr>
        <w:t xml:space="preserve"> - E </w:t>
      </w:r>
      <w:r w:rsidRPr="00471EAE">
        <w:rPr>
          <w:rFonts w:ascii="Arial" w:hAnsi="Arial"/>
          <w:i/>
          <w:vertAlign w:val="subscript"/>
        </w:rPr>
        <w:t>t</w:t>
      </w:r>
      <w:r w:rsidRPr="00471EAE">
        <w:rPr>
          <w:rFonts w:ascii="Arial" w:hAnsi="Arial"/>
          <w:i/>
          <w:vertAlign w:val="superscript"/>
        </w:rPr>
        <w:t>M</w:t>
      </w:r>
      <w:r w:rsidRPr="00471EAE">
        <w:rPr>
          <w:rFonts w:ascii="Arial" w:hAnsi="Arial"/>
          <w:i/>
        </w:rPr>
        <w:t xml:space="preserve"> - V </w:t>
      </w:r>
      <w:r w:rsidRPr="00471EAE">
        <w:rPr>
          <w:rFonts w:ascii="Arial" w:hAnsi="Arial"/>
          <w:i/>
          <w:vertAlign w:val="subscript"/>
        </w:rPr>
        <w:t>t</w:t>
      </w:r>
      <w:r w:rsidRPr="00471EAE">
        <w:rPr>
          <w:rFonts w:ascii="Arial" w:hAnsi="Arial"/>
          <w:i/>
          <w:vertAlign w:val="superscript"/>
        </w:rPr>
        <w:t>M</w:t>
      </w:r>
      <w:r w:rsidRPr="00471EAE">
        <w:rPr>
          <w:rFonts w:ascii="Arial" w:hAnsi="Arial"/>
          <w:i/>
        </w:rPr>
        <w:t xml:space="preserve"> </w:t>
      </w:r>
    </w:p>
    <w:p w:rsidR="00AD5827" w:rsidRPr="00430524" w:rsidRDefault="00721AFD" w:rsidP="001D5071">
      <w:pPr>
        <w:widowControl/>
        <w:jc w:val="both"/>
        <w:rPr>
          <w:rFonts w:ascii="Arial" w:hAnsi="Arial" w:cs="Arial"/>
          <w:i/>
        </w:rPr>
      </w:pPr>
      <w:r w:rsidRPr="00430524">
        <w:rPr>
          <w:rFonts w:ascii="Arial" w:hAnsi="Arial" w:cs="Arial"/>
          <w:i/>
        </w:rPr>
        <w:t>and</w:t>
      </w:r>
    </w:p>
    <w:p w:rsidR="00AD5827" w:rsidRPr="00430524" w:rsidRDefault="00721AFD" w:rsidP="001D5071">
      <w:pPr>
        <w:widowControl/>
        <w:ind w:firstLine="720"/>
        <w:jc w:val="both"/>
        <w:rPr>
          <w:rFonts w:ascii="Arial" w:hAnsi="Arial" w:cs="Arial"/>
          <w:i/>
        </w:rPr>
      </w:pPr>
      <w:r w:rsidRPr="00430524">
        <w:rPr>
          <w:rFonts w:ascii="Arial" w:hAnsi="Arial" w:cs="Arial"/>
          <w:i/>
          <w:iCs/>
        </w:rPr>
        <w:t xml:space="preserve">L </w:t>
      </w:r>
      <w:r w:rsidRPr="00430524">
        <w:rPr>
          <w:rFonts w:ascii="Arial" w:hAnsi="Arial" w:cs="Arial"/>
          <w:i/>
          <w:iCs/>
          <w:vertAlign w:val="subscript"/>
        </w:rPr>
        <w:t>t</w:t>
      </w:r>
      <w:r w:rsidRPr="00430524">
        <w:rPr>
          <w:rFonts w:ascii="Arial" w:hAnsi="Arial" w:cs="Arial"/>
          <w:i/>
        </w:rPr>
        <w:t xml:space="preserve"> – outstanding amount at the end of month</w:t>
      </w:r>
      <w:r w:rsidRPr="00430524">
        <w:rPr>
          <w:rFonts w:ascii="Arial" w:hAnsi="Arial" w:cs="Arial"/>
          <w:i/>
          <w:iCs/>
        </w:rPr>
        <w:t xml:space="preserve"> t</w:t>
      </w:r>
    </w:p>
    <w:p w:rsidR="00AD5827" w:rsidRPr="00430524" w:rsidRDefault="00721AFD" w:rsidP="001D5071">
      <w:pPr>
        <w:widowControl/>
        <w:ind w:firstLine="720"/>
        <w:jc w:val="both"/>
        <w:rPr>
          <w:rFonts w:ascii="Arial" w:hAnsi="Arial" w:cs="Arial"/>
          <w:i/>
        </w:rPr>
      </w:pPr>
      <w:r w:rsidRPr="00430524">
        <w:rPr>
          <w:rFonts w:ascii="Arial" w:hAnsi="Arial" w:cs="Arial"/>
          <w:i/>
          <w:iCs/>
        </w:rPr>
        <w:t xml:space="preserve">C </w:t>
      </w:r>
      <w:r w:rsidRPr="00430524">
        <w:rPr>
          <w:rFonts w:ascii="Arial" w:hAnsi="Arial" w:cs="Arial"/>
          <w:i/>
          <w:iCs/>
          <w:vertAlign w:val="subscript"/>
        </w:rPr>
        <w:t>t</w:t>
      </w:r>
      <w:r w:rsidRPr="00430524">
        <w:rPr>
          <w:rFonts w:ascii="Arial" w:hAnsi="Arial" w:cs="Arial"/>
          <w:i/>
          <w:iCs/>
          <w:vertAlign w:val="superscript"/>
        </w:rPr>
        <w:t>M</w:t>
      </w:r>
      <w:r w:rsidRPr="00430524">
        <w:rPr>
          <w:rFonts w:ascii="Arial" w:hAnsi="Arial" w:cs="Arial"/>
          <w:i/>
        </w:rPr>
        <w:t xml:space="preserve"> – reclassifications in month </w:t>
      </w:r>
      <w:r w:rsidRPr="00430524">
        <w:rPr>
          <w:rFonts w:ascii="Arial" w:hAnsi="Arial" w:cs="Arial"/>
          <w:i/>
          <w:iCs/>
        </w:rPr>
        <w:t>t</w:t>
      </w:r>
    </w:p>
    <w:p w:rsidR="00AD5827" w:rsidRPr="00430524" w:rsidRDefault="00721AFD" w:rsidP="001D5071">
      <w:pPr>
        <w:widowControl/>
        <w:ind w:firstLine="720"/>
        <w:jc w:val="both"/>
        <w:rPr>
          <w:rFonts w:ascii="Arial" w:hAnsi="Arial" w:cs="Arial"/>
          <w:i/>
        </w:rPr>
      </w:pPr>
      <w:r w:rsidRPr="00430524">
        <w:rPr>
          <w:rFonts w:ascii="Arial" w:hAnsi="Arial" w:cs="Arial"/>
          <w:i/>
          <w:iCs/>
        </w:rPr>
        <w:t xml:space="preserve">E </w:t>
      </w:r>
      <w:r w:rsidRPr="00430524">
        <w:rPr>
          <w:rFonts w:ascii="Arial" w:hAnsi="Arial" w:cs="Arial"/>
          <w:i/>
          <w:iCs/>
          <w:vertAlign w:val="subscript"/>
        </w:rPr>
        <w:t>t</w:t>
      </w:r>
      <w:r w:rsidRPr="00430524">
        <w:rPr>
          <w:rFonts w:ascii="Arial" w:hAnsi="Arial" w:cs="Arial"/>
          <w:i/>
          <w:iCs/>
          <w:vertAlign w:val="superscript"/>
        </w:rPr>
        <w:t>M</w:t>
      </w:r>
      <w:r w:rsidRPr="00430524">
        <w:rPr>
          <w:rFonts w:ascii="Arial" w:hAnsi="Arial" w:cs="Arial"/>
          <w:i/>
        </w:rPr>
        <w:t xml:space="preserve"> – exchange rate variations in month </w:t>
      </w:r>
      <w:r w:rsidRPr="00430524">
        <w:rPr>
          <w:rFonts w:ascii="Arial" w:hAnsi="Arial" w:cs="Arial"/>
          <w:i/>
          <w:iCs/>
        </w:rPr>
        <w:t>t</w:t>
      </w:r>
    </w:p>
    <w:p w:rsidR="00AD5827" w:rsidRPr="00430524" w:rsidRDefault="00721AFD" w:rsidP="001D5071">
      <w:pPr>
        <w:widowControl/>
        <w:ind w:firstLine="720"/>
        <w:jc w:val="both"/>
        <w:rPr>
          <w:rFonts w:ascii="Arial" w:hAnsi="Arial" w:cs="Arial"/>
          <w:i/>
        </w:rPr>
      </w:pPr>
      <w:r w:rsidRPr="00430524">
        <w:rPr>
          <w:rFonts w:ascii="Arial" w:hAnsi="Arial" w:cs="Arial"/>
          <w:i/>
          <w:iCs/>
        </w:rPr>
        <w:t xml:space="preserve">V </w:t>
      </w:r>
      <w:r w:rsidRPr="00430524">
        <w:rPr>
          <w:rFonts w:ascii="Arial" w:hAnsi="Arial" w:cs="Arial"/>
          <w:i/>
          <w:iCs/>
          <w:vertAlign w:val="subscript"/>
        </w:rPr>
        <w:t>t</w:t>
      </w:r>
      <w:r w:rsidRPr="00430524">
        <w:rPr>
          <w:rFonts w:ascii="Arial" w:hAnsi="Arial" w:cs="Arial"/>
          <w:i/>
          <w:iCs/>
          <w:vertAlign w:val="superscript"/>
        </w:rPr>
        <w:t>M</w:t>
      </w:r>
      <w:r w:rsidRPr="00430524">
        <w:rPr>
          <w:rFonts w:ascii="Arial" w:hAnsi="Arial" w:cs="Arial"/>
          <w:i/>
        </w:rPr>
        <w:t xml:space="preserve"> – valuation changes in month </w:t>
      </w:r>
      <w:r w:rsidRPr="00430524">
        <w:rPr>
          <w:rFonts w:ascii="Arial" w:hAnsi="Arial" w:cs="Arial"/>
          <w:i/>
          <w:iCs/>
        </w:rPr>
        <w:t>t</w:t>
      </w:r>
    </w:p>
    <w:p w:rsidR="00AD5827" w:rsidRPr="00430524" w:rsidRDefault="00AD5827" w:rsidP="001D5071">
      <w:pPr>
        <w:widowControl/>
        <w:jc w:val="both"/>
        <w:rPr>
          <w:rFonts w:ascii="Arial" w:hAnsi="Arial" w:cs="Arial"/>
          <w:i/>
        </w:rPr>
      </w:pPr>
    </w:p>
    <w:p w:rsidR="00AD5827" w:rsidRPr="00430524" w:rsidRDefault="00721AFD" w:rsidP="001D5071">
      <w:pPr>
        <w:widowControl/>
        <w:ind w:firstLine="720"/>
        <w:jc w:val="both"/>
        <w:rPr>
          <w:rFonts w:ascii="Arial" w:hAnsi="Arial" w:cs="Arial"/>
          <w:i/>
        </w:rPr>
      </w:pPr>
      <w:r w:rsidRPr="00430524">
        <w:rPr>
          <w:rFonts w:ascii="Arial" w:hAnsi="Arial" w:cs="Arial"/>
          <w:i/>
        </w:rPr>
        <w:t>The growth rates for other reference periods are derived from formula (b).</w:t>
      </w:r>
    </w:p>
    <w:p w:rsidR="00AD5827" w:rsidRPr="00430524" w:rsidRDefault="00AD5827" w:rsidP="001D5071">
      <w:pPr>
        <w:pStyle w:val="Podnadpis"/>
        <w:jc w:val="both"/>
        <w:rPr>
          <w:rFonts w:ascii="Arial" w:hAnsi="Arial" w:cs="Arial"/>
          <w:i/>
          <w:iCs/>
          <w:color w:val="000000"/>
          <w:sz w:val="20"/>
        </w:rPr>
      </w:pPr>
    </w:p>
    <w:p w:rsidR="00AD5827" w:rsidRPr="00430524" w:rsidRDefault="00AD5827" w:rsidP="001D5071">
      <w:pPr>
        <w:pStyle w:val="Podnadpis"/>
        <w:jc w:val="both"/>
        <w:rPr>
          <w:rFonts w:ascii="Arial" w:hAnsi="Arial" w:cs="Arial"/>
          <w:i/>
          <w:color w:val="000000"/>
          <w:sz w:val="20"/>
        </w:rPr>
      </w:pPr>
    </w:p>
    <w:p w:rsidR="00AD5827" w:rsidRPr="00430524" w:rsidRDefault="00AD5827" w:rsidP="001D5071">
      <w:pPr>
        <w:pStyle w:val="Zkladntext3"/>
        <w:widowControl/>
        <w:spacing w:line="240" w:lineRule="auto"/>
        <w:rPr>
          <w:rFonts w:cs="Arial"/>
        </w:rPr>
      </w:pPr>
      <w:r w:rsidRPr="00430524">
        <w:rPr>
          <w:rFonts w:cs="Arial"/>
        </w:rPr>
        <w:t xml:space="preserve">Table </w:t>
      </w:r>
      <w:r w:rsidRPr="00430524">
        <w:rPr>
          <w:rFonts w:cs="Arial"/>
          <w:b/>
        </w:rPr>
        <w:t>7</w:t>
      </w:r>
      <w:r w:rsidR="009B46F6" w:rsidRPr="00430524">
        <w:rPr>
          <w:rFonts w:cs="Arial"/>
        </w:rPr>
        <w:t xml:space="preserve">-2 </w:t>
      </w:r>
      <w:r w:rsidRPr="00430524">
        <w:rPr>
          <w:rFonts w:cs="Arial"/>
          <w:b/>
        </w:rPr>
        <w:t>Monetary base</w:t>
      </w:r>
      <w:r w:rsidR="00220B45">
        <w:rPr>
          <w:rFonts w:cs="Arial"/>
          <w:b/>
        </w:rPr>
        <w:t xml:space="preserve"> of the CNB</w:t>
      </w:r>
    </w:p>
    <w:p w:rsidR="00AD5827" w:rsidRPr="00430524" w:rsidRDefault="00AD5827" w:rsidP="001D5071">
      <w:pPr>
        <w:widowControl/>
        <w:tabs>
          <w:tab w:val="left" w:pos="0"/>
        </w:tabs>
        <w:suppressAutoHyphens/>
        <w:spacing w:before="120"/>
        <w:ind w:firstLine="709"/>
        <w:jc w:val="both"/>
        <w:rPr>
          <w:rFonts w:ascii="Arial" w:hAnsi="Arial" w:cs="Arial"/>
          <w:i/>
          <w:spacing w:val="-3"/>
        </w:rPr>
      </w:pPr>
      <w:r w:rsidRPr="00430524">
        <w:rPr>
          <w:rFonts w:ascii="Arial" w:hAnsi="Arial" w:cs="Arial"/>
          <w:i/>
          <w:spacing w:val="-3"/>
        </w:rPr>
        <w:t>The monetary base (reserve money) includes currency and reserves held by commercial banks</w:t>
      </w:r>
      <w:r w:rsidRPr="000B32C4">
        <w:rPr>
          <w:rFonts w:ascii="Arial" w:hAnsi="Arial" w:cs="Arial"/>
          <w:i/>
          <w:spacing w:val="-3"/>
        </w:rPr>
        <w:t xml:space="preserve"> </w:t>
      </w:r>
      <w:r w:rsidR="00E53F3C" w:rsidRPr="00BA0FE0">
        <w:rPr>
          <w:rFonts w:ascii="Arial" w:hAnsi="Arial" w:cs="Arial"/>
          <w:i/>
          <w:spacing w:val="-3"/>
        </w:rPr>
        <w:t>and credit unions (since 2012)</w:t>
      </w:r>
      <w:r w:rsidRPr="00430524">
        <w:rPr>
          <w:rFonts w:ascii="Arial" w:hAnsi="Arial" w:cs="Arial"/>
          <w:i/>
          <w:spacing w:val="-3"/>
        </w:rPr>
        <w:t xml:space="preserve"> on accounts with</w:t>
      </w:r>
      <w:r w:rsidR="0005001C" w:rsidRPr="00430524">
        <w:rPr>
          <w:rFonts w:ascii="Arial" w:hAnsi="Arial" w:cs="Arial"/>
          <w:i/>
          <w:spacing w:val="-3"/>
        </w:rPr>
        <w:t xml:space="preserve"> the </w:t>
      </w:r>
      <w:r w:rsidRPr="00430524">
        <w:rPr>
          <w:rFonts w:ascii="Arial" w:hAnsi="Arial" w:cs="Arial"/>
          <w:i/>
          <w:spacing w:val="-3"/>
        </w:rPr>
        <w:t>central bank. These items together constitute</w:t>
      </w:r>
      <w:r w:rsidR="0005001C" w:rsidRPr="00430524">
        <w:rPr>
          <w:rFonts w:ascii="Arial" w:hAnsi="Arial" w:cs="Arial"/>
          <w:i/>
          <w:spacing w:val="-3"/>
        </w:rPr>
        <w:t xml:space="preserve"> the </w:t>
      </w:r>
      <w:r w:rsidRPr="00430524">
        <w:rPr>
          <w:rFonts w:ascii="Arial" w:hAnsi="Arial" w:cs="Arial"/>
          <w:b/>
          <w:i/>
          <w:spacing w:val="-3"/>
        </w:rPr>
        <w:t>use of</w:t>
      </w:r>
      <w:r w:rsidR="0005001C" w:rsidRPr="00430524">
        <w:rPr>
          <w:rFonts w:ascii="Arial" w:hAnsi="Arial" w:cs="Arial"/>
          <w:b/>
          <w:i/>
          <w:spacing w:val="-3"/>
        </w:rPr>
        <w:t xml:space="preserve"> the </w:t>
      </w:r>
      <w:r w:rsidRPr="00430524">
        <w:rPr>
          <w:rFonts w:ascii="Arial" w:hAnsi="Arial" w:cs="Arial"/>
          <w:b/>
          <w:i/>
          <w:spacing w:val="-3"/>
        </w:rPr>
        <w:t>monetary base</w:t>
      </w:r>
      <w:r w:rsidR="00244B0B" w:rsidRPr="00430524">
        <w:rPr>
          <w:rFonts w:ascii="Arial" w:hAnsi="Arial" w:cs="Arial"/>
          <w:i/>
          <w:spacing w:val="-3"/>
        </w:rPr>
        <w:t>.</w:t>
      </w:r>
      <w:r w:rsidR="0005001C" w:rsidRPr="00430524">
        <w:rPr>
          <w:rFonts w:ascii="Arial" w:hAnsi="Arial" w:cs="Arial"/>
          <w:i/>
          <w:spacing w:val="-3"/>
        </w:rPr>
        <w:t xml:space="preserve"> The </w:t>
      </w:r>
      <w:r w:rsidRPr="00430524">
        <w:rPr>
          <w:rFonts w:ascii="Arial" w:hAnsi="Arial" w:cs="Arial"/>
          <w:i/>
          <w:spacing w:val="-3"/>
        </w:rPr>
        <w:t>monetary base expresses</w:t>
      </w:r>
      <w:r w:rsidR="0005001C" w:rsidRPr="00430524">
        <w:rPr>
          <w:rFonts w:ascii="Arial" w:hAnsi="Arial" w:cs="Arial"/>
          <w:i/>
          <w:spacing w:val="-3"/>
        </w:rPr>
        <w:t xml:space="preserve"> the </w:t>
      </w:r>
      <w:r w:rsidR="00721AFD" w:rsidRPr="00430524">
        <w:rPr>
          <w:rFonts w:ascii="Arial" w:hAnsi="Arial" w:cs="Arial"/>
          <w:i/>
          <w:spacing w:val="-3"/>
        </w:rPr>
        <w:t>central bank’s relations with other sectors of the economy. The counterparts of the monetary base are therefore the external sector, the government sector, the banking sector and the </w:t>
      </w:r>
      <w:r w:rsidR="00E53F3C" w:rsidRPr="00BA0FE0">
        <w:rPr>
          <w:rFonts w:ascii="Arial" w:hAnsi="Arial" w:cs="Arial"/>
          <w:i/>
          <w:spacing w:val="-3"/>
        </w:rPr>
        <w:t>non-banking</w:t>
      </w:r>
      <w:r w:rsidR="00721AFD" w:rsidRPr="00430524">
        <w:rPr>
          <w:rFonts w:ascii="Arial" w:hAnsi="Arial" w:cs="Arial"/>
          <w:i/>
          <w:spacing w:val="-3"/>
        </w:rPr>
        <w:t xml:space="preserve"> sector. These factors affecting the monetary base are referred to as the </w:t>
      </w:r>
      <w:r w:rsidR="00721AFD" w:rsidRPr="00430524">
        <w:rPr>
          <w:rFonts w:ascii="Arial" w:hAnsi="Arial" w:cs="Arial"/>
          <w:b/>
          <w:i/>
          <w:spacing w:val="-3"/>
        </w:rPr>
        <w:t>sources of the monetary base</w:t>
      </w:r>
      <w:r w:rsidR="00721AFD" w:rsidRPr="00430524">
        <w:rPr>
          <w:rFonts w:ascii="Arial" w:hAnsi="Arial" w:cs="Arial"/>
          <w:i/>
          <w:spacing w:val="-3"/>
        </w:rPr>
        <w:t>.</w:t>
      </w:r>
    </w:p>
    <w:p w:rsidR="00AD5827" w:rsidRPr="00430524" w:rsidRDefault="00721AFD" w:rsidP="001D5071">
      <w:pPr>
        <w:widowControl/>
        <w:tabs>
          <w:tab w:val="left" w:pos="0"/>
        </w:tabs>
        <w:suppressAutoHyphens/>
        <w:spacing w:before="120"/>
        <w:ind w:firstLine="709"/>
        <w:jc w:val="both"/>
        <w:rPr>
          <w:rFonts w:ascii="Arial" w:hAnsi="Arial" w:cs="Arial"/>
          <w:i/>
          <w:spacing w:val="-3"/>
        </w:rPr>
      </w:pPr>
      <w:r w:rsidRPr="00430524">
        <w:rPr>
          <w:rFonts w:ascii="Arial" w:hAnsi="Arial" w:cs="Arial"/>
          <w:b/>
          <w:i/>
          <w:spacing w:val="-3"/>
        </w:rPr>
        <w:t>The external sector</w:t>
      </w:r>
      <w:r w:rsidRPr="00430524">
        <w:rPr>
          <w:rFonts w:ascii="Arial" w:hAnsi="Arial" w:cs="Arial"/>
          <w:i/>
          <w:spacing w:val="-3"/>
        </w:rPr>
        <w:t xml:space="preserve"> represents the balance of short-term and long-term assets and liabilities of the central bank vis-à-vis non-residents in the domestic currency and in foreign currencies. This item also includes the foreign exchange position vis-à-vis residents (domestic banks).</w:t>
      </w:r>
    </w:p>
    <w:p w:rsidR="00AD5827" w:rsidRDefault="00721AFD" w:rsidP="001D5071">
      <w:pPr>
        <w:widowControl/>
        <w:tabs>
          <w:tab w:val="left" w:pos="0"/>
        </w:tabs>
        <w:suppressAutoHyphens/>
        <w:spacing w:before="120"/>
        <w:ind w:firstLine="709"/>
        <w:jc w:val="both"/>
        <w:rPr>
          <w:rFonts w:ascii="Arial" w:hAnsi="Arial" w:cs="Arial"/>
          <w:i/>
          <w:spacing w:val="-3"/>
        </w:rPr>
      </w:pPr>
      <w:r w:rsidRPr="00430524">
        <w:rPr>
          <w:rFonts w:ascii="Arial" w:hAnsi="Arial" w:cs="Arial"/>
          <w:b/>
          <w:i/>
          <w:spacing w:val="-3"/>
        </w:rPr>
        <w:t xml:space="preserve">The government sector </w:t>
      </w:r>
      <w:r w:rsidRPr="00430524">
        <w:rPr>
          <w:rFonts w:ascii="Arial" w:hAnsi="Arial" w:cs="Arial"/>
          <w:i/>
          <w:spacing w:val="-3"/>
        </w:rPr>
        <w:t>expresses the difference between the assets and liabilities of the central bank vis-à-vis the government sector.</w:t>
      </w:r>
    </w:p>
    <w:p w:rsidR="00AF644A" w:rsidRPr="00430524" w:rsidRDefault="00494423" w:rsidP="001D5071">
      <w:pPr>
        <w:widowControl/>
        <w:tabs>
          <w:tab w:val="left" w:pos="0"/>
        </w:tabs>
        <w:suppressAutoHyphens/>
        <w:spacing w:before="120"/>
        <w:ind w:firstLine="709"/>
        <w:jc w:val="both"/>
        <w:rPr>
          <w:rFonts w:ascii="Arial" w:hAnsi="Arial" w:cs="Arial"/>
          <w:i/>
          <w:spacing w:val="-3"/>
        </w:rPr>
      </w:pPr>
      <w:r w:rsidRPr="00494423">
        <w:rPr>
          <w:rFonts w:ascii="Arial" w:hAnsi="Arial" w:cs="Arial"/>
          <w:b/>
          <w:i/>
          <w:spacing w:val="-3"/>
        </w:rPr>
        <w:t>The Financial Market Guarantee System</w:t>
      </w:r>
      <w:r w:rsidR="00AF644A">
        <w:rPr>
          <w:rFonts w:ascii="Arial" w:hAnsi="Arial" w:cs="Arial"/>
          <w:i/>
          <w:spacing w:val="-3"/>
        </w:rPr>
        <w:t xml:space="preserve"> includes the Deposit Insurance Fund and the Crisis Resolution Fund. </w:t>
      </w:r>
    </w:p>
    <w:p w:rsidR="00935395" w:rsidRDefault="00721AFD" w:rsidP="001D5071">
      <w:pPr>
        <w:widowControl/>
        <w:tabs>
          <w:tab w:val="left" w:pos="0"/>
        </w:tabs>
        <w:suppressAutoHyphens/>
        <w:spacing w:before="120"/>
        <w:ind w:firstLine="709"/>
        <w:jc w:val="both"/>
        <w:rPr>
          <w:rFonts w:ascii="Arial" w:hAnsi="Arial" w:cs="Arial"/>
          <w:i/>
          <w:spacing w:val="-3"/>
        </w:rPr>
      </w:pPr>
      <w:r w:rsidRPr="00430524">
        <w:rPr>
          <w:rFonts w:ascii="Arial" w:hAnsi="Arial" w:cs="Arial"/>
          <w:b/>
          <w:i/>
          <w:spacing w:val="-3"/>
        </w:rPr>
        <w:lastRenderedPageBreak/>
        <w:t xml:space="preserve">Claims on non-bank entities </w:t>
      </w:r>
      <w:r w:rsidRPr="00430524">
        <w:rPr>
          <w:rFonts w:ascii="Arial" w:hAnsi="Arial" w:cs="Arial"/>
          <w:i/>
          <w:spacing w:val="-3"/>
        </w:rPr>
        <w:t xml:space="preserve">represent the claims of the central bank on different non-bank entities. These include </w:t>
      </w:r>
      <w:r w:rsidR="00E53F3C" w:rsidRPr="00BA0FE0">
        <w:rPr>
          <w:rFonts w:ascii="Arial" w:hAnsi="Arial" w:cs="Arial"/>
          <w:i/>
          <w:spacing w:val="-3"/>
        </w:rPr>
        <w:t xml:space="preserve">e.g. </w:t>
      </w:r>
      <w:r w:rsidRPr="00430524">
        <w:rPr>
          <w:rFonts w:ascii="Arial" w:hAnsi="Arial" w:cs="Arial"/>
          <w:i/>
          <w:spacing w:val="-3"/>
        </w:rPr>
        <w:t>banks without licenses.</w:t>
      </w:r>
    </w:p>
    <w:p w:rsidR="00AD5827" w:rsidRPr="00430524" w:rsidRDefault="00721AFD" w:rsidP="001D5071">
      <w:pPr>
        <w:widowControl/>
        <w:tabs>
          <w:tab w:val="left" w:pos="0"/>
        </w:tabs>
        <w:suppressAutoHyphens/>
        <w:spacing w:before="120"/>
        <w:ind w:firstLine="709"/>
        <w:jc w:val="both"/>
        <w:rPr>
          <w:rFonts w:ascii="Arial" w:hAnsi="Arial" w:cs="Arial"/>
          <w:i/>
          <w:spacing w:val="-3"/>
        </w:rPr>
      </w:pPr>
      <w:r w:rsidRPr="00430524">
        <w:rPr>
          <w:rFonts w:ascii="Arial" w:hAnsi="Arial" w:cs="Arial"/>
          <w:b/>
          <w:i/>
          <w:spacing w:val="-3"/>
        </w:rPr>
        <w:t>Other net assets</w:t>
      </w:r>
      <w:r w:rsidRPr="00430524">
        <w:rPr>
          <w:rFonts w:ascii="Arial" w:hAnsi="Arial" w:cs="Arial"/>
          <w:i/>
          <w:spacing w:val="-3"/>
        </w:rPr>
        <w:t xml:space="preserve"> include various items, for example the central bank’s own funds, tangible and intangible property, claims on commercial banks by virtue of drawing currency in circulation, other deposits of commercial banks with the central bank, other non-government deposits and non-government securities and participations, etc.</w:t>
      </w:r>
    </w:p>
    <w:p w:rsidR="00AD5827" w:rsidRPr="00430524" w:rsidRDefault="00721AFD" w:rsidP="001D5071">
      <w:pPr>
        <w:widowControl/>
        <w:tabs>
          <w:tab w:val="left" w:pos="0"/>
        </w:tabs>
        <w:suppressAutoHyphens/>
        <w:spacing w:before="120"/>
        <w:ind w:firstLine="709"/>
        <w:jc w:val="both"/>
        <w:rPr>
          <w:rFonts w:ascii="Arial" w:hAnsi="Arial" w:cs="Arial"/>
          <w:i/>
          <w:spacing w:val="-3"/>
        </w:rPr>
      </w:pPr>
      <w:r w:rsidRPr="00430524">
        <w:rPr>
          <w:rFonts w:ascii="Arial" w:hAnsi="Arial" w:cs="Arial"/>
          <w:b/>
          <w:i/>
          <w:spacing w:val="-3"/>
        </w:rPr>
        <w:t>The</w:t>
      </w:r>
      <w:r w:rsidRPr="00430524">
        <w:rPr>
          <w:rFonts w:ascii="Arial" w:hAnsi="Arial" w:cs="Arial"/>
          <w:i/>
          <w:spacing w:val="-3"/>
        </w:rPr>
        <w:t xml:space="preserve"> </w:t>
      </w:r>
      <w:r w:rsidRPr="00430524">
        <w:rPr>
          <w:rFonts w:ascii="Arial" w:hAnsi="Arial" w:cs="Arial"/>
          <w:b/>
          <w:i/>
          <w:spacing w:val="-3"/>
        </w:rPr>
        <w:t xml:space="preserve">volume of sterilisation </w:t>
      </w:r>
      <w:r w:rsidRPr="00430524">
        <w:rPr>
          <w:rFonts w:ascii="Arial" w:hAnsi="Arial" w:cs="Arial"/>
          <w:i/>
          <w:spacing w:val="-3"/>
        </w:rPr>
        <w:t xml:space="preserve">expresses the volume of CNB bills held by commercial banks, </w:t>
      </w:r>
      <w:r w:rsidR="00E53F3C" w:rsidRPr="00BA0FE0">
        <w:rPr>
          <w:rFonts w:ascii="Arial" w:hAnsi="Arial" w:cs="Arial"/>
          <w:i/>
          <w:spacing w:val="-3"/>
        </w:rPr>
        <w:t xml:space="preserve">credit unions, other </w:t>
      </w:r>
      <w:r w:rsidRPr="00430524">
        <w:rPr>
          <w:rFonts w:ascii="Arial" w:hAnsi="Arial" w:cs="Arial"/>
          <w:i/>
          <w:spacing w:val="-3"/>
        </w:rPr>
        <w:t>non-bank entities and the Ministry of Finance.</w:t>
      </w:r>
    </w:p>
    <w:p w:rsidR="00AD5827" w:rsidRPr="00430524" w:rsidRDefault="00721AFD" w:rsidP="001D5071">
      <w:pPr>
        <w:widowControl/>
        <w:tabs>
          <w:tab w:val="left" w:pos="0"/>
        </w:tabs>
        <w:suppressAutoHyphens/>
        <w:spacing w:before="120"/>
        <w:ind w:firstLine="709"/>
        <w:jc w:val="both"/>
        <w:rPr>
          <w:rFonts w:ascii="Arial" w:hAnsi="Arial" w:cs="Arial"/>
          <w:i/>
          <w:spacing w:val="-3"/>
        </w:rPr>
      </w:pPr>
      <w:r w:rsidRPr="00430524">
        <w:rPr>
          <w:rFonts w:ascii="Arial" w:hAnsi="Arial" w:cs="Arial"/>
          <w:b/>
          <w:i/>
          <w:spacing w:val="-3"/>
        </w:rPr>
        <w:t xml:space="preserve">Stand-by facilities </w:t>
      </w:r>
      <w:r w:rsidRPr="00430524">
        <w:rPr>
          <w:rFonts w:ascii="Arial" w:hAnsi="Arial" w:cs="Arial"/>
          <w:i/>
          <w:spacing w:val="-3"/>
        </w:rPr>
        <w:t xml:space="preserve">include overnight lending and deposit facilities, which enable to manage the daily reserve position of banks </w:t>
      </w:r>
      <w:r w:rsidR="00010DAF" w:rsidRPr="00BA0FE0">
        <w:rPr>
          <w:rFonts w:ascii="Arial" w:hAnsi="Arial" w:cs="Arial"/>
          <w:i/>
          <w:spacing w:val="-3"/>
        </w:rPr>
        <w:t>and credit unions (since 2012)</w:t>
      </w:r>
      <w:r w:rsidR="00AD5827" w:rsidRPr="00BA0FE0">
        <w:rPr>
          <w:rFonts w:ascii="Arial" w:hAnsi="Arial" w:cs="Arial"/>
          <w:i/>
          <w:spacing w:val="-3"/>
        </w:rPr>
        <w:t xml:space="preserve"> </w:t>
      </w:r>
      <w:r w:rsidRPr="00430524">
        <w:rPr>
          <w:rFonts w:ascii="Arial" w:hAnsi="Arial" w:cs="Arial"/>
          <w:i/>
          <w:spacing w:val="-3"/>
        </w:rPr>
        <w:t>so that an optimum balance on the payment system account is maintained.</w:t>
      </w:r>
    </w:p>
    <w:p w:rsidR="00AD5827" w:rsidRPr="00430524" w:rsidRDefault="00721AFD" w:rsidP="001D5071">
      <w:pPr>
        <w:widowControl/>
        <w:tabs>
          <w:tab w:val="left" w:pos="0"/>
        </w:tabs>
        <w:suppressAutoHyphens/>
        <w:spacing w:before="120"/>
        <w:ind w:left="170" w:hanging="170"/>
        <w:jc w:val="both"/>
        <w:rPr>
          <w:rFonts w:ascii="Arial" w:hAnsi="Arial" w:cs="Arial"/>
          <w:i/>
          <w:spacing w:val="-3"/>
        </w:rPr>
      </w:pPr>
      <w:r w:rsidRPr="00430524">
        <w:rPr>
          <w:rFonts w:ascii="Arial" w:hAnsi="Arial" w:cs="Arial"/>
          <w:i/>
          <w:spacing w:val="-3"/>
        </w:rPr>
        <w:t>– Lombard repo (lending facility): a repo operation serving to provide liquidity to commercial banks</w:t>
      </w:r>
      <w:r w:rsidR="00010DAF" w:rsidRPr="00BA0FE0">
        <w:rPr>
          <w:rFonts w:ascii="Arial" w:hAnsi="Arial" w:cs="Arial"/>
          <w:i/>
          <w:spacing w:val="-3"/>
        </w:rPr>
        <w:t xml:space="preserve"> and credit unions (since 2012)</w:t>
      </w:r>
      <w:r w:rsidR="00AD5827" w:rsidRPr="000B32C4">
        <w:rPr>
          <w:rFonts w:ascii="Arial" w:hAnsi="Arial" w:cs="Arial"/>
          <w:i/>
          <w:spacing w:val="-3"/>
        </w:rPr>
        <w:t>.</w:t>
      </w:r>
      <w:r w:rsidRPr="00430524">
        <w:rPr>
          <w:rFonts w:ascii="Arial" w:hAnsi="Arial" w:cs="Arial"/>
          <w:i/>
          <w:spacing w:val="-3"/>
        </w:rPr>
        <w:t xml:space="preserve"> On granting the credit, 100% coverage by securities, as a rule Treasury bills and CNB bills, is required. Interest on the credit is calculated at the Lombard rate. The minimum volume is not stipulated.</w:t>
      </w:r>
    </w:p>
    <w:p w:rsidR="00AD5827" w:rsidRPr="00430524" w:rsidRDefault="00721AFD" w:rsidP="001D5071">
      <w:pPr>
        <w:widowControl/>
        <w:tabs>
          <w:tab w:val="left" w:pos="0"/>
        </w:tabs>
        <w:suppressAutoHyphens/>
        <w:spacing w:before="120"/>
        <w:ind w:left="170" w:hanging="170"/>
        <w:jc w:val="both"/>
        <w:rPr>
          <w:rFonts w:ascii="Arial" w:hAnsi="Arial" w:cs="Arial"/>
          <w:i/>
          <w:spacing w:val="-3"/>
        </w:rPr>
      </w:pPr>
      <w:r w:rsidRPr="00430524">
        <w:rPr>
          <w:rFonts w:ascii="Arial" w:hAnsi="Arial" w:cs="Arial"/>
          <w:i/>
          <w:spacing w:val="-3"/>
        </w:rPr>
        <w:t xml:space="preserve">– O/N deposit (deposit facility): commercial banks </w:t>
      </w:r>
      <w:r w:rsidR="00010DAF" w:rsidRPr="00BA0FE0">
        <w:rPr>
          <w:rFonts w:ascii="Arial" w:hAnsi="Arial" w:cs="Arial"/>
          <w:i/>
          <w:spacing w:val="-3"/>
        </w:rPr>
        <w:t>and credit unions (since 2012)</w:t>
      </w:r>
      <w:r w:rsidR="00AD5827" w:rsidRPr="00BA0FE0">
        <w:rPr>
          <w:rFonts w:ascii="Arial" w:hAnsi="Arial" w:cs="Arial"/>
          <w:i/>
          <w:spacing w:val="-3"/>
        </w:rPr>
        <w:t xml:space="preserve"> </w:t>
      </w:r>
      <w:r w:rsidRPr="00430524">
        <w:rPr>
          <w:rFonts w:ascii="Arial" w:hAnsi="Arial" w:cs="Arial"/>
          <w:i/>
          <w:spacing w:val="-3"/>
        </w:rPr>
        <w:t>have a possibility to deposit their free funds with the central bank. The deposit is not secured and is remunerated at the discount rate. The stipulated minimum volume is CZK 10 million.</w:t>
      </w:r>
    </w:p>
    <w:p w:rsidR="00AD5827" w:rsidRPr="00430524" w:rsidRDefault="00721AFD" w:rsidP="001D5071">
      <w:pPr>
        <w:widowControl/>
        <w:tabs>
          <w:tab w:val="left" w:pos="0"/>
        </w:tabs>
        <w:suppressAutoHyphens/>
        <w:spacing w:before="120"/>
        <w:ind w:firstLine="709"/>
        <w:jc w:val="both"/>
        <w:rPr>
          <w:rFonts w:ascii="Arial" w:hAnsi="Arial" w:cs="Arial"/>
          <w:i/>
          <w:spacing w:val="-3"/>
        </w:rPr>
      </w:pPr>
      <w:r w:rsidRPr="00430524">
        <w:rPr>
          <w:rFonts w:ascii="Arial" w:hAnsi="Arial" w:cs="Arial"/>
          <w:b/>
          <w:i/>
          <w:spacing w:val="-3"/>
        </w:rPr>
        <w:t>Currency</w:t>
      </w:r>
      <w:r w:rsidRPr="00430524">
        <w:rPr>
          <w:rFonts w:ascii="Arial" w:hAnsi="Arial" w:cs="Arial"/>
          <w:i/>
          <w:spacing w:val="-3"/>
        </w:rPr>
        <w:t xml:space="preserve"> represents a liability of the central bank by virtue of issued banknotes and coins held by banks</w:t>
      </w:r>
      <w:r w:rsidR="00010DAF" w:rsidRPr="00BA0FE0">
        <w:rPr>
          <w:rFonts w:ascii="Arial" w:hAnsi="Arial" w:cs="Arial"/>
          <w:i/>
          <w:spacing w:val="-3"/>
        </w:rPr>
        <w:t>, credit unions (since 2012)</w:t>
      </w:r>
      <w:r w:rsidRPr="00430524">
        <w:rPr>
          <w:rFonts w:ascii="Arial" w:hAnsi="Arial" w:cs="Arial"/>
          <w:i/>
          <w:spacing w:val="-3"/>
        </w:rPr>
        <w:t xml:space="preserve"> and the non-bank public.</w:t>
      </w:r>
    </w:p>
    <w:p w:rsidR="00AD5827" w:rsidRPr="00430524" w:rsidRDefault="00721AFD" w:rsidP="001D5071">
      <w:pPr>
        <w:widowControl/>
        <w:tabs>
          <w:tab w:val="left" w:pos="0"/>
        </w:tabs>
        <w:suppressAutoHyphens/>
        <w:spacing w:before="120"/>
        <w:ind w:firstLine="709"/>
        <w:jc w:val="both"/>
        <w:rPr>
          <w:rFonts w:ascii="Arial" w:hAnsi="Arial" w:cs="Arial"/>
          <w:i/>
          <w:spacing w:val="-3"/>
        </w:rPr>
      </w:pPr>
      <w:r w:rsidRPr="00430524">
        <w:rPr>
          <w:rFonts w:ascii="Arial" w:hAnsi="Arial" w:cs="Arial"/>
          <w:b/>
          <w:i/>
          <w:spacing w:val="-3"/>
        </w:rPr>
        <w:t>Reserves of banks</w:t>
      </w:r>
      <w:r w:rsidR="00AD5827" w:rsidRPr="00146391">
        <w:rPr>
          <w:rFonts w:ascii="Arial" w:hAnsi="Arial" w:cs="Arial"/>
          <w:b/>
          <w:i/>
          <w:spacing w:val="-3"/>
        </w:rPr>
        <w:t xml:space="preserve"> </w:t>
      </w:r>
      <w:r w:rsidR="00010DAF" w:rsidRPr="00146391">
        <w:rPr>
          <w:rFonts w:ascii="Arial" w:hAnsi="Arial" w:cs="Arial"/>
          <w:b/>
          <w:i/>
          <w:spacing w:val="-3"/>
        </w:rPr>
        <w:t>and credit unions</w:t>
      </w:r>
      <w:r w:rsidR="00010DAF" w:rsidRPr="00BA0FE0">
        <w:rPr>
          <w:rFonts w:ascii="Arial" w:hAnsi="Arial" w:cs="Arial"/>
          <w:i/>
          <w:spacing w:val="-3"/>
        </w:rPr>
        <w:t xml:space="preserve"> (since 2012)</w:t>
      </w:r>
      <w:r w:rsidRPr="00430524">
        <w:rPr>
          <w:rFonts w:ascii="Arial" w:hAnsi="Arial" w:cs="Arial"/>
          <w:i/>
          <w:spacing w:val="-3"/>
        </w:rPr>
        <w:t xml:space="preserve"> include required minimum reserves and excess reserves on accounts with the central bank:</w:t>
      </w:r>
    </w:p>
    <w:p w:rsidR="00AD5827" w:rsidRPr="00430524" w:rsidRDefault="00721AFD" w:rsidP="001D5071">
      <w:pPr>
        <w:pStyle w:val="Zkladntextodsazen3"/>
        <w:widowControl/>
        <w:spacing w:before="120" w:line="240" w:lineRule="auto"/>
        <w:ind w:left="170" w:hanging="170"/>
        <w:rPr>
          <w:rFonts w:cs="Arial"/>
        </w:rPr>
      </w:pPr>
      <w:r w:rsidRPr="00430524">
        <w:rPr>
          <w:rFonts w:cs="Arial"/>
        </w:rPr>
        <w:t xml:space="preserve">– The required minimum reserves are the funds which banks </w:t>
      </w:r>
      <w:r w:rsidR="00010DAF" w:rsidRPr="00BA0FE0">
        <w:rPr>
          <w:rFonts w:cs="Arial"/>
        </w:rPr>
        <w:t>and credit unions (since 2012)</w:t>
      </w:r>
      <w:r w:rsidR="00AD5827" w:rsidRPr="00BA0FE0">
        <w:rPr>
          <w:rFonts w:cs="Arial"/>
        </w:rPr>
        <w:t xml:space="preserve"> </w:t>
      </w:r>
      <w:r w:rsidRPr="00430524">
        <w:rPr>
          <w:rFonts w:cs="Arial"/>
        </w:rPr>
        <w:t xml:space="preserve">are obliged to maintain on their accounts with the central bank. The prescribed volume amounts to 2% of banks’ primary liabilities with a maturity of up to 2 years in Czech and foreign currencies. The required minimum reserves </w:t>
      </w:r>
      <w:r w:rsidR="00010DAF" w:rsidRPr="00BA0FE0">
        <w:rPr>
          <w:rFonts w:cs="Arial"/>
        </w:rPr>
        <w:t>are</w:t>
      </w:r>
      <w:r w:rsidRPr="00430524">
        <w:rPr>
          <w:rFonts w:cs="Arial"/>
        </w:rPr>
        <w:t xml:space="preserve"> maintained in one-month cycles </w:t>
      </w:r>
      <w:r w:rsidR="00010DAF" w:rsidRPr="00BA0FE0">
        <w:rPr>
          <w:rFonts w:cs="Arial"/>
        </w:rPr>
        <w:t>and remunerated</w:t>
      </w:r>
      <w:r w:rsidRPr="00430524">
        <w:rPr>
          <w:rFonts w:cs="Arial"/>
        </w:rPr>
        <w:t xml:space="preserve"> at the valid repo rate.</w:t>
      </w:r>
    </w:p>
    <w:p w:rsidR="00AD5827" w:rsidRPr="00430524" w:rsidRDefault="00721AFD" w:rsidP="001D5071">
      <w:pPr>
        <w:widowControl/>
        <w:tabs>
          <w:tab w:val="left" w:pos="0"/>
        </w:tabs>
        <w:suppressAutoHyphens/>
        <w:spacing w:before="120"/>
        <w:ind w:left="170" w:hanging="170"/>
        <w:jc w:val="both"/>
        <w:rPr>
          <w:rFonts w:ascii="Arial" w:hAnsi="Arial" w:cs="Arial"/>
          <w:i/>
          <w:spacing w:val="-3"/>
        </w:rPr>
      </w:pPr>
      <w:r w:rsidRPr="00430524">
        <w:rPr>
          <w:rFonts w:ascii="Arial" w:hAnsi="Arial" w:cs="Arial"/>
          <w:i/>
          <w:spacing w:val="-3"/>
        </w:rPr>
        <w:t>– The excess reserves represent the difference between the prescribed and actual volumes of the required minimum reserves.</w:t>
      </w:r>
    </w:p>
    <w:p w:rsidR="00AD5827" w:rsidRPr="00430524" w:rsidRDefault="00AD5827" w:rsidP="001D5071">
      <w:pPr>
        <w:widowControl/>
        <w:tabs>
          <w:tab w:val="left" w:pos="0"/>
        </w:tabs>
        <w:suppressAutoHyphens/>
        <w:ind w:left="720" w:hanging="720"/>
        <w:jc w:val="both"/>
        <w:rPr>
          <w:rFonts w:ascii="Arial" w:hAnsi="Arial" w:cs="Arial"/>
          <w:i/>
          <w:spacing w:val="-3"/>
        </w:rPr>
      </w:pPr>
    </w:p>
    <w:p w:rsidR="00AD5827" w:rsidRPr="00430524" w:rsidRDefault="00AD5827" w:rsidP="001D5071">
      <w:pPr>
        <w:widowControl/>
        <w:tabs>
          <w:tab w:val="left" w:pos="0"/>
          <w:tab w:val="left" w:pos="453"/>
          <w:tab w:val="left" w:pos="1440"/>
        </w:tabs>
        <w:suppressAutoHyphens/>
        <w:jc w:val="both"/>
        <w:rPr>
          <w:rFonts w:ascii="Arial" w:hAnsi="Arial" w:cs="Arial"/>
          <w:i/>
          <w:spacing w:val="-3"/>
        </w:rPr>
      </w:pPr>
    </w:p>
    <w:p w:rsidR="00585F2C" w:rsidRPr="00430524" w:rsidRDefault="00721AFD" w:rsidP="001D5071">
      <w:pPr>
        <w:widowControl/>
        <w:tabs>
          <w:tab w:val="left" w:pos="0"/>
          <w:tab w:val="left" w:pos="1843"/>
        </w:tabs>
        <w:suppressAutoHyphens/>
        <w:ind w:left="709" w:hanging="709"/>
        <w:jc w:val="both"/>
        <w:rPr>
          <w:rFonts w:ascii="Arial" w:hAnsi="Arial" w:cs="Arial"/>
          <w:b/>
          <w:i/>
          <w:spacing w:val="-3"/>
        </w:rPr>
      </w:pPr>
      <w:r w:rsidRPr="00430524">
        <w:rPr>
          <w:rFonts w:ascii="Arial" w:hAnsi="Arial" w:cs="Arial"/>
          <w:i/>
          <w:spacing w:val="-3"/>
        </w:rPr>
        <w:t xml:space="preserve">Tables </w:t>
      </w:r>
      <w:r w:rsidRPr="00430524">
        <w:rPr>
          <w:rFonts w:ascii="Arial" w:hAnsi="Arial" w:cs="Arial"/>
          <w:b/>
          <w:i/>
          <w:spacing w:val="-3"/>
        </w:rPr>
        <w:t>7</w:t>
      </w:r>
      <w:r w:rsidRPr="00430524">
        <w:rPr>
          <w:rFonts w:ascii="Arial" w:hAnsi="Arial" w:cs="Arial"/>
          <w:i/>
          <w:spacing w:val="-3"/>
        </w:rPr>
        <w:t xml:space="preserve">-3 and </w:t>
      </w:r>
      <w:r w:rsidRPr="00430524">
        <w:rPr>
          <w:rFonts w:ascii="Arial" w:hAnsi="Arial" w:cs="Arial"/>
          <w:b/>
          <w:i/>
          <w:spacing w:val="-3"/>
        </w:rPr>
        <w:t>7</w:t>
      </w:r>
      <w:r w:rsidRPr="00430524">
        <w:rPr>
          <w:rFonts w:ascii="Arial" w:hAnsi="Arial" w:cs="Arial"/>
          <w:i/>
          <w:spacing w:val="-3"/>
        </w:rPr>
        <w:t xml:space="preserve">-4 </w:t>
      </w:r>
      <w:r w:rsidRPr="00430524">
        <w:rPr>
          <w:rFonts w:ascii="Arial" w:hAnsi="Arial" w:cs="Arial"/>
          <w:b/>
          <w:i/>
          <w:spacing w:val="-3"/>
        </w:rPr>
        <w:t>Client loans granted by commercial banks, total: by purpose, sector and activity</w:t>
      </w:r>
    </w:p>
    <w:p w:rsidR="00585F2C" w:rsidRPr="00430524" w:rsidRDefault="00721AFD" w:rsidP="001D5071">
      <w:pPr>
        <w:widowControl/>
        <w:tabs>
          <w:tab w:val="left" w:pos="0"/>
          <w:tab w:val="left" w:pos="396"/>
          <w:tab w:val="left" w:pos="3600"/>
        </w:tabs>
        <w:suppressAutoHyphens/>
        <w:spacing w:before="120"/>
        <w:ind w:firstLine="709"/>
        <w:jc w:val="both"/>
        <w:rPr>
          <w:rFonts w:ascii="Arial" w:hAnsi="Arial" w:cs="Arial"/>
          <w:i/>
          <w:spacing w:val="-3"/>
        </w:rPr>
      </w:pPr>
      <w:r w:rsidRPr="00430524">
        <w:rPr>
          <w:rFonts w:ascii="Arial" w:hAnsi="Arial" w:cs="Arial"/>
          <w:i/>
        </w:rPr>
        <w:t>A survey of the balances and structure of loans granted to clients and the bank’s receivables from clients (including bank overdrafts and debit balances on clients’ current accounts), broken down by economic subsector of the clients-debtors, by economic activities classification of the clients-debtors and by loan purpose.</w:t>
      </w:r>
    </w:p>
    <w:p w:rsidR="00935395" w:rsidRDefault="00585F2C" w:rsidP="00475F46">
      <w:pPr>
        <w:pStyle w:val="Podnadpis"/>
        <w:spacing w:before="120"/>
        <w:ind w:firstLine="709"/>
        <w:jc w:val="left"/>
        <w:rPr>
          <w:rFonts w:ascii="Arial" w:hAnsi="Arial" w:cs="Arial"/>
          <w:i/>
          <w:color w:val="000000"/>
          <w:sz w:val="20"/>
        </w:rPr>
      </w:pPr>
      <w:r w:rsidRPr="00430524">
        <w:rPr>
          <w:rFonts w:ascii="Arial" w:hAnsi="Arial" w:cs="Arial"/>
          <w:i/>
          <w:sz w:val="20"/>
        </w:rPr>
        <w:t>Data File</w:t>
      </w:r>
      <w:r w:rsidRPr="00430524">
        <w:rPr>
          <w:rFonts w:ascii="Arial" w:hAnsi="Arial" w:cs="Arial"/>
          <w:i/>
          <w:color w:val="000000"/>
          <w:sz w:val="20"/>
        </w:rPr>
        <w:t xml:space="preserve"> </w:t>
      </w:r>
      <w:r w:rsidRPr="00430524">
        <w:rPr>
          <w:rFonts w:ascii="Arial" w:hAnsi="Arial" w:cs="Arial"/>
          <w:i/>
          <w:sz w:val="20"/>
        </w:rPr>
        <w:t>VST (CNB) 1-12: Monthly statement of client loans and receivables.</w:t>
      </w:r>
    </w:p>
    <w:p w:rsidR="00585F2C" w:rsidRPr="00430524" w:rsidRDefault="00585F2C" w:rsidP="001D5071">
      <w:pPr>
        <w:widowControl/>
        <w:tabs>
          <w:tab w:val="left" w:pos="0"/>
          <w:tab w:val="left" w:pos="396"/>
          <w:tab w:val="left" w:pos="4320"/>
        </w:tabs>
        <w:suppressAutoHyphens/>
        <w:jc w:val="both"/>
        <w:rPr>
          <w:rFonts w:ascii="Arial" w:hAnsi="Arial" w:cs="Arial"/>
          <w:i/>
          <w:spacing w:val="-3"/>
        </w:rPr>
      </w:pPr>
    </w:p>
    <w:p w:rsidR="000E2EC5" w:rsidRPr="00430524" w:rsidRDefault="000E2EC5" w:rsidP="001D5071">
      <w:pPr>
        <w:widowControl/>
        <w:tabs>
          <w:tab w:val="left" w:pos="0"/>
          <w:tab w:val="left" w:pos="396"/>
          <w:tab w:val="left" w:pos="4320"/>
        </w:tabs>
        <w:suppressAutoHyphens/>
        <w:jc w:val="both"/>
        <w:rPr>
          <w:rFonts w:ascii="Arial" w:hAnsi="Arial" w:cs="Arial"/>
          <w:i/>
          <w:spacing w:val="-3"/>
        </w:rPr>
      </w:pPr>
    </w:p>
    <w:p w:rsidR="00585F2C" w:rsidRPr="00430524" w:rsidRDefault="00585F2C" w:rsidP="001D5071">
      <w:pPr>
        <w:widowControl/>
        <w:tabs>
          <w:tab w:val="left" w:pos="0"/>
          <w:tab w:val="left" w:pos="5760"/>
        </w:tabs>
        <w:suppressAutoHyphens/>
        <w:ind w:left="709" w:hanging="709"/>
        <w:jc w:val="both"/>
        <w:rPr>
          <w:rFonts w:ascii="Arial" w:hAnsi="Arial" w:cs="Arial"/>
          <w:b/>
          <w:i/>
          <w:spacing w:val="-3"/>
        </w:rPr>
      </w:pPr>
      <w:r w:rsidRPr="00430524">
        <w:rPr>
          <w:rFonts w:ascii="Arial" w:hAnsi="Arial" w:cs="Arial"/>
          <w:i/>
          <w:spacing w:val="-3"/>
        </w:rPr>
        <w:t xml:space="preserve">Tables </w:t>
      </w:r>
      <w:r w:rsidRPr="00430524">
        <w:rPr>
          <w:rFonts w:ascii="Arial" w:hAnsi="Arial" w:cs="Arial"/>
          <w:b/>
          <w:i/>
          <w:spacing w:val="-3"/>
        </w:rPr>
        <w:t>7</w:t>
      </w:r>
      <w:r w:rsidRPr="00430524">
        <w:rPr>
          <w:rFonts w:ascii="Arial" w:hAnsi="Arial" w:cs="Arial"/>
          <w:i/>
          <w:spacing w:val="-3"/>
        </w:rPr>
        <w:t>-5 and</w:t>
      </w:r>
      <w:r w:rsidRPr="00430524">
        <w:rPr>
          <w:rFonts w:ascii="Arial" w:hAnsi="Arial" w:cs="Arial"/>
          <w:b/>
          <w:i/>
          <w:spacing w:val="-3"/>
        </w:rPr>
        <w:t xml:space="preserve"> 7</w:t>
      </w:r>
      <w:r w:rsidRPr="00430524">
        <w:rPr>
          <w:rFonts w:ascii="Arial" w:hAnsi="Arial" w:cs="Arial"/>
          <w:i/>
          <w:spacing w:val="-3"/>
        </w:rPr>
        <w:t>-6</w:t>
      </w:r>
      <w:r w:rsidRPr="00430524">
        <w:rPr>
          <w:rFonts w:ascii="Arial" w:hAnsi="Arial" w:cs="Arial"/>
          <w:b/>
          <w:i/>
          <w:spacing w:val="-3"/>
        </w:rPr>
        <w:t xml:space="preserve"> Client deposits accepted by commercial banks, total: by sector</w:t>
      </w:r>
      <w:r w:rsidR="00E06E52" w:rsidRPr="00430524">
        <w:rPr>
          <w:rFonts w:ascii="Arial" w:hAnsi="Arial" w:cs="Arial"/>
          <w:b/>
          <w:i/>
          <w:spacing w:val="-3"/>
        </w:rPr>
        <w:t>, activity</w:t>
      </w:r>
      <w:r w:rsidRPr="00430524">
        <w:rPr>
          <w:rFonts w:ascii="Arial" w:hAnsi="Arial" w:cs="Arial"/>
          <w:b/>
          <w:i/>
          <w:spacing w:val="-3"/>
        </w:rPr>
        <w:t xml:space="preserve"> and</w:t>
      </w:r>
      <w:r w:rsidR="00E8127C" w:rsidRPr="00430524">
        <w:rPr>
          <w:rFonts w:ascii="Arial" w:hAnsi="Arial" w:cs="Arial"/>
          <w:b/>
          <w:i/>
          <w:spacing w:val="-3"/>
        </w:rPr>
        <w:t xml:space="preserve"> </w:t>
      </w:r>
      <w:r w:rsidRPr="00430524">
        <w:rPr>
          <w:rFonts w:ascii="Arial" w:hAnsi="Arial" w:cs="Arial"/>
          <w:b/>
          <w:i/>
          <w:spacing w:val="-3"/>
        </w:rPr>
        <w:t>duration</w:t>
      </w:r>
    </w:p>
    <w:p w:rsidR="00585F2C" w:rsidRPr="00430524" w:rsidRDefault="00721AFD" w:rsidP="001D5071">
      <w:pPr>
        <w:widowControl/>
        <w:spacing w:before="120"/>
        <w:ind w:firstLine="709"/>
        <w:jc w:val="both"/>
        <w:rPr>
          <w:rFonts w:ascii="Arial" w:hAnsi="Arial" w:cs="Arial"/>
          <w:i/>
        </w:rPr>
      </w:pPr>
      <w:r w:rsidRPr="00430524">
        <w:rPr>
          <w:rFonts w:ascii="Arial" w:hAnsi="Arial" w:cs="Arial"/>
          <w:i/>
        </w:rPr>
        <w:t>A survey of the amounts and structure of total deposits and other loans accepted from clients (including general government), broken down by agreed duration of the deposit or maturity of the accepted loan</w:t>
      </w:r>
      <w:r w:rsidR="009E6697">
        <w:rPr>
          <w:rFonts w:ascii="Arial" w:hAnsi="Arial" w:cs="Arial"/>
          <w:i/>
        </w:rPr>
        <w:t xml:space="preserve"> and</w:t>
      </w:r>
      <w:r w:rsidRPr="00430524">
        <w:rPr>
          <w:rFonts w:ascii="Arial" w:hAnsi="Arial" w:cs="Arial"/>
          <w:i/>
        </w:rPr>
        <w:t xml:space="preserve"> by economic characteristics of the client (economic sector and economic activities).</w:t>
      </w:r>
      <w:r w:rsidRPr="00430524">
        <w:rPr>
          <w:rStyle w:val="Typewriter"/>
          <w:rFonts w:ascii="Arial" w:hAnsi="Arial" w:cs="Arial"/>
          <w:i/>
          <w:color w:val="000000"/>
        </w:rPr>
        <w:t xml:space="preserve"> </w:t>
      </w:r>
    </w:p>
    <w:p w:rsidR="00935395" w:rsidRDefault="00721AFD" w:rsidP="00475F46">
      <w:pPr>
        <w:widowControl/>
        <w:spacing w:before="120"/>
        <w:ind w:firstLine="709"/>
        <w:rPr>
          <w:rFonts w:ascii="Arial" w:hAnsi="Arial" w:cs="Arial"/>
          <w:i/>
          <w:color w:val="000000"/>
        </w:rPr>
      </w:pPr>
      <w:r w:rsidRPr="00430524">
        <w:rPr>
          <w:rFonts w:ascii="Arial" w:hAnsi="Arial" w:cs="Arial"/>
          <w:i/>
        </w:rPr>
        <w:t>Data File VST (CNB) 11-12:</w:t>
      </w:r>
      <w:r w:rsidRPr="00430524">
        <w:rPr>
          <w:rFonts w:ascii="Arial" w:hAnsi="Arial" w:cs="Arial"/>
          <w:i/>
          <w:color w:val="000000"/>
        </w:rPr>
        <w:t xml:space="preserve"> </w:t>
      </w:r>
      <w:r w:rsidRPr="00430524">
        <w:rPr>
          <w:rFonts w:ascii="Arial" w:hAnsi="Arial" w:cs="Arial"/>
          <w:i/>
        </w:rPr>
        <w:t>Monthly statement of deposits and loans from clients.</w:t>
      </w:r>
    </w:p>
    <w:p w:rsidR="00585F2C" w:rsidRPr="00430524" w:rsidRDefault="00585F2C" w:rsidP="001D5071">
      <w:pPr>
        <w:widowControl/>
        <w:tabs>
          <w:tab w:val="left" w:pos="0"/>
          <w:tab w:val="left" w:pos="453"/>
          <w:tab w:val="left" w:pos="5760"/>
        </w:tabs>
        <w:suppressAutoHyphens/>
        <w:jc w:val="both"/>
        <w:rPr>
          <w:rFonts w:ascii="Arial" w:hAnsi="Arial" w:cs="Arial"/>
          <w:i/>
          <w:spacing w:val="-3"/>
        </w:rPr>
      </w:pPr>
    </w:p>
    <w:p w:rsidR="00AD5827" w:rsidRPr="00430524" w:rsidRDefault="00AD5827" w:rsidP="001D5071">
      <w:pPr>
        <w:widowControl/>
        <w:tabs>
          <w:tab w:val="left" w:pos="0"/>
          <w:tab w:val="left" w:pos="396"/>
          <w:tab w:val="left" w:pos="2410"/>
        </w:tabs>
        <w:suppressAutoHyphens/>
        <w:ind w:left="2410" w:hanging="2410"/>
        <w:jc w:val="both"/>
        <w:rPr>
          <w:rFonts w:ascii="Arial" w:hAnsi="Arial" w:cs="Arial"/>
          <w:i/>
          <w:spacing w:val="-3"/>
        </w:rPr>
      </w:pPr>
    </w:p>
    <w:p w:rsidR="00935395" w:rsidRDefault="00721AFD" w:rsidP="0028430D">
      <w:pPr>
        <w:widowControl/>
        <w:tabs>
          <w:tab w:val="left" w:pos="0"/>
          <w:tab w:val="left" w:pos="453"/>
          <w:tab w:val="left" w:pos="7200"/>
        </w:tabs>
        <w:suppressAutoHyphens/>
        <w:jc w:val="both"/>
        <w:outlineLvl w:val="0"/>
        <w:rPr>
          <w:rFonts w:ascii="Arial" w:hAnsi="Arial" w:cs="Arial"/>
          <w:i/>
          <w:color w:val="000000"/>
          <w:spacing w:val="-3"/>
        </w:rPr>
      </w:pPr>
      <w:r w:rsidRPr="00430524">
        <w:rPr>
          <w:rFonts w:ascii="Arial" w:hAnsi="Arial" w:cs="Arial"/>
          <w:i/>
          <w:color w:val="000000"/>
          <w:spacing w:val="-3"/>
        </w:rPr>
        <w:t xml:space="preserve">Table </w:t>
      </w:r>
      <w:r w:rsidRPr="00430524">
        <w:rPr>
          <w:rFonts w:ascii="Arial" w:hAnsi="Arial" w:cs="Arial"/>
          <w:b/>
          <w:i/>
          <w:color w:val="000000"/>
          <w:spacing w:val="-3"/>
        </w:rPr>
        <w:t>7</w:t>
      </w:r>
      <w:r w:rsidRPr="00430524">
        <w:rPr>
          <w:rFonts w:ascii="Arial" w:hAnsi="Arial" w:cs="Arial"/>
          <w:i/>
          <w:color w:val="000000"/>
          <w:spacing w:val="-3"/>
        </w:rPr>
        <w:t>-7</w:t>
      </w:r>
      <w:r w:rsidRPr="00430524">
        <w:rPr>
          <w:rFonts w:ascii="Arial" w:hAnsi="Arial" w:cs="Arial"/>
          <w:b/>
          <w:i/>
          <w:color w:val="000000"/>
          <w:spacing w:val="-3"/>
        </w:rPr>
        <w:t xml:space="preserve"> Average interbank offered rates (annual averages)</w:t>
      </w:r>
    </w:p>
    <w:p w:rsidR="00935395" w:rsidRDefault="00721AFD"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b/>
          <w:i/>
          <w:color w:val="000000"/>
          <w:spacing w:val="-3"/>
        </w:rPr>
        <w:t>PRIBOR</w:t>
      </w:r>
      <w:r w:rsidRPr="00430524">
        <w:rPr>
          <w:rFonts w:ascii="Arial" w:hAnsi="Arial" w:cs="Arial"/>
          <w:i/>
          <w:color w:val="000000"/>
          <w:spacing w:val="-3"/>
        </w:rPr>
        <w:t xml:space="preserve"> (Prague Interbank Offered Rates) are reference interest rates on the interbank deposit market calculated on the basis of quotations of selected banks (hereinafter </w:t>
      </w:r>
      <w:r w:rsidR="004C7DF1">
        <w:rPr>
          <w:rFonts w:ascii="Arial" w:hAnsi="Arial" w:cs="Arial"/>
          <w:i/>
          <w:color w:val="000000"/>
          <w:spacing w:val="-3"/>
        </w:rPr>
        <w:t>“</w:t>
      </w:r>
      <w:r w:rsidRPr="00430524">
        <w:rPr>
          <w:rFonts w:ascii="Arial" w:hAnsi="Arial" w:cs="Arial"/>
          <w:i/>
          <w:color w:val="000000"/>
          <w:spacing w:val="-3"/>
        </w:rPr>
        <w:t>reference banks</w:t>
      </w:r>
      <w:r w:rsidR="004C7DF1">
        <w:rPr>
          <w:rFonts w:ascii="Arial" w:hAnsi="Arial" w:cs="Arial"/>
          <w:i/>
          <w:color w:val="000000"/>
          <w:spacing w:val="-3"/>
        </w:rPr>
        <w:t>”</w:t>
      </w:r>
      <w:r w:rsidR="00244B0B" w:rsidRPr="000B32C4">
        <w:rPr>
          <w:rFonts w:ascii="Arial" w:hAnsi="Arial" w:cs="Arial"/>
          <w:i/>
          <w:color w:val="000000"/>
          <w:spacing w:val="-3"/>
        </w:rPr>
        <w:t>).</w:t>
      </w:r>
      <w:r w:rsidRPr="00430524">
        <w:rPr>
          <w:rFonts w:ascii="Arial" w:hAnsi="Arial" w:cs="Arial"/>
          <w:i/>
          <w:color w:val="000000"/>
          <w:spacing w:val="-3"/>
        </w:rPr>
        <w:t xml:space="preserve"> The interest rates are fixed by the CNB daily at 11.00 a.m. Quotation means publication of an orientation price at which banks are willing to sell deposits in a standard volume to a standard counterparty.</w:t>
      </w:r>
    </w:p>
    <w:p w:rsidR="00AD5827" w:rsidRPr="00430524" w:rsidRDefault="00721AFD"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lastRenderedPageBreak/>
        <w:t>The CNB defines the maturities for which PRIBOR rates are set, the algorithm for their calculation, the reference bank structure, the standard counterparties, the standard volumes and the method of publishing quotations.</w:t>
      </w:r>
    </w:p>
    <w:p w:rsidR="00AD5827" w:rsidRPr="00430524" w:rsidRDefault="00721AFD"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PRIBOR rates are set for the following maturities: overnight, 1 and 2 weeks, and 1, 2, 3, 6, 9 and 12 months. They are calculated from the reference banks’ quotations on the interbank deposit market in the following manner:</w:t>
      </w:r>
    </w:p>
    <w:p w:rsidR="00AD5827" w:rsidRPr="00430524" w:rsidRDefault="00721AFD" w:rsidP="001D5071">
      <w:pPr>
        <w:widowControl/>
        <w:tabs>
          <w:tab w:val="left" w:pos="0"/>
          <w:tab w:val="left" w:pos="453"/>
          <w:tab w:val="left" w:pos="7200"/>
        </w:tabs>
        <w:suppressAutoHyphens/>
        <w:spacing w:before="120"/>
        <w:ind w:left="170" w:hanging="170"/>
        <w:jc w:val="both"/>
        <w:rPr>
          <w:rFonts w:ascii="Arial" w:hAnsi="Arial" w:cs="Arial"/>
          <w:i/>
          <w:color w:val="000000"/>
          <w:spacing w:val="-3"/>
        </w:rPr>
      </w:pPr>
      <w:r w:rsidRPr="00430524">
        <w:rPr>
          <w:rFonts w:ascii="Arial" w:hAnsi="Arial" w:cs="Arial"/>
          <w:i/>
          <w:color w:val="000000"/>
          <w:spacing w:val="-3"/>
        </w:rPr>
        <w:t>– if more than five reference banks quote an interest rate for a certain maturity, the highest quotation (or one of the highest quotations) and the lowest quotation (or one of the lowest quotations) are eliminated and the PRIBOR is calculated from the remaining quotations as the arithmetic mean rounded to two decimal places;</w:t>
      </w:r>
    </w:p>
    <w:p w:rsidR="00AD5827" w:rsidRPr="00430524" w:rsidRDefault="00721AFD" w:rsidP="001D5071">
      <w:pPr>
        <w:widowControl/>
        <w:tabs>
          <w:tab w:val="left" w:pos="0"/>
          <w:tab w:val="left" w:pos="453"/>
          <w:tab w:val="left" w:pos="7200"/>
        </w:tabs>
        <w:suppressAutoHyphens/>
        <w:spacing w:before="120"/>
        <w:ind w:left="170" w:hanging="170"/>
        <w:jc w:val="both"/>
        <w:rPr>
          <w:rFonts w:ascii="Arial" w:hAnsi="Arial" w:cs="Arial"/>
          <w:i/>
          <w:color w:val="000000"/>
          <w:spacing w:val="-3"/>
        </w:rPr>
      </w:pPr>
      <w:r w:rsidRPr="00430524">
        <w:rPr>
          <w:rFonts w:ascii="Arial" w:hAnsi="Arial" w:cs="Arial"/>
          <w:i/>
          <w:color w:val="000000"/>
          <w:spacing w:val="-3"/>
        </w:rPr>
        <w:t>– if four or five reference banks quote an interest rate for a certain maturity, the PRIBOR is calculated from all quotations as an arithmetic mean rounded to two decimal places;</w:t>
      </w:r>
    </w:p>
    <w:p w:rsidR="00AD5827" w:rsidRPr="00430524" w:rsidRDefault="00721AFD" w:rsidP="001D5071">
      <w:pPr>
        <w:widowControl/>
        <w:tabs>
          <w:tab w:val="left" w:pos="0"/>
          <w:tab w:val="left" w:pos="453"/>
          <w:tab w:val="left" w:pos="7200"/>
        </w:tabs>
        <w:suppressAutoHyphens/>
        <w:spacing w:before="120"/>
        <w:ind w:left="170" w:hanging="170"/>
        <w:jc w:val="both"/>
        <w:rPr>
          <w:rFonts w:ascii="Arial" w:hAnsi="Arial" w:cs="Arial"/>
          <w:i/>
          <w:color w:val="000000"/>
          <w:spacing w:val="-3"/>
        </w:rPr>
      </w:pPr>
      <w:r w:rsidRPr="00430524">
        <w:rPr>
          <w:rFonts w:ascii="Arial" w:hAnsi="Arial" w:cs="Arial"/>
          <w:i/>
          <w:color w:val="000000"/>
          <w:spacing w:val="-3"/>
        </w:rPr>
        <w:t>– if less than four reference banks quote an interest rate for a certain maturity, the PRIBOR is not set.</w:t>
      </w:r>
    </w:p>
    <w:p w:rsidR="00AD5827" w:rsidRPr="00430524" w:rsidRDefault="00721AFD"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 xml:space="preserve">PRIBOR rates are published daily by the CNB in </w:t>
      </w:r>
      <w:r w:rsidRPr="00430524">
        <w:rPr>
          <w:rFonts w:ascii="Arial" w:hAnsi="Arial" w:cs="Arial"/>
          <w:color w:val="000000"/>
          <w:spacing w:val="-3"/>
        </w:rPr>
        <w:t>Hospodářské noviny</w:t>
      </w:r>
      <w:r w:rsidRPr="00430524">
        <w:rPr>
          <w:rFonts w:ascii="Arial" w:hAnsi="Arial" w:cs="Arial"/>
          <w:i/>
          <w:color w:val="000000"/>
          <w:spacing w:val="-3"/>
        </w:rPr>
        <w:t xml:space="preserve"> and through the Reuters, Telerate and Bloomberg agencies. The number and structure of the reference banks are given in the notes appended to each table of historical PRIBOR rates.</w:t>
      </w:r>
    </w:p>
    <w:p w:rsidR="00AD5827" w:rsidRPr="00430524" w:rsidRDefault="00AD5827" w:rsidP="001D5071">
      <w:pPr>
        <w:widowControl/>
        <w:tabs>
          <w:tab w:val="left" w:pos="0"/>
          <w:tab w:val="left" w:pos="453"/>
          <w:tab w:val="left" w:pos="7200"/>
        </w:tabs>
        <w:suppressAutoHyphens/>
        <w:jc w:val="both"/>
        <w:rPr>
          <w:rFonts w:ascii="Arial" w:hAnsi="Arial" w:cs="Arial"/>
          <w:i/>
          <w:color w:val="000000"/>
          <w:spacing w:val="-3"/>
        </w:rPr>
      </w:pPr>
    </w:p>
    <w:p w:rsidR="00AD5827" w:rsidRPr="00430524" w:rsidRDefault="00AD5827" w:rsidP="001D5071">
      <w:pPr>
        <w:widowControl/>
        <w:tabs>
          <w:tab w:val="left" w:pos="0"/>
          <w:tab w:val="left" w:pos="453"/>
          <w:tab w:val="left" w:pos="7200"/>
        </w:tabs>
        <w:suppressAutoHyphens/>
        <w:jc w:val="both"/>
        <w:rPr>
          <w:rFonts w:ascii="Arial" w:hAnsi="Arial" w:cs="Arial"/>
          <w:i/>
          <w:color w:val="000000"/>
          <w:spacing w:val="-3"/>
        </w:rPr>
      </w:pPr>
    </w:p>
    <w:p w:rsidR="00AD5827" w:rsidRPr="00430524" w:rsidRDefault="00721AFD" w:rsidP="001D5071">
      <w:pPr>
        <w:widowControl/>
        <w:tabs>
          <w:tab w:val="left" w:pos="0"/>
          <w:tab w:val="left" w:pos="453"/>
          <w:tab w:val="left" w:pos="7200"/>
        </w:tabs>
        <w:suppressAutoHyphens/>
        <w:jc w:val="both"/>
        <w:outlineLvl w:val="0"/>
        <w:rPr>
          <w:rFonts w:ascii="Arial" w:hAnsi="Arial" w:cs="Arial"/>
          <w:i/>
          <w:color w:val="000000"/>
          <w:spacing w:val="-3"/>
        </w:rPr>
      </w:pPr>
      <w:r w:rsidRPr="00430524">
        <w:rPr>
          <w:rFonts w:ascii="Arial" w:hAnsi="Arial" w:cs="Arial"/>
          <w:i/>
          <w:color w:val="000000"/>
          <w:spacing w:val="-3"/>
        </w:rPr>
        <w:t xml:space="preserve">Table </w:t>
      </w:r>
      <w:r w:rsidRPr="00430524">
        <w:rPr>
          <w:rFonts w:ascii="Arial" w:hAnsi="Arial" w:cs="Arial"/>
          <w:b/>
          <w:i/>
          <w:color w:val="000000"/>
          <w:spacing w:val="-3"/>
        </w:rPr>
        <w:t>7</w:t>
      </w:r>
      <w:r w:rsidRPr="00430524">
        <w:rPr>
          <w:rFonts w:ascii="Arial" w:hAnsi="Arial" w:cs="Arial"/>
          <w:i/>
          <w:color w:val="000000"/>
          <w:spacing w:val="-3"/>
        </w:rPr>
        <w:t xml:space="preserve">-8 </w:t>
      </w:r>
      <w:r w:rsidRPr="00430524">
        <w:rPr>
          <w:rFonts w:ascii="Arial" w:hAnsi="Arial" w:cs="Arial"/>
          <w:b/>
          <w:i/>
          <w:color w:val="000000"/>
          <w:spacing w:val="-3"/>
        </w:rPr>
        <w:t>Repo rate, Discount rate, Lombard rate</w:t>
      </w:r>
    </w:p>
    <w:p w:rsidR="00AD5827" w:rsidRPr="00430524" w:rsidRDefault="00721AFD" w:rsidP="001D5071">
      <w:pPr>
        <w:widowControl/>
        <w:tabs>
          <w:tab w:val="left" w:pos="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 xml:space="preserve">The main monetary policy instrument takes the form of </w:t>
      </w:r>
      <w:r w:rsidRPr="00430524">
        <w:rPr>
          <w:rFonts w:ascii="Arial" w:hAnsi="Arial" w:cs="Arial"/>
          <w:b/>
          <w:i/>
          <w:color w:val="000000"/>
          <w:spacing w:val="-3"/>
        </w:rPr>
        <w:t>repo</w:t>
      </w:r>
      <w:r w:rsidRPr="00430524">
        <w:rPr>
          <w:rFonts w:ascii="Arial" w:hAnsi="Arial" w:cs="Arial"/>
          <w:i/>
          <w:color w:val="000000"/>
          <w:spacing w:val="-3"/>
        </w:rPr>
        <w:t xml:space="preserve"> tenders. The CNB accepts excess liquidity from banks and in return transfers eligible securities to them as collateral. The two parties agree to reverse the transaction at a future point in time, when the CNB as borrower repays the principal of the loan plus interest and the creditor bank returns the collateral to the CNB. The basic duration of these operations is 14 days, although repos with shorter maturities are executed from time to time depending on the forecasts of banking sector liquidity. Owing to the systemic liquidity surplus in the Czech banking sector, repo tenders are currently used exclusively for absorbing liquidity.</w:t>
      </w:r>
    </w:p>
    <w:p w:rsidR="00AD5827" w:rsidRPr="00430524" w:rsidRDefault="00721AFD" w:rsidP="001D5071">
      <w:pPr>
        <w:widowControl/>
        <w:tabs>
          <w:tab w:val="left" w:pos="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The CNB conducts variable rate tenders, which means that the declared re</w:t>
      </w:r>
      <w:bookmarkStart w:id="1" w:name="_Hlt516988698"/>
      <w:bookmarkEnd w:id="1"/>
      <w:r w:rsidRPr="00430524">
        <w:rPr>
          <w:rFonts w:ascii="Arial" w:hAnsi="Arial" w:cs="Arial"/>
          <w:i/>
          <w:color w:val="000000"/>
          <w:spacing w:val="-3"/>
        </w:rPr>
        <w:t>po rate serves as the maximum limit rate at which banks’ bids can be satisfied in the tender. The bids are settled using the American auction procedure, i.e. those with the lowest interest rate are satisfied as having priority and those with successively higher rates are accepted until the total predicted liquidity surplus for the day is exhausted. If the volume ordered by the banks exceeds the predicted surplus, the CNB either completely refuses the bids at the highest rate or reduces them pro rata. Repo tenders are usually announced every business day at around 9.30 a.m. Banks may submit their bids – i.e. the amounts of money and the interest rates at which they want to enter into transactions with the CNB – within a prescribed time. The minimum acceptable volume is CZK 300 million. Bids exceeding the minimum must be expressed as multiples of CZK 100 million.</w:t>
      </w:r>
    </w:p>
    <w:p w:rsidR="00AD5827" w:rsidRPr="00430524" w:rsidRDefault="00721AFD" w:rsidP="001D5071">
      <w:pPr>
        <w:widowControl/>
        <w:tabs>
          <w:tab w:val="left" w:pos="426"/>
        </w:tabs>
        <w:suppressAutoHyphens/>
        <w:spacing w:before="120"/>
        <w:ind w:firstLine="709"/>
        <w:jc w:val="both"/>
        <w:rPr>
          <w:rFonts w:ascii="Arial" w:hAnsi="Arial" w:cs="Arial"/>
          <w:i/>
          <w:color w:val="000000"/>
          <w:spacing w:val="-3"/>
        </w:rPr>
      </w:pPr>
      <w:r w:rsidRPr="00430524">
        <w:rPr>
          <w:rFonts w:ascii="Arial" w:hAnsi="Arial" w:cs="Arial"/>
          <w:b/>
          <w:i/>
          <w:color w:val="000000"/>
          <w:spacing w:val="-3"/>
        </w:rPr>
        <w:t>The Discount rate</w:t>
      </w:r>
      <w:r w:rsidRPr="00430524">
        <w:rPr>
          <w:rFonts w:ascii="Arial" w:hAnsi="Arial" w:cs="Arial"/>
          <w:i/>
          <w:color w:val="000000"/>
          <w:spacing w:val="-3"/>
        </w:rPr>
        <w:t xml:space="preserve"> is a key CNB rate. Up to 30 September 1997, the CNB provided acceptance credits to banks at this rate. Since 1998, when these credits were abolished, the discount rate has been used for deposit facilities. These are non-collateralised overnight deposits with the CNB that any Czech bank may place before the end of the business day. The minimum amount is CZK 10 million.</w:t>
      </w:r>
    </w:p>
    <w:p w:rsidR="00AD5827" w:rsidRPr="00430524" w:rsidRDefault="00721AFD"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b/>
          <w:i/>
          <w:color w:val="000000"/>
          <w:spacing w:val="-3"/>
        </w:rPr>
        <w:t>The Lombard rate</w:t>
      </w:r>
      <w:r w:rsidRPr="00430524">
        <w:rPr>
          <w:rFonts w:ascii="Arial" w:hAnsi="Arial" w:cs="Arial"/>
          <w:i/>
          <w:color w:val="000000"/>
          <w:spacing w:val="-3"/>
        </w:rPr>
        <w:t xml:space="preserve"> is the rate at which the CNB grants Lombard credit. Lombard credit is granted against a pledge of selected securities included in the </w:t>
      </w:r>
      <w:r w:rsidR="004C7DF1">
        <w:rPr>
          <w:rFonts w:ascii="Arial" w:hAnsi="Arial" w:cs="Arial"/>
          <w:i/>
          <w:color w:val="000000"/>
          <w:spacing w:val="-3"/>
        </w:rPr>
        <w:t>“</w:t>
      </w:r>
      <w:r w:rsidRPr="00430524">
        <w:rPr>
          <w:rFonts w:ascii="Arial" w:hAnsi="Arial" w:cs="Arial"/>
          <w:i/>
          <w:color w:val="000000"/>
          <w:spacing w:val="-3"/>
        </w:rPr>
        <w:t>List of securities accepted by the CNB as collateral for Lombard credit</w:t>
      </w:r>
      <w:r w:rsidR="004C7DF1">
        <w:rPr>
          <w:rFonts w:ascii="Arial" w:hAnsi="Arial" w:cs="Arial"/>
          <w:i/>
          <w:color w:val="000000"/>
          <w:spacing w:val="-3"/>
        </w:rPr>
        <w:t>”</w:t>
      </w:r>
      <w:r w:rsidR="00AD5827" w:rsidRPr="000B32C4">
        <w:rPr>
          <w:rFonts w:ascii="Arial" w:hAnsi="Arial" w:cs="Arial"/>
          <w:i/>
          <w:color w:val="000000"/>
          <w:spacing w:val="-3"/>
        </w:rPr>
        <w:t>.</w:t>
      </w:r>
    </w:p>
    <w:p w:rsidR="00AD5827" w:rsidRPr="00430524" w:rsidRDefault="00AD5827" w:rsidP="001D5071">
      <w:pPr>
        <w:widowControl/>
        <w:tabs>
          <w:tab w:val="left" w:pos="0"/>
          <w:tab w:val="left" w:pos="453"/>
          <w:tab w:val="left" w:pos="7200"/>
        </w:tabs>
        <w:suppressAutoHyphens/>
        <w:jc w:val="both"/>
        <w:rPr>
          <w:rFonts w:ascii="Arial" w:hAnsi="Arial" w:cs="Arial"/>
          <w:i/>
          <w:color w:val="000000"/>
          <w:spacing w:val="-3"/>
        </w:rPr>
      </w:pPr>
    </w:p>
    <w:p w:rsidR="00AD5827" w:rsidRPr="00430524" w:rsidRDefault="00AD5827" w:rsidP="001D5071">
      <w:pPr>
        <w:widowControl/>
        <w:tabs>
          <w:tab w:val="left" w:pos="0"/>
          <w:tab w:val="left" w:pos="453"/>
          <w:tab w:val="left" w:pos="7200"/>
        </w:tabs>
        <w:suppressAutoHyphens/>
        <w:jc w:val="both"/>
        <w:rPr>
          <w:rFonts w:ascii="Arial" w:hAnsi="Arial" w:cs="Arial"/>
          <w:i/>
          <w:color w:val="000000"/>
          <w:spacing w:val="-3"/>
        </w:rPr>
      </w:pPr>
    </w:p>
    <w:p w:rsidR="00935395" w:rsidRDefault="00721AFD" w:rsidP="0028430D">
      <w:pPr>
        <w:widowControl/>
        <w:tabs>
          <w:tab w:val="left" w:pos="0"/>
          <w:tab w:val="left" w:pos="396"/>
          <w:tab w:val="left" w:pos="2410"/>
        </w:tabs>
        <w:suppressAutoHyphens/>
        <w:ind w:left="2410" w:hanging="2410"/>
        <w:jc w:val="both"/>
        <w:rPr>
          <w:rFonts w:ascii="Arial" w:hAnsi="Arial" w:cs="Arial"/>
          <w:b/>
          <w:i/>
          <w:spacing w:val="-3"/>
        </w:rPr>
      </w:pPr>
      <w:r w:rsidRPr="00430524">
        <w:rPr>
          <w:rFonts w:ascii="Arial" w:hAnsi="Arial" w:cs="Arial"/>
          <w:i/>
          <w:spacing w:val="-3"/>
        </w:rPr>
        <w:t xml:space="preserve">Tables </w:t>
      </w:r>
      <w:r w:rsidRPr="00430524">
        <w:rPr>
          <w:rFonts w:ascii="Arial" w:hAnsi="Arial" w:cs="Arial"/>
          <w:b/>
          <w:i/>
          <w:spacing w:val="-3"/>
        </w:rPr>
        <w:t>7</w:t>
      </w:r>
      <w:r w:rsidRPr="00430524">
        <w:rPr>
          <w:rFonts w:ascii="Arial" w:hAnsi="Arial" w:cs="Arial"/>
          <w:i/>
          <w:spacing w:val="-3"/>
        </w:rPr>
        <w:t xml:space="preserve">-9 and </w:t>
      </w:r>
      <w:r w:rsidRPr="00430524">
        <w:rPr>
          <w:rFonts w:ascii="Arial" w:hAnsi="Arial" w:cs="Arial"/>
          <w:b/>
          <w:i/>
          <w:spacing w:val="-3"/>
        </w:rPr>
        <w:t>7</w:t>
      </w:r>
      <w:r w:rsidRPr="00430524">
        <w:rPr>
          <w:rFonts w:ascii="Arial" w:hAnsi="Arial" w:cs="Arial"/>
          <w:i/>
          <w:spacing w:val="-3"/>
        </w:rPr>
        <w:t>-10</w:t>
      </w:r>
      <w:r w:rsidRPr="00430524">
        <w:rPr>
          <w:rFonts w:ascii="Arial" w:hAnsi="Arial" w:cs="Arial"/>
          <w:b/>
          <w:i/>
          <w:spacing w:val="-3"/>
        </w:rPr>
        <w:t xml:space="preserve"> Average interest rates on CZK client loans and deposits</w:t>
      </w:r>
    </w:p>
    <w:p w:rsidR="00935395" w:rsidRDefault="00721AFD" w:rsidP="001D5071">
      <w:pPr>
        <w:widowControl/>
        <w:tabs>
          <w:tab w:val="left" w:pos="0"/>
          <w:tab w:val="left" w:pos="396"/>
          <w:tab w:val="left" w:pos="4320"/>
        </w:tabs>
        <w:suppressAutoHyphens/>
        <w:spacing w:before="120"/>
        <w:ind w:firstLine="709"/>
        <w:jc w:val="both"/>
        <w:rPr>
          <w:rFonts w:ascii="Arial" w:hAnsi="Arial" w:cs="Arial"/>
          <w:i/>
          <w:spacing w:val="-3"/>
        </w:rPr>
      </w:pPr>
      <w:r w:rsidRPr="00430524">
        <w:rPr>
          <w:rFonts w:ascii="Arial" w:hAnsi="Arial" w:cs="Arial"/>
          <w:i/>
          <w:spacing w:val="-3"/>
        </w:rPr>
        <w:t>Average interest rates applied by banks on CZK-denominated deposits and loans vis-à-vis clients. The rates are calculated as weighted average where the weights are the volumes in the respective deposit and loan categories.</w:t>
      </w:r>
    </w:p>
    <w:p w:rsidR="00AD5827" w:rsidRPr="00430524" w:rsidRDefault="00721AFD" w:rsidP="001D5071">
      <w:pPr>
        <w:widowControl/>
        <w:tabs>
          <w:tab w:val="left" w:pos="0"/>
          <w:tab w:val="left" w:pos="396"/>
          <w:tab w:val="left" w:pos="4320"/>
        </w:tabs>
        <w:suppressAutoHyphens/>
        <w:spacing w:before="120"/>
        <w:ind w:firstLine="709"/>
        <w:jc w:val="both"/>
        <w:rPr>
          <w:rFonts w:ascii="Arial" w:hAnsi="Arial" w:cs="Arial"/>
          <w:i/>
          <w:spacing w:val="-3"/>
        </w:rPr>
      </w:pPr>
      <w:r w:rsidRPr="00430524">
        <w:rPr>
          <w:rFonts w:ascii="Arial" w:hAnsi="Arial" w:cs="Arial"/>
          <w:i/>
          <w:spacing w:val="-3"/>
        </w:rPr>
        <w:t>The methodology was harmonised with the requirements of Regulation </w:t>
      </w:r>
      <w:r w:rsidR="00A005C4">
        <w:rPr>
          <w:rFonts w:ascii="Arial" w:hAnsi="Arial" w:cs="Arial"/>
          <w:i/>
          <w:spacing w:val="-3"/>
        </w:rPr>
        <w:t>(EU) No </w:t>
      </w:r>
      <w:r w:rsidR="00A20754">
        <w:rPr>
          <w:rFonts w:ascii="Arial" w:hAnsi="Arial" w:cs="Arial"/>
          <w:i/>
          <w:spacing w:val="-3"/>
        </w:rPr>
        <w:t xml:space="preserve">1072/2013 of </w:t>
      </w:r>
      <w:r w:rsidR="00A005C4">
        <w:rPr>
          <w:rFonts w:ascii="Arial" w:hAnsi="Arial" w:cs="Arial"/>
          <w:i/>
          <w:spacing w:val="-3"/>
        </w:rPr>
        <w:t>the European Central Bank of 24 </w:t>
      </w:r>
      <w:r w:rsidR="00A20754">
        <w:rPr>
          <w:rFonts w:ascii="Arial" w:hAnsi="Arial" w:cs="Arial"/>
          <w:i/>
          <w:spacing w:val="-3"/>
        </w:rPr>
        <w:t>September 2013 concerning statistics on interest rates applied by monetary financial institutions (recast) (ECB/2013/34).</w:t>
      </w:r>
      <w:r w:rsidRPr="00430524">
        <w:rPr>
          <w:rFonts w:ascii="Arial" w:hAnsi="Arial" w:cs="Arial"/>
          <w:i/>
          <w:spacing w:val="-3"/>
        </w:rPr>
        <w:t xml:space="preserve"> Since then the interest rates have been reported as annualised agreed rates instead of nominal agreed rates.</w:t>
      </w:r>
    </w:p>
    <w:p w:rsidR="00AD5827" w:rsidRPr="00430524" w:rsidRDefault="00721AFD" w:rsidP="001D5071">
      <w:pPr>
        <w:widowControl/>
        <w:tabs>
          <w:tab w:val="left" w:pos="0"/>
          <w:tab w:val="left" w:pos="396"/>
          <w:tab w:val="left" w:pos="4320"/>
        </w:tabs>
        <w:suppressAutoHyphens/>
        <w:spacing w:before="120"/>
        <w:ind w:firstLine="709"/>
        <w:jc w:val="both"/>
        <w:rPr>
          <w:rFonts w:ascii="Arial" w:hAnsi="Arial" w:cs="Arial"/>
          <w:i/>
          <w:spacing w:val="-3"/>
        </w:rPr>
      </w:pPr>
      <w:r w:rsidRPr="00430524">
        <w:rPr>
          <w:rFonts w:ascii="Arial" w:hAnsi="Arial" w:cs="Arial"/>
          <w:i/>
          <w:spacing w:val="-3"/>
        </w:rPr>
        <w:lastRenderedPageBreak/>
        <w:t xml:space="preserve">The outstanding amounts are defined as outstanding balances of deposits accepted and loans granted by the bank at the time of reporting, broken down by original agreed maturity. Statistics relating to new business </w:t>
      </w:r>
      <w:r w:rsidR="007F0BD0">
        <w:rPr>
          <w:rFonts w:ascii="Arial" w:hAnsi="Arial" w:cs="Arial"/>
          <w:i/>
          <w:spacing w:val="-3"/>
        </w:rPr>
        <w:t>were</w:t>
      </w:r>
      <w:r w:rsidRPr="00430524">
        <w:rPr>
          <w:rFonts w:ascii="Arial" w:hAnsi="Arial" w:cs="Arial"/>
          <w:i/>
          <w:spacing w:val="-3"/>
        </w:rPr>
        <w:t xml:space="preserve"> launched</w:t>
      </w:r>
      <w:r w:rsidR="007F0BD0">
        <w:rPr>
          <w:rFonts w:ascii="Arial" w:hAnsi="Arial" w:cs="Arial"/>
          <w:i/>
          <w:spacing w:val="-3"/>
        </w:rPr>
        <w:t xml:space="preserve"> in 2004</w:t>
      </w:r>
      <w:r w:rsidRPr="00430524">
        <w:rPr>
          <w:rFonts w:ascii="Arial" w:hAnsi="Arial" w:cs="Arial"/>
          <w:i/>
          <w:spacing w:val="-3"/>
        </w:rPr>
        <w:t>. New business includes all new agreements between bank and client in the reference period</w:t>
      </w:r>
      <w:r w:rsidR="007F0BD0">
        <w:rPr>
          <w:rFonts w:ascii="Arial" w:hAnsi="Arial" w:cs="Arial"/>
          <w:i/>
          <w:spacing w:val="-3"/>
        </w:rPr>
        <w:t xml:space="preserve"> (</w:t>
      </w:r>
      <w:r w:rsidR="00945552">
        <w:rPr>
          <w:rFonts w:ascii="Arial" w:hAnsi="Arial" w:cs="Arial"/>
          <w:i/>
          <w:spacing w:val="-3"/>
        </w:rPr>
        <w:t xml:space="preserve">regardless of the start of </w:t>
      </w:r>
      <w:r w:rsidR="00022206">
        <w:rPr>
          <w:rFonts w:ascii="Arial" w:hAnsi="Arial" w:cs="Arial"/>
          <w:i/>
          <w:spacing w:val="-3"/>
        </w:rPr>
        <w:t>drawdown). New business is</w:t>
      </w:r>
      <w:r w:rsidRPr="00430524">
        <w:rPr>
          <w:rFonts w:ascii="Arial" w:hAnsi="Arial" w:cs="Arial"/>
          <w:i/>
          <w:spacing w:val="-3"/>
        </w:rPr>
        <w:t xml:space="preserve"> broken down by original interest rate fixation period, i.e. a period at the start of the contract during which the interest rate cannot be changed.</w:t>
      </w:r>
    </w:p>
    <w:p w:rsidR="00CC4143" w:rsidRPr="00430524" w:rsidRDefault="00721AFD" w:rsidP="001D5071">
      <w:pPr>
        <w:widowControl/>
        <w:spacing w:before="120"/>
        <w:ind w:firstLine="709"/>
        <w:jc w:val="both"/>
        <w:rPr>
          <w:rFonts w:ascii="Arial" w:hAnsi="Arial" w:cs="Arial"/>
          <w:i/>
          <w:snapToGrid w:val="0"/>
        </w:rPr>
      </w:pPr>
      <w:r w:rsidRPr="00430524">
        <w:rPr>
          <w:rFonts w:ascii="Arial" w:hAnsi="Arial"/>
          <w:i/>
          <w:snapToGrid w:val="0"/>
        </w:rPr>
        <w:t xml:space="preserve">In Table </w:t>
      </w:r>
      <w:r w:rsidRPr="00430524">
        <w:rPr>
          <w:rFonts w:ascii="Arial" w:hAnsi="Arial"/>
          <w:b/>
          <w:i/>
          <w:snapToGrid w:val="0"/>
        </w:rPr>
        <w:t>7</w:t>
      </w:r>
      <w:r w:rsidRPr="00430524">
        <w:rPr>
          <w:rFonts w:ascii="Arial" w:hAnsi="Arial"/>
          <w:i/>
          <w:snapToGrid w:val="0"/>
        </w:rPr>
        <w:t>-9 new business for households and NPISHs is further</w:t>
      </w:r>
      <w:r w:rsidR="00F16983" w:rsidRPr="00430524">
        <w:rPr>
          <w:rFonts w:ascii="Arial" w:hAnsi="Arial"/>
          <w:i/>
          <w:snapToGrid w:val="0"/>
        </w:rPr>
        <w:t xml:space="preserve"> </w:t>
      </w:r>
      <w:r w:rsidR="00CC4143" w:rsidRPr="00430524">
        <w:rPr>
          <w:rFonts w:ascii="Arial" w:hAnsi="Arial"/>
          <w:i/>
          <w:snapToGrid w:val="0"/>
        </w:rPr>
        <w:t>broken down by category into:</w:t>
      </w:r>
    </w:p>
    <w:p w:rsidR="00CC4143" w:rsidRPr="00430524" w:rsidRDefault="00CC4143" w:rsidP="001D5071">
      <w:pPr>
        <w:pStyle w:val="Default"/>
        <w:spacing w:before="120"/>
        <w:jc w:val="both"/>
        <w:rPr>
          <w:i/>
          <w:snapToGrid w:val="0"/>
          <w:sz w:val="20"/>
          <w:szCs w:val="20"/>
        </w:rPr>
      </w:pPr>
      <w:r w:rsidRPr="00430524">
        <w:rPr>
          <w:i/>
          <w:sz w:val="20"/>
        </w:rPr>
        <w:t>–</w:t>
      </w:r>
      <w:r w:rsidR="00D35340">
        <w:rPr>
          <w:i/>
          <w:sz w:val="20"/>
        </w:rPr>
        <w:t> </w:t>
      </w:r>
      <w:r w:rsidRPr="00430524">
        <w:rPr>
          <w:b/>
          <w:i/>
          <w:snapToGrid w:val="0"/>
          <w:sz w:val="20"/>
          <w:szCs w:val="20"/>
        </w:rPr>
        <w:t>Net new loans including increases</w:t>
      </w:r>
      <w:r w:rsidRPr="00430524">
        <w:rPr>
          <w:i/>
          <w:sz w:val="20"/>
        </w:rPr>
        <w:t xml:space="preserve"> –</w:t>
      </w:r>
      <w:r w:rsidR="00F16983" w:rsidRPr="00430524">
        <w:rPr>
          <w:i/>
          <w:sz w:val="20"/>
        </w:rPr>
        <w:t xml:space="preserve"> </w:t>
      </w:r>
      <w:r w:rsidRPr="00430524">
        <w:rPr>
          <w:i/>
          <w:sz w:val="20"/>
        </w:rPr>
        <w:t>loans which entered the economy in the given month for the first time.</w:t>
      </w:r>
      <w:r w:rsidRPr="00430524">
        <w:rPr>
          <w:i/>
          <w:snapToGrid w:val="0"/>
          <w:sz w:val="20"/>
          <w:szCs w:val="20"/>
        </w:rPr>
        <w:t xml:space="preserve"> Also </w:t>
      </w:r>
      <w:r w:rsidR="004B0381" w:rsidRPr="00430524">
        <w:rPr>
          <w:i/>
          <w:snapToGrid w:val="0"/>
          <w:sz w:val="20"/>
          <w:szCs w:val="20"/>
        </w:rPr>
        <w:t>includes</w:t>
      </w:r>
      <w:r w:rsidRPr="00430524">
        <w:rPr>
          <w:i/>
          <w:snapToGrid w:val="0"/>
          <w:sz w:val="20"/>
          <w:szCs w:val="20"/>
        </w:rPr>
        <w:t xml:space="preserve"> increases in refinanced loans and other renegotiations.</w:t>
      </w:r>
    </w:p>
    <w:p w:rsidR="00CC4143" w:rsidRPr="00430524" w:rsidRDefault="00CC4143" w:rsidP="001D5071">
      <w:pPr>
        <w:pStyle w:val="Default"/>
        <w:spacing w:before="120"/>
        <w:jc w:val="both"/>
        <w:rPr>
          <w:i/>
        </w:rPr>
      </w:pPr>
      <w:r w:rsidRPr="00430524">
        <w:rPr>
          <w:i/>
          <w:sz w:val="20"/>
        </w:rPr>
        <w:t>–</w:t>
      </w:r>
      <w:r w:rsidR="00D35340">
        <w:rPr>
          <w:i/>
          <w:sz w:val="20"/>
        </w:rPr>
        <w:t> </w:t>
      </w:r>
      <w:r w:rsidRPr="00430524">
        <w:rPr>
          <w:b/>
          <w:i/>
          <w:sz w:val="20"/>
        </w:rPr>
        <w:t>Refinanced loans</w:t>
      </w:r>
      <w:r w:rsidRPr="00430524">
        <w:rPr>
          <w:i/>
          <w:sz w:val="20"/>
        </w:rPr>
        <w:t xml:space="preserve"> –</w:t>
      </w:r>
      <w:r w:rsidR="00F16983" w:rsidRPr="00430524">
        <w:rPr>
          <w:i/>
          <w:sz w:val="20"/>
        </w:rPr>
        <w:t xml:space="preserve"> </w:t>
      </w:r>
      <w:r w:rsidRPr="00430524">
        <w:rPr>
          <w:i/>
          <w:sz w:val="20"/>
        </w:rPr>
        <w:t>loans provided earlier by an institution other than the reporting bank and for the outstanding amount of which a new loan agreement has been signed with the reporting bank.</w:t>
      </w:r>
      <w:r w:rsidRPr="00430524">
        <w:rPr>
          <w:i/>
          <w:snapToGrid w:val="0"/>
          <w:sz w:val="20"/>
          <w:szCs w:val="20"/>
        </w:rPr>
        <w:t xml:space="preserve"> In cases where the loan was increased when it was refinanced, this category only</w:t>
      </w:r>
      <w:r w:rsidR="004B0381" w:rsidRPr="00430524">
        <w:rPr>
          <w:i/>
          <w:snapToGrid w:val="0"/>
          <w:sz w:val="20"/>
          <w:szCs w:val="20"/>
        </w:rPr>
        <w:t xml:space="preserve"> contains</w:t>
      </w:r>
      <w:r w:rsidR="00F16983" w:rsidRPr="00430524">
        <w:rPr>
          <w:i/>
          <w:snapToGrid w:val="0"/>
          <w:sz w:val="20"/>
          <w:szCs w:val="20"/>
        </w:rPr>
        <w:t xml:space="preserve"> </w:t>
      </w:r>
      <w:r w:rsidRPr="00430524">
        <w:rPr>
          <w:i/>
          <w:snapToGrid w:val="0"/>
          <w:sz w:val="20"/>
          <w:szCs w:val="20"/>
        </w:rPr>
        <w:t>the non-increased portion of the new refinanced loan. The increase</w:t>
      </w:r>
      <w:r w:rsidR="00AE5891" w:rsidRPr="00430524">
        <w:rPr>
          <w:i/>
          <w:snapToGrid w:val="0"/>
          <w:sz w:val="20"/>
          <w:szCs w:val="20"/>
        </w:rPr>
        <w:t xml:space="preserve"> forms </w:t>
      </w:r>
      <w:r w:rsidRPr="00430524">
        <w:rPr>
          <w:i/>
          <w:snapToGrid w:val="0"/>
          <w:sz w:val="20"/>
          <w:szCs w:val="20"/>
        </w:rPr>
        <w:t>part of net new loans. This item also includes consolidated loans whose original lender was another institution.</w:t>
      </w:r>
    </w:p>
    <w:p w:rsidR="00CC4143" w:rsidRPr="008C0525" w:rsidRDefault="00CC4143" w:rsidP="001D5071">
      <w:pPr>
        <w:pStyle w:val="Default"/>
        <w:spacing w:before="120"/>
        <w:jc w:val="both"/>
        <w:rPr>
          <w:i/>
          <w:snapToGrid w:val="0"/>
          <w:sz w:val="20"/>
          <w:szCs w:val="20"/>
        </w:rPr>
      </w:pPr>
      <w:r w:rsidRPr="00430524">
        <w:rPr>
          <w:i/>
          <w:sz w:val="20"/>
        </w:rPr>
        <w:t>–</w:t>
      </w:r>
      <w:r w:rsidR="00D35340">
        <w:rPr>
          <w:i/>
          <w:sz w:val="20"/>
        </w:rPr>
        <w:t> </w:t>
      </w:r>
      <w:r w:rsidRPr="00430524">
        <w:rPr>
          <w:b/>
          <w:i/>
          <w:snapToGrid w:val="0"/>
          <w:sz w:val="20"/>
          <w:szCs w:val="20"/>
        </w:rPr>
        <w:t>Other renegotiations</w:t>
      </w:r>
      <w:r w:rsidRPr="00430524">
        <w:rPr>
          <w:i/>
          <w:sz w:val="20"/>
        </w:rPr>
        <w:t xml:space="preserve"> of existing loans –</w:t>
      </w:r>
      <w:r w:rsidR="00F16983" w:rsidRPr="00430524">
        <w:rPr>
          <w:i/>
          <w:sz w:val="20"/>
        </w:rPr>
        <w:t xml:space="preserve"> </w:t>
      </w:r>
      <w:r w:rsidRPr="00430524">
        <w:rPr>
          <w:i/>
          <w:sz w:val="20"/>
        </w:rPr>
        <w:t>loans</w:t>
      </w:r>
      <w:r w:rsidR="00F16983" w:rsidRPr="00430524">
        <w:rPr>
          <w:i/>
          <w:sz w:val="20"/>
        </w:rPr>
        <w:t xml:space="preserve"> </w:t>
      </w:r>
      <w:r w:rsidRPr="00430524">
        <w:rPr>
          <w:i/>
          <w:sz w:val="20"/>
        </w:rPr>
        <w:t>provided earlier by the reporting bank and</w:t>
      </w:r>
      <w:r w:rsidR="00F16983" w:rsidRPr="00430524">
        <w:rPr>
          <w:i/>
          <w:sz w:val="20"/>
        </w:rPr>
        <w:t xml:space="preserve"> </w:t>
      </w:r>
      <w:r w:rsidRPr="00430524">
        <w:rPr>
          <w:i/>
          <w:sz w:val="20"/>
        </w:rPr>
        <w:t>merely renegotiated (e.g. refixation of interest rates on loans for house purchase).</w:t>
      </w:r>
      <w:r w:rsidRPr="00430524">
        <w:rPr>
          <w:i/>
          <w:snapToGrid w:val="0"/>
          <w:sz w:val="20"/>
          <w:szCs w:val="20"/>
        </w:rPr>
        <w:t xml:space="preserve"> </w:t>
      </w:r>
      <w:r w:rsidR="00F16983" w:rsidRPr="00430524">
        <w:rPr>
          <w:i/>
          <w:snapToGrid w:val="0"/>
          <w:sz w:val="20"/>
          <w:szCs w:val="20"/>
        </w:rPr>
        <w:t>Also</w:t>
      </w:r>
      <w:r w:rsidRPr="00430524">
        <w:rPr>
          <w:i/>
          <w:snapToGrid w:val="0"/>
          <w:sz w:val="20"/>
          <w:szCs w:val="20"/>
        </w:rPr>
        <w:t xml:space="preserve"> includes consolidated loans whose original lender was either another institution/other institutions in addition to the reporting bank, or only the reporting bank.</w:t>
      </w:r>
      <w:r w:rsidR="00F16983" w:rsidRPr="00430524">
        <w:rPr>
          <w:i/>
          <w:snapToGrid w:val="0"/>
          <w:sz w:val="20"/>
          <w:szCs w:val="20"/>
        </w:rPr>
        <w:t xml:space="preserve"> As in the case of</w:t>
      </w:r>
      <w:r w:rsidRPr="00430524">
        <w:rPr>
          <w:i/>
          <w:snapToGrid w:val="0"/>
          <w:sz w:val="20"/>
          <w:szCs w:val="20"/>
        </w:rPr>
        <w:t xml:space="preserve"> </w:t>
      </w:r>
      <w:r w:rsidR="00F16983" w:rsidRPr="00430524">
        <w:rPr>
          <w:i/>
          <w:snapToGrid w:val="0"/>
          <w:sz w:val="20"/>
          <w:szCs w:val="20"/>
        </w:rPr>
        <w:t>refinanced loans,</w:t>
      </w:r>
      <w:r w:rsidR="003D4288" w:rsidRPr="00430524">
        <w:rPr>
          <w:i/>
          <w:snapToGrid w:val="0"/>
          <w:sz w:val="20"/>
          <w:szCs w:val="20"/>
        </w:rPr>
        <w:t xml:space="preserve"> </w:t>
      </w:r>
      <w:r w:rsidR="00F16983" w:rsidRPr="00430524">
        <w:rPr>
          <w:i/>
          <w:snapToGrid w:val="0"/>
          <w:sz w:val="20"/>
          <w:szCs w:val="20"/>
        </w:rPr>
        <w:t>any</w:t>
      </w:r>
      <w:r w:rsidRPr="00430524">
        <w:rPr>
          <w:i/>
          <w:snapToGrid w:val="0"/>
          <w:sz w:val="20"/>
          <w:szCs w:val="20"/>
        </w:rPr>
        <w:t xml:space="preserve"> increase in a loan </w:t>
      </w:r>
      <w:r w:rsidR="00F16983" w:rsidRPr="00430524">
        <w:rPr>
          <w:i/>
          <w:snapToGrid w:val="0"/>
          <w:sz w:val="20"/>
          <w:szCs w:val="20"/>
        </w:rPr>
        <w:t xml:space="preserve">forms </w:t>
      </w:r>
      <w:r w:rsidRPr="00430524">
        <w:rPr>
          <w:i/>
          <w:snapToGrid w:val="0"/>
          <w:sz w:val="20"/>
          <w:szCs w:val="20"/>
        </w:rPr>
        <w:t xml:space="preserve">part of the net new </w:t>
      </w:r>
      <w:r w:rsidRPr="008C0525">
        <w:rPr>
          <w:i/>
          <w:snapToGrid w:val="0"/>
          <w:sz w:val="20"/>
          <w:szCs w:val="20"/>
        </w:rPr>
        <w:t>loans category.</w:t>
      </w:r>
      <w:r w:rsidR="00F16983" w:rsidRPr="008C0525">
        <w:rPr>
          <w:i/>
          <w:snapToGrid w:val="0"/>
          <w:sz w:val="20"/>
          <w:szCs w:val="20"/>
        </w:rPr>
        <w:t xml:space="preserve"> </w:t>
      </w:r>
    </w:p>
    <w:p w:rsidR="00AD5827" w:rsidRPr="008C0525" w:rsidRDefault="00AD5827" w:rsidP="001D5071">
      <w:pPr>
        <w:widowControl/>
        <w:tabs>
          <w:tab w:val="left" w:pos="0"/>
          <w:tab w:val="left" w:pos="396"/>
          <w:tab w:val="left" w:pos="4320"/>
        </w:tabs>
        <w:suppressAutoHyphens/>
        <w:spacing w:before="120"/>
        <w:ind w:firstLine="709"/>
        <w:jc w:val="both"/>
        <w:rPr>
          <w:rFonts w:ascii="Arial" w:hAnsi="Arial" w:cs="Arial"/>
          <w:i/>
          <w:spacing w:val="-3"/>
        </w:rPr>
      </w:pPr>
      <w:r w:rsidRPr="008C0525">
        <w:rPr>
          <w:rFonts w:ascii="Arial" w:hAnsi="Arial" w:cs="Arial"/>
          <w:i/>
          <w:spacing w:val="-3"/>
        </w:rPr>
        <w:t>New business is equal to outstanding amounts in</w:t>
      </w:r>
      <w:r w:rsidR="0005001C" w:rsidRPr="008C0525">
        <w:rPr>
          <w:rFonts w:ascii="Arial" w:hAnsi="Arial" w:cs="Arial"/>
          <w:i/>
          <w:spacing w:val="-3"/>
        </w:rPr>
        <w:t xml:space="preserve"> the </w:t>
      </w:r>
      <w:r w:rsidRPr="008C0525">
        <w:rPr>
          <w:rFonts w:ascii="Arial" w:hAnsi="Arial" w:cs="Arial"/>
          <w:i/>
          <w:spacing w:val="-3"/>
        </w:rPr>
        <w:t>following types of categories: overnight deposits, deposits redeemable at notice</w:t>
      </w:r>
      <w:r w:rsidR="00022206" w:rsidRPr="008C0525">
        <w:rPr>
          <w:rFonts w:ascii="Arial" w:hAnsi="Arial" w:cs="Arial"/>
          <w:i/>
          <w:spacing w:val="-3"/>
        </w:rPr>
        <w:t>, current account deposits</w:t>
      </w:r>
      <w:r w:rsidRPr="008C0525">
        <w:rPr>
          <w:rFonts w:ascii="Arial" w:hAnsi="Arial" w:cs="Arial"/>
          <w:i/>
          <w:spacing w:val="-3"/>
        </w:rPr>
        <w:t xml:space="preserve"> and overdrafts.</w:t>
      </w:r>
    </w:p>
    <w:p w:rsidR="00AD5827" w:rsidRPr="00430524" w:rsidRDefault="00AD5827" w:rsidP="001D5071">
      <w:pPr>
        <w:widowControl/>
        <w:tabs>
          <w:tab w:val="left" w:pos="0"/>
          <w:tab w:val="left" w:pos="396"/>
          <w:tab w:val="left" w:pos="4320"/>
        </w:tabs>
        <w:suppressAutoHyphens/>
        <w:spacing w:before="120"/>
        <w:ind w:firstLine="709"/>
        <w:jc w:val="both"/>
        <w:rPr>
          <w:rFonts w:ascii="Arial" w:hAnsi="Arial" w:cs="Arial"/>
          <w:i/>
          <w:spacing w:val="-3"/>
        </w:rPr>
      </w:pPr>
      <w:r w:rsidRPr="008C0525">
        <w:rPr>
          <w:rFonts w:ascii="Arial" w:hAnsi="Arial" w:cs="Arial"/>
          <w:i/>
          <w:spacing w:val="-3"/>
        </w:rPr>
        <w:t>The source of</w:t>
      </w:r>
      <w:r w:rsidR="0005001C" w:rsidRPr="008C0525">
        <w:rPr>
          <w:rFonts w:ascii="Arial" w:hAnsi="Arial" w:cs="Arial"/>
          <w:i/>
          <w:spacing w:val="-3"/>
        </w:rPr>
        <w:t xml:space="preserve"> the </w:t>
      </w:r>
      <w:r w:rsidRPr="008C0525">
        <w:rPr>
          <w:rFonts w:ascii="Arial" w:hAnsi="Arial" w:cs="Arial"/>
          <w:i/>
          <w:spacing w:val="-3"/>
        </w:rPr>
        <w:t xml:space="preserve">data </w:t>
      </w:r>
      <w:r w:rsidR="0057586F" w:rsidRPr="008C0525">
        <w:rPr>
          <w:rFonts w:ascii="Arial" w:hAnsi="Arial" w:cs="Arial"/>
          <w:i/>
          <w:spacing w:val="-3"/>
        </w:rPr>
        <w:t xml:space="preserve">is </w:t>
      </w:r>
      <w:r w:rsidR="0005001C" w:rsidRPr="008C0525">
        <w:rPr>
          <w:rFonts w:ascii="Arial" w:hAnsi="Arial" w:cs="Arial"/>
          <w:i/>
          <w:spacing w:val="-3"/>
        </w:rPr>
        <w:t>the </w:t>
      </w:r>
      <w:r w:rsidRPr="008C0525">
        <w:rPr>
          <w:rFonts w:ascii="Arial" w:hAnsi="Arial" w:cs="Arial"/>
          <w:i/>
          <w:spacing w:val="-3"/>
        </w:rPr>
        <w:t>interest rate statistics statements submitted by banks to</w:t>
      </w:r>
      <w:r w:rsidR="0005001C" w:rsidRPr="008C0525">
        <w:rPr>
          <w:rFonts w:ascii="Arial" w:hAnsi="Arial" w:cs="Arial"/>
          <w:i/>
          <w:spacing w:val="-3"/>
        </w:rPr>
        <w:t xml:space="preserve"> the </w:t>
      </w:r>
      <w:r w:rsidRPr="008C0525">
        <w:rPr>
          <w:rFonts w:ascii="Arial" w:hAnsi="Arial" w:cs="Arial"/>
          <w:i/>
          <w:spacing w:val="-3"/>
        </w:rPr>
        <w:t>Czech National Bank.</w:t>
      </w:r>
    </w:p>
    <w:p w:rsidR="00AD5827" w:rsidRPr="00430524" w:rsidRDefault="00AD5827" w:rsidP="001D5071">
      <w:pPr>
        <w:widowControl/>
        <w:tabs>
          <w:tab w:val="left" w:pos="0"/>
          <w:tab w:val="left" w:pos="453"/>
          <w:tab w:val="left" w:pos="7200"/>
        </w:tabs>
        <w:suppressAutoHyphens/>
        <w:jc w:val="both"/>
        <w:rPr>
          <w:rFonts w:ascii="Arial" w:hAnsi="Arial" w:cs="Arial"/>
          <w:i/>
          <w:color w:val="000000"/>
          <w:spacing w:val="-3"/>
        </w:rPr>
      </w:pPr>
    </w:p>
    <w:p w:rsidR="00AD5827" w:rsidRPr="00430524" w:rsidRDefault="00AD5827" w:rsidP="001D5071">
      <w:pPr>
        <w:widowControl/>
        <w:tabs>
          <w:tab w:val="left" w:pos="0"/>
          <w:tab w:val="left" w:pos="453"/>
          <w:tab w:val="left" w:pos="7200"/>
        </w:tabs>
        <w:suppressAutoHyphens/>
        <w:jc w:val="both"/>
        <w:rPr>
          <w:rFonts w:ascii="Arial" w:hAnsi="Arial" w:cs="Arial"/>
          <w:i/>
          <w:color w:val="000000"/>
          <w:spacing w:val="-3"/>
        </w:rPr>
      </w:pPr>
    </w:p>
    <w:p w:rsidR="00AD5827" w:rsidRPr="00430524"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outlineLvl w:val="0"/>
        <w:rPr>
          <w:rFonts w:ascii="Arial" w:hAnsi="Arial" w:cs="Arial"/>
          <w:i/>
          <w:color w:val="000000"/>
          <w:spacing w:val="-3"/>
        </w:rPr>
      </w:pPr>
      <w:r w:rsidRPr="00430524">
        <w:rPr>
          <w:rFonts w:ascii="Arial" w:hAnsi="Arial" w:cs="Arial"/>
          <w:i/>
          <w:color w:val="000000"/>
          <w:spacing w:val="-3"/>
        </w:rPr>
        <w:t xml:space="preserve">Table </w:t>
      </w:r>
      <w:r w:rsidRPr="00430524">
        <w:rPr>
          <w:rFonts w:ascii="Arial" w:hAnsi="Arial" w:cs="Arial"/>
          <w:b/>
          <w:i/>
          <w:color w:val="000000"/>
          <w:spacing w:val="-3"/>
        </w:rPr>
        <w:t>7</w:t>
      </w:r>
      <w:r w:rsidRPr="00430524">
        <w:rPr>
          <w:rFonts w:ascii="Arial" w:hAnsi="Arial" w:cs="Arial"/>
          <w:i/>
          <w:color w:val="000000"/>
          <w:spacing w:val="-3"/>
        </w:rPr>
        <w:t xml:space="preserve">-11 </w:t>
      </w:r>
      <w:r w:rsidR="00AB50A3" w:rsidRPr="000B32C4">
        <w:rPr>
          <w:rFonts w:ascii="Arial" w:hAnsi="Arial" w:cs="Arial"/>
          <w:b/>
          <w:i/>
          <w:color w:val="000000"/>
          <w:spacing w:val="-3"/>
        </w:rPr>
        <w:t>Number of active commercial banks</w:t>
      </w:r>
    </w:p>
    <w:p w:rsidR="00AD5827" w:rsidRPr="00430524"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The data are taken from Report E (CNB) 5</w:t>
      </w:r>
      <w:r w:rsidR="00714849">
        <w:rPr>
          <w:rFonts w:ascii="Arial" w:hAnsi="Arial" w:cs="Arial"/>
          <w:i/>
          <w:color w:val="000000"/>
          <w:spacing w:val="-3"/>
        </w:rPr>
        <w:t>-</w:t>
      </w:r>
      <w:r w:rsidRPr="00430524">
        <w:rPr>
          <w:rFonts w:ascii="Arial" w:hAnsi="Arial" w:cs="Arial"/>
          <w:i/>
          <w:color w:val="000000"/>
          <w:spacing w:val="-3"/>
        </w:rPr>
        <w:t xml:space="preserve">04, Statement on the organisational structure and qualifying holdings of the bank. </w:t>
      </w:r>
      <w:r w:rsidR="00220B45">
        <w:rPr>
          <w:rFonts w:ascii="Arial" w:hAnsi="Arial" w:cs="Arial"/>
          <w:i/>
          <w:color w:val="000000"/>
          <w:spacing w:val="-3"/>
        </w:rPr>
        <w:t>Bank</w:t>
      </w:r>
      <w:r w:rsidR="00AD5827" w:rsidRPr="000B32C4">
        <w:rPr>
          <w:rFonts w:ascii="Arial" w:hAnsi="Arial" w:cs="Arial"/>
          <w:i/>
          <w:color w:val="000000"/>
          <w:spacing w:val="-3"/>
        </w:rPr>
        <w:t>s</w:t>
      </w:r>
      <w:r w:rsidRPr="00430524">
        <w:rPr>
          <w:rFonts w:ascii="Arial" w:hAnsi="Arial" w:cs="Arial"/>
          <w:i/>
          <w:color w:val="000000"/>
          <w:spacing w:val="-3"/>
        </w:rPr>
        <w:t xml:space="preserve"> are divided into groups according to the ratio of paid</w:t>
      </w:r>
      <w:r w:rsidR="00AB5D5E">
        <w:rPr>
          <w:rFonts w:ascii="Arial" w:hAnsi="Arial" w:cs="Arial"/>
          <w:i/>
          <w:color w:val="000000"/>
          <w:spacing w:val="-3"/>
        </w:rPr>
        <w:t>-</w:t>
      </w:r>
      <w:r w:rsidRPr="00430524">
        <w:rPr>
          <w:rFonts w:ascii="Arial" w:hAnsi="Arial" w:cs="Arial"/>
          <w:i/>
          <w:color w:val="000000"/>
          <w:spacing w:val="-3"/>
        </w:rPr>
        <w:t>up domestic and foreign capital.</w:t>
      </w: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rPr>
      </w:pPr>
    </w:p>
    <w:p w:rsidR="00AD5827" w:rsidRPr="00430524" w:rsidRDefault="00AD5827" w:rsidP="001D5071">
      <w:pPr>
        <w:widowControl/>
        <w:tabs>
          <w:tab w:val="left" w:pos="0"/>
          <w:tab w:val="left" w:pos="453"/>
          <w:tab w:val="left" w:pos="7200"/>
        </w:tabs>
        <w:suppressAutoHyphens/>
        <w:jc w:val="both"/>
        <w:outlineLvl w:val="0"/>
        <w:rPr>
          <w:rFonts w:ascii="Arial" w:hAnsi="Arial" w:cs="Arial"/>
          <w:i/>
          <w:color w:val="000000"/>
          <w:spacing w:val="-3"/>
        </w:rPr>
      </w:pPr>
    </w:p>
    <w:p w:rsidR="00AD5827" w:rsidRPr="00430524" w:rsidRDefault="00721AFD" w:rsidP="001D5071">
      <w:pPr>
        <w:widowControl/>
        <w:tabs>
          <w:tab w:val="left" w:pos="0"/>
          <w:tab w:val="left" w:pos="453"/>
          <w:tab w:val="left" w:pos="7200"/>
        </w:tabs>
        <w:suppressAutoHyphens/>
        <w:jc w:val="both"/>
        <w:outlineLvl w:val="0"/>
        <w:rPr>
          <w:rFonts w:ascii="Arial" w:hAnsi="Arial" w:cs="Arial"/>
          <w:i/>
          <w:color w:val="000000"/>
          <w:spacing w:val="-3"/>
        </w:rPr>
      </w:pPr>
      <w:r w:rsidRPr="00430524">
        <w:rPr>
          <w:rFonts w:ascii="Arial" w:hAnsi="Arial" w:cs="Arial"/>
          <w:i/>
          <w:color w:val="000000"/>
          <w:spacing w:val="-3"/>
        </w:rPr>
        <w:t xml:space="preserve">Table </w:t>
      </w:r>
      <w:r w:rsidRPr="00430524">
        <w:rPr>
          <w:rFonts w:ascii="Arial" w:hAnsi="Arial" w:cs="Arial"/>
          <w:b/>
          <w:i/>
          <w:color w:val="000000"/>
          <w:spacing w:val="-3"/>
        </w:rPr>
        <w:t>7</w:t>
      </w:r>
      <w:r w:rsidRPr="00430524">
        <w:rPr>
          <w:rFonts w:ascii="Arial" w:hAnsi="Arial" w:cs="Arial"/>
          <w:i/>
          <w:color w:val="000000"/>
          <w:spacing w:val="-3"/>
        </w:rPr>
        <w:t xml:space="preserve">-12 </w:t>
      </w:r>
      <w:r w:rsidRPr="00430524">
        <w:rPr>
          <w:rFonts w:ascii="Arial" w:hAnsi="Arial" w:cs="Arial"/>
          <w:b/>
          <w:i/>
          <w:color w:val="000000"/>
          <w:spacing w:val="-3"/>
        </w:rPr>
        <w:t>Balance of payments</w:t>
      </w:r>
    </w:p>
    <w:p w:rsidR="00AD5827" w:rsidRPr="00430524" w:rsidRDefault="00721AFD"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The balance of payments records economic transactions with other countries (i.e. between residents and non-residents) during a certain period. The basic structure of the balance of payments, using the IMF Balance of Payments Manual (6th edition, 2009), consists of the current, capital and financial accounts including the change in</w:t>
      </w:r>
      <w:r w:rsidRPr="00430524">
        <w:rPr>
          <w:rFonts w:ascii="Arial" w:hAnsi="Arial" w:cs="Arial"/>
          <w:i/>
          <w:iCs/>
          <w:color w:val="000000"/>
          <w:spacing w:val="-3"/>
        </w:rPr>
        <w:t xml:space="preserve"> </w:t>
      </w:r>
      <w:r w:rsidRPr="00430524">
        <w:rPr>
          <w:rFonts w:ascii="Arial" w:hAnsi="Arial" w:cs="Arial"/>
          <w:i/>
          <w:color w:val="000000"/>
          <w:spacing w:val="-3"/>
        </w:rPr>
        <w:t xml:space="preserve">reserve assets. </w:t>
      </w:r>
    </w:p>
    <w:p w:rsidR="00AD5827" w:rsidRPr="00430524" w:rsidRDefault="00721AFD"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b/>
          <w:i/>
          <w:color w:val="000000"/>
          <w:spacing w:val="-3"/>
        </w:rPr>
        <w:t>The current account</w:t>
      </w:r>
      <w:r w:rsidRPr="00430524">
        <w:rPr>
          <w:rFonts w:ascii="Arial" w:hAnsi="Arial" w:cs="Arial"/>
          <w:i/>
          <w:color w:val="000000"/>
          <w:spacing w:val="-3"/>
        </w:rPr>
        <w:t xml:space="preserve"> records flows of goods (exports and imports</w:t>
      </w:r>
      <w:r w:rsidR="00874B86">
        <w:rPr>
          <w:rFonts w:ascii="Arial" w:hAnsi="Arial" w:cs="Arial"/>
          <w:i/>
          <w:color w:val="000000"/>
          <w:spacing w:val="-3"/>
        </w:rPr>
        <w:t xml:space="preserve"> in the national concept according to BOP methodology</w:t>
      </w:r>
      <w:r w:rsidRPr="00430524">
        <w:rPr>
          <w:rFonts w:ascii="Arial" w:hAnsi="Arial" w:cs="Arial"/>
          <w:i/>
          <w:color w:val="000000"/>
          <w:spacing w:val="-3"/>
        </w:rPr>
        <w:t>) and services (</w:t>
      </w:r>
      <w:r w:rsidRPr="00430524">
        <w:rPr>
          <w:rFonts w:ascii="Arial" w:hAnsi="Arial" w:cs="Arial"/>
          <w:i/>
          <w:iCs/>
          <w:color w:val="000000"/>
          <w:spacing w:val="-3"/>
        </w:rPr>
        <w:t>exports</w:t>
      </w:r>
      <w:r w:rsidRPr="00430524">
        <w:rPr>
          <w:rFonts w:ascii="Arial" w:hAnsi="Arial" w:cs="Arial"/>
          <w:i/>
          <w:color w:val="000000"/>
          <w:spacing w:val="-3"/>
        </w:rPr>
        <w:t xml:space="preserve"> and </w:t>
      </w:r>
      <w:r w:rsidRPr="00430524">
        <w:rPr>
          <w:rFonts w:ascii="Arial" w:hAnsi="Arial" w:cs="Arial"/>
          <w:i/>
          <w:iCs/>
          <w:color w:val="000000"/>
          <w:spacing w:val="-3"/>
        </w:rPr>
        <w:t xml:space="preserve">imports of processing, maintenance and repair services, </w:t>
      </w:r>
      <w:r w:rsidRPr="00430524">
        <w:rPr>
          <w:rFonts w:ascii="Arial" w:hAnsi="Arial" w:cs="Arial"/>
          <w:i/>
          <w:color w:val="000000"/>
          <w:spacing w:val="-3"/>
        </w:rPr>
        <w:t xml:space="preserve">transport services, travel </w:t>
      </w:r>
      <w:r w:rsidRPr="00430524">
        <w:rPr>
          <w:rFonts w:ascii="Arial" w:hAnsi="Arial" w:cs="Arial"/>
          <w:i/>
          <w:iCs/>
          <w:color w:val="000000"/>
          <w:spacing w:val="-3"/>
        </w:rPr>
        <w:t xml:space="preserve">services </w:t>
      </w:r>
      <w:r w:rsidRPr="00430524">
        <w:rPr>
          <w:rFonts w:ascii="Arial" w:hAnsi="Arial" w:cs="Arial"/>
          <w:i/>
          <w:color w:val="000000"/>
          <w:spacing w:val="-3"/>
        </w:rPr>
        <w:t xml:space="preserve">and other commercial and non-commercial services), primary income on capital, investment and labour (interest, dividends, reinvested earnings, wages and part of </w:t>
      </w:r>
      <w:r w:rsidRPr="00430524">
        <w:rPr>
          <w:rFonts w:ascii="Arial" w:hAnsi="Arial" w:cs="Arial"/>
          <w:i/>
          <w:iCs/>
          <w:color w:val="000000"/>
          <w:spacing w:val="-3"/>
        </w:rPr>
        <w:t>contributions and subsidies vis-à-vis the EU budget</w:t>
      </w:r>
      <w:r w:rsidRPr="00430524">
        <w:rPr>
          <w:rFonts w:ascii="Arial" w:hAnsi="Arial" w:cs="Arial"/>
          <w:i/>
          <w:color w:val="000000"/>
          <w:spacing w:val="-3"/>
        </w:rPr>
        <w:t xml:space="preserve">) and compensating items for real financial resources granted or obtained without countervalue (secondary income such as </w:t>
      </w:r>
      <w:r w:rsidRPr="00430524">
        <w:rPr>
          <w:rFonts w:ascii="Arial" w:hAnsi="Arial" w:cs="Arial"/>
          <w:i/>
          <w:iCs/>
          <w:color w:val="000000"/>
          <w:spacing w:val="-3"/>
        </w:rPr>
        <w:t>subsidies and contributions vis-à-vis the EU budget and other EU funds</w:t>
      </w:r>
      <w:r w:rsidRPr="00430524">
        <w:rPr>
          <w:rFonts w:ascii="Arial" w:hAnsi="Arial" w:cs="Arial"/>
          <w:i/>
          <w:color w:val="000000"/>
          <w:spacing w:val="-3"/>
        </w:rPr>
        <w:t>, pensions, foreign aid, contributions, etc.).</w:t>
      </w:r>
    </w:p>
    <w:p w:rsidR="00AD5827" w:rsidRPr="00430524" w:rsidRDefault="00721AFD"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b/>
          <w:i/>
          <w:color w:val="000000"/>
          <w:spacing w:val="-3"/>
        </w:rPr>
        <w:t>The capital account</w:t>
      </w:r>
      <w:r w:rsidRPr="00430524">
        <w:rPr>
          <w:rFonts w:ascii="Arial" w:hAnsi="Arial" w:cs="Arial"/>
          <w:i/>
          <w:color w:val="000000"/>
          <w:spacing w:val="-3"/>
        </w:rPr>
        <w:t xml:space="preserve"> comprises capital transfers relating to debt forgiveness, ownership rights to fixed assets</w:t>
      </w:r>
      <w:r w:rsidRPr="00430524">
        <w:rPr>
          <w:rFonts w:ascii="Arial" w:hAnsi="Arial" w:cs="Arial"/>
          <w:i/>
          <w:iCs/>
          <w:color w:val="000000"/>
          <w:spacing w:val="-3"/>
        </w:rPr>
        <w:t xml:space="preserve">, </w:t>
      </w:r>
      <w:r w:rsidRPr="00430524">
        <w:rPr>
          <w:rFonts w:ascii="Arial" w:hAnsi="Arial" w:cs="Arial"/>
          <w:i/>
          <w:color w:val="000000"/>
          <w:spacing w:val="-3"/>
        </w:rPr>
        <w:t>investment grants</w:t>
      </w:r>
      <w:r w:rsidRPr="00430524">
        <w:rPr>
          <w:rFonts w:ascii="Arial" w:hAnsi="Arial" w:cs="Arial"/>
          <w:i/>
          <w:iCs/>
          <w:color w:val="000000"/>
          <w:spacing w:val="-3"/>
        </w:rPr>
        <w:t xml:space="preserve"> above all from the EU budget and other EU funds that are reported on the capital account</w:t>
      </w:r>
      <w:r w:rsidRPr="00430524">
        <w:rPr>
          <w:rFonts w:ascii="Arial" w:hAnsi="Arial" w:cs="Arial"/>
          <w:i/>
          <w:color w:val="000000"/>
          <w:spacing w:val="-3"/>
        </w:rPr>
        <w:t xml:space="preserve">, and transfers of non-produced non-financial tangible assets (e.g. purchase or sale of land by embassies) and intangible assets (patents, licences, copyrights, </w:t>
      </w:r>
      <w:r w:rsidRPr="00430524">
        <w:rPr>
          <w:rFonts w:ascii="Arial" w:hAnsi="Arial" w:cs="Arial"/>
          <w:i/>
          <w:iCs/>
          <w:color w:val="000000"/>
          <w:spacing w:val="-3"/>
        </w:rPr>
        <w:t xml:space="preserve">trading in emission allowances </w:t>
      </w:r>
      <w:r w:rsidRPr="00430524">
        <w:rPr>
          <w:rFonts w:ascii="Arial" w:hAnsi="Arial" w:cs="Arial"/>
          <w:i/>
          <w:color w:val="000000"/>
          <w:spacing w:val="-3"/>
        </w:rPr>
        <w:t>etc.).</w:t>
      </w:r>
    </w:p>
    <w:p w:rsidR="00935395" w:rsidRPr="00835512" w:rsidRDefault="00471EAE" w:rsidP="001D5071">
      <w:pPr>
        <w:pStyle w:val="Standardn1"/>
        <w:widowControl/>
        <w:spacing w:before="120"/>
        <w:ind w:firstLine="709"/>
        <w:jc w:val="both"/>
        <w:rPr>
          <w:rFonts w:ascii="Arial" w:hAnsi="Arial" w:cs="Arial"/>
          <w:i/>
          <w:sz w:val="20"/>
        </w:rPr>
      </w:pPr>
      <w:r w:rsidRPr="00471EAE">
        <w:rPr>
          <w:rFonts w:ascii="Arial" w:hAnsi="Arial"/>
          <w:i/>
          <w:sz w:val="20"/>
        </w:rPr>
        <w:t xml:space="preserve">The </w:t>
      </w:r>
      <w:r w:rsidRPr="00471EAE">
        <w:rPr>
          <w:rFonts w:ascii="Arial" w:hAnsi="Arial"/>
          <w:b/>
          <w:i/>
          <w:sz w:val="20"/>
        </w:rPr>
        <w:t>financial account</w:t>
      </w:r>
      <w:r w:rsidRPr="00471EAE">
        <w:rPr>
          <w:rFonts w:ascii="Arial" w:hAnsi="Arial"/>
          <w:i/>
          <w:sz w:val="20"/>
        </w:rPr>
        <w:t xml:space="preserve"> </w:t>
      </w:r>
      <w:r w:rsidR="004268E1" w:rsidRPr="004268E1">
        <w:rPr>
          <w:rFonts w:ascii="Arial" w:hAnsi="Arial" w:cs="Arial"/>
          <w:i/>
          <w:color w:val="auto"/>
          <w:sz w:val="20"/>
        </w:rPr>
        <w:t>records</w:t>
      </w:r>
      <w:r w:rsidRPr="00471EAE">
        <w:rPr>
          <w:rFonts w:ascii="Arial" w:hAnsi="Arial"/>
          <w:i/>
          <w:sz w:val="20"/>
        </w:rPr>
        <w:t xml:space="preserve"> transactions connected with the</w:t>
      </w:r>
      <w:r w:rsidR="004268E1" w:rsidRPr="004268E1">
        <w:rPr>
          <w:rFonts w:ascii="Arial" w:hAnsi="Arial" w:cs="Arial"/>
          <w:i/>
          <w:sz w:val="20"/>
        </w:rPr>
        <w:t xml:space="preserve"> </w:t>
      </w:r>
      <w:r w:rsidRPr="00471EAE">
        <w:rPr>
          <w:rFonts w:ascii="Arial" w:hAnsi="Arial"/>
          <w:i/>
          <w:sz w:val="20"/>
        </w:rPr>
        <w:t xml:space="preserve">creation, </w:t>
      </w:r>
      <w:r w:rsidR="004268E1" w:rsidRPr="004268E1">
        <w:rPr>
          <w:rFonts w:ascii="Arial" w:hAnsi="Arial" w:cs="Arial"/>
          <w:i/>
          <w:sz w:val="20"/>
        </w:rPr>
        <w:t>liquidation</w:t>
      </w:r>
      <w:r w:rsidRPr="00471EAE">
        <w:rPr>
          <w:rFonts w:ascii="Arial" w:hAnsi="Arial"/>
          <w:i/>
          <w:sz w:val="20"/>
        </w:rPr>
        <w:t xml:space="preserve"> and change of ownership of financial assets and liabilities of the</w:t>
      </w:r>
      <w:r w:rsidR="004268E1" w:rsidRPr="004268E1">
        <w:rPr>
          <w:rFonts w:ascii="Arial" w:hAnsi="Arial" w:cs="Arial"/>
          <w:i/>
          <w:sz w:val="20"/>
        </w:rPr>
        <w:t xml:space="preserve"> </w:t>
      </w:r>
      <w:r w:rsidRPr="00471EAE">
        <w:rPr>
          <w:rFonts w:ascii="Arial" w:hAnsi="Arial"/>
          <w:i/>
          <w:sz w:val="20"/>
        </w:rPr>
        <w:t>government, the</w:t>
      </w:r>
      <w:r w:rsidR="004268E1" w:rsidRPr="004268E1">
        <w:rPr>
          <w:rFonts w:ascii="Arial" w:hAnsi="Arial" w:cs="Arial"/>
          <w:i/>
          <w:sz w:val="20"/>
        </w:rPr>
        <w:t xml:space="preserve"> banking and </w:t>
      </w:r>
      <w:r w:rsidRPr="00471EAE">
        <w:rPr>
          <w:rFonts w:ascii="Arial" w:hAnsi="Arial"/>
          <w:i/>
          <w:sz w:val="20"/>
        </w:rPr>
        <w:t xml:space="preserve">corporate </w:t>
      </w:r>
      <w:r w:rsidR="004268E1" w:rsidRPr="004268E1">
        <w:rPr>
          <w:rFonts w:ascii="Arial" w:hAnsi="Arial" w:cs="Arial"/>
          <w:i/>
          <w:sz w:val="20"/>
        </w:rPr>
        <w:t>sectors</w:t>
      </w:r>
      <w:r w:rsidRPr="00471EAE">
        <w:rPr>
          <w:rFonts w:ascii="Arial" w:hAnsi="Arial"/>
          <w:i/>
          <w:sz w:val="20"/>
        </w:rPr>
        <w:t xml:space="preserve"> and other entities vis-à-vis </w:t>
      </w:r>
      <w:r w:rsidR="004268E1" w:rsidRPr="004268E1">
        <w:rPr>
          <w:rFonts w:ascii="Arial" w:hAnsi="Arial" w:cs="Arial"/>
          <w:i/>
          <w:sz w:val="20"/>
        </w:rPr>
        <w:t>the rest of the world.</w:t>
      </w:r>
      <w:r w:rsidRPr="00471EAE">
        <w:rPr>
          <w:rFonts w:ascii="Arial" w:hAnsi="Arial"/>
          <w:i/>
          <w:sz w:val="20"/>
        </w:rPr>
        <w:t xml:space="preserve"> It provides information on financial (capital) </w:t>
      </w:r>
      <w:r w:rsidRPr="008F3523">
        <w:rPr>
          <w:rFonts w:ascii="Arial" w:hAnsi="Arial"/>
          <w:i/>
          <w:sz w:val="20"/>
        </w:rPr>
        <w:t>flows</w:t>
      </w:r>
      <w:r w:rsidR="009A7E04" w:rsidRPr="008F3523">
        <w:rPr>
          <w:rFonts w:ascii="Arial" w:hAnsi="Arial" w:cs="Arial"/>
          <w:i/>
          <w:spacing w:val="-3"/>
          <w:sz w:val="20"/>
        </w:rPr>
        <w:t>,</w:t>
      </w:r>
      <w:r w:rsidRPr="008F3523">
        <w:rPr>
          <w:rFonts w:ascii="Arial" w:hAnsi="Arial"/>
          <w:i/>
          <w:sz w:val="20"/>
        </w:rPr>
        <w:t xml:space="preserve"> broken</w:t>
      </w:r>
      <w:r w:rsidRPr="00471EAE">
        <w:rPr>
          <w:rFonts w:ascii="Arial" w:hAnsi="Arial"/>
          <w:i/>
          <w:sz w:val="20"/>
        </w:rPr>
        <w:t xml:space="preserve"> down into direct investment (equity capital and reinvested earnings, </w:t>
      </w:r>
      <w:r w:rsidR="004268E1" w:rsidRPr="004268E1">
        <w:rPr>
          <w:rFonts w:ascii="Arial" w:hAnsi="Arial" w:cs="Arial"/>
          <w:i/>
          <w:sz w:val="20"/>
        </w:rPr>
        <w:t>debt securities</w:t>
      </w:r>
      <w:r w:rsidRPr="00471EAE">
        <w:rPr>
          <w:rFonts w:ascii="Arial" w:hAnsi="Arial"/>
          <w:i/>
          <w:sz w:val="20"/>
        </w:rPr>
        <w:t xml:space="preserve">), portfolio investment </w:t>
      </w:r>
      <w:r w:rsidR="004268E1" w:rsidRPr="004268E1">
        <w:rPr>
          <w:rFonts w:ascii="Arial" w:hAnsi="Arial" w:cs="Arial"/>
          <w:i/>
          <w:sz w:val="20"/>
        </w:rPr>
        <w:t xml:space="preserve">of </w:t>
      </w:r>
      <w:r w:rsidR="00721AFD" w:rsidRPr="002E299D">
        <w:rPr>
          <w:rFonts w:ascii="Arial" w:hAnsi="Arial" w:cs="Arial"/>
          <w:i/>
          <w:sz w:val="20"/>
        </w:rPr>
        <w:t>an</w:t>
      </w:r>
      <w:r w:rsidR="00AE5891" w:rsidRPr="002E299D">
        <w:rPr>
          <w:rFonts w:ascii="Arial" w:hAnsi="Arial" w:cs="Arial"/>
          <w:i/>
          <w:sz w:val="20"/>
        </w:rPr>
        <w:t xml:space="preserve"> </w:t>
      </w:r>
      <w:r w:rsidRPr="00471EAE">
        <w:rPr>
          <w:rFonts w:ascii="Arial" w:hAnsi="Arial"/>
          <w:i/>
          <w:sz w:val="20"/>
        </w:rPr>
        <w:t xml:space="preserve">equity and debt </w:t>
      </w:r>
      <w:r w:rsidR="00721AFD" w:rsidRPr="002E299D">
        <w:rPr>
          <w:rFonts w:ascii="Arial" w:hAnsi="Arial" w:cs="Arial"/>
          <w:i/>
          <w:sz w:val="20"/>
        </w:rPr>
        <w:t>nature,</w:t>
      </w:r>
      <w:r w:rsidRPr="00471EAE">
        <w:rPr>
          <w:rFonts w:ascii="Arial" w:hAnsi="Arial"/>
          <w:i/>
          <w:sz w:val="20"/>
        </w:rPr>
        <w:t xml:space="preserve"> financial derivatives</w:t>
      </w:r>
      <w:r w:rsidR="00721AFD" w:rsidRPr="002E299D">
        <w:rPr>
          <w:rFonts w:ascii="Arial" w:hAnsi="Arial" w:cs="Arial"/>
          <w:i/>
          <w:sz w:val="20"/>
        </w:rPr>
        <w:t>,</w:t>
      </w:r>
      <w:r w:rsidRPr="00471EAE">
        <w:rPr>
          <w:rFonts w:ascii="Arial" w:hAnsi="Arial"/>
          <w:i/>
          <w:sz w:val="20"/>
        </w:rPr>
        <w:t xml:space="preserve"> other investment </w:t>
      </w:r>
      <w:r w:rsidR="00721AFD" w:rsidRPr="002E299D">
        <w:rPr>
          <w:rFonts w:ascii="Arial" w:hAnsi="Arial" w:cs="Arial"/>
          <w:i/>
          <w:sz w:val="20"/>
        </w:rPr>
        <w:t xml:space="preserve">and reserve assets. Other investment is </w:t>
      </w:r>
      <w:r w:rsidRPr="00471EAE">
        <w:rPr>
          <w:rFonts w:ascii="Arial" w:hAnsi="Arial"/>
          <w:i/>
          <w:sz w:val="20"/>
        </w:rPr>
        <w:t xml:space="preserve">broken down by </w:t>
      </w:r>
      <w:r w:rsidR="00721AFD" w:rsidRPr="002E299D">
        <w:rPr>
          <w:rFonts w:ascii="Arial" w:hAnsi="Arial" w:cs="Arial"/>
          <w:i/>
          <w:sz w:val="20"/>
        </w:rPr>
        <w:t xml:space="preserve">financial instrument used (equity and debt securities, currency in circulation and deposits, loans, insurance, pension and standardised guarantee schemes, trade credit </w:t>
      </w:r>
      <w:r w:rsidR="00721AFD" w:rsidRPr="002E299D">
        <w:rPr>
          <w:rFonts w:ascii="Arial" w:hAnsi="Arial" w:cs="Arial"/>
          <w:i/>
          <w:sz w:val="20"/>
        </w:rPr>
        <w:lastRenderedPageBreak/>
        <w:t xml:space="preserve">and advances, other accounts receivable or payable and </w:t>
      </w:r>
      <w:r w:rsidR="00221FD6">
        <w:rPr>
          <w:rFonts w:ascii="Arial" w:hAnsi="Arial" w:cs="Arial"/>
          <w:i/>
          <w:sz w:val="20"/>
        </w:rPr>
        <w:t>S</w:t>
      </w:r>
      <w:r w:rsidR="00221FD6" w:rsidRPr="002E299D">
        <w:rPr>
          <w:rFonts w:ascii="Arial" w:hAnsi="Arial" w:cs="Arial"/>
          <w:i/>
          <w:sz w:val="20"/>
        </w:rPr>
        <w:t xml:space="preserve">pecial </w:t>
      </w:r>
      <w:r w:rsidR="00221FD6">
        <w:rPr>
          <w:rFonts w:ascii="Arial" w:hAnsi="Arial" w:cs="Arial"/>
          <w:i/>
          <w:sz w:val="20"/>
        </w:rPr>
        <w:t>D</w:t>
      </w:r>
      <w:r w:rsidR="00221FD6" w:rsidRPr="002E299D">
        <w:rPr>
          <w:rFonts w:ascii="Arial" w:hAnsi="Arial" w:cs="Arial"/>
          <w:i/>
          <w:sz w:val="20"/>
        </w:rPr>
        <w:t xml:space="preserve">rawing </w:t>
      </w:r>
      <w:r w:rsidR="00316C7B">
        <w:rPr>
          <w:rFonts w:ascii="Arial" w:hAnsi="Arial" w:cs="Arial"/>
          <w:i/>
          <w:sz w:val="20"/>
        </w:rPr>
        <w:t>R</w:t>
      </w:r>
      <w:r w:rsidR="00316C7B" w:rsidRPr="002E299D">
        <w:rPr>
          <w:rFonts w:ascii="Arial" w:hAnsi="Arial" w:cs="Arial"/>
          <w:i/>
          <w:sz w:val="20"/>
        </w:rPr>
        <w:t>ights</w:t>
      </w:r>
      <w:r w:rsidR="00721AFD" w:rsidRPr="002E299D">
        <w:rPr>
          <w:rFonts w:ascii="Arial" w:hAnsi="Arial" w:cs="Arial"/>
          <w:i/>
          <w:sz w:val="20"/>
        </w:rPr>
        <w:t xml:space="preserve">), by </w:t>
      </w:r>
      <w:r w:rsidRPr="00471EAE">
        <w:rPr>
          <w:rFonts w:ascii="Arial" w:hAnsi="Arial"/>
          <w:i/>
          <w:sz w:val="20"/>
        </w:rPr>
        <w:t>maturity (long-term</w:t>
      </w:r>
      <w:r w:rsidR="00721AFD" w:rsidRPr="002E299D">
        <w:rPr>
          <w:rFonts w:ascii="Arial" w:hAnsi="Arial" w:cs="Arial"/>
          <w:i/>
          <w:sz w:val="20"/>
        </w:rPr>
        <w:t>,</w:t>
      </w:r>
      <w:r w:rsidRPr="00471EAE">
        <w:rPr>
          <w:rFonts w:ascii="Arial" w:hAnsi="Arial"/>
          <w:i/>
          <w:sz w:val="20"/>
        </w:rPr>
        <w:t xml:space="preserve"> short-term) and </w:t>
      </w:r>
      <w:r w:rsidR="00721AFD" w:rsidRPr="002E299D">
        <w:rPr>
          <w:rFonts w:ascii="Arial" w:hAnsi="Arial" w:cs="Arial"/>
          <w:i/>
          <w:sz w:val="20"/>
        </w:rPr>
        <w:t>by</w:t>
      </w:r>
      <w:r w:rsidRPr="00471EAE">
        <w:rPr>
          <w:rFonts w:ascii="Arial" w:hAnsi="Arial"/>
          <w:i/>
          <w:sz w:val="20"/>
        </w:rPr>
        <w:t xml:space="preserve"> sector (</w:t>
      </w:r>
      <w:r w:rsidR="00721AFD" w:rsidRPr="002E299D">
        <w:rPr>
          <w:rFonts w:ascii="Arial" w:hAnsi="Arial" w:cs="Arial"/>
          <w:i/>
          <w:sz w:val="20"/>
        </w:rPr>
        <w:t xml:space="preserve">the </w:t>
      </w:r>
      <w:r w:rsidRPr="00471EAE">
        <w:rPr>
          <w:rFonts w:ascii="Arial" w:hAnsi="Arial"/>
          <w:i/>
          <w:sz w:val="20"/>
        </w:rPr>
        <w:t>CNB, commercial banks, government and other sectors</w:t>
      </w:r>
      <w:r w:rsidR="00721AFD" w:rsidRPr="002E299D">
        <w:rPr>
          <w:rFonts w:ascii="Arial" w:hAnsi="Arial" w:cs="Arial"/>
          <w:i/>
          <w:sz w:val="20"/>
        </w:rPr>
        <w:t>).</w:t>
      </w:r>
    </w:p>
    <w:p w:rsidR="00935395" w:rsidRDefault="00DF1D02"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b/>
          <w:i/>
          <w:color w:val="000000"/>
          <w:spacing w:val="-3"/>
        </w:rPr>
        <w:t>Reserve assets</w:t>
      </w:r>
      <w:r w:rsidR="009A7E04" w:rsidRPr="00430524">
        <w:rPr>
          <w:rFonts w:ascii="Arial" w:hAnsi="Arial" w:cs="Arial"/>
          <w:b/>
          <w:i/>
          <w:color w:val="000000"/>
          <w:spacing w:val="-3"/>
        </w:rPr>
        <w:t xml:space="preserve"> </w:t>
      </w:r>
      <w:r w:rsidR="009A7E04" w:rsidRPr="00430524">
        <w:rPr>
          <w:rFonts w:ascii="Arial" w:hAnsi="Arial" w:cs="Arial"/>
          <w:i/>
          <w:color w:val="000000"/>
          <w:spacing w:val="-3"/>
        </w:rPr>
        <w:t>show</w:t>
      </w:r>
      <w:r w:rsidR="0036406A">
        <w:rPr>
          <w:rFonts w:ascii="Arial" w:hAnsi="Arial" w:cs="Arial"/>
          <w:i/>
          <w:color w:val="000000"/>
          <w:spacing w:val="-3"/>
        </w:rPr>
        <w:t>s</w:t>
      </w:r>
      <w:r w:rsidR="0005001C" w:rsidRPr="00430524">
        <w:rPr>
          <w:rFonts w:ascii="Arial" w:hAnsi="Arial" w:cs="Arial"/>
          <w:i/>
          <w:color w:val="000000"/>
          <w:spacing w:val="-3"/>
        </w:rPr>
        <w:t xml:space="preserve"> the </w:t>
      </w:r>
      <w:r w:rsidR="00F35076" w:rsidRPr="00430524">
        <w:rPr>
          <w:rFonts w:ascii="Arial" w:hAnsi="Arial" w:cs="Arial"/>
          <w:i/>
          <w:color w:val="000000"/>
          <w:spacing w:val="-3"/>
        </w:rPr>
        <w:t xml:space="preserve">foreign asset </w:t>
      </w:r>
      <w:r w:rsidR="009A7E04" w:rsidRPr="00430524">
        <w:rPr>
          <w:rFonts w:ascii="Arial" w:hAnsi="Arial" w:cs="Arial"/>
          <w:i/>
          <w:color w:val="000000"/>
          <w:spacing w:val="-3"/>
        </w:rPr>
        <w:t>transactions of</w:t>
      </w:r>
      <w:r w:rsidR="0005001C" w:rsidRPr="00430524">
        <w:rPr>
          <w:rFonts w:ascii="Arial" w:hAnsi="Arial" w:cs="Arial"/>
          <w:i/>
          <w:color w:val="000000"/>
          <w:spacing w:val="-3"/>
        </w:rPr>
        <w:t xml:space="preserve"> the </w:t>
      </w:r>
      <w:r w:rsidR="009A7E04" w:rsidRPr="00430524">
        <w:rPr>
          <w:rFonts w:ascii="Arial" w:hAnsi="Arial" w:cs="Arial"/>
          <w:i/>
          <w:color w:val="000000"/>
          <w:spacing w:val="-3"/>
        </w:rPr>
        <w:t xml:space="preserve">central bank. </w:t>
      </w:r>
      <w:r w:rsidRPr="00430524">
        <w:rPr>
          <w:rFonts w:ascii="Arial" w:hAnsi="Arial" w:cs="Arial"/>
          <w:i/>
          <w:color w:val="000000"/>
          <w:spacing w:val="-3"/>
        </w:rPr>
        <w:t>These</w:t>
      </w:r>
      <w:r w:rsidR="00F16983" w:rsidRPr="00430524">
        <w:rPr>
          <w:rFonts w:ascii="Arial" w:hAnsi="Arial" w:cs="Arial"/>
          <w:i/>
          <w:color w:val="000000"/>
          <w:spacing w:val="-3"/>
        </w:rPr>
        <w:t xml:space="preserve"> </w:t>
      </w:r>
      <w:r w:rsidR="009A7E04" w:rsidRPr="00430524">
        <w:rPr>
          <w:rFonts w:ascii="Arial" w:hAnsi="Arial" w:cs="Arial"/>
          <w:i/>
          <w:color w:val="000000"/>
          <w:spacing w:val="-3"/>
        </w:rPr>
        <w:t>assets may be easily mobilised as</w:t>
      </w:r>
      <w:r w:rsidR="0005001C" w:rsidRPr="00430524">
        <w:rPr>
          <w:rFonts w:ascii="Arial" w:hAnsi="Arial" w:cs="Arial"/>
          <w:i/>
          <w:color w:val="000000"/>
          <w:spacing w:val="-3"/>
        </w:rPr>
        <w:t xml:space="preserve"> a </w:t>
      </w:r>
      <w:r w:rsidR="009A7E04" w:rsidRPr="00430524">
        <w:rPr>
          <w:rFonts w:ascii="Arial" w:hAnsi="Arial" w:cs="Arial"/>
          <w:i/>
          <w:color w:val="000000"/>
          <w:spacing w:val="-3"/>
        </w:rPr>
        <w:t>source of direct financing of</w:t>
      </w:r>
      <w:r w:rsidR="0005001C" w:rsidRPr="00430524">
        <w:rPr>
          <w:rFonts w:ascii="Arial" w:hAnsi="Arial" w:cs="Arial"/>
          <w:i/>
          <w:color w:val="000000"/>
          <w:spacing w:val="-3"/>
        </w:rPr>
        <w:t xml:space="preserve"> a </w:t>
      </w:r>
      <w:r w:rsidR="009A7E04" w:rsidRPr="00430524">
        <w:rPr>
          <w:rFonts w:ascii="Arial" w:hAnsi="Arial" w:cs="Arial"/>
          <w:i/>
          <w:color w:val="000000"/>
          <w:spacing w:val="-3"/>
        </w:rPr>
        <w:t>payments imbalance and of indirect regulation of such</w:t>
      </w:r>
      <w:r w:rsidR="0005001C" w:rsidRPr="00430524">
        <w:rPr>
          <w:rFonts w:ascii="Arial" w:hAnsi="Arial" w:cs="Arial"/>
          <w:i/>
          <w:color w:val="000000"/>
          <w:spacing w:val="-3"/>
        </w:rPr>
        <w:t xml:space="preserve"> an </w:t>
      </w:r>
      <w:r w:rsidR="009A7E04" w:rsidRPr="00430524">
        <w:rPr>
          <w:rFonts w:ascii="Arial" w:hAnsi="Arial" w:cs="Arial"/>
          <w:i/>
          <w:color w:val="000000"/>
          <w:spacing w:val="-3"/>
        </w:rPr>
        <w:t>imbalance through interventions on</w:t>
      </w:r>
      <w:r w:rsidR="0005001C" w:rsidRPr="00430524">
        <w:rPr>
          <w:rFonts w:ascii="Arial" w:hAnsi="Arial" w:cs="Arial"/>
          <w:i/>
          <w:color w:val="000000"/>
          <w:spacing w:val="-3"/>
        </w:rPr>
        <w:t xml:space="preserve"> the </w:t>
      </w:r>
      <w:r w:rsidR="009A7E04" w:rsidRPr="00430524">
        <w:rPr>
          <w:rFonts w:ascii="Arial" w:hAnsi="Arial" w:cs="Arial"/>
          <w:i/>
          <w:color w:val="000000"/>
          <w:spacing w:val="-3"/>
        </w:rPr>
        <w:t>foreign exchange market.</w:t>
      </w:r>
      <w:r w:rsidRPr="00430524">
        <w:rPr>
          <w:rFonts w:ascii="Arial" w:hAnsi="Arial" w:cs="Arial"/>
          <w:i/>
          <w:color w:val="000000"/>
          <w:spacing w:val="-3"/>
        </w:rPr>
        <w:t xml:space="preserve"> Reserve assets are included in the financial account.</w:t>
      </w:r>
    </w:p>
    <w:p w:rsidR="00AD5827" w:rsidRPr="00430524" w:rsidRDefault="00AD5827"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b/>
          <w:i/>
          <w:color w:val="000000"/>
          <w:spacing w:val="-3"/>
        </w:rPr>
        <w:t>Errors and omissions</w:t>
      </w:r>
      <w:r w:rsidR="00721AFD" w:rsidRPr="00430524">
        <w:rPr>
          <w:rFonts w:ascii="Arial" w:hAnsi="Arial" w:cs="Arial"/>
          <w:i/>
          <w:color w:val="000000"/>
          <w:spacing w:val="-3"/>
        </w:rPr>
        <w:t xml:space="preserve"> are a correction item between the resulting balance on the current and capital accounts on the one hand</w:t>
      </w:r>
      <w:r w:rsidR="00F16983" w:rsidRPr="00430524">
        <w:rPr>
          <w:rFonts w:ascii="Arial" w:hAnsi="Arial" w:cs="Arial"/>
          <w:i/>
          <w:color w:val="000000"/>
          <w:spacing w:val="-3"/>
        </w:rPr>
        <w:t xml:space="preserve"> </w:t>
      </w:r>
      <w:r w:rsidRPr="00430524">
        <w:rPr>
          <w:rFonts w:ascii="Arial" w:hAnsi="Arial" w:cs="Arial"/>
          <w:i/>
          <w:color w:val="000000"/>
          <w:spacing w:val="-3"/>
        </w:rPr>
        <w:t xml:space="preserve">and </w:t>
      </w:r>
      <w:r w:rsidR="002C76B3" w:rsidRPr="00430524">
        <w:rPr>
          <w:rFonts w:ascii="Arial" w:hAnsi="Arial" w:cs="Arial"/>
          <w:i/>
          <w:color w:val="000000"/>
          <w:spacing w:val="-3"/>
        </w:rPr>
        <w:t xml:space="preserve">the balance </w:t>
      </w:r>
      <w:r w:rsidR="0060376B" w:rsidRPr="00430524">
        <w:rPr>
          <w:rFonts w:ascii="Arial" w:hAnsi="Arial" w:cs="Arial"/>
          <w:i/>
          <w:color w:val="000000"/>
          <w:spacing w:val="-3"/>
        </w:rPr>
        <w:t xml:space="preserve">on the </w:t>
      </w:r>
      <w:r w:rsidRPr="00430524">
        <w:rPr>
          <w:rFonts w:ascii="Arial" w:hAnsi="Arial" w:cs="Arial"/>
          <w:i/>
          <w:color w:val="000000"/>
          <w:spacing w:val="-3"/>
        </w:rPr>
        <w:t>financial account on</w:t>
      </w:r>
      <w:r w:rsidR="0005001C" w:rsidRPr="00430524">
        <w:rPr>
          <w:rFonts w:ascii="Arial" w:hAnsi="Arial" w:cs="Arial"/>
          <w:i/>
          <w:color w:val="000000"/>
          <w:spacing w:val="-3"/>
        </w:rPr>
        <w:t xml:space="preserve"> the</w:t>
      </w:r>
      <w:r w:rsidR="00F16983" w:rsidRPr="00430524">
        <w:rPr>
          <w:rFonts w:ascii="Arial" w:hAnsi="Arial" w:cs="Arial"/>
          <w:i/>
          <w:color w:val="000000"/>
          <w:spacing w:val="-3"/>
        </w:rPr>
        <w:t xml:space="preserve"> </w:t>
      </w:r>
      <w:r w:rsidRPr="00430524">
        <w:rPr>
          <w:rFonts w:ascii="Arial" w:hAnsi="Arial" w:cs="Arial"/>
          <w:i/>
          <w:color w:val="000000"/>
          <w:spacing w:val="-3"/>
        </w:rPr>
        <w:t>other</w:t>
      </w:r>
      <w:r w:rsidR="0060376B" w:rsidRPr="00430524">
        <w:rPr>
          <w:rFonts w:ascii="Arial" w:hAnsi="Arial" w:cs="Arial"/>
          <w:i/>
          <w:color w:val="000000"/>
          <w:spacing w:val="-3"/>
        </w:rPr>
        <w:t xml:space="preserve"> hand</w:t>
      </w:r>
      <w:r w:rsidR="00752343" w:rsidRPr="00430524">
        <w:rPr>
          <w:rFonts w:ascii="Arial" w:hAnsi="Arial" w:cs="Arial"/>
          <w:i/>
          <w:color w:val="000000"/>
          <w:spacing w:val="-3"/>
        </w:rPr>
        <w:t>.</w:t>
      </w:r>
      <w:r w:rsidR="0060376B" w:rsidRPr="00430524">
        <w:rPr>
          <w:rFonts w:ascii="Arial" w:hAnsi="Arial" w:cs="Arial"/>
          <w:i/>
          <w:color w:val="000000"/>
          <w:spacing w:val="-3"/>
        </w:rPr>
        <w:t xml:space="preserve"> T</w:t>
      </w:r>
      <w:r w:rsidRPr="00430524">
        <w:rPr>
          <w:rFonts w:ascii="Arial" w:hAnsi="Arial" w:cs="Arial"/>
          <w:i/>
          <w:color w:val="000000"/>
          <w:spacing w:val="-3"/>
        </w:rPr>
        <w:t>hey represent</w:t>
      </w:r>
      <w:r w:rsidR="0005001C" w:rsidRPr="00430524">
        <w:rPr>
          <w:rFonts w:ascii="Arial" w:hAnsi="Arial" w:cs="Arial"/>
          <w:i/>
          <w:color w:val="000000"/>
          <w:spacing w:val="-3"/>
        </w:rPr>
        <w:t xml:space="preserve"> the </w:t>
      </w:r>
      <w:r w:rsidRPr="00430524">
        <w:rPr>
          <w:rFonts w:ascii="Arial" w:hAnsi="Arial" w:cs="Arial"/>
          <w:i/>
          <w:color w:val="000000"/>
          <w:spacing w:val="-3"/>
        </w:rPr>
        <w:t>balance of unidentified flows in</w:t>
      </w:r>
      <w:r w:rsidR="0005001C" w:rsidRPr="00430524">
        <w:rPr>
          <w:rFonts w:ascii="Arial" w:hAnsi="Arial" w:cs="Arial"/>
          <w:i/>
          <w:color w:val="000000"/>
          <w:spacing w:val="-3"/>
        </w:rPr>
        <w:t xml:space="preserve"> the </w:t>
      </w:r>
      <w:r w:rsidRPr="00430524">
        <w:rPr>
          <w:rFonts w:ascii="Arial" w:hAnsi="Arial" w:cs="Arial"/>
          <w:i/>
          <w:color w:val="000000"/>
          <w:spacing w:val="-3"/>
        </w:rPr>
        <w:t>current, capital and financial accounts.</w:t>
      </w: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The sources used for compiling</w:t>
      </w:r>
      <w:r w:rsidR="0005001C" w:rsidRPr="00430524">
        <w:rPr>
          <w:rFonts w:ascii="Arial" w:hAnsi="Arial" w:cs="Arial"/>
          <w:i/>
          <w:color w:val="000000"/>
          <w:spacing w:val="-3"/>
        </w:rPr>
        <w:t xml:space="preserve"> the </w:t>
      </w:r>
      <w:r w:rsidRPr="00430524">
        <w:rPr>
          <w:rFonts w:ascii="Arial" w:hAnsi="Arial" w:cs="Arial"/>
          <w:i/>
          <w:color w:val="000000"/>
          <w:spacing w:val="-3"/>
        </w:rPr>
        <w:t>balance of payments include</w:t>
      </w:r>
      <w:r w:rsidR="0005001C" w:rsidRPr="00430524">
        <w:rPr>
          <w:rFonts w:ascii="Arial" w:hAnsi="Arial" w:cs="Arial"/>
          <w:i/>
          <w:color w:val="000000"/>
          <w:spacing w:val="-3"/>
        </w:rPr>
        <w:t xml:space="preserve"> the </w:t>
      </w:r>
      <w:r w:rsidR="0060376B" w:rsidRPr="00430524">
        <w:rPr>
          <w:rFonts w:ascii="Arial" w:hAnsi="Arial" w:cs="Arial"/>
          <w:i/>
          <w:color w:val="000000"/>
          <w:spacing w:val="-3"/>
        </w:rPr>
        <w:t xml:space="preserve">national </w:t>
      </w:r>
      <w:r w:rsidRPr="00430524">
        <w:rPr>
          <w:rFonts w:ascii="Arial" w:hAnsi="Arial" w:cs="Arial"/>
          <w:i/>
          <w:color w:val="000000"/>
          <w:spacing w:val="-3"/>
        </w:rPr>
        <w:t>statistics of external trade in goods and services (CZSO</w:t>
      </w:r>
      <w:r w:rsidR="0060376B" w:rsidRPr="00430524">
        <w:rPr>
          <w:rFonts w:ascii="Arial" w:hAnsi="Arial" w:cs="Arial"/>
          <w:i/>
          <w:color w:val="000000"/>
          <w:spacing w:val="-3"/>
        </w:rPr>
        <w:t>)</w:t>
      </w:r>
      <w:r w:rsidRPr="00430524">
        <w:rPr>
          <w:rFonts w:ascii="Arial" w:hAnsi="Arial" w:cs="Arial"/>
          <w:i/>
          <w:color w:val="000000"/>
          <w:spacing w:val="-3"/>
        </w:rPr>
        <w:t>, reporting data from banks and non-banks, information from administrative sources from central authorities and other institutions, and</w:t>
      </w:r>
      <w:r w:rsidR="0005001C" w:rsidRPr="00430524">
        <w:rPr>
          <w:rFonts w:ascii="Arial" w:hAnsi="Arial" w:cs="Arial"/>
          <w:i/>
          <w:color w:val="000000"/>
          <w:spacing w:val="-3"/>
        </w:rPr>
        <w:t xml:space="preserve"> the </w:t>
      </w:r>
      <w:r w:rsidR="00721AFD" w:rsidRPr="00430524">
        <w:rPr>
          <w:rFonts w:ascii="Arial" w:hAnsi="Arial" w:cs="Arial"/>
          <w:i/>
          <w:color w:val="000000"/>
          <w:spacing w:val="-3"/>
        </w:rPr>
        <w:t>CNB’s own calculations.</w:t>
      </w: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rPr>
          <w:rFonts w:ascii="Arial" w:hAnsi="Arial" w:cs="Arial"/>
          <w:i/>
          <w:color w:val="000000"/>
          <w:spacing w:val="-3"/>
        </w:rPr>
      </w:pP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rPr>
          <w:rFonts w:ascii="Arial" w:hAnsi="Arial" w:cs="Arial"/>
          <w:i/>
          <w:color w:val="000000"/>
          <w:spacing w:val="-3"/>
        </w:rPr>
      </w:pPr>
    </w:p>
    <w:p w:rsidR="00AD5827" w:rsidRPr="00430524" w:rsidRDefault="00721AFD" w:rsidP="001D5071">
      <w:pPr>
        <w:widowControl/>
        <w:tabs>
          <w:tab w:val="left" w:pos="2268"/>
        </w:tabs>
        <w:suppressAutoHyphens/>
        <w:ind w:left="709" w:hanging="709"/>
        <w:jc w:val="both"/>
        <w:rPr>
          <w:rFonts w:ascii="Arial" w:hAnsi="Arial" w:cs="Arial"/>
          <w:i/>
          <w:color w:val="000000"/>
          <w:spacing w:val="-3"/>
        </w:rPr>
      </w:pPr>
      <w:r w:rsidRPr="00430524">
        <w:rPr>
          <w:rFonts w:ascii="Arial" w:hAnsi="Arial" w:cs="Arial"/>
          <w:i/>
          <w:color w:val="000000"/>
          <w:spacing w:val="-3"/>
        </w:rPr>
        <w:t xml:space="preserve">Tables </w:t>
      </w:r>
      <w:r w:rsidRPr="00430524">
        <w:rPr>
          <w:rFonts w:ascii="Arial" w:hAnsi="Arial" w:cs="Arial"/>
          <w:b/>
          <w:i/>
          <w:color w:val="000000"/>
          <w:spacing w:val="-3"/>
        </w:rPr>
        <w:t>7</w:t>
      </w:r>
      <w:r w:rsidRPr="00430524">
        <w:rPr>
          <w:rFonts w:ascii="Arial" w:hAnsi="Arial" w:cs="Arial"/>
          <w:i/>
          <w:color w:val="000000"/>
          <w:spacing w:val="-3"/>
        </w:rPr>
        <w:t xml:space="preserve">-13 and </w:t>
      </w:r>
      <w:r w:rsidRPr="00430524">
        <w:rPr>
          <w:rFonts w:ascii="Arial" w:hAnsi="Arial" w:cs="Arial"/>
          <w:b/>
          <w:i/>
          <w:color w:val="000000"/>
          <w:spacing w:val="-3"/>
        </w:rPr>
        <w:t>7</w:t>
      </w:r>
      <w:r w:rsidRPr="00430524">
        <w:rPr>
          <w:rFonts w:ascii="Arial" w:hAnsi="Arial" w:cs="Arial"/>
          <w:i/>
          <w:color w:val="000000"/>
          <w:spacing w:val="-3"/>
        </w:rPr>
        <w:t xml:space="preserve">-14 </w:t>
      </w:r>
      <w:r w:rsidRPr="00430524">
        <w:rPr>
          <w:rFonts w:ascii="Arial" w:hAnsi="Arial" w:cs="Arial"/>
          <w:b/>
          <w:i/>
          <w:color w:val="000000"/>
          <w:spacing w:val="-3"/>
        </w:rPr>
        <w:t>Foreign direct investment in the Czech Republic by country and activity</w:t>
      </w:r>
    </w:p>
    <w:p w:rsidR="00312897" w:rsidRPr="001916C6" w:rsidRDefault="00A37403" w:rsidP="00312897">
      <w:pPr>
        <w:spacing w:before="120"/>
        <w:ind w:firstLine="709"/>
        <w:jc w:val="both"/>
        <w:rPr>
          <w:rFonts w:ascii="Arial" w:hAnsi="Arial" w:cs="Arial"/>
          <w:i/>
          <w:snapToGrid w:val="0"/>
        </w:rPr>
      </w:pPr>
      <w:r w:rsidRPr="00A37403">
        <w:rPr>
          <w:rFonts w:ascii="Arial" w:hAnsi="Arial"/>
          <w:i/>
        </w:rPr>
        <w:t xml:space="preserve">The reported data show the inflow (flow) of foreign direct investment into the Czech Republic in the given year. The presentation of data on foreign direct investment has changed due to the introduction of the sixth edition of the Balance of Payments and International Investment Position Manual (in 2014). The results are broken down according to the </w:t>
      </w:r>
      <w:r w:rsidRPr="001D4FF2">
        <w:rPr>
          <w:rFonts w:ascii="Arial" w:hAnsi="Arial"/>
          <w:i/>
        </w:rPr>
        <w:t>asset/liability principle</w:t>
      </w:r>
      <w:r w:rsidRPr="00A37403">
        <w:rPr>
          <w:rFonts w:ascii="Arial" w:hAnsi="Arial"/>
          <w:i/>
        </w:rPr>
        <w:t xml:space="preserve">. The assets side shows credit relations with </w:t>
      </w:r>
      <w:r w:rsidR="00887CCC">
        <w:rPr>
          <w:rFonts w:ascii="Arial" w:hAnsi="Arial"/>
          <w:i/>
        </w:rPr>
        <w:t xml:space="preserve">enterprises in the group of </w:t>
      </w:r>
      <w:r w:rsidRPr="00A37403">
        <w:rPr>
          <w:rFonts w:ascii="Arial" w:hAnsi="Arial"/>
          <w:i/>
        </w:rPr>
        <w:t>direct</w:t>
      </w:r>
      <w:r w:rsidR="00887CCC">
        <w:rPr>
          <w:rFonts w:ascii="Arial" w:hAnsi="Arial"/>
          <w:i/>
        </w:rPr>
        <w:t xml:space="preserve"> investment</w:t>
      </w:r>
      <w:r w:rsidRPr="00A37403">
        <w:rPr>
          <w:rFonts w:ascii="Arial" w:hAnsi="Arial"/>
          <w:i/>
        </w:rPr>
        <w:t xml:space="preserve"> (a change in loans provided). The liability side contains deposits in equity capital including reinvested earnings and credit relations with </w:t>
      </w:r>
      <w:r w:rsidR="00887CCC">
        <w:rPr>
          <w:rFonts w:ascii="Arial" w:hAnsi="Arial"/>
          <w:i/>
        </w:rPr>
        <w:t xml:space="preserve">enterprises in the group of </w:t>
      </w:r>
      <w:r w:rsidRPr="00A37403">
        <w:rPr>
          <w:rFonts w:ascii="Arial" w:hAnsi="Arial"/>
          <w:i/>
        </w:rPr>
        <w:t>direct</w:t>
      </w:r>
      <w:r w:rsidR="00887CCC">
        <w:rPr>
          <w:rFonts w:ascii="Arial" w:hAnsi="Arial"/>
          <w:i/>
        </w:rPr>
        <w:t xml:space="preserve"> investment</w:t>
      </w:r>
      <w:r w:rsidR="00753DBE">
        <w:rPr>
          <w:rFonts w:ascii="Arial" w:hAnsi="Arial"/>
          <w:i/>
        </w:rPr>
        <w:t xml:space="preserve"> </w:t>
      </w:r>
      <w:r w:rsidRPr="00A37403">
        <w:rPr>
          <w:rFonts w:ascii="Arial" w:hAnsi="Arial"/>
          <w:i/>
        </w:rPr>
        <w:t xml:space="preserve">(a change in loans accepted). The </w:t>
      </w:r>
      <w:r w:rsidRPr="001D4FF2">
        <w:rPr>
          <w:rFonts w:ascii="Arial" w:hAnsi="Arial"/>
          <w:i/>
        </w:rPr>
        <w:t>NET i</w:t>
      </w:r>
      <w:r w:rsidRPr="00A37403">
        <w:rPr>
          <w:rFonts w:ascii="Arial" w:hAnsi="Arial"/>
          <w:i/>
        </w:rPr>
        <w:t xml:space="preserve">tem shows the net inflow of foreign direct investment from non-residents into the Czech Republic (liabilities net of assets). The presentation of the inflow of foreign direct investment is broken down by territory (the country of the immediate investor) and </w:t>
      </w:r>
      <w:r w:rsidR="0028430D">
        <w:rPr>
          <w:rFonts w:ascii="Arial" w:hAnsi="Arial"/>
          <w:i/>
        </w:rPr>
        <w:t>economic activity (NACE Rev. 2).</w:t>
      </w:r>
    </w:p>
    <w:p w:rsidR="00312897" w:rsidRPr="001916C6" w:rsidRDefault="00A37403" w:rsidP="00312897">
      <w:pPr>
        <w:pStyle w:val="Standardnte"/>
        <w:widowControl/>
        <w:spacing w:before="120"/>
        <w:ind w:firstLine="709"/>
        <w:jc w:val="both"/>
        <w:rPr>
          <w:rFonts w:ascii="Arial" w:hAnsi="Arial" w:cs="Arial"/>
          <w:i/>
          <w:color w:val="auto"/>
          <w:sz w:val="20"/>
          <w:lang w:val="en-GB"/>
        </w:rPr>
      </w:pPr>
      <w:r w:rsidRPr="00A37403">
        <w:rPr>
          <w:rFonts w:ascii="Arial" w:hAnsi="Arial"/>
          <w:i/>
          <w:color w:val="auto"/>
          <w:sz w:val="20"/>
          <w:lang w:val="en-GB"/>
        </w:rPr>
        <w:t>Foreign direct investment means such cross-border investment that reflects the objective of obtaining a lasting interest in a direct investment enterprise in the Czech Republic by a non-resident (direct investor). The lasting interest implies the existence of a long-term relationship between the direct investor and the enterprise, and a significant degree of influence on th</w:t>
      </w:r>
      <w:r w:rsidR="0028430D">
        <w:rPr>
          <w:rFonts w:ascii="Arial" w:hAnsi="Arial"/>
          <w:i/>
          <w:color w:val="auto"/>
          <w:sz w:val="20"/>
          <w:lang w:val="en-GB"/>
        </w:rPr>
        <w:t>e management of the enterprise.</w:t>
      </w:r>
    </w:p>
    <w:p w:rsidR="00312897" w:rsidRPr="001916C6" w:rsidRDefault="00A37403" w:rsidP="00312897">
      <w:pPr>
        <w:pStyle w:val="Standardnte"/>
        <w:widowControl/>
        <w:spacing w:before="120"/>
        <w:ind w:firstLine="709"/>
        <w:jc w:val="both"/>
        <w:rPr>
          <w:rFonts w:ascii="Arial" w:hAnsi="Arial" w:cs="Arial"/>
          <w:i/>
          <w:color w:val="auto"/>
          <w:sz w:val="20"/>
          <w:lang w:val="en-GB"/>
        </w:rPr>
      </w:pPr>
      <w:r w:rsidRPr="00A37403">
        <w:rPr>
          <w:rFonts w:ascii="Arial" w:hAnsi="Arial"/>
          <w:i/>
          <w:color w:val="auto"/>
          <w:sz w:val="20"/>
          <w:lang w:val="en-GB"/>
        </w:rPr>
        <w:t xml:space="preserve">The data on foreign direct investment are based on information and documents in the form of statistical statements of non-banks pursuant to Article 41(1)(c) of Act No. 6/1993 Coll., on the Czech National Bank, as </w:t>
      </w:r>
      <w:r w:rsidR="00013646">
        <w:rPr>
          <w:rFonts w:ascii="Arial" w:hAnsi="Arial"/>
          <w:i/>
          <w:color w:val="auto"/>
          <w:sz w:val="20"/>
          <w:lang w:val="en-GB"/>
        </w:rPr>
        <w:t xml:space="preserve">subsequently </w:t>
      </w:r>
      <w:r w:rsidRPr="00A37403">
        <w:rPr>
          <w:rFonts w:ascii="Arial" w:hAnsi="Arial"/>
          <w:i/>
          <w:color w:val="auto"/>
          <w:sz w:val="20"/>
          <w:lang w:val="en-GB"/>
        </w:rPr>
        <w:t>amended. The content, form, time-limits and manner of compiling and submitting information are stipulated in Decree No. 235/2013 Coll. The main sources used are the quarterly statements on selected external assets and liabilities and annual statements of non-financial corporations on stocks of foreign direct investment in the Czech Republic. Additional sources of information</w:t>
      </w:r>
      <w:r w:rsidR="00753DBE">
        <w:rPr>
          <w:rFonts w:ascii="Arial" w:hAnsi="Arial"/>
          <w:i/>
          <w:color w:val="auto"/>
          <w:sz w:val="20"/>
          <w:lang w:val="en-GB"/>
        </w:rPr>
        <w:t xml:space="preserve"> include statements from banks,</w:t>
      </w:r>
      <w:r w:rsidRPr="00A37403">
        <w:rPr>
          <w:rFonts w:ascii="Arial" w:hAnsi="Arial"/>
          <w:i/>
          <w:color w:val="auto"/>
          <w:sz w:val="20"/>
          <w:lang w:val="en-GB"/>
        </w:rPr>
        <w:t xml:space="preserve"> stock exchange information, the Commercial Bulletin and the press.</w:t>
      </w:r>
    </w:p>
    <w:p w:rsidR="00AD5827"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rPr>
          <w:rFonts w:ascii="Arial" w:hAnsi="Arial" w:cs="Arial"/>
          <w:i/>
          <w:color w:val="000000"/>
          <w:spacing w:val="-3"/>
        </w:rPr>
      </w:pPr>
    </w:p>
    <w:p w:rsidR="0028430D" w:rsidRPr="001916C6" w:rsidRDefault="0028430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rPr>
          <w:rFonts w:ascii="Arial" w:hAnsi="Arial" w:cs="Arial"/>
          <w:i/>
          <w:color w:val="000000"/>
          <w:spacing w:val="-3"/>
        </w:rPr>
      </w:pPr>
    </w:p>
    <w:p w:rsidR="00AD5827" w:rsidRPr="00430524"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outlineLvl w:val="0"/>
        <w:rPr>
          <w:rFonts w:ascii="Arial" w:hAnsi="Arial" w:cs="Arial"/>
          <w:i/>
          <w:color w:val="000000"/>
          <w:spacing w:val="-3"/>
        </w:rPr>
      </w:pPr>
      <w:r w:rsidRPr="00430524">
        <w:rPr>
          <w:rFonts w:ascii="Arial" w:hAnsi="Arial" w:cs="Arial"/>
          <w:i/>
          <w:color w:val="000000"/>
          <w:spacing w:val="-3"/>
        </w:rPr>
        <w:t xml:space="preserve">Table </w:t>
      </w:r>
      <w:r w:rsidRPr="00430524">
        <w:rPr>
          <w:rFonts w:ascii="Arial" w:hAnsi="Arial" w:cs="Arial"/>
          <w:b/>
          <w:i/>
          <w:color w:val="000000"/>
          <w:spacing w:val="-3"/>
        </w:rPr>
        <w:t>7</w:t>
      </w:r>
      <w:r w:rsidRPr="00430524">
        <w:rPr>
          <w:rFonts w:ascii="Arial" w:hAnsi="Arial" w:cs="Arial"/>
          <w:i/>
          <w:color w:val="000000"/>
          <w:spacing w:val="-3"/>
        </w:rPr>
        <w:t>-15</w:t>
      </w:r>
      <w:r w:rsidRPr="00430524">
        <w:rPr>
          <w:rFonts w:ascii="Arial" w:hAnsi="Arial" w:cs="Arial"/>
          <w:b/>
          <w:i/>
          <w:color w:val="000000"/>
          <w:spacing w:val="-3"/>
        </w:rPr>
        <w:t xml:space="preserve"> International investment position </w:t>
      </w:r>
    </w:p>
    <w:p w:rsidR="00064929" w:rsidRPr="00430524" w:rsidRDefault="00721AFD" w:rsidP="001D5071">
      <w:pPr>
        <w:pStyle w:val="Zkladntext"/>
        <w:widowControl/>
        <w:spacing w:before="120" w:line="240" w:lineRule="auto"/>
        <w:ind w:firstLine="709"/>
        <w:rPr>
          <w:rFonts w:ascii="Arial" w:hAnsi="Arial" w:cs="Arial"/>
          <w:sz w:val="20"/>
        </w:rPr>
      </w:pPr>
      <w:r w:rsidRPr="00430524">
        <w:rPr>
          <w:rFonts w:ascii="Arial" w:hAnsi="Arial" w:cs="Arial"/>
          <w:sz w:val="20"/>
        </w:rPr>
        <w:t xml:space="preserve">The international investment position provides a survey of the overall composition of the financial assets and liabilities of </w:t>
      </w:r>
      <w:r w:rsidRPr="00430524">
        <w:rPr>
          <w:rFonts w:ascii="Arial" w:hAnsi="Arial" w:cs="Arial"/>
          <w:iCs/>
          <w:sz w:val="20"/>
        </w:rPr>
        <w:t>national economic agents (residents)</w:t>
      </w:r>
      <w:r w:rsidRPr="00430524">
        <w:rPr>
          <w:rFonts w:ascii="Arial" w:hAnsi="Arial" w:cs="Arial"/>
          <w:sz w:val="20"/>
        </w:rPr>
        <w:t xml:space="preserve"> vis-à-vis foreign countries (non-residents) as of a certain date.</w:t>
      </w:r>
    </w:p>
    <w:p w:rsidR="00935395" w:rsidRPr="00835512" w:rsidRDefault="00721AFD" w:rsidP="001D5071">
      <w:pPr>
        <w:pStyle w:val="Standardn1"/>
        <w:widowControl/>
        <w:spacing w:before="120"/>
        <w:ind w:firstLine="709"/>
        <w:jc w:val="both"/>
        <w:rPr>
          <w:rFonts w:ascii="Arial" w:hAnsi="Arial"/>
          <w:i/>
          <w:color w:val="auto"/>
          <w:sz w:val="20"/>
        </w:rPr>
      </w:pPr>
      <w:r w:rsidRPr="00430524">
        <w:rPr>
          <w:rFonts w:ascii="Arial" w:hAnsi="Arial"/>
          <w:i/>
          <w:color w:val="auto"/>
          <w:sz w:val="20"/>
        </w:rPr>
        <w:t>The</w:t>
      </w:r>
      <w:r w:rsidR="00471EAE" w:rsidRPr="00471EAE">
        <w:rPr>
          <w:rFonts w:ascii="Arial" w:hAnsi="Arial"/>
          <w:i/>
          <w:color w:val="auto"/>
          <w:sz w:val="20"/>
        </w:rPr>
        <w:t xml:space="preserve"> structure</w:t>
      </w:r>
      <w:r w:rsidRPr="00430524">
        <w:rPr>
          <w:rFonts w:ascii="Arial" w:hAnsi="Arial"/>
          <w:i/>
          <w:color w:val="auto"/>
          <w:sz w:val="20"/>
        </w:rPr>
        <w:t xml:space="preserve"> of</w:t>
      </w:r>
      <w:r w:rsidR="00471EAE" w:rsidRPr="00471EAE">
        <w:rPr>
          <w:rFonts w:ascii="Arial" w:hAnsi="Arial"/>
          <w:i/>
          <w:color w:val="auto"/>
          <w:sz w:val="20"/>
        </w:rPr>
        <w:t xml:space="preserve"> the</w:t>
      </w:r>
      <w:r w:rsidRPr="00430524">
        <w:rPr>
          <w:rFonts w:ascii="Arial" w:hAnsi="Arial"/>
          <w:i/>
          <w:color w:val="auto"/>
          <w:sz w:val="20"/>
        </w:rPr>
        <w:t xml:space="preserve"> </w:t>
      </w:r>
      <w:r w:rsidR="00471EAE" w:rsidRPr="00471EAE">
        <w:rPr>
          <w:rFonts w:ascii="Arial" w:hAnsi="Arial"/>
          <w:i/>
          <w:color w:val="auto"/>
          <w:sz w:val="20"/>
        </w:rPr>
        <w:t xml:space="preserve">investment position corresponds to </w:t>
      </w:r>
      <w:r w:rsidRPr="00430524">
        <w:rPr>
          <w:rFonts w:ascii="Arial" w:hAnsi="Arial"/>
          <w:i/>
          <w:color w:val="auto"/>
          <w:sz w:val="20"/>
        </w:rPr>
        <w:t xml:space="preserve">that of </w:t>
      </w:r>
      <w:r w:rsidR="00471EAE" w:rsidRPr="00471EAE">
        <w:rPr>
          <w:rFonts w:ascii="Arial" w:hAnsi="Arial"/>
          <w:i/>
          <w:color w:val="auto"/>
          <w:sz w:val="20"/>
        </w:rPr>
        <w:t>the</w:t>
      </w:r>
      <w:r w:rsidRPr="00430524">
        <w:rPr>
          <w:rFonts w:ascii="Arial" w:hAnsi="Arial"/>
          <w:i/>
          <w:color w:val="auto"/>
          <w:sz w:val="20"/>
        </w:rPr>
        <w:t xml:space="preserve"> </w:t>
      </w:r>
      <w:r w:rsidR="00471EAE" w:rsidRPr="00471EAE">
        <w:rPr>
          <w:rFonts w:ascii="Arial" w:hAnsi="Arial"/>
          <w:i/>
          <w:color w:val="auto"/>
          <w:sz w:val="20"/>
        </w:rPr>
        <w:t>financial account</w:t>
      </w:r>
      <w:r w:rsidRPr="00430524">
        <w:rPr>
          <w:rFonts w:ascii="Arial" w:hAnsi="Arial"/>
          <w:i/>
          <w:color w:val="auto"/>
          <w:sz w:val="20"/>
        </w:rPr>
        <w:t>; its</w:t>
      </w:r>
      <w:r w:rsidR="00471EAE" w:rsidRPr="00471EAE">
        <w:rPr>
          <w:rFonts w:ascii="Arial" w:hAnsi="Arial"/>
          <w:i/>
          <w:color w:val="auto"/>
          <w:sz w:val="20"/>
        </w:rPr>
        <w:t xml:space="preserve"> assets and liabilities</w:t>
      </w:r>
      <w:r w:rsidRPr="00430524">
        <w:rPr>
          <w:rFonts w:ascii="Arial" w:hAnsi="Arial"/>
          <w:i/>
          <w:color w:val="auto"/>
          <w:sz w:val="20"/>
        </w:rPr>
        <w:t xml:space="preserve"> are</w:t>
      </w:r>
      <w:r w:rsidR="00471EAE" w:rsidRPr="00471EAE">
        <w:rPr>
          <w:rFonts w:ascii="Arial" w:hAnsi="Arial"/>
          <w:i/>
          <w:color w:val="auto"/>
          <w:sz w:val="20"/>
        </w:rPr>
        <w:t xml:space="preserve"> broken down by instrument into direct investment (equity </w:t>
      </w:r>
      <w:r w:rsidRPr="00430524">
        <w:rPr>
          <w:rFonts w:ascii="Arial" w:hAnsi="Arial"/>
          <w:i/>
          <w:color w:val="auto"/>
          <w:sz w:val="20"/>
        </w:rPr>
        <w:t>including reinvested earnings and debt instruments</w:t>
      </w:r>
      <w:r w:rsidR="00471EAE" w:rsidRPr="00471EAE">
        <w:rPr>
          <w:rFonts w:ascii="Arial" w:hAnsi="Arial"/>
          <w:i/>
          <w:color w:val="auto"/>
          <w:sz w:val="20"/>
        </w:rPr>
        <w:t xml:space="preserve">), portfolio investment (equity and debt), financial derivatives and other investment, </w:t>
      </w:r>
      <w:r w:rsidR="0060376B" w:rsidRPr="00430524">
        <w:rPr>
          <w:rFonts w:ascii="Arial" w:hAnsi="Arial"/>
          <w:i/>
          <w:color w:val="auto"/>
          <w:sz w:val="20"/>
        </w:rPr>
        <w:t xml:space="preserve">which are </w:t>
      </w:r>
      <w:r w:rsidR="00471EAE" w:rsidRPr="00471EAE">
        <w:rPr>
          <w:rFonts w:ascii="Arial" w:hAnsi="Arial"/>
          <w:i/>
          <w:color w:val="auto"/>
          <w:sz w:val="20"/>
        </w:rPr>
        <w:t xml:space="preserve">broken down </w:t>
      </w:r>
      <w:r w:rsidR="0060376B" w:rsidRPr="00430524">
        <w:rPr>
          <w:rFonts w:ascii="Arial" w:hAnsi="Arial"/>
          <w:i/>
          <w:color w:val="auto"/>
          <w:sz w:val="20"/>
        </w:rPr>
        <w:t>by financial instrument (equity and debt securities, currency</w:t>
      </w:r>
      <w:r w:rsidR="00F16983" w:rsidRPr="00430524">
        <w:rPr>
          <w:rFonts w:ascii="Arial" w:hAnsi="Arial"/>
          <w:i/>
          <w:color w:val="auto"/>
          <w:sz w:val="20"/>
        </w:rPr>
        <w:t xml:space="preserve"> </w:t>
      </w:r>
      <w:r w:rsidR="0060376B" w:rsidRPr="00430524">
        <w:rPr>
          <w:rFonts w:ascii="Arial" w:hAnsi="Arial"/>
          <w:i/>
          <w:color w:val="auto"/>
          <w:sz w:val="20"/>
        </w:rPr>
        <w:t xml:space="preserve">in circulation and deposits, loans, insurance, pension and standardised guarantee schemes, trade credit and advances, other accounts receivable or payable and </w:t>
      </w:r>
      <w:r w:rsidR="00316C7B">
        <w:rPr>
          <w:rFonts w:ascii="Arial" w:hAnsi="Arial"/>
          <w:i/>
          <w:color w:val="auto"/>
          <w:sz w:val="20"/>
        </w:rPr>
        <w:t>S</w:t>
      </w:r>
      <w:r w:rsidR="00316C7B" w:rsidRPr="00430524">
        <w:rPr>
          <w:rFonts w:ascii="Arial" w:hAnsi="Arial"/>
          <w:i/>
          <w:color w:val="auto"/>
          <w:sz w:val="20"/>
        </w:rPr>
        <w:t xml:space="preserve">pecial </w:t>
      </w:r>
      <w:r w:rsidR="00316C7B">
        <w:rPr>
          <w:rFonts w:ascii="Arial" w:hAnsi="Arial"/>
          <w:i/>
          <w:color w:val="auto"/>
          <w:sz w:val="20"/>
        </w:rPr>
        <w:t>D</w:t>
      </w:r>
      <w:r w:rsidR="00316C7B" w:rsidRPr="00430524">
        <w:rPr>
          <w:rFonts w:ascii="Arial" w:hAnsi="Arial"/>
          <w:i/>
          <w:color w:val="auto"/>
          <w:sz w:val="20"/>
        </w:rPr>
        <w:t xml:space="preserve">rawing </w:t>
      </w:r>
      <w:r w:rsidR="00316C7B">
        <w:rPr>
          <w:rFonts w:ascii="Arial" w:hAnsi="Arial"/>
          <w:i/>
          <w:color w:val="auto"/>
          <w:sz w:val="20"/>
        </w:rPr>
        <w:t>R</w:t>
      </w:r>
      <w:r w:rsidR="00316C7B" w:rsidRPr="00430524">
        <w:rPr>
          <w:rFonts w:ascii="Arial" w:hAnsi="Arial"/>
          <w:i/>
          <w:color w:val="auto"/>
          <w:sz w:val="20"/>
        </w:rPr>
        <w:t>ights</w:t>
      </w:r>
      <w:r w:rsidR="0060376B" w:rsidRPr="00430524">
        <w:rPr>
          <w:rFonts w:ascii="Arial" w:hAnsi="Arial"/>
          <w:i/>
          <w:color w:val="auto"/>
          <w:sz w:val="20"/>
        </w:rPr>
        <w:t>), by maturity (</w:t>
      </w:r>
      <w:r w:rsidR="00471EAE" w:rsidRPr="00471EAE">
        <w:rPr>
          <w:rFonts w:ascii="Arial" w:hAnsi="Arial"/>
          <w:i/>
          <w:color w:val="auto"/>
          <w:sz w:val="20"/>
        </w:rPr>
        <w:t>long-term</w:t>
      </w:r>
      <w:r w:rsidR="0060376B" w:rsidRPr="00430524">
        <w:rPr>
          <w:rFonts w:ascii="Arial" w:hAnsi="Arial"/>
          <w:i/>
          <w:color w:val="auto"/>
          <w:sz w:val="20"/>
        </w:rPr>
        <w:t>,</w:t>
      </w:r>
      <w:r w:rsidR="00471EAE" w:rsidRPr="00471EAE">
        <w:rPr>
          <w:rFonts w:ascii="Arial" w:hAnsi="Arial"/>
          <w:i/>
          <w:color w:val="auto"/>
          <w:sz w:val="20"/>
        </w:rPr>
        <w:t xml:space="preserve"> short-term</w:t>
      </w:r>
      <w:r w:rsidR="0060376B" w:rsidRPr="00430524">
        <w:rPr>
          <w:rFonts w:ascii="Arial" w:hAnsi="Arial"/>
          <w:i/>
          <w:color w:val="auto"/>
          <w:sz w:val="20"/>
        </w:rPr>
        <w:t>)</w:t>
      </w:r>
      <w:r w:rsidR="00471EAE" w:rsidRPr="00471EAE">
        <w:rPr>
          <w:rFonts w:ascii="Arial" w:hAnsi="Arial"/>
          <w:i/>
          <w:color w:val="auto"/>
          <w:sz w:val="20"/>
        </w:rPr>
        <w:t xml:space="preserve"> and by basic institutional sector group. The</w:t>
      </w:r>
      <w:r w:rsidR="0060376B" w:rsidRPr="00430524">
        <w:rPr>
          <w:rFonts w:ascii="Arial" w:hAnsi="Arial"/>
          <w:i/>
          <w:color w:val="auto"/>
          <w:sz w:val="20"/>
        </w:rPr>
        <w:t xml:space="preserve"> </w:t>
      </w:r>
      <w:r w:rsidR="00471EAE" w:rsidRPr="00471EAE">
        <w:rPr>
          <w:rFonts w:ascii="Arial" w:hAnsi="Arial"/>
          <w:i/>
          <w:color w:val="auto"/>
          <w:sz w:val="20"/>
        </w:rPr>
        <w:t>asset side</w:t>
      </w:r>
      <w:r w:rsidR="00AA4336" w:rsidRPr="00430524">
        <w:rPr>
          <w:rFonts w:ascii="Arial" w:hAnsi="Arial"/>
          <w:i/>
          <w:color w:val="auto"/>
          <w:sz w:val="20"/>
        </w:rPr>
        <w:t xml:space="preserve"> also</w:t>
      </w:r>
      <w:r w:rsidR="0060376B" w:rsidRPr="00430524">
        <w:rPr>
          <w:rFonts w:ascii="Arial" w:hAnsi="Arial"/>
          <w:i/>
          <w:color w:val="auto"/>
          <w:sz w:val="20"/>
        </w:rPr>
        <w:t xml:space="preserve"> includes the CNB's reserve assets</w:t>
      </w:r>
      <w:r w:rsidR="00471EAE" w:rsidRPr="00471EAE">
        <w:rPr>
          <w:rFonts w:ascii="Arial" w:hAnsi="Arial"/>
          <w:i/>
          <w:color w:val="auto"/>
          <w:sz w:val="20"/>
        </w:rPr>
        <w:t xml:space="preserve">. Reserve gold (as well as gold in possession of commercial banks) </w:t>
      </w:r>
      <w:r w:rsidR="0060376B" w:rsidRPr="00430524">
        <w:rPr>
          <w:rFonts w:ascii="Arial" w:hAnsi="Arial"/>
          <w:i/>
          <w:color w:val="auto"/>
          <w:sz w:val="20"/>
        </w:rPr>
        <w:t>has been</w:t>
      </w:r>
      <w:r w:rsidR="00471EAE" w:rsidRPr="00471EAE">
        <w:rPr>
          <w:rFonts w:ascii="Arial" w:hAnsi="Arial"/>
          <w:i/>
          <w:color w:val="auto"/>
          <w:sz w:val="20"/>
        </w:rPr>
        <w:t xml:space="preserve"> valued at market price </w:t>
      </w:r>
      <w:r w:rsidR="0060376B" w:rsidRPr="00430524">
        <w:rPr>
          <w:rFonts w:ascii="Arial" w:hAnsi="Arial"/>
          <w:i/>
          <w:color w:val="auto"/>
          <w:sz w:val="20"/>
        </w:rPr>
        <w:t xml:space="preserve">since 2000. </w:t>
      </w:r>
      <w:r w:rsidR="00AA4336" w:rsidRPr="00430524">
        <w:rPr>
          <w:rFonts w:ascii="Arial" w:hAnsi="Arial"/>
          <w:i/>
          <w:color w:val="auto"/>
          <w:sz w:val="20"/>
        </w:rPr>
        <w:t>L</w:t>
      </w:r>
      <w:r w:rsidR="0060376B" w:rsidRPr="00430524">
        <w:rPr>
          <w:rFonts w:ascii="Arial" w:hAnsi="Arial"/>
          <w:i/>
          <w:color w:val="auto"/>
          <w:sz w:val="20"/>
        </w:rPr>
        <w:t>iabilities</w:t>
      </w:r>
      <w:r w:rsidR="00752343" w:rsidRPr="00430524">
        <w:rPr>
          <w:rFonts w:ascii="Arial" w:hAnsi="Arial"/>
          <w:i/>
          <w:color w:val="auto"/>
          <w:sz w:val="20"/>
        </w:rPr>
        <w:t xml:space="preserve"> arising</w:t>
      </w:r>
      <w:r w:rsidR="0060376B" w:rsidRPr="00430524">
        <w:rPr>
          <w:rFonts w:ascii="Arial" w:hAnsi="Arial"/>
          <w:i/>
          <w:color w:val="auto"/>
          <w:sz w:val="20"/>
        </w:rPr>
        <w:t xml:space="preserve"> </w:t>
      </w:r>
      <w:r w:rsidR="00471EAE" w:rsidRPr="00471EAE">
        <w:rPr>
          <w:rFonts w:ascii="Arial" w:hAnsi="Arial"/>
          <w:i/>
          <w:color w:val="auto"/>
          <w:sz w:val="20"/>
        </w:rPr>
        <w:t>from</w:t>
      </w:r>
      <w:r w:rsidR="00752343" w:rsidRPr="00430524">
        <w:rPr>
          <w:rFonts w:ascii="Arial" w:hAnsi="Arial"/>
          <w:i/>
          <w:color w:val="auto"/>
          <w:sz w:val="20"/>
        </w:rPr>
        <w:t xml:space="preserve"> the</w:t>
      </w:r>
      <w:r w:rsidR="0060376B" w:rsidRPr="00430524">
        <w:rPr>
          <w:rFonts w:ascii="Arial" w:hAnsi="Arial"/>
          <w:i/>
          <w:color w:val="auto"/>
          <w:sz w:val="20"/>
        </w:rPr>
        <w:t xml:space="preserve"> allocation of </w:t>
      </w:r>
      <w:r w:rsidR="00316C7B">
        <w:rPr>
          <w:rFonts w:ascii="Arial" w:hAnsi="Arial"/>
          <w:i/>
          <w:color w:val="auto"/>
          <w:sz w:val="20"/>
        </w:rPr>
        <w:t>S</w:t>
      </w:r>
      <w:r w:rsidR="00316C7B" w:rsidRPr="00430524">
        <w:rPr>
          <w:rFonts w:ascii="Arial" w:hAnsi="Arial"/>
          <w:i/>
          <w:color w:val="auto"/>
          <w:sz w:val="20"/>
        </w:rPr>
        <w:t xml:space="preserve">pecial </w:t>
      </w:r>
      <w:r w:rsidR="00316C7B">
        <w:rPr>
          <w:rFonts w:ascii="Arial" w:hAnsi="Arial"/>
          <w:i/>
          <w:color w:val="auto"/>
          <w:sz w:val="20"/>
        </w:rPr>
        <w:t>D</w:t>
      </w:r>
      <w:r w:rsidR="00316C7B" w:rsidRPr="00430524">
        <w:rPr>
          <w:rFonts w:ascii="Arial" w:hAnsi="Arial"/>
          <w:i/>
          <w:color w:val="auto"/>
          <w:sz w:val="20"/>
        </w:rPr>
        <w:t xml:space="preserve">rawing </w:t>
      </w:r>
      <w:r w:rsidR="00316C7B">
        <w:rPr>
          <w:rFonts w:ascii="Arial" w:hAnsi="Arial"/>
          <w:i/>
          <w:color w:val="auto"/>
          <w:sz w:val="20"/>
        </w:rPr>
        <w:t>R</w:t>
      </w:r>
      <w:r w:rsidR="00316C7B" w:rsidRPr="00430524">
        <w:rPr>
          <w:rFonts w:ascii="Arial" w:hAnsi="Arial"/>
          <w:i/>
          <w:color w:val="auto"/>
          <w:sz w:val="20"/>
        </w:rPr>
        <w:t xml:space="preserve">ights </w:t>
      </w:r>
      <w:r w:rsidR="0060376B" w:rsidRPr="00430524">
        <w:rPr>
          <w:rFonts w:ascii="Arial" w:hAnsi="Arial"/>
          <w:i/>
          <w:color w:val="auto"/>
          <w:sz w:val="20"/>
        </w:rPr>
        <w:t>are provided separately on the liabilities side</w:t>
      </w:r>
      <w:r w:rsidR="00471EAE" w:rsidRPr="00471EAE">
        <w:rPr>
          <w:rFonts w:ascii="Arial" w:hAnsi="Arial"/>
          <w:i/>
          <w:color w:val="auto"/>
          <w:sz w:val="20"/>
        </w:rPr>
        <w:t>.</w:t>
      </w:r>
    </w:p>
    <w:p w:rsidR="000B7E43"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 xml:space="preserve">The </w:t>
      </w:r>
      <w:r w:rsidR="00D5713D" w:rsidRPr="00430524">
        <w:rPr>
          <w:rFonts w:ascii="Arial" w:hAnsi="Arial" w:cs="Arial"/>
          <w:i/>
          <w:iCs/>
          <w:color w:val="000000"/>
          <w:spacing w:val="-3"/>
        </w:rPr>
        <w:t>net investment position (t</w:t>
      </w:r>
      <w:r w:rsidRPr="00430524">
        <w:rPr>
          <w:rFonts w:ascii="Arial" w:hAnsi="Arial" w:cs="Arial"/>
          <w:i/>
          <w:iCs/>
          <w:color w:val="000000"/>
          <w:spacing w:val="-3"/>
        </w:rPr>
        <w:t xml:space="preserve">he </w:t>
      </w:r>
      <w:r w:rsidRPr="00430524">
        <w:rPr>
          <w:rFonts w:ascii="Arial" w:hAnsi="Arial" w:cs="Arial"/>
          <w:i/>
          <w:color w:val="000000"/>
          <w:spacing w:val="-3"/>
        </w:rPr>
        <w:t>difference between total assets and liabilities) represents</w:t>
      </w:r>
      <w:r w:rsidR="0005001C" w:rsidRPr="00430524">
        <w:rPr>
          <w:rFonts w:ascii="Arial" w:hAnsi="Arial" w:cs="Arial"/>
          <w:i/>
          <w:color w:val="000000"/>
          <w:spacing w:val="-3"/>
        </w:rPr>
        <w:t xml:space="preserve"> the </w:t>
      </w:r>
      <w:r w:rsidRPr="00430524">
        <w:rPr>
          <w:rFonts w:ascii="Arial" w:hAnsi="Arial" w:cs="Arial"/>
          <w:i/>
          <w:color w:val="000000"/>
          <w:spacing w:val="-3"/>
        </w:rPr>
        <w:t xml:space="preserve">net relationship </w:t>
      </w:r>
      <w:r w:rsidRPr="00430524">
        <w:rPr>
          <w:rFonts w:ascii="Arial" w:hAnsi="Arial" w:cs="Arial"/>
          <w:i/>
          <w:spacing w:val="-3"/>
        </w:rPr>
        <w:t>vis-à-vis</w:t>
      </w:r>
      <w:r w:rsidRPr="00430524">
        <w:rPr>
          <w:rFonts w:ascii="Arial" w:hAnsi="Arial" w:cs="Arial"/>
          <w:i/>
          <w:color w:val="000000"/>
          <w:spacing w:val="-3"/>
        </w:rPr>
        <w:t xml:space="preserve"> foreign countries (creditor or debtor position). </w:t>
      </w: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lastRenderedPageBreak/>
        <w:t>In addition to transactions undertaken in previous periods and recorded in</w:t>
      </w:r>
      <w:r w:rsidR="0005001C" w:rsidRPr="00430524">
        <w:rPr>
          <w:rFonts w:ascii="Arial" w:hAnsi="Arial" w:cs="Arial"/>
          <w:i/>
          <w:color w:val="000000"/>
          <w:spacing w:val="-3"/>
        </w:rPr>
        <w:t xml:space="preserve"> the </w:t>
      </w:r>
      <w:r w:rsidRPr="00430524">
        <w:rPr>
          <w:rFonts w:ascii="Arial" w:hAnsi="Arial" w:cs="Arial"/>
          <w:i/>
          <w:color w:val="000000"/>
          <w:spacing w:val="-3"/>
        </w:rPr>
        <w:t>balance of payments,</w:t>
      </w:r>
      <w:r w:rsidR="0005001C" w:rsidRPr="00430524">
        <w:rPr>
          <w:rFonts w:ascii="Arial" w:hAnsi="Arial" w:cs="Arial"/>
          <w:i/>
          <w:color w:val="000000"/>
          <w:spacing w:val="-3"/>
        </w:rPr>
        <w:t xml:space="preserve"> the </w:t>
      </w:r>
      <w:r w:rsidRPr="00430524">
        <w:rPr>
          <w:rFonts w:ascii="Arial" w:hAnsi="Arial" w:cs="Arial"/>
          <w:i/>
          <w:color w:val="000000"/>
          <w:spacing w:val="-3"/>
        </w:rPr>
        <w:t>stock of assets and liabilities recorded as of</w:t>
      </w:r>
      <w:r w:rsidR="0005001C" w:rsidRPr="00430524">
        <w:rPr>
          <w:rFonts w:ascii="Arial" w:hAnsi="Arial" w:cs="Arial"/>
          <w:i/>
          <w:color w:val="000000"/>
          <w:spacing w:val="-3"/>
        </w:rPr>
        <w:t xml:space="preserve"> a </w:t>
      </w:r>
      <w:r w:rsidRPr="00430524">
        <w:rPr>
          <w:rFonts w:ascii="Arial" w:hAnsi="Arial" w:cs="Arial"/>
          <w:i/>
          <w:color w:val="000000"/>
          <w:spacing w:val="-3"/>
        </w:rPr>
        <w:t>certain date in</w:t>
      </w:r>
      <w:r w:rsidR="00721AFD" w:rsidRPr="00430524">
        <w:rPr>
          <w:rFonts w:ascii="Arial" w:hAnsi="Arial" w:cs="Arial"/>
          <w:i/>
          <w:color w:val="000000"/>
          <w:spacing w:val="-3"/>
        </w:rPr>
        <w:t xml:space="preserve"> the investment position reflects exchange rate, price</w:t>
      </w:r>
      <w:r w:rsidR="00F16983" w:rsidRPr="00430524">
        <w:rPr>
          <w:rFonts w:ascii="Arial" w:hAnsi="Arial" w:cs="Arial"/>
          <w:i/>
          <w:color w:val="000000"/>
          <w:spacing w:val="-3"/>
        </w:rPr>
        <w:t xml:space="preserve"> </w:t>
      </w:r>
      <w:r w:rsidRPr="00430524">
        <w:rPr>
          <w:rFonts w:ascii="Arial" w:hAnsi="Arial" w:cs="Arial"/>
          <w:i/>
          <w:color w:val="000000"/>
          <w:spacing w:val="-3"/>
        </w:rPr>
        <w:t xml:space="preserve">and other </w:t>
      </w:r>
      <w:r w:rsidR="00364FE2" w:rsidRPr="00430524">
        <w:rPr>
          <w:rFonts w:ascii="Arial" w:hAnsi="Arial" w:cs="Arial"/>
          <w:i/>
          <w:color w:val="000000"/>
          <w:spacing w:val="-3"/>
        </w:rPr>
        <w:t>effects</w:t>
      </w:r>
      <w:r w:rsidRPr="00430524">
        <w:rPr>
          <w:rFonts w:ascii="Arial" w:hAnsi="Arial" w:cs="Arial"/>
          <w:i/>
          <w:color w:val="000000"/>
          <w:spacing w:val="-3"/>
        </w:rPr>
        <w:t>.</w:t>
      </w: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120"/>
        <w:ind w:firstLine="709"/>
        <w:jc w:val="both"/>
        <w:rPr>
          <w:rFonts w:ascii="Arial" w:hAnsi="Arial" w:cs="Arial"/>
          <w:i/>
          <w:iCs/>
          <w:color w:val="000000"/>
          <w:spacing w:val="-3"/>
        </w:rPr>
      </w:pPr>
      <w:r w:rsidRPr="00430524">
        <w:rPr>
          <w:rFonts w:ascii="Arial" w:hAnsi="Arial" w:cs="Arial"/>
          <w:i/>
          <w:color w:val="000000"/>
          <w:spacing w:val="-3"/>
        </w:rPr>
        <w:t>The sources used for compiling</w:t>
      </w:r>
      <w:r w:rsidR="0005001C" w:rsidRPr="00430524">
        <w:rPr>
          <w:rFonts w:ascii="Arial" w:hAnsi="Arial" w:cs="Arial"/>
          <w:i/>
          <w:color w:val="000000"/>
          <w:spacing w:val="-3"/>
        </w:rPr>
        <w:t xml:space="preserve"> the </w:t>
      </w:r>
      <w:r w:rsidRPr="00430524">
        <w:rPr>
          <w:rFonts w:ascii="Arial" w:hAnsi="Arial" w:cs="Arial"/>
          <w:i/>
          <w:color w:val="000000"/>
          <w:spacing w:val="-3"/>
        </w:rPr>
        <w:t xml:space="preserve">investment position </w:t>
      </w:r>
      <w:r w:rsidR="00E846EC" w:rsidRPr="00430524">
        <w:rPr>
          <w:rFonts w:ascii="Arial" w:hAnsi="Arial" w:cs="Arial"/>
          <w:i/>
          <w:iCs/>
          <w:color w:val="000000"/>
          <w:spacing w:val="-3"/>
        </w:rPr>
        <w:t>are as follows:</w:t>
      </w:r>
    </w:p>
    <w:p w:rsidR="00935395" w:rsidRDefault="00E846EC" w:rsidP="001D5071">
      <w:pPr>
        <w:pStyle w:val="Standardnte"/>
        <w:widowControl/>
        <w:spacing w:before="120"/>
        <w:ind w:firstLine="709"/>
        <w:jc w:val="both"/>
        <w:rPr>
          <w:rFonts w:ascii="Arial" w:hAnsi="Arial" w:cs="Arial"/>
          <w:i/>
          <w:sz w:val="20"/>
          <w:lang w:val="en-GB"/>
        </w:rPr>
      </w:pPr>
      <w:r w:rsidRPr="00430524">
        <w:rPr>
          <w:rFonts w:ascii="Arial" w:hAnsi="Arial"/>
          <w:i/>
          <w:sz w:val="20"/>
          <w:lang w:val="en-GB"/>
        </w:rPr>
        <w:t xml:space="preserve">Direct investment – quarterly survey of non-financial corporations focusing on assets and liabilities and annual </w:t>
      </w:r>
      <w:r w:rsidR="00F36902" w:rsidRPr="00BA0FE0">
        <w:rPr>
          <w:rFonts w:ascii="Arial" w:hAnsi="Arial" w:cs="Arial"/>
          <w:i/>
          <w:sz w:val="20"/>
          <w:lang w:val="en-GB"/>
        </w:rPr>
        <w:t>statements</w:t>
      </w:r>
      <w:r w:rsidRPr="00430524">
        <w:rPr>
          <w:rFonts w:ascii="Arial" w:hAnsi="Arial"/>
          <w:i/>
          <w:sz w:val="20"/>
          <w:lang w:val="en-GB"/>
        </w:rPr>
        <w:t xml:space="preserve"> of non-financial corporations focusing on direct investment stocks in the Czech Republic</w:t>
      </w:r>
      <w:r w:rsidR="00AD5827" w:rsidRPr="00430524">
        <w:rPr>
          <w:rFonts w:ascii="Arial" w:hAnsi="Arial"/>
          <w:i/>
          <w:sz w:val="20"/>
          <w:lang w:val="en-GB"/>
        </w:rPr>
        <w:t xml:space="preserve"> and </w:t>
      </w:r>
      <w:r w:rsidR="00721AFD" w:rsidRPr="00430524">
        <w:rPr>
          <w:rFonts w:ascii="Arial" w:hAnsi="Arial"/>
          <w:i/>
          <w:sz w:val="20"/>
          <w:lang w:val="en-GB"/>
        </w:rPr>
        <w:t>abroad.</w:t>
      </w:r>
    </w:p>
    <w:p w:rsidR="00E846EC" w:rsidRPr="00430524" w:rsidRDefault="00721AFD" w:rsidP="001D5071">
      <w:pPr>
        <w:pStyle w:val="Standardn1"/>
        <w:widowControl/>
        <w:spacing w:before="120"/>
        <w:ind w:firstLine="709"/>
        <w:jc w:val="both"/>
        <w:rPr>
          <w:rFonts w:ascii="Arial" w:hAnsi="Arial" w:cs="Arial"/>
          <w:i/>
          <w:sz w:val="20"/>
        </w:rPr>
      </w:pPr>
      <w:r w:rsidRPr="00430524">
        <w:rPr>
          <w:rFonts w:ascii="Arial" w:hAnsi="Arial"/>
          <w:i/>
          <w:sz w:val="20"/>
        </w:rPr>
        <w:t xml:space="preserve">Portfolio investment – monthly statement of monetary and </w:t>
      </w:r>
      <w:r w:rsidR="00F36902" w:rsidRPr="00BA0FE0">
        <w:rPr>
          <w:rFonts w:ascii="Arial" w:hAnsi="Arial" w:cs="Arial"/>
          <w:i/>
          <w:sz w:val="20"/>
        </w:rPr>
        <w:t xml:space="preserve">other </w:t>
      </w:r>
      <w:r w:rsidRPr="00430524">
        <w:rPr>
          <w:rFonts w:ascii="Arial" w:hAnsi="Arial"/>
          <w:i/>
          <w:sz w:val="20"/>
        </w:rPr>
        <w:t>financial institutions, quarterly survey of non-financial corporations focusing on assets</w:t>
      </w:r>
      <w:r w:rsidR="00E846EC" w:rsidRPr="00BA0FE0">
        <w:rPr>
          <w:rFonts w:ascii="Arial" w:hAnsi="Arial" w:cs="Arial"/>
          <w:i/>
          <w:sz w:val="20"/>
        </w:rPr>
        <w:t xml:space="preserve">, </w:t>
      </w:r>
      <w:r w:rsidR="00BA0FE0">
        <w:rPr>
          <w:rFonts w:ascii="Arial" w:hAnsi="Arial" w:cs="Arial"/>
          <w:i/>
          <w:sz w:val="20"/>
        </w:rPr>
        <w:t>monthly</w:t>
      </w:r>
      <w:r w:rsidRPr="00430524">
        <w:rPr>
          <w:rFonts w:ascii="Arial" w:hAnsi="Arial"/>
          <w:i/>
          <w:sz w:val="20"/>
        </w:rPr>
        <w:t xml:space="preserve"> statement of investment firms (client-account and own-account transactions), </w:t>
      </w:r>
      <w:r w:rsidR="00F36902" w:rsidRPr="00BA0FE0">
        <w:rPr>
          <w:rFonts w:ascii="Arial" w:hAnsi="Arial" w:cs="Arial"/>
          <w:i/>
          <w:sz w:val="20"/>
        </w:rPr>
        <w:t xml:space="preserve">residents’ notifications of </w:t>
      </w:r>
      <w:r w:rsidRPr="00430524">
        <w:rPr>
          <w:rFonts w:ascii="Arial" w:hAnsi="Arial"/>
          <w:i/>
          <w:sz w:val="20"/>
        </w:rPr>
        <w:t xml:space="preserve">securities </w:t>
      </w:r>
      <w:r w:rsidR="00F36902" w:rsidRPr="00BA0FE0">
        <w:rPr>
          <w:rFonts w:ascii="Arial" w:hAnsi="Arial" w:cs="Arial"/>
          <w:i/>
          <w:sz w:val="20"/>
        </w:rPr>
        <w:t xml:space="preserve">issues on </w:t>
      </w:r>
      <w:r w:rsidRPr="00430524">
        <w:rPr>
          <w:rFonts w:ascii="Arial" w:hAnsi="Arial"/>
          <w:i/>
          <w:sz w:val="20"/>
        </w:rPr>
        <w:t xml:space="preserve">foreign </w:t>
      </w:r>
      <w:r w:rsidR="00F36902" w:rsidRPr="00BA0FE0">
        <w:rPr>
          <w:rFonts w:ascii="Arial" w:hAnsi="Arial" w:cs="Arial"/>
          <w:i/>
          <w:sz w:val="20"/>
        </w:rPr>
        <w:t>market</w:t>
      </w:r>
      <w:r w:rsidR="009C2504">
        <w:rPr>
          <w:rFonts w:ascii="Arial" w:hAnsi="Arial" w:cs="Arial"/>
          <w:i/>
          <w:sz w:val="20"/>
        </w:rPr>
        <w:t>s</w:t>
      </w:r>
      <w:r w:rsidR="00F36902" w:rsidRPr="00BA0FE0">
        <w:rPr>
          <w:rFonts w:ascii="Arial" w:hAnsi="Arial" w:cs="Arial"/>
          <w:i/>
          <w:sz w:val="20"/>
        </w:rPr>
        <w:t xml:space="preserve"> and </w:t>
      </w:r>
      <w:r w:rsidR="00AD5827" w:rsidRPr="000B32C4">
        <w:rPr>
          <w:rFonts w:ascii="Arial" w:hAnsi="Arial" w:cs="Arial"/>
          <w:i/>
          <w:sz w:val="20"/>
        </w:rPr>
        <w:t xml:space="preserve">information </w:t>
      </w:r>
      <w:r w:rsidR="00F36902" w:rsidRPr="00BA0FE0">
        <w:rPr>
          <w:rFonts w:ascii="Arial" w:hAnsi="Arial" w:cs="Arial"/>
          <w:i/>
          <w:sz w:val="20"/>
        </w:rPr>
        <w:t>from</w:t>
      </w:r>
      <w:r w:rsidRPr="00430524">
        <w:rPr>
          <w:rFonts w:ascii="Arial" w:hAnsi="Arial"/>
          <w:i/>
          <w:sz w:val="20"/>
        </w:rPr>
        <w:t xml:space="preserve"> the SKD (the Short-Term Bond System administered by the CNB</w:t>
      </w:r>
      <w:r w:rsidR="00E846EC" w:rsidRPr="00BA0FE0">
        <w:rPr>
          <w:rFonts w:ascii="Arial" w:hAnsi="Arial" w:cs="Arial"/>
          <w:i/>
          <w:sz w:val="20"/>
        </w:rPr>
        <w:t>)</w:t>
      </w:r>
      <w:r w:rsidR="00F36902" w:rsidRPr="00BA0FE0">
        <w:rPr>
          <w:rFonts w:ascii="Arial" w:hAnsi="Arial" w:cs="Arial"/>
          <w:i/>
          <w:sz w:val="20"/>
        </w:rPr>
        <w:t>. The received data are compared with information from</w:t>
      </w:r>
      <w:r w:rsidRPr="00430524">
        <w:rPr>
          <w:rFonts w:ascii="Arial" w:hAnsi="Arial"/>
          <w:i/>
          <w:sz w:val="20"/>
        </w:rPr>
        <w:t xml:space="preserve"> the Central Securities Depository.</w:t>
      </w:r>
    </w:p>
    <w:p w:rsidR="00E846EC" w:rsidRPr="00430524" w:rsidRDefault="00721AFD" w:rsidP="001D5071">
      <w:pPr>
        <w:pStyle w:val="Standardn1"/>
        <w:widowControl/>
        <w:spacing w:before="120"/>
        <w:ind w:firstLine="709"/>
        <w:jc w:val="both"/>
        <w:rPr>
          <w:rFonts w:ascii="Arial" w:hAnsi="Arial" w:cs="Arial"/>
          <w:i/>
          <w:sz w:val="20"/>
        </w:rPr>
      </w:pPr>
      <w:r w:rsidRPr="00430524">
        <w:rPr>
          <w:rFonts w:ascii="Arial" w:hAnsi="Arial"/>
          <w:i/>
          <w:sz w:val="20"/>
        </w:rPr>
        <w:t xml:space="preserve">Financial derivatives – monthly statement of external assets and liabilities of the banking sector (the CNB and other monetary and financial institutions), quarterly </w:t>
      </w:r>
      <w:r w:rsidR="00F36902" w:rsidRPr="00BA0FE0">
        <w:rPr>
          <w:rFonts w:ascii="Arial" w:hAnsi="Arial" w:cs="Arial"/>
          <w:i/>
          <w:sz w:val="20"/>
        </w:rPr>
        <w:t>statements</w:t>
      </w:r>
      <w:r w:rsidRPr="00430524">
        <w:rPr>
          <w:rFonts w:ascii="Arial" w:hAnsi="Arial"/>
          <w:i/>
          <w:sz w:val="20"/>
        </w:rPr>
        <w:t xml:space="preserve"> of </w:t>
      </w:r>
      <w:r w:rsidR="00F36902" w:rsidRPr="00BA0FE0">
        <w:rPr>
          <w:rFonts w:ascii="Arial" w:hAnsi="Arial" w:cs="Arial"/>
          <w:i/>
          <w:sz w:val="20"/>
        </w:rPr>
        <w:t>foreign ass</w:t>
      </w:r>
      <w:r w:rsidR="00BA0FE0" w:rsidRPr="00BA0FE0">
        <w:rPr>
          <w:rFonts w:ascii="Arial" w:hAnsi="Arial" w:cs="Arial"/>
          <w:i/>
          <w:sz w:val="20"/>
        </w:rPr>
        <w:t>e</w:t>
      </w:r>
      <w:r w:rsidR="00F36902" w:rsidRPr="00BA0FE0">
        <w:rPr>
          <w:rFonts w:ascii="Arial" w:hAnsi="Arial" w:cs="Arial"/>
          <w:i/>
          <w:sz w:val="20"/>
        </w:rPr>
        <w:t xml:space="preserve">ts and liabilities </w:t>
      </w:r>
      <w:r w:rsidR="00BA0FE0">
        <w:rPr>
          <w:rFonts w:ascii="Arial" w:hAnsi="Arial" w:cs="Arial"/>
          <w:i/>
          <w:sz w:val="20"/>
        </w:rPr>
        <w:t>of</w:t>
      </w:r>
      <w:r w:rsidR="00F36902" w:rsidRPr="00BA0FE0">
        <w:rPr>
          <w:rFonts w:ascii="Arial" w:hAnsi="Arial" w:cs="Arial"/>
          <w:i/>
          <w:sz w:val="20"/>
        </w:rPr>
        <w:t xml:space="preserve"> the </w:t>
      </w:r>
      <w:r w:rsidRPr="00430524">
        <w:rPr>
          <w:rFonts w:ascii="Arial" w:hAnsi="Arial"/>
          <w:i/>
          <w:sz w:val="20"/>
        </w:rPr>
        <w:t>non-financial corporations</w:t>
      </w:r>
      <w:r w:rsidR="00F36902" w:rsidRPr="00BA0FE0">
        <w:rPr>
          <w:rFonts w:ascii="Arial" w:hAnsi="Arial" w:cs="Arial"/>
          <w:i/>
          <w:sz w:val="20"/>
        </w:rPr>
        <w:t xml:space="preserve">, insurance companies and central government sectors and </w:t>
      </w:r>
      <w:r w:rsidR="00BA0FE0">
        <w:rPr>
          <w:rFonts w:ascii="Arial" w:hAnsi="Arial" w:cs="Arial"/>
          <w:i/>
          <w:sz w:val="20"/>
        </w:rPr>
        <w:t>monthly</w:t>
      </w:r>
      <w:r w:rsidR="00F36902" w:rsidRPr="00BA0FE0">
        <w:rPr>
          <w:rFonts w:ascii="Arial" w:hAnsi="Arial" w:cs="Arial"/>
          <w:i/>
          <w:sz w:val="20"/>
        </w:rPr>
        <w:t xml:space="preserve"> statement of</w:t>
      </w:r>
      <w:r w:rsidRPr="00430524">
        <w:rPr>
          <w:rFonts w:ascii="Arial" w:hAnsi="Arial"/>
          <w:i/>
          <w:sz w:val="20"/>
        </w:rPr>
        <w:t xml:space="preserve"> assets and liabilities</w:t>
      </w:r>
      <w:r w:rsidR="00F36902" w:rsidRPr="00BA0FE0">
        <w:rPr>
          <w:rFonts w:ascii="Arial" w:hAnsi="Arial" w:cs="Arial"/>
          <w:i/>
          <w:sz w:val="20"/>
        </w:rPr>
        <w:t xml:space="preserve"> of the pension funds sector</w:t>
      </w:r>
      <w:r w:rsidRPr="00430524">
        <w:rPr>
          <w:rFonts w:ascii="Arial" w:hAnsi="Arial"/>
          <w:i/>
          <w:sz w:val="20"/>
        </w:rPr>
        <w:t>.</w:t>
      </w:r>
    </w:p>
    <w:p w:rsidR="00E846EC" w:rsidRPr="00430524" w:rsidRDefault="00721AFD" w:rsidP="001D5071">
      <w:pPr>
        <w:pStyle w:val="Standardn1"/>
        <w:widowControl/>
        <w:spacing w:before="120"/>
        <w:ind w:firstLine="709"/>
        <w:jc w:val="both"/>
        <w:rPr>
          <w:rFonts w:ascii="Arial" w:hAnsi="Arial" w:cs="Arial"/>
          <w:i/>
          <w:sz w:val="20"/>
        </w:rPr>
      </w:pPr>
      <w:r w:rsidRPr="00430524">
        <w:rPr>
          <w:rFonts w:ascii="Arial" w:hAnsi="Arial"/>
          <w:i/>
          <w:sz w:val="20"/>
        </w:rPr>
        <w:t>Other investment – monthly statement of external assets and liabilities of the banking sector (the CNB and other monetary and financial institutions), quarterly survey of non-financial corporations focusing on assets and liabilities</w:t>
      </w:r>
      <w:r w:rsidR="00F36902" w:rsidRPr="00BA0FE0">
        <w:rPr>
          <w:rFonts w:ascii="Arial" w:hAnsi="Arial" w:cs="Arial"/>
          <w:i/>
          <w:sz w:val="20"/>
        </w:rPr>
        <w:t xml:space="preserve"> (trade credits)</w:t>
      </w:r>
      <w:r w:rsidR="00E846EC" w:rsidRPr="00BA0FE0">
        <w:rPr>
          <w:rFonts w:ascii="Arial" w:hAnsi="Arial" w:cs="Arial"/>
          <w:i/>
          <w:sz w:val="20"/>
        </w:rPr>
        <w:t xml:space="preserve">, </w:t>
      </w:r>
      <w:r w:rsidR="00F36902" w:rsidRPr="00BA0FE0">
        <w:rPr>
          <w:rFonts w:ascii="Arial" w:hAnsi="Arial" w:cs="Arial"/>
          <w:i/>
          <w:sz w:val="20"/>
        </w:rPr>
        <w:t xml:space="preserve">monthly statement of financial </w:t>
      </w:r>
      <w:r w:rsidR="00E846EC" w:rsidRPr="000B32C4">
        <w:rPr>
          <w:rFonts w:ascii="Arial" w:hAnsi="Arial" w:cs="Arial"/>
          <w:i/>
          <w:sz w:val="20"/>
        </w:rPr>
        <w:t>loans</w:t>
      </w:r>
      <w:r w:rsidR="00F36902" w:rsidRPr="00BA0FE0">
        <w:rPr>
          <w:rFonts w:ascii="Arial" w:hAnsi="Arial" w:cs="Arial"/>
          <w:i/>
          <w:sz w:val="20"/>
        </w:rPr>
        <w:t xml:space="preserve"> and accounts abroad of non-financial corporations and other financial institutions</w:t>
      </w:r>
      <w:r w:rsidR="00E846EC" w:rsidRPr="000B32C4">
        <w:rPr>
          <w:rFonts w:ascii="Arial" w:hAnsi="Arial" w:cs="Arial"/>
          <w:i/>
          <w:sz w:val="20"/>
        </w:rPr>
        <w:t>,</w:t>
      </w:r>
      <w:r w:rsidRPr="00430524">
        <w:rPr>
          <w:rFonts w:ascii="Arial" w:hAnsi="Arial"/>
          <w:i/>
          <w:sz w:val="20"/>
        </w:rPr>
        <w:t xml:space="preserve"> monthly statement of government assets and liabilities, administrative sources.</w:t>
      </w:r>
    </w:p>
    <w:p w:rsidR="00AD5827" w:rsidRPr="00835512"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120"/>
        <w:ind w:firstLine="709"/>
        <w:jc w:val="both"/>
        <w:rPr>
          <w:rFonts w:ascii="Arial" w:hAnsi="Arial" w:cs="Arial"/>
          <w:i/>
          <w:color w:val="000000"/>
          <w:spacing w:val="-3"/>
        </w:rPr>
      </w:pPr>
      <w:r w:rsidRPr="00430524">
        <w:rPr>
          <w:rFonts w:ascii="Arial" w:hAnsi="Arial"/>
          <w:i/>
        </w:rPr>
        <w:t>Reserve assets – CNB balance sheet.</w:t>
      </w: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rPr>
          <w:rFonts w:ascii="Arial" w:hAnsi="Arial" w:cs="Arial"/>
          <w:i/>
          <w:color w:val="000000"/>
          <w:spacing w:val="-3"/>
        </w:rPr>
      </w:pP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rPr>
          <w:rFonts w:ascii="Arial" w:hAnsi="Arial" w:cs="Arial"/>
          <w:i/>
          <w:color w:val="000000"/>
          <w:spacing w:val="-3"/>
        </w:rPr>
      </w:pPr>
    </w:p>
    <w:p w:rsidR="00AD5827" w:rsidRPr="00430524"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outlineLvl w:val="0"/>
        <w:rPr>
          <w:rFonts w:ascii="Arial" w:hAnsi="Arial" w:cs="Arial"/>
          <w:i/>
          <w:color w:val="000000"/>
          <w:spacing w:val="-3"/>
        </w:rPr>
      </w:pPr>
      <w:r w:rsidRPr="00430524">
        <w:rPr>
          <w:rFonts w:ascii="Arial" w:hAnsi="Arial" w:cs="Arial"/>
          <w:i/>
          <w:color w:val="000000"/>
          <w:spacing w:val="-3"/>
        </w:rPr>
        <w:t xml:space="preserve">Table </w:t>
      </w:r>
      <w:r w:rsidRPr="00430524">
        <w:rPr>
          <w:rFonts w:ascii="Arial" w:hAnsi="Arial" w:cs="Arial"/>
          <w:b/>
          <w:i/>
          <w:color w:val="000000"/>
          <w:spacing w:val="-3"/>
        </w:rPr>
        <w:t>7</w:t>
      </w:r>
      <w:r w:rsidRPr="00430524">
        <w:rPr>
          <w:rFonts w:ascii="Arial" w:hAnsi="Arial" w:cs="Arial"/>
          <w:i/>
          <w:color w:val="000000"/>
          <w:spacing w:val="-3"/>
        </w:rPr>
        <w:t xml:space="preserve">-16 </w:t>
      </w:r>
      <w:r w:rsidRPr="00430524">
        <w:rPr>
          <w:rFonts w:ascii="Arial" w:hAnsi="Arial" w:cs="Arial"/>
          <w:b/>
          <w:i/>
          <w:color w:val="000000"/>
          <w:spacing w:val="-3"/>
        </w:rPr>
        <w:t>External debt of the Czech Republic</w:t>
      </w:r>
    </w:p>
    <w:p w:rsidR="00AD5827" w:rsidRPr="00430524"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 xml:space="preserve">External debt constitutes the stock of financial liabilities (with fixed maturity date) of </w:t>
      </w:r>
      <w:r w:rsidRPr="00430524">
        <w:rPr>
          <w:rFonts w:ascii="Arial" w:hAnsi="Arial" w:cs="Arial"/>
          <w:i/>
          <w:iCs/>
          <w:color w:val="000000"/>
          <w:spacing w:val="-3"/>
        </w:rPr>
        <w:t>national economic agents (residents)</w:t>
      </w:r>
      <w:r w:rsidRPr="00430524">
        <w:rPr>
          <w:rFonts w:ascii="Arial" w:hAnsi="Arial" w:cs="Arial"/>
          <w:i/>
          <w:color w:val="000000"/>
          <w:spacing w:val="-3"/>
        </w:rPr>
        <w:t xml:space="preserve"> </w:t>
      </w:r>
      <w:r w:rsidRPr="00430524">
        <w:rPr>
          <w:rFonts w:ascii="Arial" w:hAnsi="Arial" w:cs="Arial"/>
          <w:i/>
          <w:spacing w:val="-3"/>
        </w:rPr>
        <w:t>vis-à-vis</w:t>
      </w:r>
      <w:r w:rsidRPr="00430524">
        <w:rPr>
          <w:rFonts w:ascii="Arial" w:hAnsi="Arial" w:cs="Arial"/>
          <w:i/>
          <w:color w:val="000000"/>
          <w:spacing w:val="-3"/>
        </w:rPr>
        <w:t xml:space="preserve"> foreign countries (non-residents), i.e. the value of amounts drawn (by contractual agreement) and outstanding (owed) as of a certain date. It does not include equity investment, i.e. direct investment (equity capital including reinvested earnings) and portfolio investment (equity securities</w:t>
      </w:r>
      <w:r w:rsidRPr="00430524">
        <w:rPr>
          <w:rFonts w:ascii="Arial" w:hAnsi="Arial" w:cs="Arial"/>
          <w:i/>
          <w:iCs/>
          <w:color w:val="000000"/>
          <w:spacing w:val="-3"/>
        </w:rPr>
        <w:t>, other participating interests and derivatives</w:t>
      </w:r>
      <w:r w:rsidRPr="00430524">
        <w:rPr>
          <w:rFonts w:ascii="Arial" w:hAnsi="Arial" w:cs="Arial"/>
          <w:i/>
          <w:color w:val="000000"/>
          <w:spacing w:val="-3"/>
        </w:rPr>
        <w:t>).</w:t>
      </w:r>
    </w:p>
    <w:p w:rsidR="00AD5827" w:rsidRPr="00430524"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 xml:space="preserve">The sources used for compiling the external debt figures </w:t>
      </w:r>
      <w:r w:rsidRPr="00430524">
        <w:rPr>
          <w:rFonts w:ascii="Arial" w:hAnsi="Arial" w:cs="Arial"/>
          <w:i/>
          <w:iCs/>
          <w:color w:val="000000"/>
          <w:spacing w:val="-3"/>
        </w:rPr>
        <w:t>are the same as the</w:t>
      </w:r>
      <w:r w:rsidRPr="00430524">
        <w:rPr>
          <w:rFonts w:ascii="Arial" w:hAnsi="Arial" w:cs="Arial"/>
          <w:i/>
          <w:color w:val="000000"/>
          <w:spacing w:val="-3"/>
        </w:rPr>
        <w:t xml:space="preserve"> data </w:t>
      </w:r>
      <w:r w:rsidRPr="00430524">
        <w:rPr>
          <w:rFonts w:ascii="Arial" w:hAnsi="Arial" w:cs="Arial"/>
          <w:i/>
          <w:iCs/>
          <w:color w:val="000000"/>
          <w:spacing w:val="-3"/>
        </w:rPr>
        <w:t>sources for the international investment position</w:t>
      </w:r>
      <w:r w:rsidR="00220B45">
        <w:rPr>
          <w:rFonts w:ascii="Arial" w:hAnsi="Arial" w:cs="Arial"/>
          <w:i/>
          <w:iCs/>
          <w:color w:val="000000"/>
          <w:spacing w:val="-3"/>
        </w:rPr>
        <w:t xml:space="preserve"> (see the methodology related to the table </w:t>
      </w:r>
      <w:r w:rsidR="00220B45" w:rsidRPr="00220B45">
        <w:rPr>
          <w:rFonts w:ascii="Arial" w:hAnsi="Arial" w:cs="Arial"/>
          <w:b/>
          <w:i/>
          <w:iCs/>
          <w:color w:val="000000"/>
          <w:spacing w:val="-3"/>
        </w:rPr>
        <w:t>7</w:t>
      </w:r>
      <w:r w:rsidR="00220B45">
        <w:rPr>
          <w:rFonts w:ascii="Arial" w:hAnsi="Arial" w:cs="Arial"/>
          <w:i/>
          <w:iCs/>
          <w:color w:val="000000"/>
          <w:spacing w:val="-3"/>
        </w:rPr>
        <w:t>-15)</w:t>
      </w:r>
      <w:r w:rsidR="00AD5827" w:rsidRPr="000B32C4">
        <w:rPr>
          <w:rFonts w:ascii="Arial" w:hAnsi="Arial" w:cs="Arial"/>
          <w:i/>
          <w:color w:val="000000"/>
          <w:spacing w:val="-3"/>
        </w:rPr>
        <w:t>.</w:t>
      </w: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rPr>
      </w:pPr>
    </w:p>
    <w:p w:rsidR="000E2EC5" w:rsidRPr="00430524" w:rsidRDefault="000E2EC5"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rPr>
      </w:pPr>
    </w:p>
    <w:p w:rsidR="00AD5827" w:rsidRPr="00430524"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outlineLvl w:val="0"/>
        <w:rPr>
          <w:rFonts w:ascii="Arial" w:hAnsi="Arial" w:cs="Arial"/>
          <w:i/>
          <w:color w:val="000000"/>
          <w:spacing w:val="-3"/>
        </w:rPr>
      </w:pPr>
      <w:r w:rsidRPr="00430524">
        <w:rPr>
          <w:rFonts w:ascii="Arial" w:hAnsi="Arial" w:cs="Arial"/>
          <w:i/>
          <w:color w:val="000000"/>
          <w:spacing w:val="-3"/>
        </w:rPr>
        <w:t xml:space="preserve">Table </w:t>
      </w:r>
      <w:r w:rsidRPr="00430524">
        <w:rPr>
          <w:rFonts w:ascii="Arial" w:hAnsi="Arial" w:cs="Arial"/>
          <w:b/>
          <w:i/>
          <w:color w:val="000000"/>
          <w:spacing w:val="-3"/>
        </w:rPr>
        <w:t>7</w:t>
      </w:r>
      <w:r w:rsidRPr="00430524">
        <w:rPr>
          <w:rFonts w:ascii="Arial" w:hAnsi="Arial" w:cs="Arial"/>
          <w:i/>
          <w:color w:val="000000"/>
          <w:spacing w:val="-3"/>
        </w:rPr>
        <w:t>-17</w:t>
      </w:r>
      <w:r w:rsidR="00752343" w:rsidRPr="00430524">
        <w:rPr>
          <w:rFonts w:ascii="Arial" w:hAnsi="Arial" w:cs="Arial"/>
          <w:i/>
          <w:color w:val="000000"/>
          <w:spacing w:val="-3"/>
        </w:rPr>
        <w:t xml:space="preserve"> </w:t>
      </w:r>
      <w:r w:rsidR="0037115E" w:rsidRPr="00430524">
        <w:rPr>
          <w:rFonts w:ascii="Arial" w:hAnsi="Arial" w:cs="Arial"/>
          <w:b/>
          <w:i/>
          <w:color w:val="000000"/>
          <w:spacing w:val="-3"/>
        </w:rPr>
        <w:t>R</w:t>
      </w:r>
      <w:r w:rsidR="00AD5827" w:rsidRPr="00430524">
        <w:rPr>
          <w:rFonts w:ascii="Arial" w:hAnsi="Arial" w:cs="Arial"/>
          <w:b/>
          <w:i/>
          <w:color w:val="000000"/>
          <w:spacing w:val="-3"/>
        </w:rPr>
        <w:t>eserve</w:t>
      </w:r>
      <w:r w:rsidR="0037115E" w:rsidRPr="00430524">
        <w:rPr>
          <w:rFonts w:ascii="Arial" w:hAnsi="Arial" w:cs="Arial"/>
          <w:b/>
          <w:i/>
          <w:color w:val="000000"/>
          <w:spacing w:val="-3"/>
        </w:rPr>
        <w:t xml:space="preserve"> asset</w:t>
      </w:r>
      <w:r w:rsidR="00AD5827" w:rsidRPr="00430524">
        <w:rPr>
          <w:rFonts w:ascii="Arial" w:hAnsi="Arial" w:cs="Arial"/>
          <w:b/>
          <w:i/>
          <w:color w:val="000000"/>
          <w:spacing w:val="-3"/>
        </w:rPr>
        <w:t>s</w:t>
      </w:r>
    </w:p>
    <w:p w:rsidR="00AD5827" w:rsidRPr="00430524" w:rsidRDefault="0037115E"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R</w:t>
      </w:r>
      <w:r w:rsidR="00AD5827" w:rsidRPr="00430524">
        <w:rPr>
          <w:rFonts w:ascii="Arial" w:hAnsi="Arial" w:cs="Arial"/>
          <w:i/>
          <w:color w:val="000000"/>
          <w:spacing w:val="-3"/>
        </w:rPr>
        <w:t>eserve</w:t>
      </w:r>
      <w:r w:rsidRPr="00430524">
        <w:rPr>
          <w:rFonts w:ascii="Arial" w:hAnsi="Arial" w:cs="Arial"/>
          <w:i/>
          <w:color w:val="000000"/>
          <w:spacing w:val="-3"/>
        </w:rPr>
        <w:t xml:space="preserve"> assets</w:t>
      </w:r>
      <w:r w:rsidR="00AD5827" w:rsidRPr="00430524">
        <w:rPr>
          <w:rFonts w:ascii="Arial" w:hAnsi="Arial" w:cs="Arial"/>
          <w:i/>
          <w:color w:val="000000"/>
          <w:spacing w:val="-3"/>
        </w:rPr>
        <w:t xml:space="preserve"> consist of short-term (liquid) foreign assets held by</w:t>
      </w:r>
      <w:r w:rsidR="0005001C" w:rsidRPr="00430524">
        <w:rPr>
          <w:rFonts w:ascii="Arial" w:hAnsi="Arial" w:cs="Arial"/>
          <w:i/>
          <w:color w:val="000000"/>
          <w:spacing w:val="-3"/>
        </w:rPr>
        <w:t xml:space="preserve"> the </w:t>
      </w:r>
      <w:r w:rsidR="00AD5827" w:rsidRPr="00430524">
        <w:rPr>
          <w:rFonts w:ascii="Arial" w:hAnsi="Arial" w:cs="Arial"/>
          <w:i/>
          <w:color w:val="000000"/>
          <w:spacing w:val="-3"/>
        </w:rPr>
        <w:t xml:space="preserve">Czech National Bank and denominated in convertible currencies (deposits with foreign banks, credit </w:t>
      </w:r>
      <w:r w:rsidR="00AF644A">
        <w:rPr>
          <w:rFonts w:ascii="Arial" w:hAnsi="Arial" w:cs="Arial"/>
          <w:i/>
          <w:color w:val="000000"/>
          <w:spacing w:val="-3"/>
        </w:rPr>
        <w:t>provided</w:t>
      </w:r>
      <w:r w:rsidR="00AD5827" w:rsidRPr="00430524">
        <w:rPr>
          <w:rFonts w:ascii="Arial" w:hAnsi="Arial" w:cs="Arial"/>
          <w:i/>
          <w:color w:val="000000"/>
          <w:spacing w:val="-3"/>
        </w:rPr>
        <w:t>,</w:t>
      </w:r>
      <w:r w:rsidR="0005001C" w:rsidRPr="00430524">
        <w:rPr>
          <w:rFonts w:ascii="Arial" w:hAnsi="Arial" w:cs="Arial"/>
          <w:i/>
          <w:color w:val="000000"/>
          <w:spacing w:val="-3"/>
        </w:rPr>
        <w:t xml:space="preserve"> </w:t>
      </w:r>
      <w:r w:rsidR="00AD5827" w:rsidRPr="00430524">
        <w:rPr>
          <w:rFonts w:ascii="Arial" w:hAnsi="Arial" w:cs="Arial"/>
          <w:i/>
          <w:color w:val="000000"/>
          <w:spacing w:val="-3"/>
        </w:rPr>
        <w:t xml:space="preserve">securities, foreign exchange and gold, </w:t>
      </w:r>
      <w:r w:rsidR="00AF644A">
        <w:rPr>
          <w:rFonts w:ascii="Arial" w:hAnsi="Arial" w:cs="Arial"/>
          <w:i/>
          <w:color w:val="000000"/>
          <w:spacing w:val="-3"/>
        </w:rPr>
        <w:t>S</w:t>
      </w:r>
      <w:r w:rsidR="00AD5827" w:rsidRPr="00430524">
        <w:rPr>
          <w:rFonts w:ascii="Arial" w:hAnsi="Arial" w:cs="Arial"/>
          <w:i/>
          <w:color w:val="000000"/>
          <w:spacing w:val="-3"/>
        </w:rPr>
        <w:t xml:space="preserve">pecial </w:t>
      </w:r>
      <w:r w:rsidR="00AF644A">
        <w:rPr>
          <w:rFonts w:ascii="Arial" w:hAnsi="Arial" w:cs="Arial"/>
          <w:i/>
          <w:color w:val="000000"/>
          <w:spacing w:val="-3"/>
        </w:rPr>
        <w:t>D</w:t>
      </w:r>
      <w:r w:rsidR="00AD5827" w:rsidRPr="00430524">
        <w:rPr>
          <w:rFonts w:ascii="Arial" w:hAnsi="Arial" w:cs="Arial"/>
          <w:i/>
          <w:color w:val="000000"/>
          <w:spacing w:val="-3"/>
        </w:rPr>
        <w:t xml:space="preserve">rawing </w:t>
      </w:r>
      <w:r w:rsidR="00AF644A">
        <w:rPr>
          <w:rFonts w:ascii="Arial" w:hAnsi="Arial" w:cs="Arial"/>
          <w:i/>
          <w:color w:val="000000"/>
          <w:spacing w:val="-3"/>
        </w:rPr>
        <w:t>R</w:t>
      </w:r>
      <w:r w:rsidR="00AD5827" w:rsidRPr="00430524">
        <w:rPr>
          <w:rFonts w:ascii="Arial" w:hAnsi="Arial" w:cs="Arial"/>
          <w:i/>
          <w:color w:val="000000"/>
          <w:spacing w:val="-3"/>
        </w:rPr>
        <w:t>ights and</w:t>
      </w:r>
      <w:r w:rsidR="00721AFD" w:rsidRPr="00430524">
        <w:rPr>
          <w:rFonts w:ascii="Arial" w:hAnsi="Arial" w:cs="Arial"/>
          <w:i/>
          <w:color w:val="000000"/>
          <w:spacing w:val="-3"/>
        </w:rPr>
        <w:t xml:space="preserve"> the reserve</w:t>
      </w:r>
      <w:r w:rsidR="00AF644A">
        <w:rPr>
          <w:rFonts w:ascii="Arial" w:hAnsi="Arial" w:cs="Arial"/>
          <w:i/>
          <w:color w:val="000000"/>
          <w:spacing w:val="-3"/>
        </w:rPr>
        <w:t>s</w:t>
      </w:r>
      <w:r w:rsidR="00721AFD" w:rsidRPr="00430524">
        <w:rPr>
          <w:rFonts w:ascii="Arial" w:hAnsi="Arial" w:cs="Arial"/>
          <w:i/>
          <w:color w:val="000000"/>
          <w:spacing w:val="-3"/>
        </w:rPr>
        <w:t xml:space="preserve"> position </w:t>
      </w:r>
      <w:r w:rsidR="00AF644A">
        <w:rPr>
          <w:rFonts w:ascii="Arial" w:hAnsi="Arial" w:cs="Arial"/>
          <w:i/>
          <w:color w:val="000000"/>
          <w:spacing w:val="-3"/>
        </w:rPr>
        <w:t xml:space="preserve">with </w:t>
      </w:r>
      <w:r w:rsidR="00721AFD" w:rsidRPr="00430524">
        <w:rPr>
          <w:rFonts w:ascii="Arial" w:hAnsi="Arial" w:cs="Arial"/>
          <w:i/>
          <w:color w:val="000000"/>
          <w:spacing w:val="-3"/>
        </w:rPr>
        <w:t>the IMF)</w:t>
      </w:r>
      <w:r w:rsidR="00AF644A">
        <w:rPr>
          <w:rFonts w:ascii="Arial" w:hAnsi="Arial" w:cs="Arial"/>
          <w:i/>
          <w:color w:val="000000"/>
          <w:spacing w:val="-3"/>
        </w:rPr>
        <w:t xml:space="preserve"> which are available </w:t>
      </w:r>
      <w:r w:rsidR="00721AFD" w:rsidRPr="00430524">
        <w:rPr>
          <w:rFonts w:ascii="Arial" w:hAnsi="Arial" w:cs="Arial"/>
          <w:i/>
          <w:color w:val="000000"/>
          <w:spacing w:val="-3"/>
        </w:rPr>
        <w:t>to finance and regulate a balance of payments disequilibrium.</w:t>
      </w:r>
    </w:p>
    <w:p w:rsidR="00AD5827" w:rsidRPr="00430524" w:rsidRDefault="00AF644A"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spacing w:before="120"/>
        <w:ind w:firstLine="709"/>
        <w:jc w:val="both"/>
        <w:rPr>
          <w:rFonts w:ascii="Arial" w:hAnsi="Arial" w:cs="Arial"/>
          <w:i/>
          <w:color w:val="000000"/>
          <w:spacing w:val="-3"/>
        </w:rPr>
      </w:pPr>
      <w:r>
        <w:rPr>
          <w:rFonts w:ascii="Arial" w:hAnsi="Arial" w:cs="Arial"/>
          <w:i/>
          <w:color w:val="000000"/>
          <w:spacing w:val="-3"/>
        </w:rPr>
        <w:t xml:space="preserve">The CNB balance sheet serves as the basis for calculating the reserve assets. </w:t>
      </w: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rPr>
      </w:pP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rPr>
      </w:pPr>
    </w:p>
    <w:p w:rsidR="00AD5827" w:rsidRPr="00430524" w:rsidRDefault="00721AFD" w:rsidP="0088212A">
      <w:pPr>
        <w:keepNext/>
        <w:widowControl/>
        <w:tabs>
          <w:tab w:val="left" w:pos="0"/>
          <w:tab w:val="left" w:pos="396"/>
          <w:tab w:val="left" w:pos="3240"/>
          <w:tab w:val="left" w:pos="3960"/>
          <w:tab w:val="left" w:pos="4680"/>
          <w:tab w:val="left" w:pos="5400"/>
          <w:tab w:val="left" w:pos="6120"/>
          <w:tab w:val="left" w:pos="6840"/>
          <w:tab w:val="left" w:pos="7560"/>
          <w:tab w:val="left" w:pos="8280"/>
          <w:tab w:val="left" w:pos="9636"/>
        </w:tabs>
        <w:suppressAutoHyphens/>
        <w:jc w:val="both"/>
        <w:outlineLvl w:val="0"/>
        <w:rPr>
          <w:rFonts w:ascii="Arial" w:hAnsi="Arial" w:cs="Arial"/>
          <w:i/>
          <w:color w:val="000000"/>
          <w:spacing w:val="-3"/>
        </w:rPr>
      </w:pPr>
      <w:r w:rsidRPr="00430524">
        <w:rPr>
          <w:rFonts w:ascii="Arial" w:hAnsi="Arial" w:cs="Arial"/>
          <w:i/>
          <w:color w:val="000000"/>
          <w:spacing w:val="-3"/>
        </w:rPr>
        <w:t xml:space="preserve">Table </w:t>
      </w:r>
      <w:r w:rsidRPr="00430524">
        <w:rPr>
          <w:rFonts w:ascii="Arial" w:hAnsi="Arial" w:cs="Arial"/>
          <w:b/>
          <w:i/>
          <w:color w:val="000000"/>
          <w:spacing w:val="-3"/>
        </w:rPr>
        <w:t>7</w:t>
      </w:r>
      <w:r w:rsidRPr="00430524">
        <w:rPr>
          <w:rFonts w:ascii="Arial" w:hAnsi="Arial" w:cs="Arial"/>
          <w:i/>
          <w:color w:val="000000"/>
          <w:spacing w:val="-3"/>
        </w:rPr>
        <w:t xml:space="preserve">-18 </w:t>
      </w:r>
      <w:r w:rsidRPr="00430524">
        <w:rPr>
          <w:rFonts w:ascii="Arial" w:hAnsi="Arial" w:cs="Arial"/>
          <w:b/>
          <w:i/>
          <w:color w:val="000000"/>
          <w:spacing w:val="-3"/>
        </w:rPr>
        <w:t>Nominal and real CZK effective exchange rate indices</w:t>
      </w:r>
    </w:p>
    <w:p w:rsidR="0088212A" w:rsidRDefault="00721AFD" w:rsidP="001D5071">
      <w:pPr>
        <w:widowControl/>
        <w:tabs>
          <w:tab w:val="left" w:pos="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The nominal effective exchange rate of the </w:t>
      </w:r>
      <w:r w:rsidR="00494423" w:rsidRPr="00494423">
        <w:rPr>
          <w:rFonts w:ascii="Arial" w:hAnsi="Arial"/>
          <w:color w:val="000000"/>
          <w:spacing w:val="-3"/>
        </w:rPr>
        <w:t>koruna</w:t>
      </w:r>
      <w:r w:rsidRPr="00430524">
        <w:rPr>
          <w:rFonts w:ascii="Arial" w:hAnsi="Arial" w:cs="Arial"/>
          <w:i/>
          <w:color w:val="000000"/>
          <w:spacing w:val="-3"/>
        </w:rPr>
        <w:t xml:space="preserve"> (NEER) expressed as an index shows the appreciation (index above 100) or depreciation (index below 100) of the national currency towards the basket of selected currencies for a given period against the base period (</w:t>
      </w:r>
      <w:r w:rsidRPr="00430524">
        <w:rPr>
          <w:rFonts w:ascii="Arial" w:hAnsi="Arial" w:cs="Arial"/>
          <w:i/>
          <w:iCs/>
          <w:color w:val="000000"/>
          <w:spacing w:val="-3"/>
        </w:rPr>
        <w:t>201</w:t>
      </w:r>
      <w:r w:rsidR="004E4881">
        <w:rPr>
          <w:rFonts w:ascii="Arial" w:hAnsi="Arial" w:cs="Arial"/>
          <w:i/>
          <w:iCs/>
          <w:color w:val="000000"/>
          <w:spacing w:val="-3"/>
        </w:rPr>
        <w:t>5</w:t>
      </w:r>
      <w:r w:rsidR="0088212A">
        <w:rPr>
          <w:rFonts w:ascii="Arial" w:hAnsi="Arial" w:cs="Arial"/>
          <w:i/>
          <w:color w:val="000000"/>
          <w:spacing w:val="-3"/>
        </w:rPr>
        <w:t>).</w:t>
      </w:r>
    </w:p>
    <w:p w:rsidR="00AD5827" w:rsidRPr="00430524" w:rsidRDefault="00721AFD" w:rsidP="001D5071">
      <w:pPr>
        <w:widowControl/>
        <w:tabs>
          <w:tab w:val="left" w:pos="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 xml:space="preserve">The most widespread method of weighted geometric average of nominal exchange rates was used, taking into account the weights of total exports and imports of the Czech Republic’s largest trading partners. These countries account for approximately 90% of the Czech Republic’s foreign trade. Apart from euro area countries, represented by a single weight and the EUR exchange rate, these countries are </w:t>
      </w:r>
      <w:r w:rsidR="00E20F1F">
        <w:rPr>
          <w:rFonts w:ascii="Arial" w:hAnsi="Arial" w:cs="Arial"/>
          <w:i/>
          <w:color w:val="000000"/>
          <w:spacing w:val="-3"/>
        </w:rPr>
        <w:t xml:space="preserve">China, Poland, United Kingdom of Great Britain and Northern Ireland, Hungary, Russian Federation, United States of America, Switzerland, Korea, Republic of, Romania, Sweden, Japan and Denmark. </w:t>
      </w:r>
      <w:r w:rsidRPr="00430524">
        <w:rPr>
          <w:rFonts w:ascii="Arial" w:hAnsi="Arial" w:cs="Arial"/>
          <w:i/>
          <w:color w:val="000000"/>
          <w:spacing w:val="-3"/>
        </w:rPr>
        <w:t xml:space="preserve">The weights were calculated in two alternatives. Alternative I – used by the International Monetary Fund – comprises the entire </w:t>
      </w:r>
      <w:r w:rsidRPr="00430524">
        <w:rPr>
          <w:rFonts w:ascii="Arial" w:hAnsi="Arial" w:cs="Arial"/>
          <w:i/>
          <w:color w:val="000000"/>
          <w:spacing w:val="-3"/>
        </w:rPr>
        <w:lastRenderedPageBreak/>
        <w:t>trade turnover of the Czech Republic. Alternative II – used by the European Central Bank – comprises only four commodity groups (SITC groups 5–8) of the Czech Republic’s foreign trade.</w:t>
      </w:r>
    </w:p>
    <w:p w:rsidR="00AD5827" w:rsidRPr="00430524" w:rsidRDefault="00721AFD" w:rsidP="001D5071">
      <w:pPr>
        <w:widowControl/>
        <w:tabs>
          <w:tab w:val="left" w:pos="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Data sources: CNB exchange rate list, CZSO publications on the Czech Republic’s foreign trade.</w:t>
      </w:r>
    </w:p>
    <w:p w:rsidR="00AD5827" w:rsidRPr="00430524" w:rsidRDefault="00721AFD" w:rsidP="001D5071">
      <w:pPr>
        <w:widowControl/>
        <w:tabs>
          <w:tab w:val="left" w:pos="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The real effective exchange rate of the </w:t>
      </w:r>
      <w:r w:rsidR="00494423" w:rsidRPr="00494423">
        <w:rPr>
          <w:rFonts w:ascii="Arial" w:hAnsi="Arial"/>
          <w:color w:val="000000"/>
          <w:spacing w:val="-3"/>
        </w:rPr>
        <w:t>koruna</w:t>
      </w:r>
      <w:r w:rsidRPr="00430524">
        <w:rPr>
          <w:rFonts w:ascii="Arial" w:hAnsi="Arial" w:cs="Arial"/>
          <w:i/>
          <w:color w:val="000000"/>
          <w:spacing w:val="-3"/>
        </w:rPr>
        <w:t xml:space="preserve"> (REER) is one of the indicators of the country’s international competitiveness and is generally understood to mean various levels of relative prices or costs expressed in a certain currency. In this respect, REER values above 100 signify a downward trend in the country’s competitiveness relative to the base period, whereas an REER below 100 means rising competitiveness of the country relative to the base period (</w:t>
      </w:r>
      <w:r w:rsidRPr="00430524">
        <w:rPr>
          <w:rFonts w:ascii="Arial" w:hAnsi="Arial" w:cs="Arial"/>
          <w:i/>
          <w:iCs/>
          <w:color w:val="000000"/>
          <w:spacing w:val="-3"/>
        </w:rPr>
        <w:t>201</w:t>
      </w:r>
      <w:r w:rsidR="00301BAB">
        <w:rPr>
          <w:rFonts w:ascii="Arial" w:hAnsi="Arial" w:cs="Arial"/>
          <w:i/>
          <w:iCs/>
          <w:color w:val="000000"/>
          <w:spacing w:val="-3"/>
        </w:rPr>
        <w:t>5</w:t>
      </w:r>
      <w:r w:rsidRPr="00430524">
        <w:rPr>
          <w:rFonts w:ascii="Arial" w:hAnsi="Arial" w:cs="Arial"/>
          <w:i/>
          <w:color w:val="000000"/>
          <w:spacing w:val="-3"/>
        </w:rPr>
        <w:t>).</w:t>
      </w:r>
    </w:p>
    <w:p w:rsidR="00AD5827" w:rsidRPr="00430524" w:rsidRDefault="00721AFD" w:rsidP="001D5071">
      <w:pPr>
        <w:widowControl/>
        <w:tabs>
          <w:tab w:val="left" w:pos="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Among the various methods used to calculate the REER, the weighted geometric average of the ratio of the nominal exchange rate index to the price differential is the most widely used, with the weights given by the shares of the nation’s largest trading partners in trade turnover.</w:t>
      </w:r>
    </w:p>
    <w:p w:rsidR="00AD5827" w:rsidRPr="00430524" w:rsidRDefault="00721AFD" w:rsidP="001D5071">
      <w:pPr>
        <w:widowControl/>
        <w:tabs>
          <w:tab w:val="left" w:pos="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The real effective exchange rate of the </w:t>
      </w:r>
      <w:r w:rsidR="00494423" w:rsidRPr="00494423">
        <w:rPr>
          <w:rFonts w:ascii="Arial" w:hAnsi="Arial"/>
          <w:color w:val="000000"/>
          <w:spacing w:val="-3"/>
        </w:rPr>
        <w:t>koruna</w:t>
      </w:r>
      <w:r w:rsidRPr="00430524">
        <w:rPr>
          <w:rFonts w:ascii="Arial" w:hAnsi="Arial" w:cs="Arial"/>
          <w:i/>
          <w:color w:val="000000"/>
          <w:spacing w:val="-3"/>
        </w:rPr>
        <w:t xml:space="preserve"> comprises the consumer prices and industrial producer prices of </w:t>
      </w:r>
      <w:r w:rsidRPr="00430524">
        <w:rPr>
          <w:rFonts w:ascii="Arial" w:hAnsi="Arial" w:cs="Arial"/>
          <w:i/>
          <w:iCs/>
          <w:color w:val="000000"/>
          <w:spacing w:val="-3"/>
        </w:rPr>
        <w:t>12</w:t>
      </w:r>
      <w:r w:rsidRPr="00430524">
        <w:rPr>
          <w:rFonts w:ascii="Arial" w:hAnsi="Arial" w:cs="Arial"/>
          <w:i/>
          <w:color w:val="000000"/>
          <w:spacing w:val="-3"/>
        </w:rPr>
        <w:t> countries outside the euro area plus all euro area countries. Euro area countries are treated as a single currency and cost area in the calculations. The number of euro area countries corresponds to the current situation. The structure of the countries and their weights are identical to those used to calculate the nominal effective exchange rate of the </w:t>
      </w:r>
      <w:r w:rsidR="00494423" w:rsidRPr="00494423">
        <w:rPr>
          <w:rFonts w:ascii="Arial" w:hAnsi="Arial" w:cs="Arial"/>
          <w:color w:val="000000"/>
          <w:spacing w:val="-3"/>
        </w:rPr>
        <w:t>koruna</w:t>
      </w:r>
      <w:r w:rsidRPr="00430524">
        <w:rPr>
          <w:rFonts w:ascii="Arial" w:hAnsi="Arial" w:cs="Arial"/>
          <w:i/>
          <w:color w:val="000000"/>
          <w:spacing w:val="-3"/>
        </w:rPr>
        <w:t>. In the first alternative, the weights relate to the overall trade turnover, whereas in the second alternative the weights relate only to the turnover in SITC groups 5–8.</w:t>
      </w:r>
    </w:p>
    <w:p w:rsidR="00AD5827" w:rsidRPr="00430524" w:rsidRDefault="00721AFD" w:rsidP="001D5071">
      <w:pPr>
        <w:widowControl/>
        <w:tabs>
          <w:tab w:val="left" w:pos="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Data sources: Price indices from ECB statistics, nominal exchange rate indices from CNB calculations.</w:t>
      </w:r>
    </w:p>
    <w:p w:rsidR="00AD5827" w:rsidRPr="00430524" w:rsidRDefault="00AD5827" w:rsidP="001D5071">
      <w:pPr>
        <w:widowControl/>
        <w:tabs>
          <w:tab w:val="left" w:pos="0"/>
        </w:tabs>
        <w:suppressAutoHyphens/>
        <w:jc w:val="both"/>
        <w:rPr>
          <w:rFonts w:ascii="Arial" w:hAnsi="Arial" w:cs="Arial"/>
          <w:i/>
          <w:color w:val="000000"/>
          <w:spacing w:val="-3"/>
        </w:rPr>
      </w:pPr>
    </w:p>
    <w:p w:rsidR="00064929" w:rsidRPr="00430524" w:rsidRDefault="00721AFD" w:rsidP="001D5071">
      <w:pPr>
        <w:widowControl/>
        <w:tabs>
          <w:tab w:val="left" w:pos="0"/>
        </w:tabs>
        <w:suppressAutoHyphens/>
        <w:jc w:val="both"/>
        <w:rPr>
          <w:rFonts w:ascii="Arial" w:hAnsi="Arial" w:cs="Arial"/>
          <w:i/>
          <w:color w:val="000000"/>
          <w:spacing w:val="-3"/>
        </w:rPr>
      </w:pPr>
      <w:r w:rsidRPr="00430524">
        <w:rPr>
          <w:rFonts w:ascii="Arial" w:hAnsi="Arial" w:cs="Arial"/>
          <w:i/>
          <w:color w:val="000000"/>
          <w:spacing w:val="-3"/>
        </w:rPr>
        <w:t>Formula for calculating the real effective exchange rate:</w:t>
      </w:r>
    </w:p>
    <w:p w:rsidR="00064929" w:rsidRPr="00430524" w:rsidRDefault="00064929" w:rsidP="001D5071">
      <w:pPr>
        <w:widowControl/>
        <w:tabs>
          <w:tab w:val="left" w:pos="0"/>
        </w:tabs>
        <w:suppressAutoHyphens/>
        <w:ind w:firstLine="709"/>
        <w:rPr>
          <w:rFonts w:ascii="Arial" w:hAnsi="Arial" w:cs="Arial"/>
          <w:i/>
          <w:color w:val="000000"/>
        </w:rPr>
      </w:pPr>
    </w:p>
    <w:p w:rsidR="00364FE2" w:rsidRPr="00430524" w:rsidRDefault="00364FE2" w:rsidP="001D5071">
      <w:pPr>
        <w:widowControl/>
        <w:tabs>
          <w:tab w:val="left" w:pos="0"/>
        </w:tabs>
        <w:suppressAutoHyphens/>
        <w:ind w:firstLine="709"/>
        <w:rPr>
          <w:rFonts w:ascii="Arial" w:hAnsi="Arial" w:cs="Arial"/>
          <w:i/>
          <w:color w:val="000000"/>
        </w:rPr>
      </w:pPr>
      <w:r w:rsidRPr="00430524">
        <w:rPr>
          <w:rFonts w:ascii="Arial" w:hAnsi="Arial"/>
          <w:i/>
          <w:position w:val="-36"/>
        </w:rPr>
        <w:object w:dxaOrig="2920" w:dyaOrig="940">
          <v:shape id="_x0000_i1028" type="#_x0000_t75" style="width:180.75pt;height:60pt" o:ole="" fillcolor="window">
            <v:imagedata r:id="rId14" o:title=""/>
          </v:shape>
          <o:OLEObject Type="Embed" ProgID="Equation.3" ShapeID="_x0000_i1028" DrawAspect="Content" ObjectID="_1697609377" r:id="rId15"/>
        </w:object>
      </w:r>
    </w:p>
    <w:p w:rsidR="00935395" w:rsidRDefault="00935395" w:rsidP="001D5071">
      <w:pPr>
        <w:widowControl/>
        <w:tabs>
          <w:tab w:val="left" w:pos="0"/>
        </w:tabs>
        <w:suppressAutoHyphens/>
        <w:ind w:firstLine="709"/>
        <w:rPr>
          <w:rFonts w:ascii="Arial" w:hAnsi="Arial" w:cs="Arial"/>
          <w:i/>
          <w:color w:val="000000"/>
          <w:spacing w:val="-3"/>
        </w:rPr>
      </w:pPr>
    </w:p>
    <w:tbl>
      <w:tblPr>
        <w:tblW w:w="9143" w:type="dxa"/>
        <w:tblInd w:w="-2" w:type="dxa"/>
        <w:tblLayout w:type="fixed"/>
        <w:tblCellMar>
          <w:left w:w="69" w:type="dxa"/>
          <w:right w:w="69" w:type="dxa"/>
        </w:tblCellMar>
        <w:tblLook w:val="0000" w:firstRow="0" w:lastRow="0" w:firstColumn="0" w:lastColumn="0" w:noHBand="0" w:noVBand="0"/>
      </w:tblPr>
      <w:tblGrid>
        <w:gridCol w:w="778"/>
        <w:gridCol w:w="708"/>
        <w:gridCol w:w="7657"/>
      </w:tblGrid>
      <w:tr w:rsidR="00064929" w:rsidRPr="00430524" w:rsidTr="008C0525">
        <w:tc>
          <w:tcPr>
            <w:tcW w:w="778" w:type="dxa"/>
            <w:tcBorders>
              <w:top w:val="single" w:sz="4" w:space="0" w:color="FFFFFF"/>
              <w:left w:val="single" w:sz="4" w:space="0" w:color="FFFFFF"/>
              <w:bottom w:val="single" w:sz="4" w:space="0" w:color="FFFFFF"/>
              <w:right w:val="single" w:sz="4" w:space="0" w:color="FFFFFF"/>
            </w:tcBorders>
          </w:tcPr>
          <w:p w:rsidR="00064929" w:rsidRPr="00430524" w:rsidRDefault="00064929" w:rsidP="001D5071">
            <w:pPr>
              <w:widowControl/>
              <w:tabs>
                <w:tab w:val="left" w:pos="0"/>
              </w:tabs>
              <w:suppressAutoHyphens/>
              <w:jc w:val="both"/>
              <w:rPr>
                <w:rFonts w:ascii="Arial" w:hAnsi="Arial" w:cs="Arial"/>
                <w:i/>
                <w:color w:val="000000"/>
                <w:spacing w:val="-3"/>
              </w:rPr>
            </w:pPr>
            <w:r w:rsidRPr="00430524">
              <w:rPr>
                <w:rFonts w:ascii="Arial" w:hAnsi="Arial" w:cs="Arial"/>
                <w:i/>
                <w:color w:val="000000"/>
                <w:spacing w:val="-3"/>
              </w:rPr>
              <w:t>where</w:t>
            </w:r>
          </w:p>
        </w:tc>
        <w:tc>
          <w:tcPr>
            <w:tcW w:w="708" w:type="dxa"/>
            <w:tcBorders>
              <w:top w:val="single" w:sz="4" w:space="0" w:color="FFFFFF"/>
              <w:left w:val="single" w:sz="4" w:space="0" w:color="FFFFFF"/>
              <w:bottom w:val="single" w:sz="4" w:space="0" w:color="FFFFFF"/>
              <w:right w:val="single" w:sz="4" w:space="0" w:color="FFFFFF"/>
            </w:tcBorders>
          </w:tcPr>
          <w:p w:rsidR="00064929" w:rsidRPr="00430524" w:rsidRDefault="00064929" w:rsidP="001D5071">
            <w:pPr>
              <w:widowControl/>
              <w:tabs>
                <w:tab w:val="left" w:pos="0"/>
              </w:tabs>
              <w:suppressAutoHyphens/>
              <w:jc w:val="both"/>
              <w:rPr>
                <w:rFonts w:ascii="Arial" w:hAnsi="Arial" w:cs="Arial"/>
                <w:i/>
                <w:color w:val="000000"/>
                <w:spacing w:val="-3"/>
              </w:rPr>
            </w:pPr>
            <w:r w:rsidRPr="00430524">
              <w:rPr>
                <w:rFonts w:ascii="Arial" w:hAnsi="Arial" w:cs="Arial"/>
                <w:i/>
                <w:color w:val="000000"/>
                <w:spacing w:val="-3"/>
              </w:rPr>
              <w:t>S</w:t>
            </w:r>
            <w:r w:rsidRPr="00430524">
              <w:rPr>
                <w:rFonts w:ascii="Arial" w:hAnsi="Arial" w:cs="Arial"/>
                <w:i/>
                <w:color w:val="000000"/>
                <w:spacing w:val="-3"/>
                <w:vertAlign w:val="subscript"/>
              </w:rPr>
              <w:t>it</w:t>
            </w:r>
            <w:r w:rsidRPr="00430524">
              <w:rPr>
                <w:rFonts w:ascii="Arial" w:hAnsi="Arial" w:cs="Arial"/>
                <w:i/>
                <w:color w:val="000000"/>
                <w:spacing w:val="-3"/>
                <w:vertAlign w:val="superscript"/>
              </w:rPr>
              <w:t>*</w:t>
            </w:r>
            <w:r w:rsidRPr="00430524">
              <w:rPr>
                <w:rFonts w:ascii="Arial" w:hAnsi="Arial" w:cs="Arial"/>
                <w:i/>
                <w:color w:val="000000"/>
                <w:spacing w:val="-3"/>
              </w:rPr>
              <w:t xml:space="preserve"> </w:t>
            </w:r>
            <w:r w:rsidR="009B01D7">
              <w:rPr>
                <w:rFonts w:ascii="Arial" w:hAnsi="Arial" w:cs="Arial"/>
                <w:i/>
                <w:color w:val="000000"/>
                <w:spacing w:val="-3"/>
              </w:rPr>
              <w:t>–</w:t>
            </w:r>
          </w:p>
        </w:tc>
        <w:tc>
          <w:tcPr>
            <w:tcW w:w="7657" w:type="dxa"/>
            <w:tcBorders>
              <w:top w:val="single" w:sz="4" w:space="0" w:color="FFFFFF"/>
              <w:left w:val="single" w:sz="4" w:space="0" w:color="FFFFFF"/>
              <w:bottom w:val="single" w:sz="4" w:space="0" w:color="FFFFFF"/>
              <w:right w:val="single" w:sz="4" w:space="0" w:color="FFFFFF" w:themeColor="background1"/>
            </w:tcBorders>
          </w:tcPr>
          <w:p w:rsidR="00064929" w:rsidRPr="00430524" w:rsidRDefault="00064929" w:rsidP="001D5071">
            <w:pPr>
              <w:widowControl/>
              <w:tabs>
                <w:tab w:val="left" w:pos="0"/>
              </w:tabs>
              <w:suppressAutoHyphens/>
              <w:ind w:right="1557"/>
              <w:jc w:val="both"/>
              <w:rPr>
                <w:rFonts w:ascii="Arial" w:hAnsi="Arial" w:cs="Arial"/>
                <w:i/>
                <w:color w:val="000000"/>
                <w:spacing w:val="-3"/>
              </w:rPr>
            </w:pPr>
            <w:r w:rsidRPr="00430524">
              <w:rPr>
                <w:rFonts w:ascii="Arial" w:hAnsi="Arial" w:cs="Arial"/>
                <w:i/>
                <w:color w:val="000000"/>
                <w:spacing w:val="-3"/>
              </w:rPr>
              <w:t>basic index for</w:t>
            </w:r>
            <w:r w:rsidR="0005001C" w:rsidRPr="00430524">
              <w:rPr>
                <w:rFonts w:ascii="Arial" w:hAnsi="Arial" w:cs="Arial"/>
                <w:i/>
                <w:color w:val="000000"/>
                <w:spacing w:val="-3"/>
              </w:rPr>
              <w:t xml:space="preserve"> the </w:t>
            </w:r>
            <w:r w:rsidRPr="00430524">
              <w:rPr>
                <w:rFonts w:ascii="Arial" w:hAnsi="Arial" w:cs="Arial"/>
                <w:i/>
                <w:color w:val="000000"/>
                <w:spacing w:val="-3"/>
              </w:rPr>
              <w:t>domestic currency vs</w:t>
            </w:r>
            <w:r w:rsidR="00125165" w:rsidRPr="00430524">
              <w:rPr>
                <w:rFonts w:ascii="Arial" w:hAnsi="Arial" w:cs="Arial"/>
                <w:i/>
                <w:color w:val="000000"/>
                <w:spacing w:val="-3"/>
              </w:rPr>
              <w:t>.</w:t>
            </w:r>
            <w:r w:rsidR="0005001C" w:rsidRPr="00430524">
              <w:rPr>
                <w:rFonts w:ascii="Arial" w:hAnsi="Arial" w:cs="Arial"/>
                <w:i/>
                <w:color w:val="000000"/>
                <w:spacing w:val="-3"/>
              </w:rPr>
              <w:t xml:space="preserve"> the </w:t>
            </w:r>
            <w:r w:rsidRPr="00430524">
              <w:rPr>
                <w:rFonts w:ascii="Arial" w:hAnsi="Arial" w:cs="Arial"/>
                <w:i/>
                <w:color w:val="000000"/>
                <w:spacing w:val="-3"/>
              </w:rPr>
              <w:t>currency of</w:t>
            </w:r>
            <w:r w:rsidR="0005001C" w:rsidRPr="00430524">
              <w:rPr>
                <w:rFonts w:ascii="Arial" w:hAnsi="Arial" w:cs="Arial"/>
                <w:i/>
                <w:color w:val="000000"/>
                <w:spacing w:val="-3"/>
              </w:rPr>
              <w:t xml:space="preserve"> the </w:t>
            </w:r>
            <w:r w:rsidRPr="00430524">
              <w:rPr>
                <w:rFonts w:ascii="Arial" w:hAnsi="Arial" w:cs="Arial"/>
                <w:i/>
                <w:color w:val="000000"/>
                <w:spacing w:val="-3"/>
              </w:rPr>
              <w:t>i-th trading partner in period t</w:t>
            </w:r>
          </w:p>
        </w:tc>
      </w:tr>
      <w:tr w:rsidR="00064929" w:rsidRPr="00430524" w:rsidTr="008C0525">
        <w:tc>
          <w:tcPr>
            <w:tcW w:w="778" w:type="dxa"/>
            <w:tcBorders>
              <w:top w:val="single" w:sz="4" w:space="0" w:color="FFFFFF"/>
              <w:left w:val="single" w:sz="4" w:space="0" w:color="FFFFFF"/>
              <w:bottom w:val="single" w:sz="4" w:space="0" w:color="FFFFFF"/>
              <w:right w:val="single" w:sz="4" w:space="0" w:color="FFFFFF"/>
            </w:tcBorders>
          </w:tcPr>
          <w:p w:rsidR="00064929" w:rsidRPr="00430524" w:rsidRDefault="00064929" w:rsidP="001D5071">
            <w:pPr>
              <w:widowControl/>
              <w:tabs>
                <w:tab w:val="left" w:pos="0"/>
              </w:tabs>
              <w:suppressAutoHyphens/>
              <w:jc w:val="both"/>
              <w:rPr>
                <w:rFonts w:ascii="Arial" w:hAnsi="Arial" w:cs="Arial"/>
                <w:i/>
                <w:color w:val="000000"/>
                <w:spacing w:val="-3"/>
              </w:rPr>
            </w:pPr>
          </w:p>
        </w:tc>
        <w:tc>
          <w:tcPr>
            <w:tcW w:w="708" w:type="dxa"/>
            <w:tcBorders>
              <w:top w:val="single" w:sz="4" w:space="0" w:color="FFFFFF"/>
              <w:left w:val="single" w:sz="4" w:space="0" w:color="FFFFFF"/>
              <w:bottom w:val="single" w:sz="4" w:space="0" w:color="FFFFFF"/>
              <w:right w:val="single" w:sz="4" w:space="0" w:color="FFFFFF"/>
            </w:tcBorders>
          </w:tcPr>
          <w:p w:rsidR="00064929" w:rsidRPr="00430524" w:rsidRDefault="00721AFD" w:rsidP="001D5071">
            <w:pPr>
              <w:widowControl/>
              <w:tabs>
                <w:tab w:val="left" w:pos="0"/>
              </w:tabs>
              <w:suppressAutoHyphens/>
              <w:jc w:val="both"/>
              <w:rPr>
                <w:rFonts w:ascii="Arial" w:hAnsi="Arial" w:cs="Arial"/>
                <w:i/>
                <w:color w:val="000000"/>
                <w:spacing w:val="-3"/>
              </w:rPr>
            </w:pPr>
            <w:r w:rsidRPr="00430524">
              <w:rPr>
                <w:rFonts w:ascii="Arial" w:hAnsi="Arial" w:cs="Arial"/>
                <w:i/>
                <w:color w:val="000000"/>
                <w:spacing w:val="-3"/>
              </w:rPr>
              <w:t>P</w:t>
            </w:r>
            <w:r w:rsidRPr="00430524">
              <w:rPr>
                <w:rFonts w:ascii="Arial" w:hAnsi="Arial" w:cs="Arial"/>
                <w:i/>
                <w:color w:val="000000"/>
                <w:spacing w:val="-3"/>
                <w:vertAlign w:val="subscript"/>
              </w:rPr>
              <w:t>it</w:t>
            </w:r>
            <w:r w:rsidRPr="00430524">
              <w:rPr>
                <w:rFonts w:ascii="Arial" w:hAnsi="Arial" w:cs="Arial"/>
                <w:i/>
                <w:color w:val="000000"/>
                <w:spacing w:val="-3"/>
                <w:vertAlign w:val="superscript"/>
              </w:rPr>
              <w:t>*</w:t>
            </w:r>
            <w:r w:rsidRPr="00430524">
              <w:rPr>
                <w:rFonts w:ascii="Arial" w:hAnsi="Arial" w:cs="Arial"/>
                <w:i/>
                <w:color w:val="000000"/>
                <w:spacing w:val="-3"/>
              </w:rPr>
              <w:t xml:space="preserve"> </w:t>
            </w:r>
            <w:r w:rsidR="009B01D7">
              <w:rPr>
                <w:rFonts w:ascii="Arial" w:hAnsi="Arial" w:cs="Arial"/>
                <w:i/>
                <w:color w:val="000000"/>
                <w:spacing w:val="-3"/>
              </w:rPr>
              <w:t>–</w:t>
            </w:r>
          </w:p>
        </w:tc>
        <w:tc>
          <w:tcPr>
            <w:tcW w:w="7657" w:type="dxa"/>
            <w:tcBorders>
              <w:top w:val="single" w:sz="4" w:space="0" w:color="FFFFFF"/>
              <w:left w:val="single" w:sz="4" w:space="0" w:color="FFFFFF"/>
              <w:bottom w:val="single" w:sz="4" w:space="0" w:color="FFFFFF"/>
              <w:right w:val="single" w:sz="4" w:space="0" w:color="FFFFFF" w:themeColor="background1"/>
            </w:tcBorders>
          </w:tcPr>
          <w:p w:rsidR="00064929" w:rsidRPr="00430524" w:rsidRDefault="00721AFD" w:rsidP="001D5071">
            <w:pPr>
              <w:widowControl/>
              <w:tabs>
                <w:tab w:val="left" w:pos="0"/>
              </w:tabs>
              <w:suppressAutoHyphens/>
              <w:ind w:right="1557"/>
              <w:jc w:val="both"/>
              <w:rPr>
                <w:rFonts w:ascii="Arial" w:hAnsi="Arial" w:cs="Arial"/>
                <w:i/>
                <w:color w:val="000000"/>
                <w:spacing w:val="-3"/>
              </w:rPr>
            </w:pPr>
            <w:r w:rsidRPr="00430524">
              <w:rPr>
                <w:rFonts w:ascii="Arial" w:hAnsi="Arial" w:cs="Arial"/>
                <w:i/>
                <w:color w:val="000000"/>
                <w:spacing w:val="-3"/>
              </w:rPr>
              <w:t>ratio of the basic price index of the i-th trading partner in period t to the Czech basic price index in period t; the base year is the same as the base year used for calculating S</w:t>
            </w:r>
            <w:r w:rsidRPr="00430524">
              <w:rPr>
                <w:rFonts w:ascii="Arial" w:hAnsi="Arial" w:cs="Arial"/>
                <w:i/>
                <w:color w:val="000000"/>
                <w:spacing w:val="-3"/>
                <w:vertAlign w:val="subscript"/>
              </w:rPr>
              <w:t>i</w:t>
            </w:r>
            <w:r w:rsidRPr="00430524">
              <w:rPr>
                <w:rFonts w:ascii="Arial" w:hAnsi="Arial" w:cs="Arial"/>
                <w:i/>
                <w:color w:val="000000"/>
                <w:spacing w:val="-3"/>
                <w:vertAlign w:val="superscript"/>
              </w:rPr>
              <w:t>*</w:t>
            </w:r>
          </w:p>
        </w:tc>
      </w:tr>
      <w:tr w:rsidR="00064929" w:rsidRPr="00430524" w:rsidTr="008C0525">
        <w:tc>
          <w:tcPr>
            <w:tcW w:w="778" w:type="dxa"/>
            <w:tcBorders>
              <w:top w:val="single" w:sz="4" w:space="0" w:color="FFFFFF"/>
              <w:left w:val="single" w:sz="4" w:space="0" w:color="FFFFFF"/>
              <w:bottom w:val="single" w:sz="4" w:space="0" w:color="FFFFFF"/>
              <w:right w:val="single" w:sz="4" w:space="0" w:color="FFFFFF"/>
            </w:tcBorders>
          </w:tcPr>
          <w:p w:rsidR="00064929" w:rsidRPr="00430524" w:rsidRDefault="00064929" w:rsidP="001D5071">
            <w:pPr>
              <w:widowControl/>
              <w:tabs>
                <w:tab w:val="left" w:pos="0"/>
              </w:tabs>
              <w:suppressAutoHyphens/>
              <w:jc w:val="both"/>
              <w:rPr>
                <w:rFonts w:ascii="Arial" w:hAnsi="Arial" w:cs="Arial"/>
                <w:i/>
                <w:color w:val="000000"/>
                <w:spacing w:val="-3"/>
              </w:rPr>
            </w:pPr>
          </w:p>
        </w:tc>
        <w:tc>
          <w:tcPr>
            <w:tcW w:w="708" w:type="dxa"/>
            <w:tcBorders>
              <w:top w:val="single" w:sz="4" w:space="0" w:color="FFFFFF"/>
              <w:left w:val="single" w:sz="4" w:space="0" w:color="FFFFFF"/>
              <w:bottom w:val="single" w:sz="4" w:space="0" w:color="FFFFFF"/>
              <w:right w:val="single" w:sz="4" w:space="0" w:color="FFFFFF"/>
            </w:tcBorders>
          </w:tcPr>
          <w:p w:rsidR="00064929" w:rsidRPr="00430524" w:rsidRDefault="00721AFD" w:rsidP="001D5071">
            <w:pPr>
              <w:widowControl/>
              <w:tabs>
                <w:tab w:val="left" w:pos="0"/>
              </w:tabs>
              <w:suppressAutoHyphens/>
              <w:jc w:val="both"/>
              <w:rPr>
                <w:rFonts w:ascii="Arial" w:hAnsi="Arial" w:cs="Arial"/>
                <w:i/>
                <w:color w:val="000000"/>
                <w:spacing w:val="-3"/>
              </w:rPr>
            </w:pPr>
            <w:r w:rsidRPr="00430524">
              <w:rPr>
                <w:rFonts w:ascii="Arial" w:hAnsi="Arial" w:cs="Arial"/>
                <w:i/>
                <w:color w:val="000000"/>
                <w:spacing w:val="-3"/>
              </w:rPr>
              <w:t>w</w:t>
            </w:r>
            <w:r w:rsidRPr="00430524">
              <w:rPr>
                <w:rFonts w:ascii="Arial" w:hAnsi="Arial" w:cs="Arial"/>
                <w:i/>
                <w:color w:val="000000"/>
                <w:spacing w:val="-3"/>
                <w:vertAlign w:val="subscript"/>
              </w:rPr>
              <w:t>i</w:t>
            </w:r>
            <w:r w:rsidRPr="00430524">
              <w:rPr>
                <w:rFonts w:ascii="Arial" w:hAnsi="Arial" w:cs="Arial"/>
                <w:i/>
                <w:color w:val="000000"/>
                <w:spacing w:val="-3"/>
                <w:vertAlign w:val="superscript"/>
              </w:rPr>
              <w:t>*</w:t>
            </w:r>
            <w:r w:rsidRPr="00430524">
              <w:rPr>
                <w:rFonts w:ascii="Arial" w:hAnsi="Arial" w:cs="Arial"/>
                <w:i/>
                <w:color w:val="000000"/>
                <w:spacing w:val="-3"/>
              </w:rPr>
              <w:t xml:space="preserve"> </w:t>
            </w:r>
            <w:r w:rsidR="009B01D7">
              <w:rPr>
                <w:rFonts w:ascii="Arial" w:hAnsi="Arial" w:cs="Arial"/>
                <w:i/>
                <w:color w:val="000000"/>
                <w:spacing w:val="-3"/>
              </w:rPr>
              <w:t>–</w:t>
            </w:r>
          </w:p>
        </w:tc>
        <w:tc>
          <w:tcPr>
            <w:tcW w:w="7657" w:type="dxa"/>
            <w:tcBorders>
              <w:top w:val="single" w:sz="4" w:space="0" w:color="FFFFFF"/>
              <w:left w:val="single" w:sz="4" w:space="0" w:color="FFFFFF"/>
              <w:bottom w:val="single" w:sz="4" w:space="0" w:color="FFFFFF"/>
              <w:right w:val="single" w:sz="4" w:space="0" w:color="FFFFFF" w:themeColor="background1"/>
            </w:tcBorders>
          </w:tcPr>
          <w:p w:rsidR="00064929" w:rsidRPr="00430524" w:rsidRDefault="00721AFD" w:rsidP="001D5071">
            <w:pPr>
              <w:widowControl/>
              <w:tabs>
                <w:tab w:val="left" w:pos="0"/>
              </w:tabs>
              <w:suppressAutoHyphens/>
              <w:ind w:right="1557"/>
              <w:jc w:val="both"/>
              <w:rPr>
                <w:rFonts w:ascii="Arial" w:hAnsi="Arial" w:cs="Arial"/>
                <w:i/>
                <w:color w:val="000000"/>
                <w:spacing w:val="-3"/>
              </w:rPr>
            </w:pPr>
            <w:r w:rsidRPr="00430524">
              <w:rPr>
                <w:rFonts w:ascii="Arial" w:hAnsi="Arial" w:cs="Arial"/>
                <w:i/>
                <w:color w:val="000000"/>
                <w:spacing w:val="-3"/>
              </w:rPr>
              <w:t>normalised weights of the currency of the i-th trading partner</w:t>
            </w:r>
          </w:p>
        </w:tc>
      </w:tr>
    </w:tbl>
    <w:p w:rsidR="00064929" w:rsidRPr="00430524" w:rsidRDefault="00064929"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rPr>
      </w:pP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outlineLvl w:val="0"/>
        <w:rPr>
          <w:rFonts w:ascii="Arial" w:hAnsi="Arial" w:cs="Arial"/>
          <w:i/>
          <w:color w:val="000000"/>
          <w:spacing w:val="-3"/>
        </w:rPr>
      </w:pPr>
    </w:p>
    <w:p w:rsidR="00AD5827" w:rsidRPr="00430524"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outlineLvl w:val="0"/>
        <w:rPr>
          <w:rFonts w:ascii="Arial" w:hAnsi="Arial" w:cs="Arial"/>
          <w:b/>
          <w:i/>
          <w:color w:val="000000"/>
          <w:spacing w:val="-3"/>
        </w:rPr>
      </w:pPr>
      <w:r w:rsidRPr="00430524">
        <w:rPr>
          <w:rFonts w:ascii="Arial" w:hAnsi="Arial" w:cs="Arial"/>
          <w:i/>
          <w:color w:val="000000"/>
          <w:spacing w:val="-3"/>
        </w:rPr>
        <w:t xml:space="preserve">Table </w:t>
      </w:r>
      <w:r w:rsidRPr="00430524">
        <w:rPr>
          <w:rFonts w:ascii="Arial" w:hAnsi="Arial" w:cs="Arial"/>
          <w:b/>
          <w:i/>
          <w:color w:val="000000"/>
          <w:spacing w:val="-3"/>
        </w:rPr>
        <w:t>7</w:t>
      </w:r>
      <w:r w:rsidRPr="00430524">
        <w:rPr>
          <w:rFonts w:ascii="Arial" w:hAnsi="Arial" w:cs="Arial"/>
          <w:i/>
          <w:color w:val="000000"/>
          <w:spacing w:val="-3"/>
        </w:rPr>
        <w:t xml:space="preserve">-19 </w:t>
      </w:r>
      <w:r w:rsidRPr="00430524">
        <w:rPr>
          <w:rFonts w:ascii="Arial" w:hAnsi="Arial" w:cs="Arial"/>
          <w:b/>
          <w:i/>
          <w:color w:val="000000"/>
          <w:spacing w:val="-3"/>
        </w:rPr>
        <w:t>Exchange rates of major currencies</w:t>
      </w:r>
    </w:p>
    <w:p w:rsidR="00AD5827" w:rsidRPr="00430524"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 xml:space="preserve">The average annual exchange rates of </w:t>
      </w:r>
      <w:r w:rsidRPr="00430524">
        <w:rPr>
          <w:rFonts w:ascii="Arial" w:hAnsi="Arial" w:cs="Arial"/>
          <w:i/>
          <w:iCs/>
          <w:color w:val="000000"/>
          <w:spacing w:val="-3"/>
        </w:rPr>
        <w:t>foreign</w:t>
      </w:r>
      <w:r w:rsidRPr="00430524">
        <w:rPr>
          <w:rFonts w:ascii="Arial" w:hAnsi="Arial" w:cs="Arial"/>
          <w:i/>
          <w:color w:val="000000"/>
          <w:spacing w:val="-3"/>
        </w:rPr>
        <w:t xml:space="preserve"> currencies against the </w:t>
      </w:r>
      <w:r w:rsidR="00494423" w:rsidRPr="00494423">
        <w:rPr>
          <w:rFonts w:ascii="Arial" w:hAnsi="Arial"/>
          <w:color w:val="000000"/>
          <w:spacing w:val="-3"/>
        </w:rPr>
        <w:t>koruna</w:t>
      </w:r>
      <w:r w:rsidRPr="00430524">
        <w:rPr>
          <w:rFonts w:ascii="Arial" w:hAnsi="Arial" w:cs="Arial"/>
          <w:i/>
          <w:color w:val="000000"/>
          <w:spacing w:val="-3"/>
        </w:rPr>
        <w:t xml:space="preserve"> are calculated from the daily fixings in the exchange rate list issued by the CNB.</w:t>
      </w: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rPr>
      </w:pP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rPr>
      </w:pPr>
    </w:p>
    <w:p w:rsidR="00AD5827" w:rsidRPr="00430524" w:rsidRDefault="00721AFD" w:rsidP="001D5071">
      <w:pPr>
        <w:widowControl/>
        <w:tabs>
          <w:tab w:val="left" w:pos="0"/>
          <w:tab w:val="left" w:pos="396"/>
          <w:tab w:val="left" w:pos="3240"/>
          <w:tab w:val="left" w:pos="3960"/>
          <w:tab w:val="left" w:pos="4680"/>
          <w:tab w:val="left" w:pos="5400"/>
          <w:tab w:val="left" w:pos="6120"/>
          <w:tab w:val="left" w:pos="6840"/>
          <w:tab w:val="left" w:pos="7560"/>
          <w:tab w:val="left" w:pos="8280"/>
          <w:tab w:val="left" w:pos="9636"/>
        </w:tabs>
        <w:suppressAutoHyphens/>
        <w:jc w:val="center"/>
        <w:rPr>
          <w:rFonts w:ascii="Arial" w:hAnsi="Arial" w:cs="Arial"/>
          <w:i/>
          <w:color w:val="000000"/>
          <w:spacing w:val="-3"/>
        </w:rPr>
      </w:pPr>
      <w:r w:rsidRPr="00430524">
        <w:rPr>
          <w:rFonts w:ascii="Arial" w:hAnsi="Arial" w:cs="Arial"/>
          <w:i/>
          <w:color w:val="000000"/>
          <w:spacing w:val="-3"/>
        </w:rPr>
        <w:t>*          *          *</w:t>
      </w:r>
    </w:p>
    <w:p w:rsidR="00AD5827" w:rsidRPr="00430524" w:rsidRDefault="00AD5827" w:rsidP="001D5071">
      <w:pPr>
        <w:widowControl/>
        <w:tabs>
          <w:tab w:val="left" w:pos="0"/>
          <w:tab w:val="left" w:pos="396"/>
          <w:tab w:val="left" w:pos="3240"/>
          <w:tab w:val="left" w:pos="3960"/>
          <w:tab w:val="left" w:pos="4680"/>
          <w:tab w:val="left" w:pos="5400"/>
          <w:tab w:val="left" w:pos="6120"/>
          <w:tab w:val="left" w:pos="6840"/>
          <w:tab w:val="left" w:pos="7560"/>
          <w:tab w:val="left" w:pos="8280"/>
          <w:tab w:val="left" w:pos="9636"/>
        </w:tabs>
        <w:suppressAutoHyphens/>
        <w:jc w:val="both"/>
        <w:rPr>
          <w:rFonts w:ascii="Arial" w:hAnsi="Arial" w:cs="Arial"/>
          <w:i/>
          <w:color w:val="000000"/>
          <w:spacing w:val="-3"/>
        </w:rPr>
      </w:pPr>
    </w:p>
    <w:p w:rsidR="00AD5827" w:rsidRPr="00430524" w:rsidRDefault="00AD5827" w:rsidP="001D5071">
      <w:pPr>
        <w:widowControl/>
        <w:tabs>
          <w:tab w:val="left" w:pos="0"/>
          <w:tab w:val="left" w:pos="396"/>
          <w:tab w:val="left" w:pos="3240"/>
          <w:tab w:val="left" w:pos="3960"/>
          <w:tab w:val="left" w:pos="4680"/>
          <w:tab w:val="left" w:pos="5400"/>
          <w:tab w:val="left" w:pos="6120"/>
          <w:tab w:val="left" w:pos="6840"/>
          <w:tab w:val="left" w:pos="7560"/>
          <w:tab w:val="left" w:pos="8280"/>
          <w:tab w:val="left" w:pos="9636"/>
        </w:tabs>
        <w:suppressAutoHyphens/>
        <w:jc w:val="both"/>
        <w:rPr>
          <w:rFonts w:ascii="Arial" w:hAnsi="Arial" w:cs="Arial"/>
          <w:i/>
          <w:color w:val="000000"/>
          <w:spacing w:val="-3"/>
        </w:rPr>
      </w:pPr>
    </w:p>
    <w:p w:rsidR="002E299D" w:rsidRPr="000B32C4" w:rsidRDefault="00721AFD" w:rsidP="001D5071">
      <w:pPr>
        <w:widowControl/>
        <w:tabs>
          <w:tab w:val="left" w:pos="0"/>
          <w:tab w:val="left" w:pos="396"/>
          <w:tab w:val="left" w:pos="3240"/>
          <w:tab w:val="left" w:pos="3960"/>
          <w:tab w:val="left" w:pos="4680"/>
          <w:tab w:val="left" w:pos="5400"/>
          <w:tab w:val="left" w:pos="6120"/>
          <w:tab w:val="left" w:pos="6840"/>
          <w:tab w:val="left" w:pos="7560"/>
          <w:tab w:val="left" w:pos="8280"/>
          <w:tab w:val="left" w:pos="9636"/>
        </w:tabs>
        <w:suppressAutoHyphens/>
        <w:ind w:firstLine="709"/>
        <w:jc w:val="both"/>
        <w:rPr>
          <w:rFonts w:ascii="Arial" w:hAnsi="Arial" w:cs="Arial"/>
          <w:i/>
        </w:rPr>
      </w:pPr>
      <w:r w:rsidRPr="00430524">
        <w:rPr>
          <w:rFonts w:ascii="Arial" w:hAnsi="Arial" w:cs="Arial"/>
          <w:i/>
        </w:rPr>
        <w:t xml:space="preserve">More detailed surveys and current data on monetary statistics and balance of payments statistics can be found on the CNB </w:t>
      </w:r>
      <w:r w:rsidR="00AD5827" w:rsidRPr="000B32C4">
        <w:rPr>
          <w:rFonts w:ascii="Arial" w:hAnsi="Arial" w:cs="Arial"/>
          <w:i/>
        </w:rPr>
        <w:t>website</w:t>
      </w:r>
      <w:r w:rsidR="00744ACB">
        <w:rPr>
          <w:rFonts w:ascii="Arial" w:hAnsi="Arial" w:cs="Arial"/>
          <w:i/>
        </w:rPr>
        <w:t>s</w:t>
      </w:r>
      <w:r w:rsidRPr="00430524">
        <w:rPr>
          <w:rFonts w:ascii="Arial" w:hAnsi="Arial" w:cs="Arial"/>
          <w:i/>
        </w:rPr>
        <w:t xml:space="preserve"> at</w:t>
      </w:r>
      <w:r w:rsidR="002E299D">
        <w:rPr>
          <w:rFonts w:ascii="Arial" w:hAnsi="Arial" w:cs="Arial"/>
          <w:i/>
        </w:rPr>
        <w:t>:</w:t>
      </w:r>
      <w:r w:rsidR="002E299D" w:rsidRPr="002E299D">
        <w:rPr>
          <w:rFonts w:ascii="Arial" w:hAnsi="Arial" w:cs="Arial"/>
          <w:i/>
        </w:rPr>
        <w:t xml:space="preserve"> </w:t>
      </w:r>
    </w:p>
    <w:p w:rsidR="000E2EC5" w:rsidRPr="00835512" w:rsidRDefault="002E299D" w:rsidP="001D5071">
      <w:pPr>
        <w:widowControl/>
        <w:tabs>
          <w:tab w:val="left" w:pos="0"/>
          <w:tab w:val="left" w:pos="396"/>
          <w:tab w:val="left" w:pos="3240"/>
          <w:tab w:val="left" w:pos="3960"/>
          <w:tab w:val="left" w:pos="4680"/>
          <w:tab w:val="left" w:pos="5400"/>
          <w:tab w:val="left" w:pos="6120"/>
          <w:tab w:val="left" w:pos="6840"/>
          <w:tab w:val="left" w:pos="7560"/>
          <w:tab w:val="left" w:pos="8280"/>
          <w:tab w:val="left" w:pos="9636"/>
        </w:tabs>
        <w:suppressAutoHyphens/>
        <w:spacing w:before="120"/>
        <w:jc w:val="both"/>
        <w:rPr>
          <w:rFonts w:ascii="Arial" w:hAnsi="Arial" w:cs="Arial"/>
          <w:i/>
        </w:rPr>
      </w:pPr>
      <w:r w:rsidRPr="00835512">
        <w:rPr>
          <w:rFonts w:ascii="Arial" w:hAnsi="Arial" w:cs="Arial"/>
        </w:rPr>
        <w:t>– </w:t>
      </w:r>
      <w:hyperlink r:id="rId16" w:history="1">
        <w:r w:rsidRPr="008F3523">
          <w:rPr>
            <w:rStyle w:val="Hypertextovodkaz"/>
            <w:rFonts w:ascii="Arial" w:hAnsi="Arial" w:cs="Arial"/>
          </w:rPr>
          <w:t>www.cnb.cz/en/</w:t>
        </w:r>
        <w:r w:rsidRPr="008F3523">
          <w:rPr>
            <w:rStyle w:val="Hypertextovodkaz"/>
            <w:rFonts w:ascii="Arial" w:hAnsi="Arial" w:cs="Arial"/>
            <w:bCs/>
          </w:rPr>
          <w:t>statistics/</w:t>
        </w:r>
        <w:r w:rsidRPr="008F3523">
          <w:rPr>
            <w:rStyle w:val="Hypertextovodkaz"/>
            <w:rFonts w:ascii="Arial" w:hAnsi="Arial" w:cs="Arial"/>
          </w:rPr>
          <w:t>index.html</w:t>
        </w:r>
      </w:hyperlink>
    </w:p>
    <w:sectPr w:rsidR="000E2EC5" w:rsidRPr="00835512" w:rsidSect="000E2EC5">
      <w:endnotePr>
        <w:numFmt w:val="decimal"/>
      </w:endnotePr>
      <w:type w:val="nextColumn"/>
      <w:pgSz w:w="11907" w:h="16840" w:code="9"/>
      <w:pgMar w:top="1417" w:right="1417" w:bottom="1417" w:left="1417"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5F6" w:rsidRDefault="005A35F6">
      <w:pPr>
        <w:spacing w:line="20" w:lineRule="exact"/>
      </w:pPr>
    </w:p>
  </w:endnote>
  <w:endnote w:type="continuationSeparator" w:id="0">
    <w:p w:rsidR="005A35F6" w:rsidRDefault="005A35F6">
      <w:r>
        <w:t xml:space="preserve"> </w:t>
      </w:r>
    </w:p>
  </w:endnote>
  <w:endnote w:type="continuationNotice" w:id="1">
    <w:p w:rsidR="005A35F6" w:rsidRDefault="005A35F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5F6" w:rsidRDefault="005A35F6">
      <w:r>
        <w:separator/>
      </w:r>
    </w:p>
  </w:footnote>
  <w:footnote w:type="continuationSeparator" w:id="0">
    <w:p w:rsidR="005A35F6" w:rsidRDefault="005A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643CF"/>
    <w:multiLevelType w:val="hybridMultilevel"/>
    <w:tmpl w:val="079A2010"/>
    <w:lvl w:ilvl="0" w:tplc="14740E2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9B793D"/>
    <w:multiLevelType w:val="singleLevel"/>
    <w:tmpl w:val="B2A856F8"/>
    <w:lvl w:ilvl="0">
      <w:start w:val="7"/>
      <w:numFmt w:val="bullet"/>
      <w:lvlText w:val="-"/>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B25"/>
    <w:rsid w:val="00000C06"/>
    <w:rsid w:val="0000441B"/>
    <w:rsid w:val="00005F8E"/>
    <w:rsid w:val="00010DAF"/>
    <w:rsid w:val="000119A0"/>
    <w:rsid w:val="00013646"/>
    <w:rsid w:val="00014061"/>
    <w:rsid w:val="00022206"/>
    <w:rsid w:val="000335C2"/>
    <w:rsid w:val="0005001C"/>
    <w:rsid w:val="0006113E"/>
    <w:rsid w:val="00062F3E"/>
    <w:rsid w:val="00064929"/>
    <w:rsid w:val="00064B07"/>
    <w:rsid w:val="00074A5D"/>
    <w:rsid w:val="000845A0"/>
    <w:rsid w:val="00084CE3"/>
    <w:rsid w:val="00087EF5"/>
    <w:rsid w:val="00090372"/>
    <w:rsid w:val="000A091E"/>
    <w:rsid w:val="000A4ADA"/>
    <w:rsid w:val="000A4FD8"/>
    <w:rsid w:val="000B1213"/>
    <w:rsid w:val="000B1D03"/>
    <w:rsid w:val="000B32C4"/>
    <w:rsid w:val="000B7E43"/>
    <w:rsid w:val="000B7EF0"/>
    <w:rsid w:val="000D52FA"/>
    <w:rsid w:val="000D5DEC"/>
    <w:rsid w:val="000D6FC6"/>
    <w:rsid w:val="000E2EC5"/>
    <w:rsid w:val="000E7BEC"/>
    <w:rsid w:val="000F3108"/>
    <w:rsid w:val="000F765C"/>
    <w:rsid w:val="00110D9B"/>
    <w:rsid w:val="00112B54"/>
    <w:rsid w:val="00113137"/>
    <w:rsid w:val="00115ED9"/>
    <w:rsid w:val="00116105"/>
    <w:rsid w:val="00122326"/>
    <w:rsid w:val="00125165"/>
    <w:rsid w:val="0013542A"/>
    <w:rsid w:val="00146391"/>
    <w:rsid w:val="00156C8B"/>
    <w:rsid w:val="00157843"/>
    <w:rsid w:val="00160338"/>
    <w:rsid w:val="00160B54"/>
    <w:rsid w:val="001637D2"/>
    <w:rsid w:val="0017172D"/>
    <w:rsid w:val="0018431B"/>
    <w:rsid w:val="00191557"/>
    <w:rsid w:val="001916C6"/>
    <w:rsid w:val="001A6751"/>
    <w:rsid w:val="001B1B63"/>
    <w:rsid w:val="001B7B3F"/>
    <w:rsid w:val="001C078C"/>
    <w:rsid w:val="001C7C6C"/>
    <w:rsid w:val="001D4A6D"/>
    <w:rsid w:val="001D4FF2"/>
    <w:rsid w:val="001D5071"/>
    <w:rsid w:val="001D5E14"/>
    <w:rsid w:val="001F7CD1"/>
    <w:rsid w:val="0020055A"/>
    <w:rsid w:val="00220B45"/>
    <w:rsid w:val="00221FD6"/>
    <w:rsid w:val="002236AB"/>
    <w:rsid w:val="00224193"/>
    <w:rsid w:val="00225A6E"/>
    <w:rsid w:val="002332AF"/>
    <w:rsid w:val="00236A0B"/>
    <w:rsid w:val="00244B0B"/>
    <w:rsid w:val="0025594E"/>
    <w:rsid w:val="00277F3D"/>
    <w:rsid w:val="0028430D"/>
    <w:rsid w:val="00290CEE"/>
    <w:rsid w:val="00293980"/>
    <w:rsid w:val="002A18FB"/>
    <w:rsid w:val="002A3F18"/>
    <w:rsid w:val="002B1669"/>
    <w:rsid w:val="002B229D"/>
    <w:rsid w:val="002B5377"/>
    <w:rsid w:val="002C76B3"/>
    <w:rsid w:val="002D5DC1"/>
    <w:rsid w:val="002E299D"/>
    <w:rsid w:val="00301BAB"/>
    <w:rsid w:val="00312897"/>
    <w:rsid w:val="00316C7B"/>
    <w:rsid w:val="00317996"/>
    <w:rsid w:val="0032057D"/>
    <w:rsid w:val="003227AF"/>
    <w:rsid w:val="00330FC6"/>
    <w:rsid w:val="003324DD"/>
    <w:rsid w:val="00334466"/>
    <w:rsid w:val="003428FC"/>
    <w:rsid w:val="00342A97"/>
    <w:rsid w:val="00344238"/>
    <w:rsid w:val="00354880"/>
    <w:rsid w:val="003567BB"/>
    <w:rsid w:val="00361BAF"/>
    <w:rsid w:val="0036406A"/>
    <w:rsid w:val="00364E7F"/>
    <w:rsid w:val="00364FE2"/>
    <w:rsid w:val="00365B35"/>
    <w:rsid w:val="00366D68"/>
    <w:rsid w:val="00367DD8"/>
    <w:rsid w:val="0037115E"/>
    <w:rsid w:val="003764D9"/>
    <w:rsid w:val="00384E82"/>
    <w:rsid w:val="00396AE3"/>
    <w:rsid w:val="003A1D7B"/>
    <w:rsid w:val="003B4B16"/>
    <w:rsid w:val="003C60ED"/>
    <w:rsid w:val="003D4288"/>
    <w:rsid w:val="003E0769"/>
    <w:rsid w:val="003E2410"/>
    <w:rsid w:val="003F1881"/>
    <w:rsid w:val="00405745"/>
    <w:rsid w:val="00406DAE"/>
    <w:rsid w:val="004268E1"/>
    <w:rsid w:val="004270B6"/>
    <w:rsid w:val="00430524"/>
    <w:rsid w:val="00440B2C"/>
    <w:rsid w:val="004521BF"/>
    <w:rsid w:val="00452506"/>
    <w:rsid w:val="0046706D"/>
    <w:rsid w:val="00471EAE"/>
    <w:rsid w:val="00475F46"/>
    <w:rsid w:val="00483896"/>
    <w:rsid w:val="00492168"/>
    <w:rsid w:val="00494423"/>
    <w:rsid w:val="004974E5"/>
    <w:rsid w:val="004B0381"/>
    <w:rsid w:val="004C0D60"/>
    <w:rsid w:val="004C2B89"/>
    <w:rsid w:val="004C51A4"/>
    <w:rsid w:val="004C7DF1"/>
    <w:rsid w:val="004E4881"/>
    <w:rsid w:val="004F7C90"/>
    <w:rsid w:val="00506DD0"/>
    <w:rsid w:val="005129AB"/>
    <w:rsid w:val="00514908"/>
    <w:rsid w:val="005165A3"/>
    <w:rsid w:val="00522B22"/>
    <w:rsid w:val="00525BF8"/>
    <w:rsid w:val="0052693A"/>
    <w:rsid w:val="005309A4"/>
    <w:rsid w:val="00534AB9"/>
    <w:rsid w:val="00540BCD"/>
    <w:rsid w:val="0054712C"/>
    <w:rsid w:val="00552D8A"/>
    <w:rsid w:val="00554746"/>
    <w:rsid w:val="0057586F"/>
    <w:rsid w:val="00585F2C"/>
    <w:rsid w:val="00592840"/>
    <w:rsid w:val="00596470"/>
    <w:rsid w:val="005A35F6"/>
    <w:rsid w:val="005A7C8D"/>
    <w:rsid w:val="005B330D"/>
    <w:rsid w:val="005B4808"/>
    <w:rsid w:val="005C53F2"/>
    <w:rsid w:val="005C7B0B"/>
    <w:rsid w:val="005D630E"/>
    <w:rsid w:val="005E0C12"/>
    <w:rsid w:val="005E2FCE"/>
    <w:rsid w:val="005E3C87"/>
    <w:rsid w:val="005E426E"/>
    <w:rsid w:val="005F19EF"/>
    <w:rsid w:val="0060376B"/>
    <w:rsid w:val="00607D7A"/>
    <w:rsid w:val="00616ACA"/>
    <w:rsid w:val="00631A7A"/>
    <w:rsid w:val="00644333"/>
    <w:rsid w:val="00644A85"/>
    <w:rsid w:val="00650E85"/>
    <w:rsid w:val="00655AB4"/>
    <w:rsid w:val="00685495"/>
    <w:rsid w:val="006925EB"/>
    <w:rsid w:val="00692E0D"/>
    <w:rsid w:val="00696DCE"/>
    <w:rsid w:val="006A1D33"/>
    <w:rsid w:val="006A7946"/>
    <w:rsid w:val="006B3A6A"/>
    <w:rsid w:val="006B5F3D"/>
    <w:rsid w:val="006B7767"/>
    <w:rsid w:val="006C017F"/>
    <w:rsid w:val="006E70A7"/>
    <w:rsid w:val="006F3DC0"/>
    <w:rsid w:val="007039C9"/>
    <w:rsid w:val="00704E15"/>
    <w:rsid w:val="00714849"/>
    <w:rsid w:val="0071757F"/>
    <w:rsid w:val="007219D8"/>
    <w:rsid w:val="00721AFD"/>
    <w:rsid w:val="0072621D"/>
    <w:rsid w:val="007364B7"/>
    <w:rsid w:val="00744ACB"/>
    <w:rsid w:val="00747542"/>
    <w:rsid w:val="00752343"/>
    <w:rsid w:val="00752DA8"/>
    <w:rsid w:val="00753DBE"/>
    <w:rsid w:val="0075717D"/>
    <w:rsid w:val="00757382"/>
    <w:rsid w:val="00771FE8"/>
    <w:rsid w:val="00792ADA"/>
    <w:rsid w:val="007A1C21"/>
    <w:rsid w:val="007B4ED4"/>
    <w:rsid w:val="007B4FCF"/>
    <w:rsid w:val="007B7469"/>
    <w:rsid w:val="007C20B5"/>
    <w:rsid w:val="007D08CC"/>
    <w:rsid w:val="007D2DE3"/>
    <w:rsid w:val="007D5393"/>
    <w:rsid w:val="007D59ED"/>
    <w:rsid w:val="007E6644"/>
    <w:rsid w:val="007F0BD0"/>
    <w:rsid w:val="007F2C4D"/>
    <w:rsid w:val="007F33B2"/>
    <w:rsid w:val="007F5697"/>
    <w:rsid w:val="00816469"/>
    <w:rsid w:val="00830788"/>
    <w:rsid w:val="00835512"/>
    <w:rsid w:val="0084203B"/>
    <w:rsid w:val="008430D3"/>
    <w:rsid w:val="008433D9"/>
    <w:rsid w:val="008506A3"/>
    <w:rsid w:val="008507D9"/>
    <w:rsid w:val="008569BD"/>
    <w:rsid w:val="00857961"/>
    <w:rsid w:val="0086309B"/>
    <w:rsid w:val="00874B86"/>
    <w:rsid w:val="0088166E"/>
    <w:rsid w:val="0088212A"/>
    <w:rsid w:val="00887CCC"/>
    <w:rsid w:val="0089131E"/>
    <w:rsid w:val="00897C26"/>
    <w:rsid w:val="008B0A59"/>
    <w:rsid w:val="008B1858"/>
    <w:rsid w:val="008B5C1E"/>
    <w:rsid w:val="008B604A"/>
    <w:rsid w:val="008C0525"/>
    <w:rsid w:val="008C140B"/>
    <w:rsid w:val="008C5318"/>
    <w:rsid w:val="008D6790"/>
    <w:rsid w:val="008E0980"/>
    <w:rsid w:val="008E521B"/>
    <w:rsid w:val="008E5EB6"/>
    <w:rsid w:val="008F19DD"/>
    <w:rsid w:val="008F3523"/>
    <w:rsid w:val="008F516B"/>
    <w:rsid w:val="009001F8"/>
    <w:rsid w:val="00902012"/>
    <w:rsid w:val="0091576E"/>
    <w:rsid w:val="00923140"/>
    <w:rsid w:val="0093077C"/>
    <w:rsid w:val="00935395"/>
    <w:rsid w:val="009367BF"/>
    <w:rsid w:val="00945552"/>
    <w:rsid w:val="00947AC9"/>
    <w:rsid w:val="0095590F"/>
    <w:rsid w:val="009565B0"/>
    <w:rsid w:val="0095718D"/>
    <w:rsid w:val="009613C3"/>
    <w:rsid w:val="00963A5F"/>
    <w:rsid w:val="00966B5A"/>
    <w:rsid w:val="00974C09"/>
    <w:rsid w:val="00981BE9"/>
    <w:rsid w:val="009A6C26"/>
    <w:rsid w:val="009A7E04"/>
    <w:rsid w:val="009B01D7"/>
    <w:rsid w:val="009B46F6"/>
    <w:rsid w:val="009C2504"/>
    <w:rsid w:val="009C459E"/>
    <w:rsid w:val="009C5884"/>
    <w:rsid w:val="009C6ADE"/>
    <w:rsid w:val="009C6D8C"/>
    <w:rsid w:val="009E306D"/>
    <w:rsid w:val="009E6697"/>
    <w:rsid w:val="009E675D"/>
    <w:rsid w:val="009F421C"/>
    <w:rsid w:val="00A005C4"/>
    <w:rsid w:val="00A071F4"/>
    <w:rsid w:val="00A20754"/>
    <w:rsid w:val="00A34B5A"/>
    <w:rsid w:val="00A37403"/>
    <w:rsid w:val="00A50AF4"/>
    <w:rsid w:val="00A85346"/>
    <w:rsid w:val="00AA31FC"/>
    <w:rsid w:val="00AA4336"/>
    <w:rsid w:val="00AA5349"/>
    <w:rsid w:val="00AB3970"/>
    <w:rsid w:val="00AB405B"/>
    <w:rsid w:val="00AB50A3"/>
    <w:rsid w:val="00AB5D5E"/>
    <w:rsid w:val="00AD1691"/>
    <w:rsid w:val="00AD5827"/>
    <w:rsid w:val="00AE11EC"/>
    <w:rsid w:val="00AE2318"/>
    <w:rsid w:val="00AE46D6"/>
    <w:rsid w:val="00AE46EB"/>
    <w:rsid w:val="00AE5891"/>
    <w:rsid w:val="00AF223B"/>
    <w:rsid w:val="00AF3615"/>
    <w:rsid w:val="00AF644A"/>
    <w:rsid w:val="00B166AA"/>
    <w:rsid w:val="00B23832"/>
    <w:rsid w:val="00B25122"/>
    <w:rsid w:val="00B374C5"/>
    <w:rsid w:val="00B52623"/>
    <w:rsid w:val="00B54F5B"/>
    <w:rsid w:val="00B91F26"/>
    <w:rsid w:val="00BA0FE0"/>
    <w:rsid w:val="00BA6B25"/>
    <w:rsid w:val="00BA76A4"/>
    <w:rsid w:val="00BB6E48"/>
    <w:rsid w:val="00BB7A30"/>
    <w:rsid w:val="00BC2EF7"/>
    <w:rsid w:val="00BC41E8"/>
    <w:rsid w:val="00BD0025"/>
    <w:rsid w:val="00C12CC9"/>
    <w:rsid w:val="00C15BC6"/>
    <w:rsid w:val="00C20E6A"/>
    <w:rsid w:val="00C22106"/>
    <w:rsid w:val="00C33206"/>
    <w:rsid w:val="00C37A55"/>
    <w:rsid w:val="00C622FE"/>
    <w:rsid w:val="00C65A37"/>
    <w:rsid w:val="00C71C53"/>
    <w:rsid w:val="00C71FC3"/>
    <w:rsid w:val="00C8438D"/>
    <w:rsid w:val="00C908AC"/>
    <w:rsid w:val="00C972FD"/>
    <w:rsid w:val="00CA2969"/>
    <w:rsid w:val="00CA3383"/>
    <w:rsid w:val="00CA3F6B"/>
    <w:rsid w:val="00CA47CF"/>
    <w:rsid w:val="00CB18FA"/>
    <w:rsid w:val="00CC4143"/>
    <w:rsid w:val="00CD30DA"/>
    <w:rsid w:val="00CE4DDB"/>
    <w:rsid w:val="00CF0401"/>
    <w:rsid w:val="00D009D7"/>
    <w:rsid w:val="00D01797"/>
    <w:rsid w:val="00D03D35"/>
    <w:rsid w:val="00D05CC4"/>
    <w:rsid w:val="00D24543"/>
    <w:rsid w:val="00D30BC8"/>
    <w:rsid w:val="00D34D28"/>
    <w:rsid w:val="00D35340"/>
    <w:rsid w:val="00D5713D"/>
    <w:rsid w:val="00D57C93"/>
    <w:rsid w:val="00D62289"/>
    <w:rsid w:val="00D80E19"/>
    <w:rsid w:val="00DA0A8D"/>
    <w:rsid w:val="00DA3591"/>
    <w:rsid w:val="00DA5050"/>
    <w:rsid w:val="00DB2D83"/>
    <w:rsid w:val="00DD22A2"/>
    <w:rsid w:val="00DD4011"/>
    <w:rsid w:val="00DF1D02"/>
    <w:rsid w:val="00DF4013"/>
    <w:rsid w:val="00DF4A30"/>
    <w:rsid w:val="00E06E52"/>
    <w:rsid w:val="00E20F1F"/>
    <w:rsid w:val="00E258E9"/>
    <w:rsid w:val="00E27150"/>
    <w:rsid w:val="00E360EE"/>
    <w:rsid w:val="00E4620C"/>
    <w:rsid w:val="00E53F3C"/>
    <w:rsid w:val="00E665C2"/>
    <w:rsid w:val="00E71D76"/>
    <w:rsid w:val="00E72127"/>
    <w:rsid w:val="00E8127C"/>
    <w:rsid w:val="00E846EC"/>
    <w:rsid w:val="00E96ABF"/>
    <w:rsid w:val="00EA048D"/>
    <w:rsid w:val="00EA143C"/>
    <w:rsid w:val="00EA6DE8"/>
    <w:rsid w:val="00EA7F04"/>
    <w:rsid w:val="00EB3F57"/>
    <w:rsid w:val="00ED77FD"/>
    <w:rsid w:val="00EE2028"/>
    <w:rsid w:val="00EE78FC"/>
    <w:rsid w:val="00F039C9"/>
    <w:rsid w:val="00F13163"/>
    <w:rsid w:val="00F16983"/>
    <w:rsid w:val="00F2553E"/>
    <w:rsid w:val="00F30E10"/>
    <w:rsid w:val="00F35076"/>
    <w:rsid w:val="00F36831"/>
    <w:rsid w:val="00F36902"/>
    <w:rsid w:val="00F375A5"/>
    <w:rsid w:val="00F4474A"/>
    <w:rsid w:val="00F62152"/>
    <w:rsid w:val="00F71297"/>
    <w:rsid w:val="00F77FA9"/>
    <w:rsid w:val="00F8410B"/>
    <w:rsid w:val="00F92080"/>
    <w:rsid w:val="00F95DF4"/>
    <w:rsid w:val="00FB0313"/>
    <w:rsid w:val="00FC3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E94569A2-2FC2-44CA-937C-F7C04EAB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1AFD"/>
    <w:pPr>
      <w:widowControl w:val="0"/>
      <w:autoSpaceDE w:val="0"/>
      <w:autoSpaceDN w:val="0"/>
      <w:adjustRightInd w:val="0"/>
    </w:pPr>
    <w:rPr>
      <w:lang w:val="en-GB"/>
    </w:rPr>
  </w:style>
  <w:style w:type="paragraph" w:styleId="Nadpis1">
    <w:name w:val="heading 1"/>
    <w:basedOn w:val="Normln"/>
    <w:next w:val="Normln"/>
    <w:qFormat/>
    <w:rsid w:val="00721AFD"/>
    <w:pPr>
      <w:keepNext/>
      <w:tabs>
        <w:tab w:val="left" w:pos="0"/>
        <w:tab w:val="left" w:pos="396"/>
        <w:tab w:val="left" w:pos="5040"/>
      </w:tabs>
      <w:suppressAutoHyphens/>
      <w:spacing w:line="240" w:lineRule="atLeast"/>
      <w:ind w:right="1774"/>
      <w:outlineLvl w:val="0"/>
    </w:pPr>
    <w:rPr>
      <w:rFonts w:ascii="Arial" w:hAnsi="Arial"/>
      <w:b/>
      <w:i/>
      <w:color w:val="000000"/>
      <w:spacing w:val="-3"/>
    </w:rPr>
  </w:style>
  <w:style w:type="paragraph" w:styleId="Nadpis2">
    <w:name w:val="heading 2"/>
    <w:basedOn w:val="Normln"/>
    <w:next w:val="Normln"/>
    <w:qFormat/>
    <w:rsid w:val="00721AFD"/>
    <w:pPr>
      <w:keepNext/>
      <w:tabs>
        <w:tab w:val="left" w:pos="0"/>
        <w:tab w:val="left" w:pos="396"/>
        <w:tab w:val="left" w:pos="738"/>
        <w:tab w:val="left" w:pos="1440"/>
      </w:tabs>
      <w:suppressAutoHyphens/>
      <w:spacing w:line="240" w:lineRule="atLeast"/>
      <w:jc w:val="both"/>
      <w:outlineLvl w:val="1"/>
    </w:pPr>
    <w:rPr>
      <w:rFonts w:ascii="Arial" w:hAnsi="Arial"/>
      <w:b/>
      <w:i/>
      <w:spacing w:val="-3"/>
    </w:rPr>
  </w:style>
  <w:style w:type="paragraph" w:styleId="Nadpis3">
    <w:name w:val="heading 3"/>
    <w:basedOn w:val="Normln"/>
    <w:next w:val="Normln"/>
    <w:qFormat/>
    <w:rsid w:val="00721AFD"/>
    <w:pPr>
      <w:keepNext/>
      <w:jc w:val="both"/>
      <w:outlineLvl w:val="2"/>
    </w:pPr>
    <w:rPr>
      <w:rFonts w:ascii="Arial" w:hAnsi="Arial" w:cs="Arial"/>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rsid w:val="00721AFD"/>
    <w:rPr>
      <w:szCs w:val="24"/>
    </w:rPr>
  </w:style>
  <w:style w:type="character" w:customStyle="1" w:styleId="Odkaznavysvtlivku">
    <w:name w:val="Odkaz na vysvětlivku"/>
    <w:rsid w:val="00721AFD"/>
    <w:rPr>
      <w:vertAlign w:val="superscript"/>
    </w:rPr>
  </w:style>
  <w:style w:type="paragraph" w:styleId="Textpoznpodarou">
    <w:name w:val="footnote text"/>
    <w:basedOn w:val="Normln"/>
    <w:semiHidden/>
    <w:rsid w:val="00721AFD"/>
    <w:rPr>
      <w:szCs w:val="24"/>
    </w:rPr>
  </w:style>
  <w:style w:type="character" w:customStyle="1" w:styleId="Odkaznapoznpodarou">
    <w:name w:val="Odkaz na pozn. pod čarou"/>
    <w:rsid w:val="00721AFD"/>
    <w:rPr>
      <w:vertAlign w:val="superscript"/>
    </w:rPr>
  </w:style>
  <w:style w:type="paragraph" w:styleId="Obsah1">
    <w:name w:val="toc 1"/>
    <w:basedOn w:val="Normln"/>
    <w:next w:val="Normln"/>
    <w:autoRedefine/>
    <w:semiHidden/>
    <w:rsid w:val="00721AFD"/>
    <w:pPr>
      <w:tabs>
        <w:tab w:val="right" w:leader="dot" w:pos="9360"/>
      </w:tabs>
      <w:suppressAutoHyphens/>
      <w:spacing w:before="480" w:line="240" w:lineRule="atLeast"/>
      <w:ind w:left="720" w:right="720" w:hanging="720"/>
    </w:pPr>
    <w:rPr>
      <w:lang w:val="en-US"/>
    </w:rPr>
  </w:style>
  <w:style w:type="paragraph" w:styleId="Obsah2">
    <w:name w:val="toc 2"/>
    <w:basedOn w:val="Normln"/>
    <w:next w:val="Normln"/>
    <w:autoRedefine/>
    <w:semiHidden/>
    <w:rsid w:val="00721AFD"/>
    <w:pPr>
      <w:tabs>
        <w:tab w:val="right" w:leader="dot" w:pos="9360"/>
      </w:tabs>
      <w:suppressAutoHyphens/>
      <w:spacing w:line="240" w:lineRule="atLeast"/>
      <w:ind w:left="1440" w:right="720" w:hanging="720"/>
    </w:pPr>
    <w:rPr>
      <w:lang w:val="en-US"/>
    </w:rPr>
  </w:style>
  <w:style w:type="paragraph" w:styleId="Obsah3">
    <w:name w:val="toc 3"/>
    <w:basedOn w:val="Normln"/>
    <w:next w:val="Normln"/>
    <w:autoRedefine/>
    <w:semiHidden/>
    <w:rsid w:val="00721AFD"/>
    <w:pPr>
      <w:tabs>
        <w:tab w:val="right" w:leader="dot" w:pos="9360"/>
      </w:tabs>
      <w:suppressAutoHyphens/>
      <w:spacing w:line="240" w:lineRule="atLeast"/>
      <w:ind w:left="2160" w:right="720" w:hanging="720"/>
    </w:pPr>
    <w:rPr>
      <w:lang w:val="en-US"/>
    </w:rPr>
  </w:style>
  <w:style w:type="paragraph" w:styleId="Obsah4">
    <w:name w:val="toc 4"/>
    <w:basedOn w:val="Normln"/>
    <w:next w:val="Normln"/>
    <w:autoRedefine/>
    <w:semiHidden/>
    <w:rsid w:val="00721AFD"/>
    <w:pPr>
      <w:tabs>
        <w:tab w:val="right" w:leader="dot" w:pos="9360"/>
      </w:tabs>
      <w:suppressAutoHyphens/>
      <w:spacing w:line="240" w:lineRule="atLeast"/>
      <w:ind w:left="2880" w:right="720" w:hanging="720"/>
    </w:pPr>
    <w:rPr>
      <w:lang w:val="en-US"/>
    </w:rPr>
  </w:style>
  <w:style w:type="paragraph" w:styleId="Obsah5">
    <w:name w:val="toc 5"/>
    <w:basedOn w:val="Normln"/>
    <w:next w:val="Normln"/>
    <w:autoRedefine/>
    <w:semiHidden/>
    <w:rsid w:val="00721AFD"/>
    <w:pPr>
      <w:tabs>
        <w:tab w:val="right" w:leader="dot" w:pos="9360"/>
      </w:tabs>
      <w:suppressAutoHyphens/>
      <w:spacing w:line="240" w:lineRule="atLeast"/>
      <w:ind w:left="3600" w:right="720" w:hanging="720"/>
    </w:pPr>
    <w:rPr>
      <w:lang w:val="en-US"/>
    </w:rPr>
  </w:style>
  <w:style w:type="paragraph" w:styleId="Obsah6">
    <w:name w:val="toc 6"/>
    <w:basedOn w:val="Normln"/>
    <w:next w:val="Normln"/>
    <w:autoRedefine/>
    <w:semiHidden/>
    <w:rsid w:val="00721AFD"/>
    <w:pPr>
      <w:tabs>
        <w:tab w:val="right" w:pos="9360"/>
      </w:tabs>
      <w:suppressAutoHyphens/>
      <w:spacing w:line="240" w:lineRule="atLeast"/>
      <w:ind w:left="720" w:hanging="720"/>
    </w:pPr>
    <w:rPr>
      <w:lang w:val="en-US"/>
    </w:rPr>
  </w:style>
  <w:style w:type="paragraph" w:styleId="Obsah7">
    <w:name w:val="toc 7"/>
    <w:basedOn w:val="Normln"/>
    <w:next w:val="Normln"/>
    <w:autoRedefine/>
    <w:semiHidden/>
    <w:rsid w:val="00721AFD"/>
    <w:pPr>
      <w:suppressAutoHyphens/>
      <w:spacing w:line="240" w:lineRule="atLeast"/>
      <w:ind w:left="720" w:hanging="720"/>
    </w:pPr>
    <w:rPr>
      <w:lang w:val="en-US"/>
    </w:rPr>
  </w:style>
  <w:style w:type="paragraph" w:styleId="Obsah8">
    <w:name w:val="toc 8"/>
    <w:basedOn w:val="Normln"/>
    <w:next w:val="Normln"/>
    <w:autoRedefine/>
    <w:semiHidden/>
    <w:rsid w:val="00721AFD"/>
    <w:pPr>
      <w:tabs>
        <w:tab w:val="right" w:pos="9360"/>
      </w:tabs>
      <w:suppressAutoHyphens/>
      <w:spacing w:line="240" w:lineRule="atLeast"/>
      <w:ind w:left="720" w:hanging="720"/>
    </w:pPr>
    <w:rPr>
      <w:lang w:val="en-US"/>
    </w:rPr>
  </w:style>
  <w:style w:type="paragraph" w:styleId="Obsah9">
    <w:name w:val="toc 9"/>
    <w:basedOn w:val="Normln"/>
    <w:next w:val="Normln"/>
    <w:autoRedefine/>
    <w:semiHidden/>
    <w:rsid w:val="00721AFD"/>
    <w:pPr>
      <w:tabs>
        <w:tab w:val="right" w:leader="dot" w:pos="9360"/>
      </w:tabs>
      <w:suppressAutoHyphens/>
      <w:spacing w:line="240" w:lineRule="atLeast"/>
      <w:ind w:left="720" w:hanging="720"/>
    </w:pPr>
    <w:rPr>
      <w:lang w:val="en-US"/>
    </w:rPr>
  </w:style>
  <w:style w:type="paragraph" w:styleId="Rejstk1">
    <w:name w:val="index 1"/>
    <w:basedOn w:val="Normln"/>
    <w:next w:val="Normln"/>
    <w:autoRedefine/>
    <w:semiHidden/>
    <w:rsid w:val="00721AFD"/>
    <w:pPr>
      <w:tabs>
        <w:tab w:val="right" w:leader="dot" w:pos="9360"/>
      </w:tabs>
      <w:suppressAutoHyphens/>
      <w:spacing w:line="240" w:lineRule="atLeast"/>
      <w:ind w:left="1440" w:right="720" w:hanging="1440"/>
    </w:pPr>
    <w:rPr>
      <w:lang w:val="en-US"/>
    </w:rPr>
  </w:style>
  <w:style w:type="paragraph" w:styleId="Rejstk2">
    <w:name w:val="index 2"/>
    <w:basedOn w:val="Normln"/>
    <w:next w:val="Normln"/>
    <w:autoRedefine/>
    <w:semiHidden/>
    <w:rsid w:val="00721AFD"/>
    <w:pPr>
      <w:tabs>
        <w:tab w:val="right" w:leader="dot" w:pos="9360"/>
      </w:tabs>
      <w:suppressAutoHyphens/>
      <w:spacing w:line="240" w:lineRule="atLeast"/>
      <w:ind w:left="1440" w:right="720" w:hanging="720"/>
    </w:pPr>
    <w:rPr>
      <w:lang w:val="en-US"/>
    </w:rPr>
  </w:style>
  <w:style w:type="paragraph" w:styleId="Nadpisobsahu">
    <w:name w:val="TOC Heading"/>
    <w:basedOn w:val="Normln"/>
    <w:qFormat/>
    <w:rsid w:val="00721AFD"/>
    <w:pPr>
      <w:tabs>
        <w:tab w:val="right" w:pos="9360"/>
      </w:tabs>
      <w:suppressAutoHyphens/>
      <w:spacing w:line="240" w:lineRule="atLeast"/>
    </w:pPr>
    <w:rPr>
      <w:lang w:val="en-US"/>
    </w:rPr>
  </w:style>
  <w:style w:type="paragraph" w:styleId="Titulek">
    <w:name w:val="caption"/>
    <w:basedOn w:val="Normln"/>
    <w:next w:val="Normln"/>
    <w:qFormat/>
    <w:rsid w:val="00721AFD"/>
    <w:rPr>
      <w:szCs w:val="24"/>
    </w:rPr>
  </w:style>
  <w:style w:type="character" w:customStyle="1" w:styleId="EquationCaption">
    <w:name w:val="_Equation Caption"/>
    <w:rsid w:val="00721AFD"/>
  </w:style>
  <w:style w:type="paragraph" w:styleId="Zkladntext">
    <w:name w:val="Body Text"/>
    <w:basedOn w:val="Normln"/>
    <w:rsid w:val="00721AFD"/>
    <w:pPr>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line="240" w:lineRule="atLeast"/>
      <w:jc w:val="both"/>
    </w:pPr>
    <w:rPr>
      <w:i/>
      <w:color w:val="000000"/>
      <w:spacing w:val="-3"/>
      <w:sz w:val="24"/>
    </w:rPr>
  </w:style>
  <w:style w:type="paragraph" w:styleId="Zhlav">
    <w:name w:val="header"/>
    <w:basedOn w:val="Normln"/>
    <w:link w:val="ZhlavChar"/>
    <w:uiPriority w:val="99"/>
    <w:rsid w:val="00721AFD"/>
    <w:pPr>
      <w:tabs>
        <w:tab w:val="center" w:pos="4536"/>
        <w:tab w:val="right" w:pos="9072"/>
      </w:tabs>
    </w:pPr>
  </w:style>
  <w:style w:type="paragraph" w:styleId="Zpat">
    <w:name w:val="footer"/>
    <w:basedOn w:val="Normln"/>
    <w:rsid w:val="00721AFD"/>
    <w:pPr>
      <w:tabs>
        <w:tab w:val="center" w:pos="4536"/>
        <w:tab w:val="right" w:pos="9072"/>
      </w:tabs>
    </w:pPr>
  </w:style>
  <w:style w:type="paragraph" w:styleId="Zkladntext2">
    <w:name w:val="Body Text 2"/>
    <w:basedOn w:val="Normln"/>
    <w:rsid w:val="00721AFD"/>
    <w:pPr>
      <w:tabs>
        <w:tab w:val="left" w:pos="0"/>
        <w:tab w:val="left" w:pos="453"/>
        <w:tab w:val="left" w:pos="1440"/>
      </w:tabs>
      <w:suppressAutoHyphens/>
      <w:spacing w:line="240" w:lineRule="atLeast"/>
      <w:jc w:val="both"/>
    </w:pPr>
    <w:rPr>
      <w:rFonts w:ascii="Arial" w:hAnsi="Arial"/>
      <w:i/>
      <w:spacing w:val="-3"/>
      <w:sz w:val="24"/>
    </w:rPr>
  </w:style>
  <w:style w:type="paragraph" w:styleId="Zkladntext3">
    <w:name w:val="Body Text 3"/>
    <w:basedOn w:val="Normln"/>
    <w:rsid w:val="00721AFD"/>
    <w:pPr>
      <w:tabs>
        <w:tab w:val="left" w:pos="0"/>
        <w:tab w:val="left" w:pos="396"/>
        <w:tab w:val="left" w:pos="738"/>
        <w:tab w:val="left" w:pos="1440"/>
      </w:tabs>
      <w:suppressAutoHyphens/>
      <w:spacing w:line="240" w:lineRule="atLeast"/>
      <w:jc w:val="both"/>
    </w:pPr>
    <w:rPr>
      <w:rFonts w:ascii="Arial" w:hAnsi="Arial"/>
      <w:i/>
      <w:spacing w:val="-3"/>
    </w:rPr>
  </w:style>
  <w:style w:type="paragraph" w:customStyle="1" w:styleId="Rozloendokumentu1">
    <w:name w:val="Rozložení dokumentu1"/>
    <w:basedOn w:val="Normln"/>
    <w:semiHidden/>
    <w:rsid w:val="00721AFD"/>
    <w:pPr>
      <w:shd w:val="clear" w:color="auto" w:fill="000080"/>
    </w:pPr>
    <w:rPr>
      <w:rFonts w:ascii="Tahoma" w:hAnsi="Tahoma" w:cs="Tahoma"/>
    </w:rPr>
  </w:style>
  <w:style w:type="paragraph" w:styleId="Podnadpis">
    <w:name w:val="Subtitle"/>
    <w:basedOn w:val="Normln"/>
    <w:qFormat/>
    <w:rsid w:val="00721AFD"/>
    <w:pPr>
      <w:widowControl/>
      <w:autoSpaceDE/>
      <w:autoSpaceDN/>
      <w:adjustRightInd/>
      <w:jc w:val="center"/>
    </w:pPr>
    <w:rPr>
      <w:sz w:val="28"/>
    </w:rPr>
  </w:style>
  <w:style w:type="paragraph" w:styleId="Zkladntextodsazen2">
    <w:name w:val="Body Text Indent 2"/>
    <w:basedOn w:val="Normln"/>
    <w:rsid w:val="00721AFD"/>
    <w:pPr>
      <w:widowControl/>
      <w:autoSpaceDE/>
      <w:autoSpaceDN/>
      <w:adjustRightInd/>
      <w:ind w:left="709"/>
    </w:pPr>
    <w:rPr>
      <w:rFonts w:ascii="Arial" w:hAnsi="Arial"/>
      <w:sz w:val="22"/>
    </w:rPr>
  </w:style>
  <w:style w:type="paragraph" w:styleId="Textbubliny">
    <w:name w:val="Balloon Text"/>
    <w:basedOn w:val="Normln"/>
    <w:semiHidden/>
    <w:rsid w:val="00721AFD"/>
    <w:rPr>
      <w:rFonts w:ascii="Tahoma" w:hAnsi="Tahoma" w:cs="Tahoma"/>
      <w:sz w:val="16"/>
      <w:szCs w:val="16"/>
    </w:rPr>
  </w:style>
  <w:style w:type="paragraph" w:styleId="Zkladntextodsazen">
    <w:name w:val="Body Text Indent"/>
    <w:basedOn w:val="Normln"/>
    <w:rsid w:val="00721AFD"/>
    <w:pPr>
      <w:ind w:firstLine="720"/>
      <w:jc w:val="both"/>
    </w:pPr>
    <w:rPr>
      <w:rFonts w:ascii="Arial" w:hAnsi="Arial" w:cs="Arial"/>
      <w:i/>
    </w:rPr>
  </w:style>
  <w:style w:type="paragraph" w:styleId="Zkladntextodsazen3">
    <w:name w:val="Body Text Indent 3"/>
    <w:basedOn w:val="Normln"/>
    <w:rsid w:val="00721AFD"/>
    <w:pPr>
      <w:tabs>
        <w:tab w:val="left" w:pos="0"/>
      </w:tabs>
      <w:suppressAutoHyphens/>
      <w:spacing w:line="240" w:lineRule="atLeast"/>
      <w:ind w:left="720" w:hanging="720"/>
      <w:jc w:val="both"/>
    </w:pPr>
    <w:rPr>
      <w:rFonts w:ascii="Arial" w:hAnsi="Arial"/>
      <w:i/>
      <w:spacing w:val="-3"/>
    </w:rPr>
  </w:style>
  <w:style w:type="character" w:styleId="Hypertextovodkaz">
    <w:name w:val="Hyperlink"/>
    <w:rsid w:val="00721AFD"/>
    <w:rPr>
      <w:color w:val="0000FF"/>
      <w:u w:val="single"/>
    </w:rPr>
  </w:style>
  <w:style w:type="character" w:styleId="Sledovanodkaz">
    <w:name w:val="FollowedHyperlink"/>
    <w:rsid w:val="00721AFD"/>
    <w:rPr>
      <w:color w:val="800080"/>
      <w:u w:val="single"/>
    </w:rPr>
  </w:style>
  <w:style w:type="character" w:customStyle="1" w:styleId="Typewriter">
    <w:name w:val="Typewriter"/>
    <w:rsid w:val="00585F2C"/>
    <w:rPr>
      <w:rFonts w:ascii="Times New Roman" w:hAnsi="Times New Roman" w:cs="Times New Roman"/>
      <w:sz w:val="20"/>
      <w:szCs w:val="20"/>
    </w:rPr>
  </w:style>
  <w:style w:type="paragraph" w:customStyle="1" w:styleId="Standardnte">
    <w:name w:val="Standardní te"/>
    <w:rsid w:val="00B23832"/>
    <w:pPr>
      <w:widowControl w:val="0"/>
    </w:pPr>
    <w:rPr>
      <w:snapToGrid w:val="0"/>
      <w:color w:val="000000"/>
      <w:sz w:val="24"/>
    </w:rPr>
  </w:style>
  <w:style w:type="paragraph" w:customStyle="1" w:styleId="Standardn1">
    <w:name w:val="Standardní :1"/>
    <w:rsid w:val="001637D2"/>
    <w:pPr>
      <w:widowControl w:val="0"/>
    </w:pPr>
    <w:rPr>
      <w:snapToGrid w:val="0"/>
      <w:color w:val="000000"/>
      <w:sz w:val="24"/>
      <w:lang w:val="en-GB"/>
    </w:rPr>
  </w:style>
  <w:style w:type="paragraph" w:customStyle="1" w:styleId="Default">
    <w:name w:val="Default"/>
    <w:rsid w:val="00CC4143"/>
    <w:pPr>
      <w:autoSpaceDE w:val="0"/>
      <w:autoSpaceDN w:val="0"/>
      <w:adjustRightInd w:val="0"/>
    </w:pPr>
    <w:rPr>
      <w:rFonts w:ascii="Arial" w:hAnsi="Arial" w:cs="Arial"/>
      <w:color w:val="000000"/>
      <w:sz w:val="24"/>
      <w:szCs w:val="24"/>
      <w:lang w:val="en-GB" w:eastAsia="en-GB" w:bidi="en-GB"/>
    </w:rPr>
  </w:style>
  <w:style w:type="paragraph" w:styleId="Rozloendokumentu">
    <w:name w:val="Document Map"/>
    <w:basedOn w:val="Normln"/>
    <w:link w:val="RozloendokumentuChar"/>
    <w:rsid w:val="007D08CC"/>
    <w:pPr>
      <w:shd w:val="clear" w:color="auto" w:fill="000080"/>
    </w:pPr>
    <w:rPr>
      <w:rFonts w:ascii="Tahoma" w:hAnsi="Tahoma" w:cs="Tahoma"/>
    </w:rPr>
  </w:style>
  <w:style w:type="character" w:customStyle="1" w:styleId="RozloendokumentuChar">
    <w:name w:val="Rozložení dokumentu Char"/>
    <w:basedOn w:val="Standardnpsmoodstavce"/>
    <w:link w:val="Rozloendokumentu"/>
    <w:rsid w:val="007D08CC"/>
    <w:rPr>
      <w:rFonts w:ascii="Tahoma" w:hAnsi="Tahoma" w:cs="Tahoma"/>
      <w:shd w:val="clear" w:color="auto" w:fill="000080"/>
      <w:lang w:val="en-GB"/>
    </w:rPr>
  </w:style>
  <w:style w:type="character" w:customStyle="1" w:styleId="ZhlavChar">
    <w:name w:val="Záhlaví Char"/>
    <w:link w:val="Zhlav"/>
    <w:uiPriority w:val="99"/>
    <w:rsid w:val="007D08CC"/>
    <w:rPr>
      <w:lang w:val="en-GB"/>
    </w:rPr>
  </w:style>
  <w:style w:type="paragraph" w:styleId="Revize">
    <w:name w:val="Revision"/>
    <w:hidden/>
    <w:uiPriority w:val="99"/>
    <w:semiHidden/>
    <w:rsid w:val="00D03D3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nb.cz/en/statistic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01470-25AC-4460-9800-67BC956DE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4447</Words>
  <Characters>26242</Characters>
  <Application>Microsoft Office Word</Application>
  <DocSecurity>0</DocSecurity>
  <Lines>218</Lines>
  <Paragraphs>61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7</vt:lpstr>
      <vt:lpstr>7</vt:lpstr>
    </vt:vector>
  </TitlesOfParts>
  <Company>ČSU</Company>
  <LinksUpToDate>false</LinksUpToDate>
  <CharactersWithSpaces>30628</CharactersWithSpaces>
  <SharedDoc>false</SharedDoc>
  <HLinks>
    <vt:vector size="6" baseType="variant">
      <vt:variant>
        <vt:i4>7733305</vt:i4>
      </vt:variant>
      <vt:variant>
        <vt:i4>6</vt:i4>
      </vt:variant>
      <vt:variant>
        <vt:i4>0</vt:i4>
      </vt:variant>
      <vt:variant>
        <vt:i4>5</vt:i4>
      </vt:variant>
      <vt:variant>
        <vt:lpwstr>http://www.cnb.cz/en/statistics/index.html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creator>Jan Kučera</dc:creator>
  <cp:lastModifiedBy>novotna17122</cp:lastModifiedBy>
  <cp:revision>5</cp:revision>
  <cp:lastPrinted>2017-06-30T09:01:00Z</cp:lastPrinted>
  <dcterms:created xsi:type="dcterms:W3CDTF">2021-04-30T09:18:00Z</dcterms:created>
  <dcterms:modified xsi:type="dcterms:W3CDTF">2021-11-05T08:23:00Z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