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0F4F" w14:textId="77777777" w:rsidR="00B2450C" w:rsidRDefault="00B2450C" w:rsidP="00B2450C">
      <w:pPr>
        <w:pStyle w:val="Nadpis11"/>
        <w:spacing w:after="120"/>
      </w:pPr>
      <w:bookmarkStart w:id="0" w:name="_Toc50712130"/>
      <w:bookmarkStart w:id="1" w:name="_Toc66719932"/>
      <w:bookmarkStart w:id="2" w:name="_Toc58605377"/>
      <w:bookmarkStart w:id="3" w:name="_Toc26865023"/>
      <w:r w:rsidRPr="00B43216">
        <w:t>6. Trh práce</w:t>
      </w:r>
      <w:bookmarkEnd w:id="0"/>
      <w:bookmarkEnd w:id="1"/>
    </w:p>
    <w:tbl>
      <w:tblPr>
        <w:tblW w:w="9664" w:type="dxa"/>
        <w:tblInd w:w="-25" w:type="dxa"/>
        <w:tblCellMar>
          <w:left w:w="0" w:type="dxa"/>
          <w:right w:w="0" w:type="dxa"/>
        </w:tblCellMar>
        <w:tblLook w:val="00A0" w:firstRow="1" w:lastRow="0" w:firstColumn="1" w:lastColumn="0" w:noHBand="0" w:noVBand="0"/>
      </w:tblPr>
      <w:tblGrid>
        <w:gridCol w:w="1792"/>
        <w:gridCol w:w="216"/>
        <w:gridCol w:w="7656"/>
      </w:tblGrid>
      <w:tr w:rsidR="00E97F14" w:rsidRPr="006237E6" w14:paraId="188F8CB5" w14:textId="77777777" w:rsidTr="0091476D">
        <w:trPr>
          <w:trHeight w:val="155"/>
        </w:trPr>
        <w:tc>
          <w:tcPr>
            <w:tcW w:w="1792" w:type="dxa"/>
            <w:shd w:val="clear" w:color="auto" w:fill="auto"/>
            <w:tcMar>
              <w:left w:w="0" w:type="dxa"/>
            </w:tcMar>
          </w:tcPr>
          <w:p w14:paraId="0EF4FEC4" w14:textId="77777777" w:rsidR="00E97F14" w:rsidRDefault="00E97F14" w:rsidP="0091476D">
            <w:pPr>
              <w:pStyle w:val="Marginlie"/>
              <w:spacing w:after="120"/>
              <w:rPr>
                <w:spacing w:val="-4"/>
              </w:rPr>
            </w:pPr>
            <w:r>
              <w:rPr>
                <w:spacing w:val="-4"/>
              </w:rPr>
              <w:t>Počet pracujících se loni snížil nejvíce od roku 2009. Dopady jarní vlny protipandemických opatření byly výraznější než u restrikcí zaváděných v poslední části roku.</w:t>
            </w:r>
          </w:p>
        </w:tc>
        <w:tc>
          <w:tcPr>
            <w:tcW w:w="216" w:type="dxa"/>
            <w:shd w:val="clear" w:color="auto" w:fill="auto"/>
            <w:tcMar>
              <w:left w:w="0" w:type="dxa"/>
            </w:tcMar>
          </w:tcPr>
          <w:p w14:paraId="67DE4BB7"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560BAA42" w14:textId="77777777" w:rsidR="00E97F14" w:rsidRPr="00CB1808" w:rsidRDefault="00E97F14" w:rsidP="0091476D">
            <w:pPr>
              <w:spacing w:after="220"/>
              <w:rPr>
                <w:rFonts w:cs="Arial"/>
                <w:bCs/>
                <w:color w:val="000000"/>
                <w:spacing w:val="-4"/>
                <w:szCs w:val="20"/>
              </w:rPr>
            </w:pPr>
            <w:r w:rsidRPr="00CB1808">
              <w:rPr>
                <w:rFonts w:cs="Arial"/>
                <w:bCs/>
                <w:color w:val="000000"/>
                <w:spacing w:val="-4"/>
                <w:szCs w:val="20"/>
              </w:rPr>
              <w:t>Celková zaměstnanost</w:t>
            </w:r>
            <w:r w:rsidRPr="00CB1808">
              <w:rPr>
                <w:spacing w:val="-4"/>
                <w:vertAlign w:val="superscript"/>
              </w:rPr>
              <w:footnoteReference w:id="1"/>
            </w:r>
            <w:r w:rsidRPr="00CB1808">
              <w:rPr>
                <w:rFonts w:cs="Arial"/>
                <w:bCs/>
                <w:color w:val="000000"/>
                <w:spacing w:val="-4"/>
                <w:szCs w:val="20"/>
              </w:rPr>
              <w:t xml:space="preserve"> se vloni meziročně snížila o 1,5 %</w:t>
            </w:r>
            <w:r w:rsidRPr="00CB1808">
              <w:rPr>
                <w:rStyle w:val="Znakapoznpodarou"/>
                <w:bCs/>
                <w:color w:val="000000"/>
                <w:spacing w:val="-4"/>
                <w:szCs w:val="20"/>
              </w:rPr>
              <w:footnoteReference w:id="2"/>
            </w:r>
            <w:r w:rsidRPr="00CB1808">
              <w:rPr>
                <w:rFonts w:cs="Arial"/>
                <w:bCs/>
                <w:color w:val="000000"/>
                <w:spacing w:val="-4"/>
                <w:szCs w:val="20"/>
              </w:rPr>
              <w:t>. Hlubší pokles postihl tuzemskou ekonomiku za poslední dvě dekády pouze v roce 2009 (–1,8 %). Tento výsledek odrážel dopady jarní i podzimní vlny protipandemických opatření, při nichž došlo k uzavření podniků i celých odvětví. Během 2. čtvrtletí 2020 se tak počet pracujících propadl o 1,5 %, což představovalo nejhlubší mezikvartální útlum v dostupné řadě (počínaje rokem 1995). V následujícím čtvrtletí došlo vlivem uvolnění většiny restrikcí ke stabilizaci (+0,2 %). Opětovné zhoršení nastalo v poslední části roku. Hloubka mezikvartálního poklesu zde ale byla ve srovnání s jarním obdobím mírnější (–0,5 %), mimo jiné proto, že plynulost výroby ve zpracovatelském průmyslu již nebyla významně narušena.</w:t>
            </w:r>
          </w:p>
        </w:tc>
      </w:tr>
      <w:tr w:rsidR="00E97F14" w:rsidRPr="006237E6" w14:paraId="332DCC05" w14:textId="77777777" w:rsidTr="0091476D">
        <w:trPr>
          <w:trHeight w:val="155"/>
        </w:trPr>
        <w:tc>
          <w:tcPr>
            <w:tcW w:w="1792" w:type="dxa"/>
            <w:shd w:val="clear" w:color="auto" w:fill="auto"/>
            <w:tcMar>
              <w:left w:w="0" w:type="dxa"/>
            </w:tcMar>
          </w:tcPr>
          <w:p w14:paraId="5615B05A" w14:textId="77777777" w:rsidR="00E97F14" w:rsidRDefault="00E97F14" w:rsidP="0091476D">
            <w:pPr>
              <w:pStyle w:val="Marginlie"/>
              <w:spacing w:after="120"/>
              <w:rPr>
                <w:spacing w:val="-4"/>
              </w:rPr>
            </w:pPr>
            <w:r>
              <w:rPr>
                <w:spacing w:val="-4"/>
              </w:rPr>
              <w:t>Pokles zaměstnanosti byl loni nejvíce tažen zpracovatelským průmyslem a odvětvími s vazbou na cestovní ruch.</w:t>
            </w:r>
          </w:p>
          <w:p w14:paraId="191B5A2B" w14:textId="77777777" w:rsidR="00E97F14" w:rsidRDefault="00E97F14" w:rsidP="0091476D">
            <w:pPr>
              <w:pStyle w:val="Marginlie"/>
              <w:spacing w:after="120"/>
              <w:rPr>
                <w:spacing w:val="-4"/>
              </w:rPr>
            </w:pPr>
          </w:p>
          <w:p w14:paraId="495EE58F" w14:textId="77777777" w:rsidR="00E97F14" w:rsidRDefault="00E97F14" w:rsidP="0091476D">
            <w:pPr>
              <w:pStyle w:val="Marginlie"/>
              <w:spacing w:after="120"/>
              <w:rPr>
                <w:spacing w:val="-4"/>
              </w:rPr>
            </w:pPr>
          </w:p>
          <w:p w14:paraId="11D5B967" w14:textId="30CFB39F" w:rsidR="00E97F14" w:rsidRDefault="00E97F14" w:rsidP="0091476D">
            <w:pPr>
              <w:pStyle w:val="Marginlie"/>
              <w:spacing w:after="120"/>
              <w:rPr>
                <w:spacing w:val="-4"/>
              </w:rPr>
            </w:pPr>
          </w:p>
          <w:p w14:paraId="762F5752" w14:textId="295B03EE" w:rsidR="00E97F14" w:rsidRDefault="00E97F14" w:rsidP="0091476D">
            <w:pPr>
              <w:pStyle w:val="Marginlie"/>
              <w:spacing w:after="120"/>
              <w:rPr>
                <w:spacing w:val="-4"/>
              </w:rPr>
            </w:pPr>
          </w:p>
          <w:p w14:paraId="1135E418" w14:textId="77777777" w:rsidR="00E97F14" w:rsidRDefault="00E97F14" w:rsidP="0091476D">
            <w:pPr>
              <w:pStyle w:val="Marginlie"/>
              <w:spacing w:after="120"/>
              <w:rPr>
                <w:spacing w:val="-4"/>
              </w:rPr>
            </w:pPr>
            <w:r>
              <w:rPr>
                <w:spacing w:val="-4"/>
              </w:rPr>
              <w:t>Pokračoval naopak rozvoj v oblasti ICT a veřejných služeb. Nové pracovníky získávalo i stavebnictví.</w:t>
            </w:r>
          </w:p>
        </w:tc>
        <w:tc>
          <w:tcPr>
            <w:tcW w:w="216" w:type="dxa"/>
            <w:shd w:val="clear" w:color="auto" w:fill="auto"/>
            <w:tcMar>
              <w:left w:w="0" w:type="dxa"/>
            </w:tcMar>
          </w:tcPr>
          <w:p w14:paraId="5B7C3792"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476CC77C" w14:textId="77777777" w:rsidR="00E97F14" w:rsidRPr="00CB1808" w:rsidRDefault="00E97F14" w:rsidP="0091476D">
            <w:pPr>
              <w:spacing w:after="220"/>
              <w:rPr>
                <w:rFonts w:cs="Arial"/>
                <w:bCs/>
                <w:color w:val="000000"/>
                <w:spacing w:val="-5"/>
                <w:szCs w:val="20"/>
              </w:rPr>
            </w:pPr>
            <w:r w:rsidRPr="00CB1808">
              <w:rPr>
                <w:rFonts w:cs="Arial"/>
                <w:bCs/>
                <w:color w:val="000000"/>
                <w:spacing w:val="-5"/>
                <w:szCs w:val="20"/>
              </w:rPr>
              <w:t>Vývoj zaměstnanosti na odvětvové úrovni byl po celý loňský rok značně diferencovaný. K poklesu počtu všech pracujících přispěl takřka z poloviny zpracovatelský průmysl, v němž za celý rok 2020 ubylo 3,3 % zaměstnaných. Citelné redukce zaměstnanosti zde nebyli ušetřeni ani výrobci motorových vozidel i jejich nejbližší subdodavatelé</w:t>
            </w:r>
            <w:r w:rsidRPr="00CB1808">
              <w:rPr>
                <w:rStyle w:val="Znakapoznpodarou"/>
                <w:bCs/>
                <w:color w:val="000000"/>
                <w:spacing w:val="-5"/>
                <w:szCs w:val="20"/>
              </w:rPr>
              <w:footnoteReference w:id="3"/>
            </w:r>
            <w:r w:rsidRPr="00CB1808">
              <w:rPr>
                <w:rFonts w:cs="Arial"/>
                <w:bCs/>
                <w:color w:val="000000"/>
                <w:spacing w:val="-5"/>
                <w:szCs w:val="20"/>
              </w:rPr>
              <w:t>. Ve 4. čtvrtletí se ale hospodářská situace v průmyslu zlepšila a růst zakázek vedl k tomu, že meziroční pokles zaměstnanosti se již neprohluboval. Na segment obchodu, dopravy, ubytování a pohostinství dopadla podzimní vlna vládních restriktivních opatření naopak intenzivně. Zaměstnanost zde propadla o rovných 5 % a ve 4. čtvrtletí již přispívala k úbytku pracovních míst v ekonomice více než celý průmysl. Silně zasaženo bylo i odvětví profesní, vědecké, technické, administrativní a podpůrné činnosti, v němž loni ubylo 4,6 % pracovníků – nejvíce v éře samostatné ČR. S tím kontrastoval vývoj v dlouhodobě se rozvíjejících informačních a komunikačních činnostech, jejichž význam byl vlivem opatření k omezení osobních kontaktů (práce z domova, distanční vzdělávání) dále posílen. Loňský růst zaměstnanosti zde oproti silným tempům z posledních čtyř let (4 až 5 %) příliš neochabl. Z dlouhodobějších trendů loni nevybočily ani veřejné služby. K vyšší zaměstnanosti zde přispívalo hlavně vzdělávání, v menší míře i zdravotní a sociální péče. Z odvětví mimo sektor služeb přibývalo loni pracovníků také ve stavebnictví (+1,5 %, nejvíce v poslední dekádě).</w:t>
            </w:r>
          </w:p>
        </w:tc>
      </w:tr>
      <w:tr w:rsidR="00E97F14" w:rsidRPr="006237E6" w14:paraId="262B94FF" w14:textId="77777777" w:rsidTr="0091476D">
        <w:trPr>
          <w:trHeight w:val="155"/>
        </w:trPr>
        <w:tc>
          <w:tcPr>
            <w:tcW w:w="1792" w:type="dxa"/>
            <w:shd w:val="clear" w:color="auto" w:fill="auto"/>
            <w:tcMar>
              <w:left w:w="0" w:type="dxa"/>
            </w:tcMar>
          </w:tcPr>
          <w:p w14:paraId="7EF8ABD6" w14:textId="77777777" w:rsidR="00E97F14" w:rsidRDefault="00E97F14" w:rsidP="0091476D">
            <w:pPr>
              <w:pStyle w:val="Marginlie"/>
              <w:spacing w:after="120"/>
              <w:rPr>
                <w:spacing w:val="-4"/>
              </w:rPr>
            </w:pPr>
            <w:r>
              <w:rPr>
                <w:spacing w:val="-4"/>
              </w:rPr>
              <w:t>Zaměstnanců ubylo loni relativně více než podnikajících osob.</w:t>
            </w:r>
          </w:p>
          <w:p w14:paraId="24E530A6" w14:textId="77777777" w:rsidR="00E97F14" w:rsidRDefault="00E97F14" w:rsidP="0091476D">
            <w:pPr>
              <w:pStyle w:val="Marginlie"/>
              <w:spacing w:after="120"/>
              <w:rPr>
                <w:spacing w:val="-4"/>
              </w:rPr>
            </w:pPr>
          </w:p>
          <w:p w14:paraId="0788062F" w14:textId="77777777" w:rsidR="00E97F14" w:rsidRDefault="00E97F14" w:rsidP="0091476D">
            <w:pPr>
              <w:pStyle w:val="Marginlie"/>
              <w:spacing w:after="120"/>
              <w:rPr>
                <w:spacing w:val="-4"/>
              </w:rPr>
            </w:pPr>
            <w:r>
              <w:rPr>
                <w:spacing w:val="-4"/>
              </w:rPr>
              <w:t>Podnikatelé odpracovali loni meziročně o 10 % hodin méně, zaměstnanci o 5 %.</w:t>
            </w:r>
          </w:p>
        </w:tc>
        <w:tc>
          <w:tcPr>
            <w:tcW w:w="216" w:type="dxa"/>
            <w:shd w:val="clear" w:color="auto" w:fill="auto"/>
            <w:tcMar>
              <w:left w:w="0" w:type="dxa"/>
            </w:tcMar>
          </w:tcPr>
          <w:p w14:paraId="0861DD32"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2D6F6968" w14:textId="77777777" w:rsidR="00E97F14" w:rsidRPr="00CB1808" w:rsidRDefault="00E97F14" w:rsidP="0091476D">
            <w:pPr>
              <w:spacing w:after="220"/>
              <w:rPr>
                <w:rFonts w:cs="Arial"/>
                <w:bCs/>
                <w:color w:val="000000"/>
                <w:spacing w:val="-4"/>
                <w:szCs w:val="20"/>
              </w:rPr>
            </w:pPr>
            <w:r w:rsidRPr="00CB1808">
              <w:rPr>
                <w:rFonts w:cs="Arial"/>
                <w:bCs/>
                <w:color w:val="000000"/>
                <w:spacing w:val="-4"/>
                <w:szCs w:val="20"/>
              </w:rPr>
              <w:t>Za rok 2020 se snížil jak počet zaměstnanců (–1,5 %), tak i podnikajících osob (–1,2 %)</w:t>
            </w:r>
            <w:r w:rsidRPr="00CB1808">
              <w:rPr>
                <w:rStyle w:val="Znakapoznpodarou"/>
                <w:bCs/>
                <w:color w:val="000000"/>
                <w:spacing w:val="-4"/>
                <w:szCs w:val="20"/>
              </w:rPr>
              <w:footnoteReference w:id="4"/>
            </w:r>
            <w:r w:rsidRPr="00CB1808">
              <w:rPr>
                <w:rFonts w:cs="Arial"/>
                <w:bCs/>
                <w:color w:val="000000"/>
                <w:spacing w:val="-4"/>
                <w:szCs w:val="20"/>
              </w:rPr>
              <w:t xml:space="preserve">. Nepříznivý vývoj sebezaměstnaných ve zpracovatelském průmyslu či v oblastech vázaných na cestovní ruch byl zčásti kompenzován vyšší podnikatelskou aktivitou ve stavebnictví či v oblasti ICT. Skutečnost, že stavy podnikatelů citelněji neklesly, neznamená, že tento segment trhu práce nebyl výrazně zasažen protipandemickými opatřeními. </w:t>
            </w:r>
            <w:r w:rsidRPr="00CB1808">
              <w:rPr>
                <w:spacing w:val="-4"/>
              </w:rPr>
              <w:t>Průměrný týdenní počet skutečně odpracovaných hodin u</w:t>
            </w:r>
            <w:r w:rsidRPr="00CB1808">
              <w:rPr>
                <w:rFonts w:cs="Arial"/>
                <w:bCs/>
                <w:color w:val="000000"/>
                <w:spacing w:val="-4"/>
                <w:szCs w:val="20"/>
              </w:rPr>
              <w:t> </w:t>
            </w:r>
            <w:r w:rsidRPr="00CB1808">
              <w:rPr>
                <w:spacing w:val="-4"/>
              </w:rPr>
              <w:t xml:space="preserve">podnikatelů </w:t>
            </w:r>
            <w:r w:rsidRPr="00CB1808">
              <w:rPr>
                <w:rFonts w:cs="Arial"/>
                <w:bCs/>
                <w:color w:val="000000"/>
                <w:spacing w:val="-4"/>
                <w:szCs w:val="20"/>
              </w:rPr>
              <w:t xml:space="preserve">(v hlavním zaměstnání) </w:t>
            </w:r>
            <w:r w:rsidRPr="00CB1808">
              <w:rPr>
                <w:spacing w:val="-4"/>
              </w:rPr>
              <w:t>během jarní i</w:t>
            </w:r>
            <w:r w:rsidRPr="00CB1808">
              <w:rPr>
                <w:rFonts w:cs="Arial"/>
                <w:bCs/>
                <w:color w:val="000000"/>
                <w:spacing w:val="-4"/>
                <w:szCs w:val="20"/>
              </w:rPr>
              <w:t> </w:t>
            </w:r>
            <w:r w:rsidRPr="00CB1808">
              <w:rPr>
                <w:spacing w:val="-4"/>
              </w:rPr>
              <w:t>podzimní vlny propadl meziročně o</w:t>
            </w:r>
            <w:r w:rsidRPr="00CB1808">
              <w:rPr>
                <w:rFonts w:cs="Arial"/>
                <w:bCs/>
                <w:color w:val="000000"/>
                <w:spacing w:val="-4"/>
                <w:szCs w:val="20"/>
              </w:rPr>
              <w:t> </w:t>
            </w:r>
            <w:r w:rsidRPr="00CB1808">
              <w:rPr>
                <w:spacing w:val="-4"/>
              </w:rPr>
              <w:t>více než 10 %, v samotném dubnu dokonce o</w:t>
            </w:r>
            <w:r w:rsidRPr="00CB1808">
              <w:rPr>
                <w:rFonts w:cs="Arial"/>
                <w:bCs/>
                <w:color w:val="000000"/>
                <w:spacing w:val="-4"/>
                <w:szCs w:val="20"/>
              </w:rPr>
              <w:t> </w:t>
            </w:r>
            <w:r w:rsidRPr="00CB1808">
              <w:rPr>
                <w:spacing w:val="-4"/>
              </w:rPr>
              <w:t>31 %. Za celý rok činil pokles podnikateli</w:t>
            </w:r>
            <w:r w:rsidRPr="00CB1808">
              <w:rPr>
                <w:rFonts w:cs="Arial"/>
                <w:bCs/>
                <w:color w:val="000000"/>
                <w:spacing w:val="-4"/>
                <w:szCs w:val="20"/>
              </w:rPr>
              <w:t xml:space="preserve"> </w:t>
            </w:r>
            <w:r w:rsidRPr="00CB1808">
              <w:rPr>
                <w:spacing w:val="-4"/>
              </w:rPr>
              <w:t>odpracovaných hodin 10 % </w:t>
            </w:r>
            <w:r w:rsidRPr="00CB1808">
              <w:rPr>
                <w:rFonts w:cs="Arial"/>
                <w:bCs/>
                <w:color w:val="000000"/>
                <w:spacing w:val="-4"/>
                <w:szCs w:val="20"/>
              </w:rPr>
              <w:t>–</w:t>
            </w:r>
            <w:r w:rsidRPr="00CB1808">
              <w:rPr>
                <w:spacing w:val="-4"/>
              </w:rPr>
              <w:t xml:space="preserve"> dvakrát tolik jako u zaměstnanců</w:t>
            </w:r>
            <w:r w:rsidRPr="00CB1808">
              <w:rPr>
                <w:rStyle w:val="Znakapoznpodarou"/>
                <w:spacing w:val="-4"/>
              </w:rPr>
              <w:footnoteReference w:id="5"/>
            </w:r>
            <w:r w:rsidRPr="00CB1808">
              <w:rPr>
                <w:spacing w:val="-4"/>
              </w:rPr>
              <w:t xml:space="preserve">. </w:t>
            </w:r>
            <w:r>
              <w:rPr>
                <w:spacing w:val="-4"/>
              </w:rPr>
              <w:t>Počet</w:t>
            </w:r>
            <w:r w:rsidRPr="00CB1808">
              <w:rPr>
                <w:spacing w:val="-4"/>
              </w:rPr>
              <w:t xml:space="preserve"> odpracovaných hodin v celé </w:t>
            </w:r>
            <w:r>
              <w:rPr>
                <w:spacing w:val="-4"/>
              </w:rPr>
              <w:t>ekonomice</w:t>
            </w:r>
            <w:r w:rsidRPr="00CB1808">
              <w:rPr>
                <w:spacing w:val="-4"/>
              </w:rPr>
              <w:t xml:space="preserve"> loni </w:t>
            </w:r>
            <w:r>
              <w:rPr>
                <w:spacing w:val="-4"/>
              </w:rPr>
              <w:t>propadl o rekordních 6</w:t>
            </w:r>
            <w:r w:rsidRPr="00CB1808">
              <w:rPr>
                <w:rFonts w:cs="Arial"/>
                <w:bCs/>
                <w:color w:val="000000"/>
                <w:spacing w:val="-4"/>
                <w:szCs w:val="20"/>
              </w:rPr>
              <w:t> </w:t>
            </w:r>
            <w:r>
              <w:rPr>
                <w:spacing w:val="-4"/>
              </w:rPr>
              <w:t>%. Jednalo se takřka o</w:t>
            </w:r>
            <w:r w:rsidRPr="00CB1808">
              <w:rPr>
                <w:spacing w:val="-4"/>
              </w:rPr>
              <w:t xml:space="preserve"> třikrát hlubší </w:t>
            </w:r>
            <w:r>
              <w:rPr>
                <w:spacing w:val="-4"/>
              </w:rPr>
              <w:t xml:space="preserve">pokles </w:t>
            </w:r>
            <w:r w:rsidRPr="00CB1808">
              <w:rPr>
                <w:spacing w:val="-4"/>
              </w:rPr>
              <w:t>než v kri</w:t>
            </w:r>
            <w:r>
              <w:rPr>
                <w:spacing w:val="-4"/>
              </w:rPr>
              <w:t>zovém roce 2009</w:t>
            </w:r>
            <w:r w:rsidRPr="00CB1808">
              <w:rPr>
                <w:spacing w:val="-4"/>
              </w:rPr>
              <w:t>.</w:t>
            </w:r>
          </w:p>
        </w:tc>
      </w:tr>
      <w:tr w:rsidR="00E97F14" w:rsidRPr="006237E6" w14:paraId="3F3E9218" w14:textId="77777777" w:rsidTr="0091476D">
        <w:trPr>
          <w:trHeight w:val="155"/>
        </w:trPr>
        <w:tc>
          <w:tcPr>
            <w:tcW w:w="1792" w:type="dxa"/>
            <w:shd w:val="clear" w:color="auto" w:fill="auto"/>
            <w:tcMar>
              <w:left w:w="0" w:type="dxa"/>
            </w:tcMar>
          </w:tcPr>
          <w:p w14:paraId="70FFC8C9" w14:textId="77777777" w:rsidR="00E97F14" w:rsidRDefault="00E97F14" w:rsidP="0091476D">
            <w:pPr>
              <w:pStyle w:val="Marginlie"/>
              <w:spacing w:after="120"/>
              <w:rPr>
                <w:spacing w:val="-4"/>
              </w:rPr>
            </w:pPr>
            <w:r>
              <w:rPr>
                <w:spacing w:val="-4"/>
              </w:rPr>
              <w:t>Negativní očekávání zaměstnanosti se během 4. čtvrtletí prohloubila ve službách. V průmyslu naopak pesimismus rychle opadal.</w:t>
            </w:r>
          </w:p>
        </w:tc>
        <w:tc>
          <w:tcPr>
            <w:tcW w:w="216" w:type="dxa"/>
            <w:shd w:val="clear" w:color="auto" w:fill="auto"/>
            <w:tcMar>
              <w:left w:w="0" w:type="dxa"/>
            </w:tcMar>
          </w:tcPr>
          <w:p w14:paraId="1FC6B22B"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24ADEBDF" w14:textId="77777777" w:rsidR="00E97F14" w:rsidRPr="00CB1808" w:rsidRDefault="00E97F14" w:rsidP="0091476D">
            <w:pPr>
              <w:spacing w:after="220"/>
              <w:rPr>
                <w:rFonts w:cs="Arial"/>
                <w:bCs/>
                <w:color w:val="000000"/>
                <w:spacing w:val="-4"/>
                <w:szCs w:val="20"/>
              </w:rPr>
            </w:pPr>
            <w:r w:rsidRPr="00CB1808">
              <w:rPr>
                <w:rFonts w:cs="Arial"/>
                <w:bCs/>
                <w:color w:val="000000"/>
                <w:spacing w:val="-4"/>
                <w:szCs w:val="20"/>
              </w:rPr>
              <w:t xml:space="preserve">Krátkodobá očekávání podniků v oblasti zaměstnanosti se po letním oživení během posledního loňského čtvrtletí ve většině hlavních odvětví zhoršila (zejména ve vybraných službách). Přesto u nich byla stále příznivější než za vrcholu jarní krize. Odlišná situace panovala v průmyslu, kterého se podzimní řízený útlum aktivit přímo nedotkl a výhledy v oblasti zaměstnanosti se zde při souběžném růstu nových průmyslových zakázek ve 4. čtvrtletí zlepšovaly. Podle konjunkturálního průzkumu z ledna 2021 očekávala </w:t>
            </w:r>
            <w:r w:rsidRPr="00CB1808">
              <w:rPr>
                <w:rFonts w:cs="Arial"/>
                <w:bCs/>
                <w:color w:val="000000"/>
                <w:spacing w:val="-4"/>
                <w:szCs w:val="20"/>
              </w:rPr>
              <w:lastRenderedPageBreak/>
              <w:t>v následujících třech měsících snižování stavu zaměstnanců</w:t>
            </w:r>
            <w:r w:rsidRPr="00CB1808">
              <w:rPr>
                <w:rStyle w:val="Znakapoznpodarou"/>
                <w:bCs/>
                <w:color w:val="000000"/>
                <w:spacing w:val="-4"/>
                <w:szCs w:val="20"/>
              </w:rPr>
              <w:footnoteReference w:id="6"/>
            </w:r>
            <w:r w:rsidRPr="00CB1808">
              <w:rPr>
                <w:rFonts w:cs="Arial"/>
                <w:bCs/>
                <w:color w:val="000000"/>
                <w:spacing w:val="-4"/>
                <w:szCs w:val="20"/>
              </w:rPr>
              <w:t xml:space="preserve"> třetina podniků ve vybraných službách</w:t>
            </w:r>
            <w:r w:rsidRPr="00CB1808">
              <w:rPr>
                <w:rStyle w:val="Znakapoznpodarou"/>
                <w:bCs/>
                <w:color w:val="000000"/>
                <w:spacing w:val="-4"/>
                <w:szCs w:val="20"/>
              </w:rPr>
              <w:footnoteReference w:id="7"/>
            </w:r>
            <w:r w:rsidRPr="00CB1808">
              <w:rPr>
                <w:rFonts w:cs="Arial"/>
                <w:bCs/>
                <w:color w:val="000000"/>
                <w:spacing w:val="-4"/>
                <w:szCs w:val="20"/>
              </w:rPr>
              <w:t>. Ve stavebnictví šlo jen o osminu podniků, obdobně jako v obchodu i průmyslu – v nich dokonce mírně převažoval podíl firem očekávajících posílení zaměstnanosti.</w:t>
            </w:r>
          </w:p>
        </w:tc>
      </w:tr>
      <w:tr w:rsidR="00E97F14" w:rsidRPr="009F2A8A" w14:paraId="2BBD6739" w14:textId="77777777" w:rsidTr="0091476D">
        <w:trPr>
          <w:trHeight w:val="155"/>
        </w:trPr>
        <w:tc>
          <w:tcPr>
            <w:tcW w:w="1792" w:type="dxa"/>
            <w:vMerge w:val="restart"/>
            <w:shd w:val="clear" w:color="auto" w:fill="auto"/>
            <w:tcMar>
              <w:left w:w="0" w:type="dxa"/>
            </w:tcMar>
          </w:tcPr>
          <w:p w14:paraId="5E777284" w14:textId="77777777" w:rsidR="00E97F14" w:rsidRPr="00B43216" w:rsidRDefault="00E97F14" w:rsidP="0091476D">
            <w:pPr>
              <w:pStyle w:val="Marginlie"/>
              <w:spacing w:after="120"/>
              <w:rPr>
                <w:spacing w:val="-4"/>
              </w:rPr>
            </w:pPr>
          </w:p>
        </w:tc>
        <w:tc>
          <w:tcPr>
            <w:tcW w:w="216" w:type="dxa"/>
            <w:vMerge w:val="restart"/>
            <w:shd w:val="clear" w:color="auto" w:fill="auto"/>
            <w:tcMar>
              <w:left w:w="0" w:type="dxa"/>
            </w:tcMar>
          </w:tcPr>
          <w:p w14:paraId="27711CF4"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39707ECE" w14:textId="77777777" w:rsidR="00E97F14" w:rsidRPr="00CA5850" w:rsidRDefault="00E97F14" w:rsidP="0091476D">
            <w:pPr>
              <w:spacing w:after="0"/>
              <w:rPr>
                <w:spacing w:val="-2"/>
              </w:rPr>
            </w:pPr>
            <w:r w:rsidRPr="0068569E">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E97F14" w:rsidRPr="00B43216" w14:paraId="5D790270" w14:textId="77777777" w:rsidTr="0091476D">
        <w:tblPrEx>
          <w:tblCellMar>
            <w:left w:w="70" w:type="dxa"/>
            <w:right w:w="70" w:type="dxa"/>
          </w:tblCellMar>
        </w:tblPrEx>
        <w:trPr>
          <w:trHeight w:val="155"/>
        </w:trPr>
        <w:tc>
          <w:tcPr>
            <w:tcW w:w="1792" w:type="dxa"/>
            <w:vMerge/>
            <w:shd w:val="clear" w:color="auto" w:fill="auto"/>
          </w:tcPr>
          <w:p w14:paraId="1C2DCD00" w14:textId="77777777" w:rsidR="00E97F14" w:rsidRPr="00B43216" w:rsidRDefault="00E97F14" w:rsidP="0091476D">
            <w:pPr>
              <w:pStyle w:val="Marginlie"/>
              <w:spacing w:after="120"/>
              <w:rPr>
                <w:spacing w:val="-4"/>
              </w:rPr>
            </w:pPr>
          </w:p>
        </w:tc>
        <w:tc>
          <w:tcPr>
            <w:tcW w:w="216" w:type="dxa"/>
            <w:vMerge/>
            <w:shd w:val="clear" w:color="auto" w:fill="auto"/>
          </w:tcPr>
          <w:p w14:paraId="241E43EE" w14:textId="77777777" w:rsidR="00E97F14" w:rsidRPr="00B43216" w:rsidRDefault="00E97F14" w:rsidP="0091476D">
            <w:pPr>
              <w:pStyle w:val="Textpoznpodarou"/>
              <w:spacing w:after="120"/>
              <w:jc w:val="both"/>
              <w:rPr>
                <w:spacing w:val="-4"/>
              </w:rPr>
            </w:pPr>
          </w:p>
        </w:tc>
        <w:tc>
          <w:tcPr>
            <w:tcW w:w="7656" w:type="dxa"/>
            <w:shd w:val="clear" w:color="auto" w:fill="auto"/>
          </w:tcPr>
          <w:p w14:paraId="3820CD84" w14:textId="77777777" w:rsidR="00E97F14" w:rsidRPr="00B43216" w:rsidRDefault="00E97F14" w:rsidP="0091476D">
            <w:pPr>
              <w:spacing w:after="0" w:line="240" w:lineRule="auto"/>
              <w:rPr>
                <w:spacing w:val="-4"/>
              </w:rPr>
            </w:pPr>
            <w:r>
              <w:rPr>
                <w:noProof/>
              </w:rPr>
              <w:drawing>
                <wp:inline distT="0" distB="0" distL="0" distR="0" wp14:anchorId="55E1B627" wp14:editId="4F15CC6A">
                  <wp:extent cx="4741545" cy="3665551"/>
                  <wp:effectExtent l="0" t="0" r="19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97F14" w:rsidRPr="00485ED5" w14:paraId="208AA3E0" w14:textId="77777777" w:rsidTr="0091476D">
        <w:trPr>
          <w:trHeight w:val="671"/>
        </w:trPr>
        <w:tc>
          <w:tcPr>
            <w:tcW w:w="1792" w:type="dxa"/>
            <w:vMerge/>
            <w:shd w:val="clear" w:color="auto" w:fill="auto"/>
            <w:tcMar>
              <w:left w:w="0" w:type="dxa"/>
            </w:tcMar>
          </w:tcPr>
          <w:p w14:paraId="065F7974" w14:textId="77777777" w:rsidR="00E97F14" w:rsidRPr="00B43216" w:rsidRDefault="00E97F14" w:rsidP="0091476D">
            <w:pPr>
              <w:pStyle w:val="Marginlie"/>
              <w:spacing w:after="120"/>
              <w:rPr>
                <w:spacing w:val="-4"/>
              </w:rPr>
            </w:pPr>
          </w:p>
        </w:tc>
        <w:tc>
          <w:tcPr>
            <w:tcW w:w="216" w:type="dxa"/>
            <w:vMerge/>
            <w:shd w:val="clear" w:color="auto" w:fill="auto"/>
            <w:tcMar>
              <w:left w:w="0" w:type="dxa"/>
            </w:tcMar>
          </w:tcPr>
          <w:p w14:paraId="17C306C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2FE887AB" w14:textId="77777777" w:rsidR="00E97F14" w:rsidRDefault="00E97F14" w:rsidP="0091476D">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06A97082" w14:textId="77777777" w:rsidR="00E97F14" w:rsidRDefault="00E97F14" w:rsidP="0091476D">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očekávání vyjadřuje rozdíl v p. b. mezi kategoriemi růst versus pokles zaměstnanosti v nejbližších třech měsících. Údaje jsou sezónně očištěny a vztahují se k druhému měsíci daného čtvrtletí.</w:t>
            </w:r>
          </w:p>
          <w:p w14:paraId="2D4DE659" w14:textId="77777777" w:rsidR="00E97F14" w:rsidRPr="00485ED5" w:rsidRDefault="00E97F14" w:rsidP="0091476D">
            <w:pPr>
              <w:spacing w:after="200" w:line="240" w:lineRule="auto"/>
              <w:rPr>
                <w:rFonts w:cs="Arial"/>
                <w:color w:val="0D0D0D" w:themeColor="text1" w:themeTint="F2"/>
                <w:spacing w:val="-2"/>
                <w:sz w:val="14"/>
                <w:szCs w:val="14"/>
              </w:rPr>
            </w:pPr>
            <w:r w:rsidRPr="00862F17">
              <w:rPr>
                <w:rFonts w:cs="Arial"/>
                <w:sz w:val="14"/>
                <w:szCs w:val="14"/>
              </w:rPr>
              <w:t>Zdroj: ČSÚ (národní účty</w:t>
            </w:r>
            <w:r>
              <w:rPr>
                <w:rFonts w:cs="Arial"/>
                <w:sz w:val="14"/>
                <w:szCs w:val="14"/>
              </w:rPr>
              <w:t>, konjunkturální průzkumy)</w:t>
            </w:r>
          </w:p>
        </w:tc>
      </w:tr>
      <w:tr w:rsidR="00E97F14" w:rsidRPr="00B43216" w14:paraId="6916111A" w14:textId="77777777" w:rsidTr="0091476D">
        <w:trPr>
          <w:trHeight w:val="145"/>
        </w:trPr>
        <w:tc>
          <w:tcPr>
            <w:tcW w:w="1792" w:type="dxa"/>
            <w:shd w:val="clear" w:color="auto" w:fill="auto"/>
            <w:tcMar>
              <w:left w:w="0" w:type="dxa"/>
            </w:tcMar>
          </w:tcPr>
          <w:p w14:paraId="01BD7D0E" w14:textId="77777777" w:rsidR="00E97F14" w:rsidRPr="00724D5D" w:rsidRDefault="00E97F14" w:rsidP="0091476D">
            <w:pPr>
              <w:pStyle w:val="Marginlie"/>
              <w:spacing w:after="120"/>
              <w:rPr>
                <w:spacing w:val="-5"/>
              </w:rPr>
            </w:pPr>
            <w:r w:rsidRPr="00F335E5">
              <w:rPr>
                <w:spacing w:val="-5"/>
              </w:rPr>
              <w:t>Míra nezaměstnanosti vzrostla během roku 2020 jen mírně. Rychleji přibývalo nezaměstnaných žen, zhoršovala se i</w:t>
            </w:r>
            <w:r>
              <w:rPr>
                <w:spacing w:val="-5"/>
              </w:rPr>
              <w:t> </w:t>
            </w:r>
            <w:r w:rsidRPr="00F335E5">
              <w:rPr>
                <w:spacing w:val="-5"/>
              </w:rPr>
              <w:t>pozice mladých na pracovním trhu.</w:t>
            </w:r>
          </w:p>
        </w:tc>
        <w:tc>
          <w:tcPr>
            <w:tcW w:w="216" w:type="dxa"/>
            <w:shd w:val="clear" w:color="auto" w:fill="auto"/>
            <w:tcMar>
              <w:left w:w="0" w:type="dxa"/>
            </w:tcMar>
          </w:tcPr>
          <w:p w14:paraId="5D7329C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26175B4B" w14:textId="77777777" w:rsidR="00E97F14" w:rsidRPr="00CB1808" w:rsidRDefault="00E97F14" w:rsidP="0091476D">
            <w:pPr>
              <w:spacing w:after="0"/>
              <w:rPr>
                <w:rFonts w:cs="Arial"/>
                <w:bCs/>
                <w:color w:val="000000"/>
                <w:spacing w:val="-4"/>
                <w:szCs w:val="20"/>
              </w:rPr>
            </w:pPr>
            <w:r w:rsidRPr="00CB1808">
              <w:rPr>
                <w:color w:val="0D0D0D" w:themeColor="text1" w:themeTint="F2"/>
                <w:spacing w:val="-4"/>
              </w:rPr>
              <w:t>Obecná míra nezaměstnanosti</w:t>
            </w:r>
            <w:r w:rsidRPr="00CB1808">
              <w:rPr>
                <w:rStyle w:val="Znakapoznpodarou"/>
                <w:color w:val="0D0D0D" w:themeColor="text1" w:themeTint="F2"/>
                <w:spacing w:val="-4"/>
              </w:rPr>
              <w:footnoteReference w:id="8"/>
            </w:r>
            <w:r w:rsidRPr="00CB1808">
              <w:rPr>
                <w:color w:val="0D0D0D" w:themeColor="text1" w:themeTint="F2"/>
                <w:spacing w:val="-4"/>
              </w:rPr>
              <w:t>, která se ještě po celé 1. čtvrtletí 2020 nacházela v těsné blízkosti svého historického minima, po většinu loňského roku rostla jen mírně. V prosinci činila u mužů 2,8 %, u žen 3,8 %, meziročně o 1,0 p. b., resp. 1,4 p. b. více</w:t>
            </w:r>
            <w:r w:rsidRPr="00CB1808">
              <w:rPr>
                <w:rStyle w:val="Znakapoznpodarou"/>
                <w:color w:val="0D0D0D" w:themeColor="text1" w:themeTint="F2"/>
                <w:spacing w:val="-4"/>
              </w:rPr>
              <w:footnoteReference w:id="9"/>
            </w:r>
            <w:r w:rsidRPr="00CB1808">
              <w:rPr>
                <w:color w:val="0D0D0D" w:themeColor="text1" w:themeTint="F2"/>
                <w:spacing w:val="-4"/>
              </w:rPr>
              <w:t>. Rozdíl v dynamice mezi pohlavími byl patrný především v posledním čtvrtletí. Větší ztráty pracovních míst, zejména v oblastech souvisejících s cestovním ruchem a volnočasovými aktivitami, obecně oslabily také pozici mladých na pracovním trhu. Míra nezaměstnanosti osob do 25 let stoupla na konci loňského roku na 10,5 % (z toho u žen na 12,7 %). To představovalo více než dvojnásobek úrovně předchozího roku a zároveň maximum od října 2016. Podíl mladých na celkovém počtu nezaměstnaných ovšem výrazně nevzrostl</w:t>
            </w:r>
            <w:r w:rsidRPr="00CB1808">
              <w:rPr>
                <w:rStyle w:val="Znakapoznpodarou"/>
                <w:color w:val="0D0D0D" w:themeColor="text1" w:themeTint="F2"/>
                <w:spacing w:val="-4"/>
              </w:rPr>
              <w:footnoteReference w:id="10"/>
            </w:r>
            <w:r w:rsidRPr="00CB1808">
              <w:rPr>
                <w:color w:val="0D0D0D" w:themeColor="text1" w:themeTint="F2"/>
                <w:spacing w:val="-4"/>
              </w:rPr>
              <w:t xml:space="preserve">. To platilo i v případě dlouhodobě nezaměstnaných, kteří ve 4. čtvrtletí tvořili pouze 21,5 % všech nezaměstnaných (jedna z nejnižších hodnot od poloviny 90. let). </w:t>
            </w:r>
            <w:r w:rsidRPr="00CB1808">
              <w:rPr>
                <w:spacing w:val="-4"/>
              </w:rPr>
              <w:t>Míra nezaměstnanosti se mezi kraji meziročně nejvíce zvýšila na Karlovarsku (o 2,3 p. b., na 6,1 %), kde se p</w:t>
            </w:r>
            <w:r>
              <w:rPr>
                <w:spacing w:val="-4"/>
              </w:rPr>
              <w:t>rojevil propad cestovního ruchu</w:t>
            </w:r>
            <w:r w:rsidRPr="00CB1808">
              <w:rPr>
                <w:spacing w:val="-4"/>
              </w:rPr>
              <w:t xml:space="preserve"> i ztížené podmínky pro pendlery.</w:t>
            </w:r>
            <w:r w:rsidRPr="00CB1808">
              <w:rPr>
                <w:color w:val="0D0D0D" w:themeColor="text1" w:themeTint="F2"/>
                <w:spacing w:val="-4"/>
              </w:rPr>
              <w:t xml:space="preserve"> Rozdíly mezi regiony ale zůstaly relativně malé. Méně než 2% nezaměstnanost přetrvávala v Pardubickém a Zlínském kraji, které se vyznačují </w:t>
            </w:r>
            <w:r>
              <w:rPr>
                <w:color w:val="0D0D0D" w:themeColor="text1" w:themeTint="F2"/>
                <w:spacing w:val="-4"/>
              </w:rPr>
              <w:t>i</w:t>
            </w:r>
            <w:r w:rsidRPr="00CB1808">
              <w:rPr>
                <w:color w:val="0D0D0D" w:themeColor="text1" w:themeTint="F2"/>
                <w:spacing w:val="-4"/>
              </w:rPr>
              <w:t xml:space="preserve"> nadprůměrným zastoupením průmyslu.</w:t>
            </w:r>
          </w:p>
        </w:tc>
      </w:tr>
      <w:tr w:rsidR="00E97F14" w:rsidRPr="00B43216" w14:paraId="7290B156" w14:textId="77777777" w:rsidTr="0091476D">
        <w:trPr>
          <w:trHeight w:val="145"/>
        </w:trPr>
        <w:tc>
          <w:tcPr>
            <w:tcW w:w="1792" w:type="dxa"/>
            <w:shd w:val="clear" w:color="auto" w:fill="auto"/>
            <w:tcMar>
              <w:left w:w="0" w:type="dxa"/>
            </w:tcMar>
          </w:tcPr>
          <w:p w14:paraId="0E9B0FE1" w14:textId="77777777" w:rsidR="00E97F14" w:rsidRPr="00F335E5" w:rsidRDefault="00E97F14" w:rsidP="0091476D">
            <w:pPr>
              <w:pStyle w:val="Marginlie"/>
              <w:spacing w:after="120"/>
              <w:rPr>
                <w:spacing w:val="-5"/>
              </w:rPr>
            </w:pPr>
            <w:r>
              <w:lastRenderedPageBreak/>
              <w:t>Proti vyššímu růstu nezaměstnanosti působily vládní stabilizační programy, v některých regionech také pestrá nabídka sektoru služeb či postupné oživení průmyslu.</w:t>
            </w:r>
          </w:p>
        </w:tc>
        <w:tc>
          <w:tcPr>
            <w:tcW w:w="216" w:type="dxa"/>
            <w:shd w:val="clear" w:color="auto" w:fill="auto"/>
            <w:tcMar>
              <w:left w:w="0" w:type="dxa"/>
            </w:tcMar>
          </w:tcPr>
          <w:p w14:paraId="6DBCE0C2"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02077142" w14:textId="77777777" w:rsidR="00E97F14" w:rsidRPr="004F1065" w:rsidRDefault="00E97F14" w:rsidP="0091476D">
            <w:pPr>
              <w:spacing w:after="220"/>
              <w:rPr>
                <w:color w:val="0D0D0D" w:themeColor="text1" w:themeTint="F2"/>
                <w:spacing w:val="-3"/>
              </w:rPr>
            </w:pPr>
            <w:r w:rsidRPr="004F1065">
              <w:rPr>
                <w:color w:val="0D0D0D" w:themeColor="text1" w:themeTint="F2"/>
                <w:spacing w:val="-3"/>
              </w:rPr>
              <w:t>Proti citelnějšímu růstu nezaměstnanosti působily zejména vládní stabilizační programy (Antivirus</w:t>
            </w:r>
            <w:r w:rsidRPr="004F1065">
              <w:rPr>
                <w:rStyle w:val="Znakapoznpodarou"/>
                <w:color w:val="0D0D0D" w:themeColor="text1" w:themeTint="F2"/>
                <w:spacing w:val="-3"/>
              </w:rPr>
              <w:footnoteReference w:id="11"/>
            </w:r>
            <w:r w:rsidRPr="004F1065">
              <w:rPr>
                <w:color w:val="0D0D0D" w:themeColor="text1" w:themeTint="F2"/>
                <w:spacing w:val="-3"/>
              </w:rPr>
              <w:t>, ošetřovné</w:t>
            </w:r>
            <w:r w:rsidRPr="004F1065">
              <w:rPr>
                <w:rStyle w:val="Znakapoznpodarou"/>
                <w:color w:val="0D0D0D" w:themeColor="text1" w:themeTint="F2"/>
                <w:spacing w:val="-3"/>
              </w:rPr>
              <w:footnoteReference w:id="12"/>
            </w:r>
            <w:r>
              <w:rPr>
                <w:color w:val="0D0D0D" w:themeColor="text1" w:themeTint="F2"/>
                <w:spacing w:val="-3"/>
              </w:rPr>
              <w:t>). Roli sehrálo i to, že část pracovního trhu nebyla loni nepříznivým vývojem příliš dotčena. Někteří lidé, kteří přišli o práci, tak mohli dočasně nalézt uplatnění v jiném oboru, a to zejména v regionech s pestrou nabídkou pozic ve službách (např. v</w:t>
            </w:r>
            <w:r w:rsidRPr="004F1065">
              <w:rPr>
                <w:color w:val="0D0D0D" w:themeColor="text1" w:themeTint="F2"/>
                <w:spacing w:val="-3"/>
              </w:rPr>
              <w:t> </w:t>
            </w:r>
            <w:r>
              <w:rPr>
                <w:color w:val="0D0D0D" w:themeColor="text1" w:themeTint="F2"/>
                <w:spacing w:val="-3"/>
              </w:rPr>
              <w:t xml:space="preserve">Praze). Pozitivně se mohlo projevit ale i rychlé oživení průmyslu. </w:t>
            </w:r>
            <w:r>
              <w:rPr>
                <w:spacing w:val="-6"/>
              </w:rPr>
              <w:t>S utlumeným růstem</w:t>
            </w:r>
            <w:r w:rsidRPr="004F1065">
              <w:rPr>
                <w:spacing w:val="-6"/>
              </w:rPr>
              <w:t xml:space="preserve"> reálné nezaměstnanosti</w:t>
            </w:r>
            <w:r w:rsidRPr="004F1065">
              <w:rPr>
                <w:spacing w:val="-3"/>
              </w:rPr>
              <w:t xml:space="preserve"> ostře kontrastovaly obavy domácností z růstu nezaměs</w:t>
            </w:r>
            <w:r>
              <w:rPr>
                <w:spacing w:val="-3"/>
              </w:rPr>
              <w:t>tnanosti. Ty dosáhly v průběhu 4. čtvrtletí 2020</w:t>
            </w:r>
            <w:r w:rsidRPr="004F1065">
              <w:rPr>
                <w:rStyle w:val="Znakapoznpodarou"/>
                <w:spacing w:val="-3"/>
              </w:rPr>
              <w:footnoteReference w:id="13"/>
            </w:r>
            <w:r w:rsidRPr="004F1065">
              <w:rPr>
                <w:spacing w:val="-3"/>
              </w:rPr>
              <w:t xml:space="preserve"> nejvyšší úrovně od počátku roku 2009.</w:t>
            </w:r>
          </w:p>
        </w:tc>
      </w:tr>
      <w:tr w:rsidR="00E97F14" w:rsidRPr="00B43216" w14:paraId="23DD5732" w14:textId="77777777" w:rsidTr="0091476D">
        <w:trPr>
          <w:trHeight w:val="155"/>
        </w:trPr>
        <w:tc>
          <w:tcPr>
            <w:tcW w:w="1792" w:type="dxa"/>
            <w:vMerge w:val="restart"/>
            <w:shd w:val="clear" w:color="auto" w:fill="auto"/>
            <w:tcMar>
              <w:left w:w="0" w:type="dxa"/>
            </w:tcMar>
          </w:tcPr>
          <w:p w14:paraId="33F03192" w14:textId="77777777" w:rsidR="00E97F14" w:rsidRPr="00B43216" w:rsidRDefault="00E97F14" w:rsidP="0091476D">
            <w:pPr>
              <w:pStyle w:val="Marginlie"/>
              <w:spacing w:after="120"/>
              <w:rPr>
                <w:spacing w:val="-4"/>
              </w:rPr>
            </w:pPr>
          </w:p>
        </w:tc>
        <w:tc>
          <w:tcPr>
            <w:tcW w:w="216" w:type="dxa"/>
            <w:vMerge w:val="restart"/>
            <w:shd w:val="clear" w:color="auto" w:fill="auto"/>
            <w:tcMar>
              <w:left w:w="0" w:type="dxa"/>
            </w:tcMar>
          </w:tcPr>
          <w:p w14:paraId="20AA8C3A"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49D24CE9" w14:textId="77777777" w:rsidR="00E97F14" w:rsidRPr="00646F2C" w:rsidRDefault="00E97F14" w:rsidP="0091476D">
            <w:pPr>
              <w:spacing w:after="0"/>
              <w:rPr>
                <w:b/>
                <w:spacing w:val="-4"/>
              </w:rPr>
            </w:pPr>
            <w:r w:rsidRPr="00646F2C">
              <w:rPr>
                <w:b/>
                <w:spacing w:val="-4"/>
              </w:rPr>
              <w:t xml:space="preserve">Graf č. 14  </w:t>
            </w:r>
            <w:r w:rsidRPr="00646F2C">
              <w:rPr>
                <w:rFonts w:cs="Arial"/>
                <w:b/>
                <w:spacing w:val="-4"/>
              </w:rPr>
              <w:t xml:space="preserve">Obecná míra nezaměstnanosti </w:t>
            </w:r>
            <w:r w:rsidRPr="00646F2C">
              <w:rPr>
                <w:rFonts w:cs="Arial"/>
                <w:bCs/>
                <w:spacing w:val="-4"/>
              </w:rPr>
              <w:t>(v %)</w:t>
            </w:r>
            <w:r w:rsidRPr="00646F2C">
              <w:rPr>
                <w:rFonts w:cs="Arial"/>
                <w:b/>
                <w:spacing w:val="-4"/>
              </w:rPr>
              <w:t>, podíl dlouhodobě nezaměstnaných a osob ve věku do</w:t>
            </w:r>
            <w:r>
              <w:rPr>
                <w:rFonts w:cs="Arial"/>
                <w:b/>
                <w:spacing w:val="-4"/>
              </w:rPr>
              <w:t> </w:t>
            </w:r>
            <w:r w:rsidRPr="00646F2C">
              <w:rPr>
                <w:rFonts w:cs="Arial"/>
                <w:b/>
                <w:spacing w:val="-4"/>
              </w:rPr>
              <w:t>25 a</w:t>
            </w:r>
            <w:r>
              <w:rPr>
                <w:rFonts w:cs="Arial"/>
                <w:b/>
                <w:spacing w:val="-4"/>
              </w:rPr>
              <w:t> </w:t>
            </w:r>
            <w:r w:rsidRPr="00646F2C">
              <w:rPr>
                <w:rFonts w:cs="Arial"/>
                <w:b/>
                <w:spacing w:val="-4"/>
              </w:rPr>
              <w:t>nad 50</w:t>
            </w:r>
            <w:r>
              <w:rPr>
                <w:rFonts w:cs="Arial"/>
                <w:b/>
                <w:spacing w:val="-4"/>
              </w:rPr>
              <w:t> </w:t>
            </w:r>
            <w:r w:rsidRPr="00646F2C">
              <w:rPr>
                <w:rFonts w:cs="Arial"/>
                <w:b/>
                <w:spacing w:val="-4"/>
              </w:rPr>
              <w:t xml:space="preserve">let mezi nezaměstnanými </w:t>
            </w:r>
            <w:r w:rsidRPr="00646F2C">
              <w:rPr>
                <w:rFonts w:cs="Arial"/>
                <w:bCs/>
                <w:spacing w:val="-4"/>
              </w:rPr>
              <w:t>(v %)</w:t>
            </w:r>
            <w:r w:rsidRPr="00646F2C">
              <w:rPr>
                <w:rFonts w:cs="Arial"/>
                <w:b/>
                <w:spacing w:val="-4"/>
              </w:rPr>
              <w:t xml:space="preserve">, ekonomicky neaktivní chtějící pracovat </w:t>
            </w:r>
            <w:r w:rsidRPr="00646F2C">
              <w:rPr>
                <w:rFonts w:cs="Arial"/>
                <w:bCs/>
                <w:spacing w:val="-4"/>
              </w:rPr>
              <w:t xml:space="preserve">(v tis.)* </w:t>
            </w:r>
            <w:r w:rsidRPr="00646F2C">
              <w:rPr>
                <w:rFonts w:cs="Arial"/>
                <w:b/>
                <w:bCs/>
                <w:spacing w:val="-4"/>
              </w:rPr>
              <w:t>a očekávání nezaměstnanosti u domácností</w:t>
            </w:r>
            <w:r w:rsidRPr="00646F2C">
              <w:rPr>
                <w:rFonts w:cs="Arial"/>
                <w:bCs/>
                <w:spacing w:val="-4"/>
              </w:rPr>
              <w:t xml:space="preserve"> (v %)**</w:t>
            </w:r>
          </w:p>
        </w:tc>
      </w:tr>
      <w:tr w:rsidR="00E97F14" w:rsidRPr="00B43216" w14:paraId="317C8620" w14:textId="77777777" w:rsidTr="0091476D">
        <w:tblPrEx>
          <w:tblCellMar>
            <w:left w:w="70" w:type="dxa"/>
            <w:right w:w="70" w:type="dxa"/>
          </w:tblCellMar>
        </w:tblPrEx>
        <w:trPr>
          <w:trHeight w:val="155"/>
        </w:trPr>
        <w:tc>
          <w:tcPr>
            <w:tcW w:w="1792" w:type="dxa"/>
            <w:vMerge/>
            <w:shd w:val="clear" w:color="auto" w:fill="auto"/>
          </w:tcPr>
          <w:p w14:paraId="7D66D6C0" w14:textId="77777777" w:rsidR="00E97F14" w:rsidRPr="00B43216" w:rsidRDefault="00E97F14" w:rsidP="0091476D">
            <w:pPr>
              <w:pStyle w:val="Marginlie"/>
              <w:spacing w:after="120"/>
              <w:rPr>
                <w:spacing w:val="-4"/>
              </w:rPr>
            </w:pPr>
          </w:p>
        </w:tc>
        <w:tc>
          <w:tcPr>
            <w:tcW w:w="216" w:type="dxa"/>
            <w:vMerge/>
            <w:shd w:val="clear" w:color="auto" w:fill="auto"/>
          </w:tcPr>
          <w:p w14:paraId="6D498FCA" w14:textId="77777777" w:rsidR="00E97F14" w:rsidRPr="00B43216" w:rsidRDefault="00E97F14" w:rsidP="0091476D">
            <w:pPr>
              <w:pStyle w:val="Textpoznpodarou"/>
              <w:spacing w:after="120"/>
              <w:jc w:val="both"/>
              <w:rPr>
                <w:spacing w:val="-4"/>
              </w:rPr>
            </w:pPr>
          </w:p>
        </w:tc>
        <w:tc>
          <w:tcPr>
            <w:tcW w:w="7656" w:type="dxa"/>
            <w:shd w:val="clear" w:color="auto" w:fill="auto"/>
          </w:tcPr>
          <w:p w14:paraId="3A1E24F4" w14:textId="77777777" w:rsidR="00E97F14" w:rsidRPr="00B43216" w:rsidRDefault="00E97F14" w:rsidP="0091476D">
            <w:pPr>
              <w:spacing w:after="0" w:line="240" w:lineRule="auto"/>
              <w:rPr>
                <w:spacing w:val="-4"/>
              </w:rPr>
            </w:pPr>
            <w:r>
              <w:rPr>
                <w:noProof/>
              </w:rPr>
              <w:drawing>
                <wp:inline distT="0" distB="0" distL="0" distR="0" wp14:anchorId="124FCB9D" wp14:editId="1A42F5FE">
                  <wp:extent cx="4753610" cy="3601941"/>
                  <wp:effectExtent l="0" t="0" r="889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97F14" w:rsidRPr="00B43216" w14:paraId="2CED68A7" w14:textId="77777777" w:rsidTr="0091476D">
        <w:trPr>
          <w:trHeight w:val="671"/>
        </w:trPr>
        <w:tc>
          <w:tcPr>
            <w:tcW w:w="1792" w:type="dxa"/>
            <w:vMerge/>
            <w:shd w:val="clear" w:color="auto" w:fill="auto"/>
            <w:tcMar>
              <w:left w:w="0" w:type="dxa"/>
            </w:tcMar>
          </w:tcPr>
          <w:p w14:paraId="1132392B" w14:textId="77777777" w:rsidR="00E97F14" w:rsidRPr="00B43216" w:rsidRDefault="00E97F14" w:rsidP="0091476D">
            <w:pPr>
              <w:pStyle w:val="Marginlie"/>
              <w:rPr>
                <w:spacing w:val="-4"/>
              </w:rPr>
            </w:pPr>
          </w:p>
        </w:tc>
        <w:tc>
          <w:tcPr>
            <w:tcW w:w="216" w:type="dxa"/>
            <w:vMerge/>
            <w:shd w:val="clear" w:color="auto" w:fill="auto"/>
            <w:tcMar>
              <w:left w:w="0" w:type="dxa"/>
            </w:tcMar>
          </w:tcPr>
          <w:p w14:paraId="4EC7DB4C" w14:textId="77777777" w:rsidR="00E97F14" w:rsidRPr="00B43216" w:rsidRDefault="00E97F14" w:rsidP="0091476D">
            <w:pPr>
              <w:pStyle w:val="Textpoznpodarou"/>
              <w:jc w:val="both"/>
              <w:rPr>
                <w:spacing w:val="-4"/>
              </w:rPr>
            </w:pPr>
          </w:p>
        </w:tc>
        <w:tc>
          <w:tcPr>
            <w:tcW w:w="7656" w:type="dxa"/>
            <w:shd w:val="clear" w:color="auto" w:fill="auto"/>
            <w:tcMar>
              <w:left w:w="0" w:type="dxa"/>
            </w:tcMar>
          </w:tcPr>
          <w:p w14:paraId="6434C0AF" w14:textId="77777777" w:rsidR="00E97F14" w:rsidRPr="004E68B1" w:rsidRDefault="00E97F14" w:rsidP="0091476D">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Pozn.: Údaje o míře nezaměstnanosti jsou po sezónním očištění, ostatní ukazatele nikoliv.</w:t>
            </w:r>
          </w:p>
          <w:p w14:paraId="56D0DDC1" w14:textId="77777777" w:rsidR="00E97F14" w:rsidRDefault="00E97F14" w:rsidP="0091476D">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25D80956" w14:textId="77777777" w:rsidR="00E97F14" w:rsidRDefault="00E97F14" w:rsidP="0091476D">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Údaje se vztahují k prostřednímu měsíci daného čtvrtletí.</w:t>
            </w:r>
          </w:p>
          <w:p w14:paraId="6BEAE202" w14:textId="77777777" w:rsidR="00E97F14" w:rsidRPr="00485ED5" w:rsidRDefault="00E97F14" w:rsidP="0091476D">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w:t>
            </w:r>
          </w:p>
        </w:tc>
      </w:tr>
      <w:tr w:rsidR="00E97F14" w:rsidRPr="00191C35" w14:paraId="165B12E6" w14:textId="77777777" w:rsidTr="0091476D">
        <w:trPr>
          <w:trHeight w:val="145"/>
        </w:trPr>
        <w:tc>
          <w:tcPr>
            <w:tcW w:w="1792" w:type="dxa"/>
            <w:shd w:val="clear" w:color="auto" w:fill="auto"/>
            <w:tcMar>
              <w:left w:w="0" w:type="dxa"/>
            </w:tcMar>
          </w:tcPr>
          <w:p w14:paraId="2AD4A74F" w14:textId="77777777" w:rsidR="00E97F14" w:rsidRDefault="00E97F14" w:rsidP="0091476D">
            <w:pPr>
              <w:pStyle w:val="Marginlie"/>
              <w:spacing w:after="120"/>
            </w:pPr>
            <w:r>
              <w:t>Počet volných pracovních míst od dubna 2020 meziročně mírně klesal. Nejvíce ubývalo míst pro vyučené. Nabídka pozic pro zahraniční pracovníky však zůstávala vysoká.</w:t>
            </w:r>
          </w:p>
        </w:tc>
        <w:tc>
          <w:tcPr>
            <w:tcW w:w="216" w:type="dxa"/>
            <w:shd w:val="clear" w:color="auto" w:fill="auto"/>
            <w:tcMar>
              <w:left w:w="0" w:type="dxa"/>
            </w:tcMar>
          </w:tcPr>
          <w:p w14:paraId="3B2356F8"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55CC36B1" w14:textId="77777777" w:rsidR="00E97F14" w:rsidRPr="00CE4EB9" w:rsidRDefault="00E97F14" w:rsidP="0091476D">
            <w:pPr>
              <w:spacing w:after="0"/>
              <w:rPr>
                <w:color w:val="0D0D0D" w:themeColor="text1" w:themeTint="F2"/>
                <w:spacing w:val="-5"/>
              </w:rPr>
            </w:pPr>
            <w:r w:rsidRPr="00CE4EB9">
              <w:rPr>
                <w:color w:val="0D0D0D" w:themeColor="text1" w:themeTint="F2"/>
                <w:spacing w:val="-5"/>
              </w:rPr>
              <w:t>Na konci roku 2020 nabízely úřady práce v ČR 319</w:t>
            </w:r>
            <w:r>
              <w:rPr>
                <w:color w:val="0D0D0D" w:themeColor="text1" w:themeTint="F2"/>
                <w:spacing w:val="-5"/>
              </w:rPr>
              <w:t> tis</w:t>
            </w:r>
            <w:r w:rsidRPr="00CE4EB9">
              <w:rPr>
                <w:color w:val="0D0D0D" w:themeColor="text1" w:themeTint="F2"/>
                <w:spacing w:val="-5"/>
              </w:rPr>
              <w:t>. volných míst. To bylo méně než v prosinci 2018 i</w:t>
            </w:r>
            <w:r>
              <w:rPr>
                <w:color w:val="0D0D0D" w:themeColor="text1" w:themeTint="F2"/>
                <w:spacing w:val="-5"/>
              </w:rPr>
              <w:t> </w:t>
            </w:r>
            <w:r w:rsidRPr="00CE4EB9">
              <w:rPr>
                <w:color w:val="0D0D0D" w:themeColor="text1" w:themeTint="F2"/>
                <w:spacing w:val="-5"/>
              </w:rPr>
              <w:t>2019. Počet míst meziročně mírně klesal již od dubna 2020, k nejsilnější redukci došlo v září a</w:t>
            </w:r>
            <w:r>
              <w:rPr>
                <w:color w:val="0D0D0D" w:themeColor="text1" w:themeTint="F2"/>
                <w:spacing w:val="-5"/>
              </w:rPr>
              <w:t> </w:t>
            </w:r>
            <w:r w:rsidRPr="00CE4EB9">
              <w:rPr>
                <w:color w:val="0D0D0D" w:themeColor="text1" w:themeTint="F2"/>
                <w:spacing w:val="-5"/>
              </w:rPr>
              <w:t>říjnu (o</w:t>
            </w:r>
            <w:r>
              <w:rPr>
                <w:color w:val="0D0D0D" w:themeColor="text1" w:themeTint="F2"/>
                <w:spacing w:val="-5"/>
              </w:rPr>
              <w:t> </w:t>
            </w:r>
            <w:r w:rsidRPr="00CE4EB9">
              <w:rPr>
                <w:color w:val="0D0D0D" w:themeColor="text1" w:themeTint="F2"/>
                <w:spacing w:val="-5"/>
              </w:rPr>
              <w:t>bezmála 30</w:t>
            </w:r>
            <w:r>
              <w:rPr>
                <w:color w:val="0D0D0D" w:themeColor="text1" w:themeTint="F2"/>
                <w:spacing w:val="-5"/>
              </w:rPr>
              <w:t> tis</w:t>
            </w:r>
            <w:r w:rsidRPr="00CE4EB9">
              <w:rPr>
                <w:color w:val="0D0D0D" w:themeColor="text1" w:themeTint="F2"/>
                <w:spacing w:val="-5"/>
              </w:rPr>
              <w:t>.). Za celý loňský rok ubylo z pohledu vzdělanostních požadavků nejvíce míst pro vyučené (o</w:t>
            </w:r>
            <w:r>
              <w:rPr>
                <w:color w:val="0D0D0D" w:themeColor="text1" w:themeTint="F2"/>
                <w:spacing w:val="-5"/>
              </w:rPr>
              <w:t> </w:t>
            </w:r>
            <w:r w:rsidRPr="00CE4EB9">
              <w:rPr>
                <w:color w:val="0D0D0D" w:themeColor="text1" w:themeTint="F2"/>
                <w:spacing w:val="-5"/>
              </w:rPr>
              <w:t>25</w:t>
            </w:r>
            <w:r>
              <w:rPr>
                <w:color w:val="0D0D0D" w:themeColor="text1" w:themeTint="F2"/>
                <w:spacing w:val="-5"/>
              </w:rPr>
              <w:t> %</w:t>
            </w:r>
            <w:r w:rsidRPr="00CE4EB9">
              <w:rPr>
                <w:color w:val="0D0D0D" w:themeColor="text1" w:themeTint="F2"/>
                <w:spacing w:val="-5"/>
              </w:rPr>
              <w:t>), naopak u</w:t>
            </w:r>
            <w:r>
              <w:rPr>
                <w:color w:val="0D0D0D" w:themeColor="text1" w:themeTint="F2"/>
                <w:spacing w:val="-5"/>
              </w:rPr>
              <w:t> </w:t>
            </w:r>
            <w:r w:rsidRPr="00CE4EB9">
              <w:rPr>
                <w:color w:val="0D0D0D" w:themeColor="text1" w:themeTint="F2"/>
                <w:spacing w:val="-5"/>
              </w:rPr>
              <w:t xml:space="preserve">míst s maximálně základním vzděláním došlo jen </w:t>
            </w:r>
            <w:r>
              <w:rPr>
                <w:color w:val="0D0D0D" w:themeColor="text1" w:themeTint="F2"/>
                <w:spacing w:val="-5"/>
              </w:rPr>
              <w:t>k malému poklesu</w:t>
            </w:r>
            <w:r w:rsidRPr="00CE4EB9">
              <w:rPr>
                <w:color w:val="0D0D0D" w:themeColor="text1" w:themeTint="F2"/>
                <w:spacing w:val="-5"/>
              </w:rPr>
              <w:t xml:space="preserve"> (o</w:t>
            </w:r>
            <w:r>
              <w:rPr>
                <w:color w:val="0D0D0D" w:themeColor="text1" w:themeTint="F2"/>
                <w:spacing w:val="-5"/>
              </w:rPr>
              <w:t> </w:t>
            </w:r>
            <w:r w:rsidRPr="00CE4EB9">
              <w:rPr>
                <w:color w:val="0D0D0D" w:themeColor="text1" w:themeTint="F2"/>
                <w:spacing w:val="-5"/>
              </w:rPr>
              <w:t>3</w:t>
            </w:r>
            <w:r>
              <w:rPr>
                <w:color w:val="0D0D0D" w:themeColor="text1" w:themeTint="F2"/>
                <w:spacing w:val="-5"/>
              </w:rPr>
              <w:t> %</w:t>
            </w:r>
            <w:r w:rsidRPr="00CE4EB9">
              <w:rPr>
                <w:color w:val="0D0D0D" w:themeColor="text1" w:themeTint="F2"/>
                <w:spacing w:val="-5"/>
              </w:rPr>
              <w:t>, na 238</w:t>
            </w:r>
            <w:r>
              <w:rPr>
                <w:color w:val="0D0D0D" w:themeColor="text1" w:themeTint="F2"/>
                <w:spacing w:val="-5"/>
              </w:rPr>
              <w:t> tis</w:t>
            </w:r>
            <w:r w:rsidRPr="00CE4EB9">
              <w:rPr>
                <w:color w:val="0D0D0D" w:themeColor="text1" w:themeTint="F2"/>
                <w:spacing w:val="-5"/>
              </w:rPr>
              <w:t>.)</w:t>
            </w:r>
            <w:r w:rsidRPr="00CE4EB9">
              <w:rPr>
                <w:rStyle w:val="Znakapoznpodarou"/>
                <w:color w:val="0D0D0D" w:themeColor="text1" w:themeTint="F2"/>
                <w:spacing w:val="-5"/>
              </w:rPr>
              <w:footnoteReference w:id="14"/>
            </w:r>
            <w:r w:rsidRPr="00CE4EB9">
              <w:rPr>
                <w:color w:val="0D0D0D" w:themeColor="text1" w:themeTint="F2"/>
                <w:spacing w:val="-5"/>
              </w:rPr>
              <w:t>. Z</w:t>
            </w:r>
            <w:r>
              <w:rPr>
                <w:color w:val="0D0D0D" w:themeColor="text1" w:themeTint="F2"/>
                <w:spacing w:val="-5"/>
              </w:rPr>
              <w:t> </w:t>
            </w:r>
            <w:r w:rsidRPr="00CE4EB9">
              <w:rPr>
                <w:color w:val="0D0D0D" w:themeColor="text1" w:themeTint="F2"/>
                <w:spacing w:val="-5"/>
              </w:rPr>
              <w:t>hlavních skupin zaměstnání výrazně klesla nabídka míst pro pracovníky ve službách a</w:t>
            </w:r>
            <w:r>
              <w:rPr>
                <w:color w:val="0D0D0D" w:themeColor="text1" w:themeTint="F2"/>
                <w:spacing w:val="-5"/>
              </w:rPr>
              <w:t> </w:t>
            </w:r>
            <w:r w:rsidRPr="00CE4EB9">
              <w:rPr>
                <w:color w:val="0D0D0D" w:themeColor="text1" w:themeTint="F2"/>
                <w:spacing w:val="-5"/>
              </w:rPr>
              <w:t>prodeji (o 11 %) a</w:t>
            </w:r>
            <w:r>
              <w:rPr>
                <w:color w:val="0D0D0D" w:themeColor="text1" w:themeTint="F2"/>
                <w:spacing w:val="-5"/>
              </w:rPr>
              <w:t> </w:t>
            </w:r>
            <w:r w:rsidRPr="00CE4EB9">
              <w:rPr>
                <w:color w:val="0D0D0D" w:themeColor="text1" w:themeTint="F2"/>
                <w:spacing w:val="-5"/>
              </w:rPr>
              <w:t xml:space="preserve">obsluhy strojů </w:t>
            </w:r>
            <w:r>
              <w:rPr>
                <w:color w:val="0D0D0D" w:themeColor="text1" w:themeTint="F2"/>
                <w:spacing w:val="-5"/>
              </w:rPr>
              <w:t>a </w:t>
            </w:r>
            <w:r w:rsidRPr="00CE4EB9">
              <w:rPr>
                <w:color w:val="0D0D0D" w:themeColor="text1" w:themeTint="F2"/>
                <w:spacing w:val="-5"/>
              </w:rPr>
              <w:t>zařízení (</w:t>
            </w:r>
            <w:r>
              <w:rPr>
                <w:color w:val="0D0D0D" w:themeColor="text1" w:themeTint="F2"/>
                <w:spacing w:val="-5"/>
              </w:rPr>
              <w:t>také o </w:t>
            </w:r>
            <w:r w:rsidRPr="00CE4EB9">
              <w:rPr>
                <w:color w:val="0D0D0D" w:themeColor="text1" w:themeTint="F2"/>
                <w:spacing w:val="-5"/>
              </w:rPr>
              <w:t xml:space="preserve">11 %). </w:t>
            </w:r>
            <w:r w:rsidRPr="00CE4EB9">
              <w:rPr>
                <w:spacing w:val="-5"/>
              </w:rPr>
              <w:t>Pokles počtu míst byl v zásadě plošný, přibyly pozice jen pro kvalifikované pracovníky v zemědělství a</w:t>
            </w:r>
            <w:r w:rsidRPr="00CE4EB9">
              <w:rPr>
                <w:color w:val="0D0D0D" w:themeColor="text1" w:themeTint="F2"/>
                <w:spacing w:val="-5"/>
              </w:rPr>
              <w:t> </w:t>
            </w:r>
            <w:r w:rsidRPr="00CE4EB9">
              <w:rPr>
                <w:spacing w:val="-5"/>
              </w:rPr>
              <w:t xml:space="preserve">lesnictví. </w:t>
            </w:r>
            <w:r w:rsidRPr="00CE4EB9">
              <w:rPr>
                <w:color w:val="0D0D0D" w:themeColor="text1" w:themeTint="F2"/>
                <w:spacing w:val="-5"/>
              </w:rPr>
              <w:t>Celkových míst bylo stále více než registrovanýc</w:t>
            </w:r>
            <w:r>
              <w:rPr>
                <w:color w:val="0D0D0D" w:themeColor="text1" w:themeTint="F2"/>
                <w:spacing w:val="-5"/>
              </w:rPr>
              <w:t>h uchazečů o práci (292 tis.). U </w:t>
            </w:r>
            <w:r w:rsidRPr="00CE4EB9">
              <w:rPr>
                <w:color w:val="0D0D0D" w:themeColor="text1" w:themeTint="F2"/>
                <w:spacing w:val="-5"/>
              </w:rPr>
              <w:t xml:space="preserve">osob s vyšším než základním vzděláním </w:t>
            </w:r>
            <w:r>
              <w:rPr>
                <w:color w:val="0D0D0D" w:themeColor="text1" w:themeTint="F2"/>
                <w:spacing w:val="-5"/>
              </w:rPr>
              <w:t>ale</w:t>
            </w:r>
            <w:r w:rsidRPr="00CE4EB9">
              <w:rPr>
                <w:color w:val="0D0D0D" w:themeColor="text1" w:themeTint="F2"/>
                <w:spacing w:val="-5"/>
              </w:rPr>
              <w:t xml:space="preserve"> připadalo na jedno odpovídající místo</w:t>
            </w:r>
            <w:r>
              <w:rPr>
                <w:color w:val="0D0D0D" w:themeColor="text1" w:themeTint="F2"/>
                <w:spacing w:val="-5"/>
              </w:rPr>
              <w:t xml:space="preserve"> již </w:t>
            </w:r>
            <w:r w:rsidRPr="00CE4EB9">
              <w:rPr>
                <w:color w:val="0D0D0D" w:themeColor="text1" w:themeTint="F2"/>
                <w:spacing w:val="-5"/>
              </w:rPr>
              <w:t>2,6</w:t>
            </w:r>
            <w:r>
              <w:rPr>
                <w:color w:val="0D0D0D" w:themeColor="text1" w:themeTint="F2"/>
                <w:spacing w:val="-5"/>
              </w:rPr>
              <w:t> </w:t>
            </w:r>
            <w:r w:rsidRPr="00CE4EB9">
              <w:rPr>
                <w:color w:val="0D0D0D" w:themeColor="text1" w:themeTint="F2"/>
                <w:spacing w:val="-5"/>
              </w:rPr>
              <w:t>uchazeče, nejvíce za poslední čtyři roky.</w:t>
            </w:r>
          </w:p>
        </w:tc>
      </w:tr>
      <w:tr w:rsidR="00E97F14" w:rsidRPr="00191C35" w14:paraId="5F674F4C" w14:textId="77777777" w:rsidTr="0091476D">
        <w:trPr>
          <w:trHeight w:val="145"/>
        </w:trPr>
        <w:tc>
          <w:tcPr>
            <w:tcW w:w="1792" w:type="dxa"/>
            <w:shd w:val="clear" w:color="auto" w:fill="auto"/>
            <w:tcMar>
              <w:left w:w="0" w:type="dxa"/>
            </w:tcMar>
          </w:tcPr>
          <w:p w14:paraId="3EF0B8ED" w14:textId="77777777" w:rsidR="00E97F14" w:rsidRPr="007B75BC" w:rsidRDefault="00E97F14" w:rsidP="0091476D">
            <w:pPr>
              <w:pStyle w:val="Marginlie"/>
              <w:spacing w:after="120"/>
              <w:rPr>
                <w:spacing w:val="0"/>
              </w:rPr>
            </w:pPr>
            <w:r w:rsidRPr="007B75BC">
              <w:rPr>
                <w:spacing w:val="0"/>
              </w:rPr>
              <w:lastRenderedPageBreak/>
              <w:t xml:space="preserve">Ekonomicky neaktivních loni přibylo nejvíce od roku 2008. </w:t>
            </w:r>
            <w:r>
              <w:rPr>
                <w:spacing w:val="0"/>
              </w:rPr>
              <w:t>Nárůst</w:t>
            </w:r>
            <w:r w:rsidRPr="007B75BC">
              <w:rPr>
                <w:spacing w:val="0"/>
              </w:rPr>
              <w:t xml:space="preserve"> se projevoval hlavně v obou krajních věkových spektrech produktivního věku.</w:t>
            </w:r>
          </w:p>
        </w:tc>
        <w:tc>
          <w:tcPr>
            <w:tcW w:w="216" w:type="dxa"/>
            <w:shd w:val="clear" w:color="auto" w:fill="auto"/>
            <w:tcMar>
              <w:left w:w="0" w:type="dxa"/>
            </w:tcMar>
          </w:tcPr>
          <w:p w14:paraId="33F33EDB"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15BF1A79" w14:textId="77777777" w:rsidR="00E97F14" w:rsidRPr="007B75BC" w:rsidRDefault="00E97F14" w:rsidP="0091476D">
            <w:pPr>
              <w:spacing w:after="220"/>
              <w:rPr>
                <w:rFonts w:cs="Arial"/>
                <w:bCs/>
                <w:color w:val="0D0D0D" w:themeColor="text1" w:themeTint="F2"/>
                <w:szCs w:val="20"/>
              </w:rPr>
            </w:pPr>
            <w:r w:rsidRPr="00241E62">
              <w:rPr>
                <w:rFonts w:cs="Arial"/>
                <w:bCs/>
                <w:color w:val="000000"/>
                <w:szCs w:val="20"/>
              </w:rPr>
              <w:t xml:space="preserve">Změny na trhu práce </w:t>
            </w:r>
            <w:r>
              <w:rPr>
                <w:rFonts w:cs="Arial"/>
                <w:bCs/>
                <w:color w:val="000000"/>
                <w:szCs w:val="20"/>
              </w:rPr>
              <w:t xml:space="preserve">v roce 2020 </w:t>
            </w:r>
            <w:r w:rsidRPr="00241E62">
              <w:rPr>
                <w:rFonts w:cs="Arial"/>
                <w:bCs/>
                <w:color w:val="000000"/>
                <w:szCs w:val="20"/>
              </w:rPr>
              <w:t>se spíše</w:t>
            </w:r>
            <w:r>
              <w:rPr>
                <w:rFonts w:cs="Arial"/>
                <w:bCs/>
                <w:color w:val="000000"/>
                <w:szCs w:val="20"/>
              </w:rPr>
              <w:t xml:space="preserve"> než v nezaměstnanosti odrazily v posílení počtu </w:t>
            </w:r>
            <w:r w:rsidRPr="00713B84">
              <w:rPr>
                <w:rFonts w:cs="Arial"/>
                <w:bCs/>
                <w:color w:val="0D0D0D" w:themeColor="text1" w:themeTint="F2"/>
                <w:szCs w:val="20"/>
              </w:rPr>
              <w:t>ekonomicky neaktivních</w:t>
            </w:r>
            <w:r>
              <w:rPr>
                <w:rFonts w:cs="Arial"/>
                <w:bCs/>
                <w:color w:val="0D0D0D" w:themeColor="text1" w:themeTint="F2"/>
                <w:szCs w:val="20"/>
              </w:rPr>
              <w:t xml:space="preserve">. </w:t>
            </w:r>
            <w:r w:rsidRPr="00655F97">
              <w:t>Těch přibylo loni nejvíce za poslední dekádu</w:t>
            </w:r>
            <w:r>
              <w:t xml:space="preserve"> (+1,8 %)</w:t>
            </w:r>
            <w:r>
              <w:rPr>
                <w:rStyle w:val="Znakapoznpodarou"/>
              </w:rPr>
              <w:footnoteReference w:id="15"/>
            </w:r>
            <w:r w:rsidRPr="00655F97">
              <w:t>.</w:t>
            </w:r>
            <w:r>
              <w:t xml:space="preserve"> Růst v samotném 4. čtvrtletí se </w:t>
            </w:r>
            <w:r w:rsidRPr="0091472F">
              <w:t>projevil hlavně u</w:t>
            </w:r>
            <w:r>
              <w:t> </w:t>
            </w:r>
            <w:r w:rsidRPr="0091472F">
              <w:t>osob do 30</w:t>
            </w:r>
            <w:r>
              <w:t> </w:t>
            </w:r>
            <w:r w:rsidRPr="0091472F">
              <w:t>let (i</w:t>
            </w:r>
            <w:r>
              <w:t> </w:t>
            </w:r>
            <w:r w:rsidRPr="0091472F">
              <w:t>vlivem omezení nabídky termínovaných a</w:t>
            </w:r>
            <w:r>
              <w:t> </w:t>
            </w:r>
            <w:r w:rsidRPr="0091472F">
              <w:t>zkrácených pracovních úvazků), zčásti také u</w:t>
            </w:r>
            <w:r>
              <w:t> </w:t>
            </w:r>
            <w:r w:rsidRPr="0091472F">
              <w:t>lidí nad 60</w:t>
            </w:r>
            <w:r>
              <w:t> </w:t>
            </w:r>
            <w:r w:rsidRPr="0091472F">
              <w:t xml:space="preserve">let (zejména mužů). </w:t>
            </w:r>
            <w:r>
              <w:rPr>
                <w:rFonts w:cs="Arial"/>
                <w:bCs/>
                <w:color w:val="000000"/>
                <w:szCs w:val="20"/>
              </w:rPr>
              <w:t xml:space="preserve">Nelze vyloučit, že část těchto osob se z pracovního trhu stáhla jen dočasně. </w:t>
            </w:r>
            <w:r w:rsidRPr="0091472F">
              <w:t>Počet neaktivních nehledajících práci, ale chtějících pracovat, přestal loni poprvé po čtyřech letech meziroč</w:t>
            </w:r>
            <w:r>
              <w:t xml:space="preserve">ně klesat. Ve 4. čtvrtletí </w:t>
            </w:r>
            <w:r w:rsidRPr="0091472F">
              <w:t>tvořila tato skupina bezmála 100</w:t>
            </w:r>
            <w:r>
              <w:t> tis</w:t>
            </w:r>
            <w:r w:rsidRPr="0091472F">
              <w:t>. osob. Většina z nich ale nebyla schopna okamžitě do práce nastoupit.</w:t>
            </w:r>
          </w:p>
        </w:tc>
      </w:tr>
      <w:tr w:rsidR="00E97F14" w:rsidRPr="00191C35" w14:paraId="56BB9F10" w14:textId="77777777" w:rsidTr="0091476D">
        <w:trPr>
          <w:trHeight w:val="145"/>
        </w:trPr>
        <w:tc>
          <w:tcPr>
            <w:tcW w:w="1792" w:type="dxa"/>
            <w:shd w:val="clear" w:color="auto" w:fill="auto"/>
            <w:tcMar>
              <w:left w:w="0" w:type="dxa"/>
            </w:tcMar>
          </w:tcPr>
          <w:p w14:paraId="195A116B" w14:textId="77777777" w:rsidR="00E97F14" w:rsidRPr="007B75BC" w:rsidRDefault="00E97F14" w:rsidP="0091476D">
            <w:pPr>
              <w:pStyle w:val="Marginlie"/>
              <w:spacing w:after="120"/>
              <w:rPr>
                <w:spacing w:val="0"/>
              </w:rPr>
            </w:pPr>
            <w:r>
              <w:rPr>
                <w:spacing w:val="0"/>
              </w:rPr>
              <w:t>Mzdový vývoj byl loni ovlivněn jak dlouhodobými vlivy, tak i</w:t>
            </w:r>
            <w:r>
              <w:t> </w:t>
            </w:r>
            <w:r>
              <w:rPr>
                <w:spacing w:val="0"/>
              </w:rPr>
              <w:t>mimořádnými protipandemickými opatřeními.</w:t>
            </w:r>
          </w:p>
        </w:tc>
        <w:tc>
          <w:tcPr>
            <w:tcW w:w="216" w:type="dxa"/>
            <w:shd w:val="clear" w:color="auto" w:fill="auto"/>
            <w:tcMar>
              <w:left w:w="0" w:type="dxa"/>
            </w:tcMar>
          </w:tcPr>
          <w:p w14:paraId="2F5B048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51CA3E0F" w14:textId="77777777" w:rsidR="00E97F14" w:rsidRPr="005751E2" w:rsidRDefault="00E97F14" w:rsidP="0091476D">
            <w:pPr>
              <w:spacing w:after="220"/>
              <w:rPr>
                <w:rFonts w:cs="Arial"/>
                <w:bCs/>
                <w:color w:val="000000"/>
                <w:spacing w:val="-3"/>
                <w:szCs w:val="20"/>
              </w:rPr>
            </w:pPr>
            <w:r w:rsidRPr="005751E2">
              <w:rPr>
                <w:rFonts w:cs="Arial"/>
                <w:bCs/>
                <w:color w:val="000000"/>
                <w:spacing w:val="-3"/>
                <w:szCs w:val="20"/>
              </w:rPr>
              <w:t xml:space="preserve">Zatímco </w:t>
            </w:r>
            <w:r>
              <w:rPr>
                <w:rFonts w:cs="Arial"/>
                <w:bCs/>
                <w:color w:val="000000"/>
                <w:spacing w:val="-3"/>
                <w:szCs w:val="20"/>
              </w:rPr>
              <w:t>u </w:t>
            </w:r>
            <w:r w:rsidRPr="005751E2">
              <w:rPr>
                <w:rFonts w:cs="Arial"/>
                <w:bCs/>
                <w:color w:val="000000"/>
                <w:spacing w:val="-3"/>
                <w:szCs w:val="20"/>
              </w:rPr>
              <w:t>zaměstnanosti i</w:t>
            </w:r>
            <w:r>
              <w:rPr>
                <w:rFonts w:cs="Arial"/>
                <w:bCs/>
                <w:color w:val="000000"/>
                <w:spacing w:val="-3"/>
                <w:szCs w:val="20"/>
              </w:rPr>
              <w:t> </w:t>
            </w:r>
            <w:r w:rsidRPr="005751E2">
              <w:rPr>
                <w:rFonts w:cs="Arial"/>
                <w:bCs/>
                <w:color w:val="000000"/>
                <w:spacing w:val="-3"/>
                <w:szCs w:val="20"/>
              </w:rPr>
              <w:t>nezaměstnanosti byl loň</w:t>
            </w:r>
            <w:r>
              <w:rPr>
                <w:rFonts w:cs="Arial"/>
                <w:bCs/>
                <w:color w:val="000000"/>
                <w:spacing w:val="-3"/>
                <w:szCs w:val="20"/>
              </w:rPr>
              <w:t>ský rok</w:t>
            </w:r>
            <w:r w:rsidRPr="005751E2">
              <w:rPr>
                <w:rFonts w:cs="Arial"/>
                <w:bCs/>
                <w:color w:val="000000"/>
                <w:spacing w:val="-3"/>
                <w:szCs w:val="20"/>
              </w:rPr>
              <w:t xml:space="preserve"> ve znamení postupných mírnějších změn, vývoj ve mzdové oblasti</w:t>
            </w:r>
            <w:r>
              <w:rPr>
                <w:rFonts w:cs="Arial"/>
                <w:bCs/>
                <w:color w:val="000000"/>
                <w:spacing w:val="-3"/>
                <w:szCs w:val="20"/>
              </w:rPr>
              <w:t xml:space="preserve"> měl</w:t>
            </w:r>
            <w:r w:rsidRPr="005751E2">
              <w:rPr>
                <w:rFonts w:cs="Arial"/>
                <w:bCs/>
                <w:color w:val="000000"/>
                <w:spacing w:val="-3"/>
                <w:szCs w:val="20"/>
              </w:rPr>
              <w:t xml:space="preserve"> turbulentní</w:t>
            </w:r>
            <w:r>
              <w:rPr>
                <w:rFonts w:cs="Arial"/>
                <w:bCs/>
                <w:color w:val="000000"/>
                <w:spacing w:val="-3"/>
                <w:szCs w:val="20"/>
              </w:rPr>
              <w:t xml:space="preserve"> charakter</w:t>
            </w:r>
            <w:r w:rsidRPr="005751E2">
              <w:rPr>
                <w:rFonts w:cs="Arial"/>
                <w:bCs/>
                <w:color w:val="000000"/>
                <w:spacing w:val="-3"/>
                <w:szCs w:val="20"/>
              </w:rPr>
              <w:t xml:space="preserve">. </w:t>
            </w:r>
            <w:r w:rsidRPr="005751E2">
              <w:rPr>
                <w:spacing w:val="-3"/>
              </w:rPr>
              <w:t xml:space="preserve">Z důvodu karanténních opatření i dlouhodobějšího poklesu poptávky došlo </w:t>
            </w:r>
            <w:r w:rsidRPr="005751E2">
              <w:rPr>
                <w:rFonts w:cs="Arial"/>
                <w:bCs/>
                <w:spacing w:val="-3"/>
              </w:rPr>
              <w:t>v mnohých odvětvích k</w:t>
            </w:r>
            <w:r>
              <w:rPr>
                <w:rFonts w:cs="Arial"/>
                <w:bCs/>
                <w:spacing w:val="-3"/>
              </w:rPr>
              <w:t> omezení či úplnému uzavření provozoven, což se negativně odrazilo v odpracované době</w:t>
            </w:r>
            <w:r w:rsidRPr="005751E2">
              <w:rPr>
                <w:rFonts w:cs="Arial"/>
                <w:bCs/>
                <w:spacing w:val="-3"/>
              </w:rPr>
              <w:t>. Objem vyplacených mezd byl ovlivněn i</w:t>
            </w:r>
            <w:r>
              <w:rPr>
                <w:rFonts w:cs="Arial"/>
                <w:bCs/>
                <w:spacing w:val="-3"/>
              </w:rPr>
              <w:t> </w:t>
            </w:r>
            <w:r w:rsidRPr="005751E2">
              <w:rPr>
                <w:rFonts w:cs="Arial"/>
                <w:bCs/>
                <w:spacing w:val="-3"/>
              </w:rPr>
              <w:t>vládními záchrannými programy</w:t>
            </w:r>
            <w:r w:rsidRPr="005751E2">
              <w:rPr>
                <w:rStyle w:val="Znakapoznpodarou"/>
                <w:color w:val="0D0D0D" w:themeColor="text1" w:themeTint="F2"/>
                <w:spacing w:val="-3"/>
              </w:rPr>
              <w:footnoteReference w:id="16"/>
            </w:r>
            <w:r w:rsidRPr="005751E2">
              <w:rPr>
                <w:rFonts w:cs="Arial"/>
                <w:bCs/>
                <w:spacing w:val="-3"/>
              </w:rPr>
              <w:t>. Vedle toho mzdový vývoj odrážel i</w:t>
            </w:r>
            <w:r>
              <w:rPr>
                <w:rFonts w:cs="Arial"/>
                <w:bCs/>
                <w:spacing w:val="-3"/>
              </w:rPr>
              <w:t> </w:t>
            </w:r>
            <w:r w:rsidRPr="005751E2">
              <w:rPr>
                <w:rFonts w:cs="Arial"/>
                <w:bCs/>
                <w:spacing w:val="-3"/>
              </w:rPr>
              <w:t xml:space="preserve">vliv dlouhodobě působících faktorů, např. </w:t>
            </w:r>
            <w:r>
              <w:rPr>
                <w:spacing w:val="-3"/>
              </w:rPr>
              <w:t>navyšová</w:t>
            </w:r>
            <w:r w:rsidRPr="005751E2">
              <w:rPr>
                <w:spacing w:val="-3"/>
              </w:rPr>
              <w:t xml:space="preserve">ní minimální mzdy či </w:t>
            </w:r>
            <w:r>
              <w:rPr>
                <w:spacing w:val="-3"/>
              </w:rPr>
              <w:t>rigidity</w:t>
            </w:r>
            <w:r w:rsidRPr="005751E2">
              <w:rPr>
                <w:spacing w:val="-3"/>
              </w:rPr>
              <w:t xml:space="preserve"> trhu práce (uzavírání dlouhodobějších vnitropodnikových dohod o růstu mezd či tarifní systém </w:t>
            </w:r>
            <w:r>
              <w:rPr>
                <w:spacing w:val="-3"/>
              </w:rPr>
              <w:t xml:space="preserve">odměňování </w:t>
            </w:r>
            <w:r w:rsidRPr="005751E2">
              <w:rPr>
                <w:spacing w:val="-3"/>
              </w:rPr>
              <w:t>v rozpočtové sféře).</w:t>
            </w:r>
          </w:p>
        </w:tc>
      </w:tr>
      <w:tr w:rsidR="00E97F14" w:rsidRPr="00191C35" w14:paraId="56FB59D2" w14:textId="77777777" w:rsidTr="0091476D">
        <w:trPr>
          <w:trHeight w:val="145"/>
        </w:trPr>
        <w:tc>
          <w:tcPr>
            <w:tcW w:w="1792" w:type="dxa"/>
            <w:shd w:val="clear" w:color="auto" w:fill="auto"/>
            <w:tcMar>
              <w:left w:w="0" w:type="dxa"/>
            </w:tcMar>
          </w:tcPr>
          <w:p w14:paraId="76D20BF1" w14:textId="77777777" w:rsidR="00E97F14" w:rsidRPr="007B75BC" w:rsidRDefault="00E97F14" w:rsidP="0091476D">
            <w:pPr>
              <w:pStyle w:val="Marginlie"/>
              <w:spacing w:after="120"/>
              <w:rPr>
                <w:spacing w:val="0"/>
              </w:rPr>
            </w:pPr>
            <w:r>
              <w:rPr>
                <w:spacing w:val="0"/>
              </w:rPr>
              <w:t>Dopady restriktivních opatření na mzdový vývoj byly ve 4. čtvrtletí zastíněny výplatou odměn ve zdravotnictví i</w:t>
            </w:r>
            <w:r>
              <w:t> </w:t>
            </w:r>
            <w:r>
              <w:rPr>
                <w:spacing w:val="0"/>
              </w:rPr>
              <w:t>pokračujícím oživením v</w:t>
            </w:r>
            <w:r>
              <w:t> </w:t>
            </w:r>
            <w:r>
              <w:rPr>
                <w:spacing w:val="0"/>
              </w:rPr>
              <w:t>průmyslu.</w:t>
            </w:r>
          </w:p>
        </w:tc>
        <w:tc>
          <w:tcPr>
            <w:tcW w:w="216" w:type="dxa"/>
            <w:shd w:val="clear" w:color="auto" w:fill="auto"/>
            <w:tcMar>
              <w:left w:w="0" w:type="dxa"/>
            </w:tcMar>
          </w:tcPr>
          <w:p w14:paraId="7321024D"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54623796" w14:textId="77777777" w:rsidR="00E97F14" w:rsidRPr="00241E62" w:rsidRDefault="00E97F14" w:rsidP="0091476D">
            <w:pPr>
              <w:spacing w:after="220"/>
              <w:rPr>
                <w:rFonts w:cs="Arial"/>
                <w:bCs/>
                <w:color w:val="000000"/>
                <w:szCs w:val="20"/>
              </w:rPr>
            </w:pPr>
            <w:r>
              <w:rPr>
                <w:rFonts w:cs="Arial"/>
                <w:bCs/>
                <w:color w:val="000000"/>
                <w:szCs w:val="20"/>
              </w:rPr>
              <w:t xml:space="preserve">Zatímco ve 2. čtvrtletí 2020 vzrostla průměrná mzda v ekonomice meziročně o pouhých 0,7 % (a oproti předchozímu čtvrtletí poklesla o bezprecedentní 3,1 %), ve 4. čtvrtletí tempo zrychlilo na 6,5 %. Takto rozdílné výsledky vznikly v obdobích roku, kdy byly </w:t>
            </w:r>
            <w:r w:rsidRPr="008C1423">
              <w:rPr>
                <w:rFonts w:cs="Arial"/>
                <w:bCs/>
                <w:color w:val="000000"/>
                <w:szCs w:val="20"/>
              </w:rPr>
              <w:t xml:space="preserve">výkony podniků nejsilněji poznamenány dopady vládních restriktivních opatření. </w:t>
            </w:r>
            <w:r w:rsidRPr="008C1423">
              <w:rPr>
                <w:rFonts w:cs="Arial"/>
                <w:bCs/>
              </w:rPr>
              <w:t>Restrikce ve 4.</w:t>
            </w:r>
            <w:r>
              <w:rPr>
                <w:rFonts w:cs="Arial"/>
                <w:bCs/>
              </w:rPr>
              <w:t> čtvrtlet</w:t>
            </w:r>
            <w:r w:rsidRPr="008C1423">
              <w:rPr>
                <w:rFonts w:cs="Arial"/>
                <w:bCs/>
              </w:rPr>
              <w:t>í měly ovšem na mzdy v celé ekonomice slabší dopad než na jaře, neboť vedle výplaty mimořádných odměn ve zdravotnictví se projevilo i</w:t>
            </w:r>
            <w:r>
              <w:rPr>
                <w:rFonts w:cs="Arial"/>
                <w:bCs/>
              </w:rPr>
              <w:t> </w:t>
            </w:r>
            <w:r w:rsidRPr="008C1423">
              <w:rPr>
                <w:rFonts w:cs="Arial"/>
                <w:bCs/>
              </w:rPr>
              <w:t>pokračující oživení v</w:t>
            </w:r>
            <w:r>
              <w:rPr>
                <w:rFonts w:cs="Arial"/>
                <w:bCs/>
              </w:rPr>
              <w:t xml:space="preserve">e váhově dominantním odvětví </w:t>
            </w:r>
            <w:r w:rsidRPr="008C1423">
              <w:rPr>
                <w:rFonts w:cs="Arial"/>
                <w:bCs/>
              </w:rPr>
              <w:t>průmyslu</w:t>
            </w:r>
            <w:r>
              <w:rPr>
                <w:rFonts w:cs="Arial"/>
                <w:bCs/>
              </w:rPr>
              <w:t>.</w:t>
            </w:r>
            <w:r>
              <w:rPr>
                <w:color w:val="0D0D0D" w:themeColor="text1" w:themeTint="F2"/>
                <w:spacing w:val="-4"/>
              </w:rPr>
              <w:t xml:space="preserve"> Za celý rok 2020 dosáhla p</w:t>
            </w:r>
            <w:r w:rsidRPr="00E40B71">
              <w:rPr>
                <w:color w:val="0D0D0D" w:themeColor="text1" w:themeTint="F2"/>
                <w:spacing w:val="-4"/>
              </w:rPr>
              <w:t>růměrná hrubá měsíční nominální mzda zaměstnanc</w:t>
            </w:r>
            <w:r>
              <w:rPr>
                <w:color w:val="0D0D0D" w:themeColor="text1" w:themeTint="F2"/>
                <w:spacing w:val="-4"/>
              </w:rPr>
              <w:t xml:space="preserve">e v ekonomice 35,6 tis. korun. Meziročně tak vzrostla o 4,4 %, nejméně za poslední čtyři roky. </w:t>
            </w:r>
            <w:r w:rsidRPr="00295A8F">
              <w:rPr>
                <w:spacing w:val="-4"/>
                <w:szCs w:val="20"/>
              </w:rPr>
              <w:t>Výrazně nerovnoměrný dopad protipandemických opatření i odlišná pružnost různých segmentů pracovního trhu (např. vazba objemu výdělků na počet odpracovan</w:t>
            </w:r>
            <w:r>
              <w:rPr>
                <w:spacing w:val="-4"/>
                <w:szCs w:val="20"/>
              </w:rPr>
              <w:t>ých hodin) se vloni promítly do značně diferencovaného</w:t>
            </w:r>
            <w:r w:rsidRPr="00295A8F">
              <w:rPr>
                <w:spacing w:val="-4"/>
                <w:szCs w:val="20"/>
              </w:rPr>
              <w:t xml:space="preserve"> vývoj</w:t>
            </w:r>
            <w:r>
              <w:rPr>
                <w:spacing w:val="-4"/>
                <w:szCs w:val="20"/>
              </w:rPr>
              <w:t>e</w:t>
            </w:r>
            <w:r w:rsidRPr="00295A8F">
              <w:rPr>
                <w:spacing w:val="-4"/>
                <w:szCs w:val="20"/>
              </w:rPr>
              <w:t xml:space="preserve"> mezd na úrovni jednotlivých odvětví.</w:t>
            </w:r>
          </w:p>
        </w:tc>
      </w:tr>
      <w:tr w:rsidR="00E97F14" w:rsidRPr="00191C35" w14:paraId="5E213B5A" w14:textId="77777777" w:rsidTr="0091476D">
        <w:trPr>
          <w:trHeight w:val="145"/>
        </w:trPr>
        <w:tc>
          <w:tcPr>
            <w:tcW w:w="1792" w:type="dxa"/>
            <w:shd w:val="clear" w:color="auto" w:fill="auto"/>
            <w:tcMar>
              <w:left w:w="0" w:type="dxa"/>
            </w:tcMar>
          </w:tcPr>
          <w:p w14:paraId="03B1AF73" w14:textId="77777777" w:rsidR="00E97F14" w:rsidRDefault="00E97F14" w:rsidP="0091476D">
            <w:pPr>
              <w:pStyle w:val="Marginlie"/>
              <w:spacing w:after="120"/>
            </w:pPr>
            <w:r>
              <w:t>V ubytování, stravování a pohostinství průměrná mzda klesla a počet zaměstnanců se propadl.</w:t>
            </w:r>
          </w:p>
          <w:p w14:paraId="52A4804E" w14:textId="77777777" w:rsidR="00E97F14" w:rsidRDefault="00E97F14" w:rsidP="0091476D">
            <w:pPr>
              <w:pStyle w:val="Marginlie"/>
              <w:spacing w:after="120"/>
            </w:pPr>
          </w:p>
          <w:p w14:paraId="0BDB0CA7" w14:textId="77777777" w:rsidR="00E97F14" w:rsidRDefault="00E97F14" w:rsidP="0091476D">
            <w:pPr>
              <w:pStyle w:val="Marginlie"/>
              <w:spacing w:after="120"/>
            </w:pPr>
          </w:p>
          <w:p w14:paraId="6D810DC0" w14:textId="77777777" w:rsidR="00E97F14" w:rsidRDefault="00E97F14" w:rsidP="0091476D">
            <w:pPr>
              <w:pStyle w:val="Marginlie"/>
              <w:spacing w:after="120"/>
            </w:pPr>
            <w:r>
              <w:t>V obchodu, zpracovatelském průmyslu či dopravě a skladování se mzdy zvyšovaly nejméně od roku 2013.</w:t>
            </w:r>
          </w:p>
        </w:tc>
        <w:tc>
          <w:tcPr>
            <w:tcW w:w="216" w:type="dxa"/>
            <w:shd w:val="clear" w:color="auto" w:fill="auto"/>
            <w:tcMar>
              <w:left w:w="0" w:type="dxa"/>
            </w:tcMar>
          </w:tcPr>
          <w:p w14:paraId="0AF9699A"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1D54ED53" w14:textId="77777777" w:rsidR="00E97F14" w:rsidRPr="00466166" w:rsidRDefault="00E97F14" w:rsidP="0091476D">
            <w:pPr>
              <w:spacing w:after="220"/>
              <w:rPr>
                <w:color w:val="0D0D0D" w:themeColor="text1" w:themeTint="F2"/>
                <w:spacing w:val="-4"/>
              </w:rPr>
            </w:pPr>
            <w:r>
              <w:rPr>
                <w:spacing w:val="-4"/>
                <w:szCs w:val="20"/>
              </w:rPr>
              <w:t xml:space="preserve">V nejcitelněji </w:t>
            </w:r>
            <w:r w:rsidRPr="00070E74">
              <w:rPr>
                <w:spacing w:val="-4"/>
                <w:szCs w:val="20"/>
              </w:rPr>
              <w:t xml:space="preserve">zasaženém </w:t>
            </w:r>
            <w:r w:rsidRPr="00070E74">
              <w:rPr>
                <w:bCs/>
              </w:rPr>
              <w:t>ubytování, stravování a</w:t>
            </w:r>
            <w:r>
              <w:rPr>
                <w:bCs/>
              </w:rPr>
              <w:t> </w:t>
            </w:r>
            <w:r w:rsidRPr="00070E74">
              <w:rPr>
                <w:bCs/>
              </w:rPr>
              <w:t>pohostinství</w:t>
            </w:r>
            <w:r>
              <w:rPr>
                <w:bCs/>
              </w:rPr>
              <w:t xml:space="preserve"> se průměrná mzda snížila o 2,1 % (nejvíce ve srovnatelné 20leté časové řadě) a její měsíční výše klesla pod 20 tis. korun. Obtíže tohoto odvětví nejlépe dokumentuje fakt, že během loňska ztratilo více než šestinu všech zaměstnaneckých míst. Omezení volnočasových aktivit se negativně promítlo také ve mzdách pracovníků </w:t>
            </w:r>
            <w:r>
              <w:rPr>
                <w:bCs/>
                <w:spacing w:val="-4"/>
              </w:rPr>
              <w:t xml:space="preserve">v kulturních, zábavních a rekreačních činnostech (+1,6 %). </w:t>
            </w:r>
            <w:r>
              <w:rPr>
                <w:bCs/>
              </w:rPr>
              <w:t>Jen slabý růst průměrných výdělků zažil loni i zpracovatelský průmysl (1,4 %). Jeho pozice se ale ve druhé polovině roku zlepšovala</w:t>
            </w:r>
            <w:r>
              <w:rPr>
                <w:rStyle w:val="Znakapoznpodarou"/>
                <w:bCs/>
              </w:rPr>
              <w:footnoteReference w:id="17"/>
            </w:r>
            <w:r>
              <w:rPr>
                <w:bCs/>
              </w:rPr>
              <w:t>. K obdobnému oživení nedošlo v dopravě a skladování, kde za celý rok mzdy vzrostly o 1,6 %. To se týkalo i obchodu, i zde mzdy posílily nejméně za posledních sedm let (+1,7 %). Lépe na tom bylo stavebnictví (+3,1 %), kde současně nedocházelo k významnějším úbytkům počtu zaměstnanců. Podprůměrně rostly vloni, shodně jako v předešlých čtyřech letech, výdělky v profesních, vědeckých a technických činnostech (+3,3 %). I</w:t>
            </w:r>
            <w:r>
              <w:rPr>
                <w:color w:val="0D0D0D" w:themeColor="text1" w:themeTint="F2"/>
                <w:spacing w:val="-4"/>
              </w:rPr>
              <w:t> </w:t>
            </w:r>
            <w:r>
              <w:rPr>
                <w:bCs/>
              </w:rPr>
              <w:t>tak zde ovšem, na rozdíl od všech výše zmíněných odvětví, mzdová úroveň hladinu celé ekonomiky stále převyšovala (42,1 tis. korun).</w:t>
            </w:r>
          </w:p>
        </w:tc>
      </w:tr>
      <w:tr w:rsidR="00E97F14" w:rsidRPr="00191C35" w14:paraId="0014027A" w14:textId="77777777" w:rsidTr="0091476D">
        <w:trPr>
          <w:trHeight w:val="145"/>
        </w:trPr>
        <w:tc>
          <w:tcPr>
            <w:tcW w:w="1792" w:type="dxa"/>
            <w:shd w:val="clear" w:color="auto" w:fill="auto"/>
            <w:tcMar>
              <w:left w:w="0" w:type="dxa"/>
            </w:tcMar>
          </w:tcPr>
          <w:p w14:paraId="3BEEE05C" w14:textId="77777777" w:rsidR="00E97F14" w:rsidRDefault="00E97F14" w:rsidP="0091476D">
            <w:pPr>
              <w:pStyle w:val="Marginlie"/>
              <w:spacing w:after="120"/>
            </w:pPr>
            <w:r>
              <w:t xml:space="preserve">Mzdový růst byl po celý rok tažen silnou platovou </w:t>
            </w:r>
            <w:r>
              <w:lastRenderedPageBreak/>
              <w:t>dynamikou ve většině odvětví veřejných služeb.</w:t>
            </w:r>
          </w:p>
          <w:p w14:paraId="5621FC24" w14:textId="77777777" w:rsidR="00E97F14" w:rsidRDefault="00E97F14" w:rsidP="0091476D">
            <w:pPr>
              <w:pStyle w:val="Marginlie"/>
              <w:spacing w:after="120"/>
            </w:pPr>
          </w:p>
          <w:p w14:paraId="70D2DF4C" w14:textId="77777777" w:rsidR="00E97F14" w:rsidRDefault="00E97F14" w:rsidP="0091476D">
            <w:pPr>
              <w:pStyle w:val="Marginlie"/>
              <w:spacing w:after="120"/>
            </w:pPr>
          </w:p>
          <w:p w14:paraId="64CD47DD" w14:textId="77777777" w:rsidR="00E97F14" w:rsidRDefault="00E97F14" w:rsidP="0091476D">
            <w:pPr>
              <w:pStyle w:val="Marginlie"/>
              <w:spacing w:after="120"/>
            </w:pPr>
          </w:p>
          <w:p w14:paraId="324AE0CC" w14:textId="77777777" w:rsidR="00E97F14" w:rsidRDefault="00E97F14" w:rsidP="0091476D">
            <w:pPr>
              <w:pStyle w:val="Marginlie"/>
              <w:spacing w:after="120"/>
            </w:pPr>
          </w:p>
          <w:p w14:paraId="7D9EC115" w14:textId="77777777" w:rsidR="00E97F14" w:rsidRDefault="00E97F14" w:rsidP="0091476D">
            <w:pPr>
              <w:pStyle w:val="Marginlie"/>
              <w:spacing w:after="120"/>
            </w:pPr>
          </w:p>
          <w:p w14:paraId="4E622DB3" w14:textId="77777777" w:rsidR="00E97F14" w:rsidRDefault="00E97F14" w:rsidP="0091476D">
            <w:pPr>
              <w:pStyle w:val="Marginlie"/>
              <w:spacing w:after="120"/>
            </w:pPr>
            <w:r>
              <w:t>Svižný růst výdělků přetrvával v energetice a v oblasti ICT.</w:t>
            </w:r>
          </w:p>
        </w:tc>
        <w:tc>
          <w:tcPr>
            <w:tcW w:w="216" w:type="dxa"/>
            <w:shd w:val="clear" w:color="auto" w:fill="auto"/>
            <w:tcMar>
              <w:left w:w="0" w:type="dxa"/>
            </w:tcMar>
          </w:tcPr>
          <w:p w14:paraId="27801B99"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78AF81D0" w14:textId="77777777" w:rsidR="00E97F14" w:rsidRPr="008F67B1" w:rsidRDefault="00E97F14" w:rsidP="0091476D">
            <w:pPr>
              <w:spacing w:after="220"/>
              <w:rPr>
                <w:bCs/>
                <w:spacing w:val="-4"/>
              </w:rPr>
            </w:pPr>
            <w:r w:rsidRPr="00E77B65">
              <w:rPr>
                <w:spacing w:val="-4"/>
              </w:rPr>
              <w:t>Těžiště mzdového růstu spočívalo po celý rok 2020 v odvětvích veřejných služeb. Ve zdravotní a</w:t>
            </w:r>
            <w:r>
              <w:rPr>
                <w:spacing w:val="-4"/>
              </w:rPr>
              <w:t> </w:t>
            </w:r>
            <w:r w:rsidRPr="00E77B65">
              <w:rPr>
                <w:spacing w:val="-4"/>
              </w:rPr>
              <w:t>sociální péči vzrostly výdělky průměrně o</w:t>
            </w:r>
            <w:r>
              <w:rPr>
                <w:spacing w:val="-4"/>
              </w:rPr>
              <w:t> </w:t>
            </w:r>
            <w:r w:rsidRPr="00E77B65">
              <w:rPr>
                <w:spacing w:val="-4"/>
              </w:rPr>
              <w:t>13,8</w:t>
            </w:r>
            <w:r>
              <w:rPr>
                <w:spacing w:val="-4"/>
              </w:rPr>
              <w:t> %</w:t>
            </w:r>
            <w:r w:rsidRPr="00E77B65">
              <w:rPr>
                <w:spacing w:val="-4"/>
              </w:rPr>
              <w:t xml:space="preserve"> (ve 4.</w:t>
            </w:r>
            <w:r>
              <w:rPr>
                <w:spacing w:val="-4"/>
              </w:rPr>
              <w:t> čtvrtlet</w:t>
            </w:r>
            <w:r w:rsidRPr="00E77B65">
              <w:rPr>
                <w:spacing w:val="-4"/>
              </w:rPr>
              <w:t>í o</w:t>
            </w:r>
            <w:r w:rsidRPr="00E77B65">
              <w:rPr>
                <w:spacing w:val="-4"/>
                <w:szCs w:val="20"/>
              </w:rPr>
              <w:t> </w:t>
            </w:r>
            <w:r w:rsidRPr="00E77B65">
              <w:rPr>
                <w:spacing w:val="-4"/>
              </w:rPr>
              <w:t xml:space="preserve">rekordních </w:t>
            </w:r>
            <w:r w:rsidRPr="00E77B65">
              <w:rPr>
                <w:spacing w:val="-4"/>
              </w:rPr>
              <w:lastRenderedPageBreak/>
              <w:t>31</w:t>
            </w:r>
            <w:r w:rsidRPr="00E77B65">
              <w:rPr>
                <w:spacing w:val="-4"/>
                <w:szCs w:val="20"/>
              </w:rPr>
              <w:t> </w:t>
            </w:r>
            <w:r w:rsidRPr="00E77B65">
              <w:rPr>
                <w:spacing w:val="-4"/>
              </w:rPr>
              <w:t>%</w:t>
            </w:r>
            <w:r w:rsidRPr="00E77B65">
              <w:rPr>
                <w:rStyle w:val="Znakapoznpodarou"/>
                <w:spacing w:val="-4"/>
              </w:rPr>
              <w:footnoteReference w:id="18"/>
            </w:r>
            <w:r>
              <w:rPr>
                <w:spacing w:val="-4"/>
              </w:rPr>
              <w:t>)</w:t>
            </w:r>
            <w:r w:rsidRPr="00E77B65">
              <w:rPr>
                <w:spacing w:val="-4"/>
              </w:rPr>
              <w:t xml:space="preserve">. </w:t>
            </w:r>
            <w:r w:rsidRPr="00E77B65">
              <w:rPr>
                <w:bCs/>
                <w:spacing w:val="-4"/>
              </w:rPr>
              <w:t>Vlivem navýšení platových tabulek zaznamenalo svižný růst i</w:t>
            </w:r>
            <w:r>
              <w:rPr>
                <w:bCs/>
                <w:spacing w:val="-4"/>
              </w:rPr>
              <w:t> </w:t>
            </w:r>
            <w:r w:rsidRPr="00E77B65">
              <w:rPr>
                <w:bCs/>
                <w:spacing w:val="-4"/>
              </w:rPr>
              <w:t>vzdělávání (+7,8</w:t>
            </w:r>
            <w:r>
              <w:rPr>
                <w:bCs/>
                <w:spacing w:val="-4"/>
              </w:rPr>
              <w:t> %</w:t>
            </w:r>
            <w:r w:rsidRPr="00E77B65">
              <w:rPr>
                <w:bCs/>
                <w:spacing w:val="-4"/>
              </w:rPr>
              <w:t>).</w:t>
            </w:r>
            <w:r>
              <w:rPr>
                <w:bCs/>
                <w:spacing w:val="-4"/>
              </w:rPr>
              <w:t xml:space="preserve"> </w:t>
            </w:r>
            <w:r w:rsidRPr="006B4E3D">
              <w:rPr>
                <w:bCs/>
                <w:spacing w:val="-4"/>
              </w:rPr>
              <w:t>Z odvě</w:t>
            </w:r>
            <w:r>
              <w:rPr>
                <w:bCs/>
                <w:spacing w:val="-4"/>
              </w:rPr>
              <w:t xml:space="preserve">tví mimo veřejné služby </w:t>
            </w:r>
            <w:r w:rsidRPr="006B4E3D">
              <w:rPr>
                <w:bCs/>
                <w:spacing w:val="-4"/>
              </w:rPr>
              <w:t xml:space="preserve">rostly mzdy </w:t>
            </w:r>
            <w:r>
              <w:rPr>
                <w:bCs/>
                <w:spacing w:val="-4"/>
              </w:rPr>
              <w:t xml:space="preserve">nejvíce </w:t>
            </w:r>
            <w:r w:rsidRPr="006B4E3D">
              <w:rPr>
                <w:bCs/>
                <w:spacing w:val="-4"/>
              </w:rPr>
              <w:t>v administrativních a</w:t>
            </w:r>
            <w:r>
              <w:rPr>
                <w:bCs/>
                <w:spacing w:val="-4"/>
              </w:rPr>
              <w:t> </w:t>
            </w:r>
            <w:r w:rsidRPr="006B4E3D">
              <w:rPr>
                <w:bCs/>
                <w:spacing w:val="-4"/>
              </w:rPr>
              <w:t>podpůrných činnostech (+9,</w:t>
            </w:r>
            <w:r>
              <w:rPr>
                <w:bCs/>
                <w:spacing w:val="-4"/>
              </w:rPr>
              <w:t>5 %), což</w:t>
            </w:r>
            <w:r w:rsidRPr="006B4E3D">
              <w:rPr>
                <w:bCs/>
                <w:spacing w:val="-4"/>
              </w:rPr>
              <w:t xml:space="preserve"> souviselo s velkým úbytkem zejména nízkopříjmových pracovníků v rámci agentur práce. Změna skladby zaměstnanců se patrně promítl</w:t>
            </w:r>
            <w:r>
              <w:rPr>
                <w:bCs/>
                <w:spacing w:val="-4"/>
              </w:rPr>
              <w:t>a</w:t>
            </w:r>
            <w:r w:rsidRPr="006B4E3D">
              <w:rPr>
                <w:bCs/>
                <w:spacing w:val="-4"/>
              </w:rPr>
              <w:t xml:space="preserve"> do průměrných mezd </w:t>
            </w:r>
            <w:r>
              <w:rPr>
                <w:bCs/>
                <w:spacing w:val="-4"/>
              </w:rPr>
              <w:t xml:space="preserve">i v dalším „nízkovýdělkovém“ odvětví – </w:t>
            </w:r>
            <w:r w:rsidRPr="006B4E3D">
              <w:rPr>
                <w:bCs/>
                <w:spacing w:val="-4"/>
              </w:rPr>
              <w:t>činnostech v oblasti nemovitostí. Dlouhodobě rostoucí význam informačních a</w:t>
            </w:r>
            <w:r>
              <w:rPr>
                <w:bCs/>
                <w:spacing w:val="-4"/>
              </w:rPr>
              <w:t> </w:t>
            </w:r>
            <w:r w:rsidRPr="006B4E3D">
              <w:rPr>
                <w:bCs/>
                <w:spacing w:val="-4"/>
              </w:rPr>
              <w:t>komunikačních činností, dále posílený v pandemi</w:t>
            </w:r>
            <w:r>
              <w:rPr>
                <w:bCs/>
                <w:spacing w:val="-4"/>
              </w:rPr>
              <w:t>ckém období</w:t>
            </w:r>
            <w:r>
              <w:rPr>
                <w:rStyle w:val="Znakapoznpodarou"/>
                <w:bCs/>
                <w:spacing w:val="-4"/>
              </w:rPr>
              <w:footnoteReference w:id="19"/>
            </w:r>
            <w:r>
              <w:rPr>
                <w:bCs/>
                <w:spacing w:val="-4"/>
              </w:rPr>
              <w:t>, se odrazil i ve mzdách (+5,6 %</w:t>
            </w:r>
            <w:r w:rsidRPr="006B4E3D">
              <w:rPr>
                <w:bCs/>
                <w:spacing w:val="-4"/>
              </w:rPr>
              <w:t xml:space="preserve">). Úroveň průměrné mzdy zde </w:t>
            </w:r>
            <w:r>
              <w:rPr>
                <w:bCs/>
                <w:spacing w:val="-4"/>
              </w:rPr>
              <w:t>byla mezi odvětvími nejvyšší (62,1 tis</w:t>
            </w:r>
            <w:r w:rsidRPr="006B4E3D">
              <w:rPr>
                <w:bCs/>
                <w:spacing w:val="-4"/>
              </w:rPr>
              <w:t>.</w:t>
            </w:r>
            <w:r>
              <w:rPr>
                <w:bCs/>
                <w:spacing w:val="-4"/>
              </w:rPr>
              <w:t xml:space="preserve"> korun). Vzdálila se tak </w:t>
            </w:r>
            <w:r w:rsidRPr="006B4E3D">
              <w:rPr>
                <w:bCs/>
                <w:spacing w:val="-4"/>
              </w:rPr>
              <w:t>pe</w:t>
            </w:r>
            <w:r>
              <w:rPr>
                <w:bCs/>
                <w:spacing w:val="-4"/>
              </w:rPr>
              <w:t>něžnictví a pojišťovnictví (59,4 tis</w:t>
            </w:r>
            <w:r w:rsidRPr="006B4E3D">
              <w:rPr>
                <w:bCs/>
                <w:spacing w:val="-4"/>
              </w:rPr>
              <w:t>.</w:t>
            </w:r>
            <w:r>
              <w:rPr>
                <w:bCs/>
                <w:spacing w:val="-4"/>
              </w:rPr>
              <w:t xml:space="preserve"> korun), kde se výše mezd příliš nezměnila (+0,6</w:t>
            </w:r>
            <w:r w:rsidRPr="006B4E3D">
              <w:rPr>
                <w:bCs/>
                <w:spacing w:val="-4"/>
              </w:rPr>
              <w:t xml:space="preserve"> %). </w:t>
            </w:r>
            <w:r>
              <w:rPr>
                <w:bCs/>
                <w:spacing w:val="-4"/>
              </w:rPr>
              <w:t>Vysokou mzdovou úrovní se vyznačuje i</w:t>
            </w:r>
            <w:r w:rsidRPr="006B4E3D">
              <w:rPr>
                <w:bCs/>
                <w:spacing w:val="-4"/>
              </w:rPr>
              <w:t> </w:t>
            </w:r>
            <w:r>
              <w:rPr>
                <w:bCs/>
                <w:spacing w:val="-4"/>
              </w:rPr>
              <w:t>energetika (52,2 tis. korun). Její růst se loni pohyboval v intencích let 2018 i 2019 (okolo 6</w:t>
            </w:r>
            <w:r w:rsidRPr="006B4E3D">
              <w:rPr>
                <w:bCs/>
                <w:spacing w:val="-4"/>
              </w:rPr>
              <w:t> </w:t>
            </w:r>
            <w:r>
              <w:rPr>
                <w:bCs/>
                <w:spacing w:val="-4"/>
              </w:rPr>
              <w:t>%), a to navzdory tomu, že výkony tohoto odvětví byly poznamenány jarním zmrazením ekonomiky.</w:t>
            </w:r>
          </w:p>
        </w:tc>
      </w:tr>
      <w:tr w:rsidR="00E97F14" w:rsidRPr="00191C35" w14:paraId="7347D854" w14:textId="77777777" w:rsidTr="0091476D">
        <w:trPr>
          <w:trHeight w:val="168"/>
        </w:trPr>
        <w:tc>
          <w:tcPr>
            <w:tcW w:w="1792" w:type="dxa"/>
            <w:vMerge w:val="restart"/>
            <w:shd w:val="clear" w:color="auto" w:fill="auto"/>
            <w:tcMar>
              <w:left w:w="0" w:type="dxa"/>
            </w:tcMar>
          </w:tcPr>
          <w:p w14:paraId="1AAFA3D1" w14:textId="77777777" w:rsidR="00E97F14" w:rsidRDefault="00E97F14" w:rsidP="0091476D">
            <w:pPr>
              <w:pStyle w:val="Marginlie"/>
              <w:spacing w:after="120"/>
              <w:rPr>
                <w:spacing w:val="0"/>
              </w:rPr>
            </w:pPr>
          </w:p>
        </w:tc>
        <w:tc>
          <w:tcPr>
            <w:tcW w:w="216" w:type="dxa"/>
            <w:vMerge w:val="restart"/>
            <w:shd w:val="clear" w:color="auto" w:fill="auto"/>
            <w:tcMar>
              <w:left w:w="0" w:type="dxa"/>
            </w:tcMar>
          </w:tcPr>
          <w:p w14:paraId="5F2C43D2"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4032ADF1" w14:textId="77777777" w:rsidR="00E97F14" w:rsidRPr="00093B9E" w:rsidRDefault="00E97F14" w:rsidP="0091476D">
            <w:pPr>
              <w:spacing w:after="0"/>
              <w:rPr>
                <w:bCs/>
              </w:rPr>
            </w:pPr>
            <w:r w:rsidRPr="003E01D3">
              <w:rPr>
                <w:b/>
                <w:spacing w:val="-4"/>
              </w:rPr>
              <w:t>Graf č. 15  Průměrná nominální</w:t>
            </w:r>
            <w:r>
              <w:rPr>
                <w:b/>
                <w:spacing w:val="-4"/>
              </w:rPr>
              <w:t xml:space="preserve"> a </w:t>
            </w:r>
            <w:r w:rsidRPr="003E01D3">
              <w:rPr>
                <w:b/>
                <w:spacing w:val="-4"/>
              </w:rPr>
              <w:t>reálná mzda a</w:t>
            </w:r>
            <w:r>
              <w:rPr>
                <w:b/>
                <w:spacing w:val="-4"/>
              </w:rPr>
              <w:t> </w:t>
            </w:r>
            <w:r w:rsidRPr="003E01D3">
              <w:rPr>
                <w:b/>
                <w:spacing w:val="-4"/>
              </w:rPr>
              <w:t>mzdový medián</w:t>
            </w:r>
            <w:r>
              <w:rPr>
                <w:spacing w:val="-4"/>
              </w:rPr>
              <w:t xml:space="preserve"> </w:t>
            </w:r>
            <w:r w:rsidRPr="003E01D3">
              <w:rPr>
                <w:spacing w:val="-4"/>
              </w:rPr>
              <w:t>(meziročně, v %)</w:t>
            </w:r>
          </w:p>
        </w:tc>
      </w:tr>
      <w:tr w:rsidR="00E97F14" w:rsidRPr="00191C35" w14:paraId="7FE6D999" w14:textId="77777777" w:rsidTr="0091476D">
        <w:trPr>
          <w:trHeight w:val="166"/>
        </w:trPr>
        <w:tc>
          <w:tcPr>
            <w:tcW w:w="1792" w:type="dxa"/>
            <w:vMerge/>
            <w:shd w:val="clear" w:color="auto" w:fill="auto"/>
            <w:tcMar>
              <w:left w:w="0" w:type="dxa"/>
            </w:tcMar>
          </w:tcPr>
          <w:p w14:paraId="2643104B" w14:textId="77777777" w:rsidR="00E97F14" w:rsidRDefault="00E97F14" w:rsidP="0091476D">
            <w:pPr>
              <w:pStyle w:val="Marginlie"/>
              <w:spacing w:after="120"/>
              <w:rPr>
                <w:spacing w:val="0"/>
              </w:rPr>
            </w:pPr>
          </w:p>
        </w:tc>
        <w:tc>
          <w:tcPr>
            <w:tcW w:w="216" w:type="dxa"/>
            <w:vMerge/>
            <w:shd w:val="clear" w:color="auto" w:fill="auto"/>
            <w:tcMar>
              <w:left w:w="0" w:type="dxa"/>
            </w:tcMar>
          </w:tcPr>
          <w:p w14:paraId="75D4D7C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0167A30D" w14:textId="77777777" w:rsidR="00E97F14" w:rsidRPr="00093B9E" w:rsidRDefault="00E97F14" w:rsidP="0091476D">
            <w:pPr>
              <w:spacing w:after="0"/>
              <w:rPr>
                <w:bCs/>
              </w:rPr>
            </w:pPr>
            <w:r>
              <w:rPr>
                <w:noProof/>
              </w:rPr>
              <w:drawing>
                <wp:inline distT="0" distB="0" distL="0" distR="0" wp14:anchorId="15E3CE58" wp14:editId="5F6FBADE">
                  <wp:extent cx="4737100" cy="3510951"/>
                  <wp:effectExtent l="0" t="0" r="63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97F14" w:rsidRPr="00191C35" w14:paraId="04EDE4F1" w14:textId="77777777" w:rsidTr="0091476D">
        <w:trPr>
          <w:trHeight w:val="166"/>
        </w:trPr>
        <w:tc>
          <w:tcPr>
            <w:tcW w:w="1792" w:type="dxa"/>
            <w:vMerge/>
            <w:shd w:val="clear" w:color="auto" w:fill="auto"/>
            <w:tcMar>
              <w:left w:w="0" w:type="dxa"/>
            </w:tcMar>
          </w:tcPr>
          <w:p w14:paraId="5636C568" w14:textId="77777777" w:rsidR="00E97F14" w:rsidRDefault="00E97F14" w:rsidP="0091476D">
            <w:pPr>
              <w:pStyle w:val="Marginlie"/>
              <w:spacing w:after="120"/>
              <w:rPr>
                <w:spacing w:val="0"/>
              </w:rPr>
            </w:pPr>
          </w:p>
        </w:tc>
        <w:tc>
          <w:tcPr>
            <w:tcW w:w="216" w:type="dxa"/>
            <w:vMerge/>
            <w:shd w:val="clear" w:color="auto" w:fill="auto"/>
            <w:tcMar>
              <w:left w:w="0" w:type="dxa"/>
            </w:tcMar>
          </w:tcPr>
          <w:p w14:paraId="0E4011B5"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4AF407F2" w14:textId="77777777" w:rsidR="00E97F14" w:rsidRDefault="00E97F14" w:rsidP="0091476D">
            <w:pPr>
              <w:spacing w:after="0"/>
              <w:rPr>
                <w:spacing w:val="-4"/>
                <w:sz w:val="14"/>
                <w:szCs w:val="14"/>
              </w:rPr>
            </w:pPr>
            <w:r w:rsidRPr="003E01D3">
              <w:rPr>
                <w:spacing w:val="-4"/>
                <w:sz w:val="14"/>
                <w:szCs w:val="14"/>
              </w:rPr>
              <w:t>*</w:t>
            </w:r>
            <w:r>
              <w:rPr>
                <w:spacing w:val="-4"/>
                <w:sz w:val="14"/>
                <w:szCs w:val="14"/>
              </w:rPr>
              <w:t>Zahrnuje odvětví: Veřejná správa, obrana, soc.</w:t>
            </w:r>
            <w:r w:rsidRPr="003E01D3">
              <w:rPr>
                <w:spacing w:val="-4"/>
                <w:sz w:val="14"/>
                <w:szCs w:val="14"/>
              </w:rPr>
              <w:t xml:space="preserve"> zabezpečení; Vzdělávání; Zdravotní a </w:t>
            </w:r>
            <w:r>
              <w:rPr>
                <w:spacing w:val="-4"/>
                <w:sz w:val="14"/>
                <w:szCs w:val="14"/>
              </w:rPr>
              <w:t>soc.</w:t>
            </w:r>
            <w:r w:rsidRPr="003E01D3">
              <w:rPr>
                <w:spacing w:val="-4"/>
                <w:sz w:val="14"/>
                <w:szCs w:val="14"/>
              </w:rPr>
              <w:t xml:space="preserve"> péče</w:t>
            </w:r>
            <w:r>
              <w:rPr>
                <w:spacing w:val="-4"/>
                <w:sz w:val="14"/>
                <w:szCs w:val="14"/>
              </w:rPr>
              <w:t>.</w:t>
            </w:r>
          </w:p>
          <w:p w14:paraId="0EE1BBCA" w14:textId="77777777" w:rsidR="00E97F14" w:rsidRPr="00093B9E" w:rsidRDefault="00E97F14" w:rsidP="0091476D">
            <w:pPr>
              <w:rPr>
                <w:bCs/>
              </w:rPr>
            </w:pPr>
            <w:r>
              <w:rPr>
                <w:spacing w:val="-4"/>
                <w:sz w:val="14"/>
                <w:szCs w:val="14"/>
              </w:rPr>
              <w:t>Z</w:t>
            </w:r>
            <w:r w:rsidRPr="003E01D3">
              <w:rPr>
                <w:spacing w:val="-4"/>
                <w:sz w:val="14"/>
                <w:szCs w:val="14"/>
              </w:rPr>
              <w:t>droj: ČSÚ</w:t>
            </w:r>
          </w:p>
        </w:tc>
      </w:tr>
      <w:tr w:rsidR="00E97F14" w:rsidRPr="00191C35" w14:paraId="4CA033BE" w14:textId="77777777" w:rsidTr="0091476D">
        <w:trPr>
          <w:trHeight w:val="145"/>
        </w:trPr>
        <w:tc>
          <w:tcPr>
            <w:tcW w:w="1792" w:type="dxa"/>
            <w:shd w:val="clear" w:color="auto" w:fill="auto"/>
            <w:tcMar>
              <w:left w:w="0" w:type="dxa"/>
            </w:tcMar>
          </w:tcPr>
          <w:p w14:paraId="35AA6AFD" w14:textId="64AC0DB6" w:rsidR="00E97F14" w:rsidRDefault="00E97F14" w:rsidP="0091476D">
            <w:pPr>
              <w:pStyle w:val="Marginlie"/>
              <w:spacing w:after="120"/>
              <w:rPr>
                <w:spacing w:val="0"/>
              </w:rPr>
            </w:pPr>
            <w:r>
              <w:rPr>
                <w:spacing w:val="0"/>
              </w:rPr>
              <w:t>Mzdový medián rostl loni rychleji u žen než u mužů.</w:t>
            </w:r>
          </w:p>
          <w:p w14:paraId="3796DFC7" w14:textId="77777777" w:rsidR="00275062" w:rsidRDefault="00275062" w:rsidP="0091476D">
            <w:pPr>
              <w:pStyle w:val="Marginlie"/>
              <w:spacing w:after="120"/>
              <w:rPr>
                <w:spacing w:val="0"/>
              </w:rPr>
            </w:pPr>
          </w:p>
          <w:p w14:paraId="65D74DEA" w14:textId="77777777" w:rsidR="00E97F14" w:rsidRDefault="00E97F14" w:rsidP="0091476D">
            <w:pPr>
              <w:pStyle w:val="Marginlie"/>
              <w:spacing w:after="120"/>
              <w:rPr>
                <w:spacing w:val="0"/>
              </w:rPr>
            </w:pPr>
          </w:p>
          <w:p w14:paraId="0FD4FA54" w14:textId="77777777" w:rsidR="00E97F14" w:rsidRPr="007B75BC" w:rsidRDefault="00E97F14" w:rsidP="0091476D">
            <w:pPr>
              <w:pStyle w:val="Marginlie"/>
              <w:spacing w:after="120"/>
              <w:rPr>
                <w:spacing w:val="0"/>
              </w:rPr>
            </w:pPr>
            <w:r>
              <w:rPr>
                <w:spacing w:val="0"/>
              </w:rPr>
              <w:t>Mzdové diference se ve 2. i 4. čtvrtletí zvyšovaly.</w:t>
            </w:r>
          </w:p>
        </w:tc>
        <w:tc>
          <w:tcPr>
            <w:tcW w:w="216" w:type="dxa"/>
            <w:shd w:val="clear" w:color="auto" w:fill="auto"/>
            <w:tcMar>
              <w:left w:w="0" w:type="dxa"/>
            </w:tcMar>
          </w:tcPr>
          <w:p w14:paraId="789426B4"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669DBE73" w14:textId="77777777" w:rsidR="00E97F14" w:rsidRPr="005D4BC2" w:rsidRDefault="00E97F14" w:rsidP="0091476D">
            <w:pPr>
              <w:spacing w:after="220"/>
              <w:rPr>
                <w:spacing w:val="-2"/>
              </w:rPr>
            </w:pPr>
            <w:r w:rsidRPr="005D4BC2">
              <w:rPr>
                <w:bCs/>
                <w:spacing w:val="-2"/>
              </w:rPr>
              <w:t xml:space="preserve">Medián mezd ve 4. čtvrtletí dosáhl u mužů 35,1 tis. korun, u žen 30,3 tis. korun. Podobně jako po celý loňský rok posilovaly relativně více výdělky žen. To souviselo se svižným platovým růstem ve veřejných službách. Roli mohlo sehrát i to, že o práci loni přicházely častěji ženy (ty jsou obecně více zastoupeny mezi pracovníky s nízkou mzdovou úrovní). </w:t>
            </w:r>
            <w:r w:rsidRPr="005D4BC2">
              <w:rPr>
                <w:spacing w:val="-2"/>
              </w:rPr>
              <w:t>Čtyři pětiny všech zaměstnanců pobíraly ve 4. čtvrtletí mzdu mezi 16,4 tis. korun a 63,8 tis. korun. Výdělky nízkopříjmových pracovníků podobně jako ve 2. čtvrtletí postiženém protipandemickými opatřeními rostly pomaleji než těch vysokopříjmových. Mzdové rozdíly se tak zvyšovaly. Naopak ve zbytku roku se mzdové rozpětí zužovalo.</w:t>
            </w:r>
          </w:p>
        </w:tc>
      </w:tr>
      <w:tr w:rsidR="00E97F14" w:rsidRPr="00191C35" w14:paraId="03365183" w14:textId="77777777" w:rsidTr="0091476D">
        <w:trPr>
          <w:trHeight w:val="145"/>
        </w:trPr>
        <w:tc>
          <w:tcPr>
            <w:tcW w:w="1792" w:type="dxa"/>
            <w:shd w:val="clear" w:color="auto" w:fill="auto"/>
            <w:tcMar>
              <w:left w:w="0" w:type="dxa"/>
            </w:tcMar>
          </w:tcPr>
          <w:p w14:paraId="38EDE46E" w14:textId="07303D4B" w:rsidR="00E97F14" w:rsidRDefault="00275062" w:rsidP="0091476D">
            <w:pPr>
              <w:pStyle w:val="Marginlie"/>
              <w:spacing w:after="120"/>
            </w:pPr>
            <w:r>
              <w:t>Reálný růst průměrných</w:t>
            </w:r>
            <w:r w:rsidR="00E97F14">
              <w:t xml:space="preserve"> mezd loni oslabil na sedmileté minimum.</w:t>
            </w:r>
          </w:p>
        </w:tc>
        <w:tc>
          <w:tcPr>
            <w:tcW w:w="216" w:type="dxa"/>
            <w:shd w:val="clear" w:color="auto" w:fill="auto"/>
            <w:tcMar>
              <w:left w:w="0" w:type="dxa"/>
            </w:tcMar>
          </w:tcPr>
          <w:p w14:paraId="196112BA"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3C1816FA" w14:textId="4AEC16BE" w:rsidR="00E97F14" w:rsidRPr="005D4BC2" w:rsidRDefault="00E97F14" w:rsidP="0091476D">
            <w:pPr>
              <w:spacing w:after="0"/>
              <w:rPr>
                <w:spacing w:val="-4"/>
              </w:rPr>
            </w:pPr>
            <w:r w:rsidRPr="005D4BC2">
              <w:rPr>
                <w:spacing w:val="-4"/>
              </w:rPr>
              <w:t xml:space="preserve">Reálný meziroční růst průměrných mezd se po dočasném poklesu ve 2. čtvrtletí (prvním po roce 2013) ve druhé polovině loňského roku obnovil. Pomohlo k tomu i významnější zvolnění tempa růstu spotřebitelských cen v posledních měsících roku. I tak skončil celoroční růst </w:t>
            </w:r>
            <w:r w:rsidRPr="005D4BC2">
              <w:rPr>
                <w:rFonts w:cs="Arial"/>
                <w:bCs/>
                <w:spacing w:val="-4"/>
              </w:rPr>
              <w:t>koupěschopnosti</w:t>
            </w:r>
            <w:r w:rsidR="00275062">
              <w:rPr>
                <w:rFonts w:cs="Arial"/>
                <w:bCs/>
                <w:spacing w:val="-4"/>
              </w:rPr>
              <w:t xml:space="preserve"> průměrných</w:t>
            </w:r>
            <w:r w:rsidRPr="005D4BC2">
              <w:rPr>
                <w:rFonts w:cs="Arial"/>
                <w:bCs/>
                <w:spacing w:val="-4"/>
              </w:rPr>
              <w:t xml:space="preserve"> zaměstnaneckých výdělků na sedmiletém minimu (+1,2 %).</w:t>
            </w:r>
          </w:p>
        </w:tc>
      </w:tr>
    </w:tbl>
    <w:p w14:paraId="3E974863" w14:textId="5A0C60C9" w:rsidR="000663F0" w:rsidRPr="00E42054" w:rsidRDefault="000663F0" w:rsidP="00167031">
      <w:pPr>
        <w:spacing w:after="0" w:line="240" w:lineRule="auto"/>
        <w:jc w:val="left"/>
        <w:rPr>
          <w:b/>
          <w:sz w:val="2"/>
          <w:szCs w:val="2"/>
        </w:rPr>
      </w:pPr>
      <w:bookmarkStart w:id="4" w:name="_GoBack"/>
      <w:bookmarkEnd w:id="2"/>
      <w:bookmarkEnd w:id="3"/>
      <w:bookmarkEnd w:id="4"/>
    </w:p>
    <w:sectPr w:rsidR="000663F0" w:rsidRPr="00E42054" w:rsidSect="00167031">
      <w:headerReference w:type="even" r:id="rId12"/>
      <w:headerReference w:type="default" r:id="rId13"/>
      <w:footerReference w:type="even" r:id="rId14"/>
      <w:footerReference w:type="default" r:id="rId15"/>
      <w:pgSz w:w="11906" w:h="16838" w:code="9"/>
      <w:pgMar w:top="1134" w:right="1134" w:bottom="1418" w:left="1134" w:header="680" w:footer="737"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51C5" w14:textId="77777777" w:rsidR="0091476D" w:rsidRDefault="0091476D" w:rsidP="00E71A58">
      <w:r>
        <w:separator/>
      </w:r>
    </w:p>
  </w:endnote>
  <w:endnote w:type="continuationSeparator" w:id="0">
    <w:p w14:paraId="7E79BE89" w14:textId="77777777" w:rsidR="0091476D" w:rsidRDefault="0091476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1102E0EA" w:rsidR="0091476D" w:rsidRPr="00932443" w:rsidRDefault="0091476D"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167031">
      <w:rPr>
        <w:szCs w:val="16"/>
      </w:rPr>
      <w:t>28</w:t>
    </w:r>
    <w:r w:rsidRPr="00932443">
      <w:rPr>
        <w:szCs w:val="16"/>
      </w:rPr>
      <w:fldChar w:fldCharType="end"/>
    </w:r>
    <w:r w:rsidRPr="00932443">
      <w:rPr>
        <w:szCs w:val="16"/>
      </w:rPr>
      <w:tab/>
    </w:r>
    <w:r>
      <w:rPr>
        <w:szCs w:val="16"/>
      </w:rPr>
      <w:t>rok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2B78CEA3" w:rsidR="0091476D" w:rsidRPr="00932443" w:rsidRDefault="0091476D" w:rsidP="00FA6CB6">
    <w:pPr>
      <w:pStyle w:val="Zpat"/>
      <w:rPr>
        <w:szCs w:val="16"/>
      </w:rPr>
    </w:pPr>
    <w:r w:rsidRPr="00FA6CB6">
      <w:rPr>
        <w:szCs w:val="16"/>
      </w:rPr>
      <w:tab/>
    </w:r>
    <w:r>
      <w:rPr>
        <w:szCs w:val="16"/>
      </w:rPr>
      <w:t xml:space="preserve">rok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167031">
      <w:rPr>
        <w:rStyle w:val="ZpatChar"/>
        <w:szCs w:val="16"/>
      </w:rPr>
      <w:t>29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E61E" w14:textId="77777777" w:rsidR="0091476D" w:rsidRDefault="0091476D" w:rsidP="00A21B4D">
      <w:pPr>
        <w:spacing w:after="0"/>
      </w:pPr>
      <w:r>
        <w:separator/>
      </w:r>
    </w:p>
  </w:footnote>
  <w:footnote w:type="continuationSeparator" w:id="0">
    <w:p w14:paraId="14D7D261" w14:textId="77777777" w:rsidR="0091476D" w:rsidRDefault="0091476D" w:rsidP="00E71A58">
      <w:r>
        <w:continuationSeparator/>
      </w:r>
    </w:p>
  </w:footnote>
  <w:footnote w:id="1">
    <w:p w14:paraId="5C60B9A1" w14:textId="77777777" w:rsidR="0091476D" w:rsidRPr="00E54782" w:rsidRDefault="0091476D" w:rsidP="00E97F14">
      <w:pPr>
        <w:pStyle w:val="Textpoznpodarou"/>
        <w:jc w:val="both"/>
        <w:rPr>
          <w:spacing w:val="-2"/>
          <w:sz w:val="16"/>
          <w:szCs w:val="16"/>
        </w:rPr>
      </w:pPr>
      <w:r w:rsidRPr="00E54782">
        <w:rPr>
          <w:rStyle w:val="Znakapoznpodarou"/>
          <w:spacing w:val="-2"/>
          <w:sz w:val="16"/>
          <w:szCs w:val="16"/>
        </w:rPr>
        <w:footnoteRef/>
      </w:r>
      <w:r>
        <w:rPr>
          <w:spacing w:val="-2"/>
          <w:sz w:val="16"/>
          <w:szCs w:val="16"/>
        </w:rPr>
        <w:t xml:space="preserve"> N</w:t>
      </w:r>
      <w:r w:rsidRPr="00E54782">
        <w:rPr>
          <w:spacing w:val="-2"/>
          <w:sz w:val="16"/>
          <w:szCs w:val="16"/>
        </w:rPr>
        <w:t>ení</w:t>
      </w:r>
      <w:r>
        <w:rPr>
          <w:spacing w:val="-2"/>
          <w:sz w:val="16"/>
          <w:szCs w:val="16"/>
        </w:rPr>
        <w:t>-li</w:t>
      </w:r>
      <w:r w:rsidRPr="00E54782">
        <w:rPr>
          <w:spacing w:val="-2"/>
          <w:sz w:val="16"/>
          <w:szCs w:val="16"/>
        </w:rPr>
        <w:t xml:space="preserve"> uve</w:t>
      </w:r>
      <w:r>
        <w:rPr>
          <w:spacing w:val="-2"/>
          <w:sz w:val="16"/>
          <w:szCs w:val="16"/>
        </w:rPr>
        <w:t>deno jinak, jsou</w:t>
      </w:r>
      <w:r w:rsidRPr="00E54782">
        <w:rPr>
          <w:spacing w:val="-2"/>
          <w:sz w:val="16"/>
          <w:szCs w:val="16"/>
        </w:rPr>
        <w:t xml:space="preserve"> údaje o zaměstnanosti </w:t>
      </w:r>
      <w:r>
        <w:rPr>
          <w:spacing w:val="-2"/>
          <w:sz w:val="16"/>
          <w:szCs w:val="16"/>
        </w:rPr>
        <w:t>v této kapitole vyjádřeny</w:t>
      </w:r>
      <w:r w:rsidRPr="00E54782">
        <w:rPr>
          <w:spacing w:val="-2"/>
          <w:sz w:val="16"/>
          <w:szCs w:val="16"/>
        </w:rPr>
        <w:t xml:space="preserve"> v pojetí národních účtů po očištění o sezónní vlivy.</w:t>
      </w:r>
    </w:p>
  </w:footnote>
  <w:footnote w:id="2">
    <w:p w14:paraId="05BE2D4F" w14:textId="77777777" w:rsidR="0091476D" w:rsidRPr="003E7019" w:rsidRDefault="0091476D" w:rsidP="00E97F14">
      <w:pPr>
        <w:pStyle w:val="Textpoznpodarou"/>
        <w:rPr>
          <w:sz w:val="16"/>
          <w:szCs w:val="16"/>
        </w:rPr>
      </w:pPr>
      <w:r w:rsidRPr="003E7019">
        <w:rPr>
          <w:rStyle w:val="Znakapoznpodarou"/>
          <w:sz w:val="16"/>
          <w:szCs w:val="16"/>
        </w:rPr>
        <w:footnoteRef/>
      </w:r>
      <w:r w:rsidRPr="003E7019">
        <w:rPr>
          <w:sz w:val="16"/>
          <w:szCs w:val="16"/>
        </w:rPr>
        <w:t xml:space="preserve"> </w:t>
      </w:r>
      <w:r>
        <w:rPr>
          <w:sz w:val="16"/>
          <w:szCs w:val="16"/>
        </w:rPr>
        <w:t>Obdobně</w:t>
      </w:r>
      <w:r w:rsidRPr="003E7019">
        <w:rPr>
          <w:sz w:val="16"/>
          <w:szCs w:val="16"/>
        </w:rPr>
        <w:t xml:space="preserve"> klesla loni zaměstnanost v EU. Největší</w:t>
      </w:r>
      <w:r>
        <w:rPr>
          <w:sz w:val="16"/>
          <w:szCs w:val="16"/>
        </w:rPr>
        <w:t xml:space="preserve"> propad postihl Španělsko (</w:t>
      </w:r>
      <w:r w:rsidRPr="00DA147C">
        <w:rPr>
          <w:rFonts w:cs="Arial"/>
          <w:bCs/>
          <w:color w:val="000000"/>
          <w:spacing w:val="-2"/>
          <w:sz w:val="16"/>
          <w:szCs w:val="16"/>
        </w:rPr>
        <w:t>–</w:t>
      </w:r>
      <w:r w:rsidRPr="003E7019">
        <w:rPr>
          <w:sz w:val="16"/>
          <w:szCs w:val="16"/>
        </w:rPr>
        <w:t>4,2</w:t>
      </w:r>
      <w:r>
        <w:rPr>
          <w:sz w:val="16"/>
          <w:szCs w:val="16"/>
        </w:rPr>
        <w:t> %</w:t>
      </w:r>
      <w:r w:rsidRPr="003E7019">
        <w:rPr>
          <w:sz w:val="16"/>
          <w:szCs w:val="16"/>
        </w:rPr>
        <w:t>), mezi 2</w:t>
      </w:r>
      <w:r>
        <w:rPr>
          <w:sz w:val="16"/>
          <w:szCs w:val="16"/>
        </w:rPr>
        <w:t> </w:t>
      </w:r>
      <w:r w:rsidRPr="003E7019">
        <w:rPr>
          <w:sz w:val="16"/>
          <w:szCs w:val="16"/>
        </w:rPr>
        <w:t>a</w:t>
      </w:r>
      <w:r>
        <w:rPr>
          <w:sz w:val="16"/>
          <w:szCs w:val="16"/>
        </w:rPr>
        <w:t> </w:t>
      </w:r>
      <w:r w:rsidRPr="003E7019">
        <w:rPr>
          <w:sz w:val="16"/>
          <w:szCs w:val="16"/>
        </w:rPr>
        <w:t>3</w:t>
      </w:r>
      <w:r>
        <w:rPr>
          <w:sz w:val="16"/>
          <w:szCs w:val="16"/>
        </w:rPr>
        <w:t> %</w:t>
      </w:r>
      <w:r w:rsidRPr="003E7019">
        <w:rPr>
          <w:sz w:val="16"/>
          <w:szCs w:val="16"/>
        </w:rPr>
        <w:t xml:space="preserve"> se </w:t>
      </w:r>
      <w:r>
        <w:rPr>
          <w:sz w:val="16"/>
          <w:szCs w:val="16"/>
        </w:rPr>
        <w:t xml:space="preserve">zaměstnanost </w:t>
      </w:r>
      <w:r w:rsidRPr="003E7019">
        <w:rPr>
          <w:sz w:val="16"/>
          <w:szCs w:val="16"/>
        </w:rPr>
        <w:t>snížila i</w:t>
      </w:r>
      <w:r>
        <w:rPr>
          <w:sz w:val="16"/>
          <w:szCs w:val="16"/>
        </w:rPr>
        <w:t> </w:t>
      </w:r>
      <w:r w:rsidRPr="003E7019">
        <w:rPr>
          <w:sz w:val="16"/>
          <w:szCs w:val="16"/>
        </w:rPr>
        <w:t>v Itálii,</w:t>
      </w:r>
      <w:r>
        <w:rPr>
          <w:sz w:val="16"/>
          <w:szCs w:val="16"/>
        </w:rPr>
        <w:t xml:space="preserve"> Lotyšsku, Estonsku či</w:t>
      </w:r>
      <w:r w:rsidRPr="003E7019">
        <w:rPr>
          <w:sz w:val="16"/>
          <w:szCs w:val="16"/>
        </w:rPr>
        <w:t xml:space="preserve"> Maďarsku. </w:t>
      </w:r>
      <w:r>
        <w:rPr>
          <w:sz w:val="16"/>
          <w:szCs w:val="16"/>
        </w:rPr>
        <w:t>Nadprůměrný pokles hlásily</w:t>
      </w:r>
      <w:r w:rsidRPr="003E7019">
        <w:rPr>
          <w:sz w:val="16"/>
          <w:szCs w:val="16"/>
        </w:rPr>
        <w:t xml:space="preserve"> nap</w:t>
      </w:r>
      <w:r>
        <w:rPr>
          <w:sz w:val="16"/>
          <w:szCs w:val="16"/>
        </w:rPr>
        <w:t>ř. i Slovensko (</w:t>
      </w:r>
      <w:r w:rsidRPr="00DA147C">
        <w:rPr>
          <w:rFonts w:cs="Arial"/>
          <w:bCs/>
          <w:color w:val="000000"/>
          <w:spacing w:val="-2"/>
          <w:sz w:val="16"/>
          <w:szCs w:val="16"/>
        </w:rPr>
        <w:t>–</w:t>
      </w:r>
      <w:r>
        <w:rPr>
          <w:sz w:val="16"/>
          <w:szCs w:val="16"/>
        </w:rPr>
        <w:t>1,9 %) a Rakousko (</w:t>
      </w:r>
      <w:r w:rsidRPr="00DA147C">
        <w:rPr>
          <w:rFonts w:cs="Arial"/>
          <w:bCs/>
          <w:color w:val="000000"/>
          <w:spacing w:val="-2"/>
          <w:sz w:val="16"/>
          <w:szCs w:val="16"/>
        </w:rPr>
        <w:t>–</w:t>
      </w:r>
      <w:r w:rsidRPr="003E7019">
        <w:rPr>
          <w:sz w:val="16"/>
          <w:szCs w:val="16"/>
        </w:rPr>
        <w:t>1,7</w:t>
      </w:r>
      <w:r>
        <w:rPr>
          <w:sz w:val="16"/>
          <w:szCs w:val="16"/>
        </w:rPr>
        <w:t> %</w:t>
      </w:r>
      <w:r w:rsidRPr="003E7019">
        <w:rPr>
          <w:sz w:val="16"/>
          <w:szCs w:val="16"/>
        </w:rPr>
        <w:t>).</w:t>
      </w:r>
      <w:r>
        <w:rPr>
          <w:sz w:val="16"/>
          <w:szCs w:val="16"/>
        </w:rPr>
        <w:t xml:space="preserve"> Pracovníků přibylo jen na Maltě (+2,6 %), v Lucembursku (+2,0 %) a nepatrně i v Polsku (+0,1 %).</w:t>
      </w:r>
    </w:p>
  </w:footnote>
  <w:footnote w:id="3">
    <w:p w14:paraId="6BDCDEAD" w14:textId="77777777" w:rsidR="0091476D" w:rsidRPr="00CB1808" w:rsidRDefault="0091476D" w:rsidP="00E97F14">
      <w:pPr>
        <w:pStyle w:val="Textpoznpodarou"/>
        <w:rPr>
          <w:spacing w:val="-2"/>
          <w:sz w:val="16"/>
          <w:szCs w:val="16"/>
        </w:rPr>
      </w:pPr>
      <w:r w:rsidRPr="00CB1808">
        <w:rPr>
          <w:rStyle w:val="Znakapoznpodarou"/>
          <w:spacing w:val="-2"/>
          <w:sz w:val="16"/>
          <w:szCs w:val="16"/>
        </w:rPr>
        <w:footnoteRef/>
      </w:r>
      <w:r w:rsidRPr="00CB1808">
        <w:rPr>
          <w:spacing w:val="-2"/>
          <w:sz w:val="16"/>
          <w:szCs w:val="16"/>
        </w:rPr>
        <w:t xml:space="preserve"> Dle podnikových statistik klesl loni evidenční počet zaměstnanců ve výrobě motorových vozidel o 3,8 % a v elektrotechnickém průmyslu o 5,7 %. Silný úbytek zasáhl i strojírenství (5,6 %). Lépe si vedly některé obory s produkty krátkodobé spotřeby (potravinářství, farmacie).</w:t>
      </w:r>
    </w:p>
  </w:footnote>
  <w:footnote w:id="4">
    <w:p w14:paraId="13578EC8" w14:textId="77777777" w:rsidR="0091476D" w:rsidRPr="00DA147C" w:rsidRDefault="0091476D" w:rsidP="00E97F14">
      <w:pPr>
        <w:pStyle w:val="Textpoznpodarou"/>
        <w:rPr>
          <w:sz w:val="16"/>
          <w:szCs w:val="16"/>
        </w:rPr>
      </w:pPr>
      <w:r w:rsidRPr="00DA147C">
        <w:rPr>
          <w:rStyle w:val="Znakapoznpodarou"/>
          <w:sz w:val="16"/>
          <w:szCs w:val="16"/>
        </w:rPr>
        <w:footnoteRef/>
      </w:r>
      <w:r w:rsidRPr="00DA147C">
        <w:rPr>
          <w:sz w:val="16"/>
          <w:szCs w:val="16"/>
        </w:rPr>
        <w:t xml:space="preserve"> </w:t>
      </w:r>
      <w:r w:rsidRPr="00DA147C">
        <w:rPr>
          <w:rFonts w:cs="Arial"/>
          <w:bCs/>
          <w:color w:val="000000"/>
          <w:spacing w:val="-4"/>
          <w:sz w:val="16"/>
          <w:szCs w:val="16"/>
        </w:rPr>
        <w:t>Z detailnějších údajů z</w:t>
      </w:r>
      <w:r>
        <w:rPr>
          <w:rFonts w:cs="Arial"/>
          <w:bCs/>
          <w:color w:val="000000"/>
          <w:spacing w:val="-4"/>
          <w:sz w:val="16"/>
          <w:szCs w:val="16"/>
        </w:rPr>
        <w:t xml:space="preserve">e </w:t>
      </w:r>
      <w:r w:rsidRPr="00DA147C">
        <w:rPr>
          <w:rFonts w:cs="Arial"/>
          <w:bCs/>
          <w:color w:val="000000"/>
          <w:spacing w:val="-4"/>
          <w:sz w:val="16"/>
          <w:szCs w:val="16"/>
        </w:rPr>
        <w:t>šetření u</w:t>
      </w:r>
      <w:r>
        <w:rPr>
          <w:rFonts w:cs="Arial"/>
          <w:bCs/>
          <w:color w:val="000000"/>
          <w:spacing w:val="-4"/>
          <w:sz w:val="16"/>
          <w:szCs w:val="16"/>
        </w:rPr>
        <w:t> </w:t>
      </w:r>
      <w:r w:rsidRPr="00DA147C">
        <w:rPr>
          <w:rFonts w:cs="Arial"/>
          <w:bCs/>
          <w:color w:val="000000"/>
          <w:spacing w:val="-4"/>
          <w:sz w:val="16"/>
          <w:szCs w:val="16"/>
        </w:rPr>
        <w:t>domácností plyne, že k poklesu došlo loni u</w:t>
      </w:r>
      <w:r>
        <w:rPr>
          <w:rFonts w:cs="Arial"/>
          <w:bCs/>
          <w:color w:val="000000"/>
          <w:spacing w:val="-4"/>
          <w:sz w:val="16"/>
          <w:szCs w:val="16"/>
        </w:rPr>
        <w:t> </w:t>
      </w:r>
      <w:r w:rsidRPr="00DA147C">
        <w:rPr>
          <w:rFonts w:cs="Arial"/>
          <w:bCs/>
          <w:color w:val="000000"/>
          <w:spacing w:val="-4"/>
          <w:sz w:val="16"/>
          <w:szCs w:val="16"/>
        </w:rPr>
        <w:t>podnikatelů se zaměstnanci (</w:t>
      </w:r>
      <w:r w:rsidRPr="00DA147C">
        <w:rPr>
          <w:rFonts w:cs="Arial"/>
          <w:bCs/>
          <w:color w:val="000000"/>
          <w:spacing w:val="-2"/>
          <w:sz w:val="16"/>
          <w:szCs w:val="16"/>
        </w:rPr>
        <w:t>–</w:t>
      </w:r>
      <w:r w:rsidRPr="00DA147C">
        <w:rPr>
          <w:rFonts w:cs="Arial"/>
          <w:bCs/>
          <w:color w:val="000000"/>
          <w:spacing w:val="-4"/>
          <w:sz w:val="16"/>
          <w:szCs w:val="16"/>
        </w:rPr>
        <w:t>11</w:t>
      </w:r>
      <w:r>
        <w:rPr>
          <w:rFonts w:cs="Arial"/>
          <w:bCs/>
          <w:color w:val="000000"/>
          <w:spacing w:val="-4"/>
          <w:sz w:val="16"/>
          <w:szCs w:val="16"/>
        </w:rPr>
        <w:t> tis</w:t>
      </w:r>
      <w:r w:rsidRPr="00DA147C">
        <w:rPr>
          <w:rFonts w:cs="Arial"/>
          <w:bCs/>
          <w:color w:val="000000"/>
          <w:spacing w:val="-4"/>
          <w:sz w:val="16"/>
          <w:szCs w:val="16"/>
        </w:rPr>
        <w:t>. osob), naopak u</w:t>
      </w:r>
      <w:r>
        <w:rPr>
          <w:rFonts w:cs="Arial"/>
          <w:bCs/>
          <w:color w:val="000000"/>
          <w:spacing w:val="-4"/>
          <w:sz w:val="16"/>
          <w:szCs w:val="16"/>
        </w:rPr>
        <w:t> </w:t>
      </w:r>
      <w:r w:rsidRPr="00DA147C">
        <w:rPr>
          <w:rFonts w:cs="Arial"/>
          <w:bCs/>
          <w:color w:val="000000"/>
          <w:spacing w:val="-4"/>
          <w:sz w:val="16"/>
          <w:szCs w:val="16"/>
        </w:rPr>
        <w:t>pracujících na vlastní účet či pomáhajících rodinných příslušníků</w:t>
      </w:r>
      <w:r>
        <w:rPr>
          <w:rFonts w:cs="Arial"/>
          <w:bCs/>
          <w:color w:val="000000"/>
          <w:spacing w:val="-4"/>
          <w:sz w:val="16"/>
          <w:szCs w:val="16"/>
        </w:rPr>
        <w:t xml:space="preserve"> </w:t>
      </w:r>
      <w:r w:rsidRPr="00DA147C">
        <w:rPr>
          <w:rFonts w:cs="Arial"/>
          <w:bCs/>
          <w:color w:val="000000"/>
          <w:spacing w:val="-4"/>
          <w:sz w:val="16"/>
          <w:szCs w:val="16"/>
        </w:rPr>
        <w:t>významnější posuny patrné nebyly.</w:t>
      </w:r>
    </w:p>
  </w:footnote>
  <w:footnote w:id="5">
    <w:p w14:paraId="210D52EB" w14:textId="77777777" w:rsidR="0091476D" w:rsidRPr="00F1471F" w:rsidRDefault="0091476D" w:rsidP="00E97F14">
      <w:pPr>
        <w:pStyle w:val="Textpoznpodarou"/>
        <w:rPr>
          <w:sz w:val="16"/>
          <w:szCs w:val="16"/>
        </w:rPr>
      </w:pPr>
      <w:r w:rsidRPr="00F1471F">
        <w:rPr>
          <w:rStyle w:val="Znakapoznpodarou"/>
          <w:sz w:val="16"/>
          <w:szCs w:val="16"/>
        </w:rPr>
        <w:footnoteRef/>
      </w:r>
      <w:r w:rsidRPr="00F1471F">
        <w:rPr>
          <w:sz w:val="16"/>
          <w:szCs w:val="16"/>
        </w:rPr>
        <w:t xml:space="preserve"> </w:t>
      </w:r>
      <w:r w:rsidRPr="00F1471F">
        <w:rPr>
          <w:spacing w:val="-2"/>
          <w:sz w:val="16"/>
          <w:szCs w:val="16"/>
        </w:rPr>
        <w:t>Zahrnuti jsou i</w:t>
      </w:r>
      <w:r>
        <w:rPr>
          <w:spacing w:val="-2"/>
          <w:sz w:val="16"/>
          <w:szCs w:val="16"/>
        </w:rPr>
        <w:t> </w:t>
      </w:r>
      <w:r w:rsidRPr="00F1471F">
        <w:rPr>
          <w:spacing w:val="-2"/>
          <w:sz w:val="16"/>
          <w:szCs w:val="16"/>
        </w:rPr>
        <w:t>členové produkčních družstev.</w:t>
      </w:r>
      <w:r>
        <w:rPr>
          <w:spacing w:val="-2"/>
          <w:sz w:val="16"/>
          <w:szCs w:val="16"/>
        </w:rPr>
        <w:t xml:space="preserve"> Údaje vycházejí z Výběrového šetření pracovních sil (VŠPS).</w:t>
      </w:r>
    </w:p>
  </w:footnote>
  <w:footnote w:id="6">
    <w:p w14:paraId="1732C70F" w14:textId="77777777" w:rsidR="0091476D" w:rsidRPr="00B7522F" w:rsidRDefault="0091476D" w:rsidP="00E97F14">
      <w:pPr>
        <w:pStyle w:val="Textpoznpodarou"/>
        <w:rPr>
          <w:sz w:val="16"/>
          <w:szCs w:val="16"/>
        </w:rPr>
      </w:pPr>
      <w:r w:rsidRPr="00B7522F">
        <w:rPr>
          <w:rStyle w:val="Znakapoznpodarou"/>
          <w:sz w:val="16"/>
          <w:szCs w:val="16"/>
        </w:rPr>
        <w:footnoteRef/>
      </w:r>
      <w:r w:rsidRPr="00B7522F">
        <w:rPr>
          <w:sz w:val="16"/>
          <w:szCs w:val="16"/>
        </w:rPr>
        <w:t xml:space="preserve"> Údaje nejsou sezónně očištěny. Sezónní vliv u</w:t>
      </w:r>
      <w:r>
        <w:rPr>
          <w:sz w:val="16"/>
          <w:szCs w:val="16"/>
        </w:rPr>
        <w:t> </w:t>
      </w:r>
      <w:r w:rsidRPr="00B7522F">
        <w:rPr>
          <w:sz w:val="16"/>
          <w:szCs w:val="16"/>
        </w:rPr>
        <w:t xml:space="preserve">zaměstnanosti je nicméně ze sledovaných </w:t>
      </w:r>
      <w:r>
        <w:rPr>
          <w:sz w:val="16"/>
          <w:szCs w:val="16"/>
        </w:rPr>
        <w:t>odvětví patrnější jen u stavebni</w:t>
      </w:r>
      <w:r w:rsidRPr="00B7522F">
        <w:rPr>
          <w:sz w:val="16"/>
          <w:szCs w:val="16"/>
        </w:rPr>
        <w:t>ctví.</w:t>
      </w:r>
    </w:p>
  </w:footnote>
  <w:footnote w:id="7">
    <w:p w14:paraId="120B3B15" w14:textId="77777777" w:rsidR="0091476D" w:rsidRPr="00FF5861" w:rsidRDefault="0091476D" w:rsidP="00E97F14">
      <w:pPr>
        <w:pStyle w:val="Textpoznpodarou"/>
        <w:rPr>
          <w:sz w:val="16"/>
          <w:szCs w:val="16"/>
        </w:rPr>
      </w:pPr>
      <w:r w:rsidRPr="00FF5861">
        <w:rPr>
          <w:rStyle w:val="Znakapoznpodarou"/>
          <w:sz w:val="16"/>
          <w:szCs w:val="16"/>
        </w:rPr>
        <w:footnoteRef/>
      </w:r>
      <w:r w:rsidRPr="00FF5861">
        <w:rPr>
          <w:sz w:val="16"/>
          <w:szCs w:val="16"/>
        </w:rPr>
        <w:t xml:space="preserve"> </w:t>
      </w:r>
      <w:r w:rsidRPr="00B34C77">
        <w:rPr>
          <w:sz w:val="16"/>
          <w:szCs w:val="16"/>
        </w:rPr>
        <w:t xml:space="preserve">Zahrnují všechna odvětví služeb bez veřejných služeb </w:t>
      </w:r>
      <w:r>
        <w:rPr>
          <w:sz w:val="16"/>
          <w:szCs w:val="16"/>
        </w:rPr>
        <w:t>a také obchodu, jenž je sledován</w:t>
      </w:r>
      <w:r w:rsidRPr="00B34C77">
        <w:rPr>
          <w:sz w:val="16"/>
          <w:szCs w:val="16"/>
        </w:rPr>
        <w:t xml:space="preserve"> jako samostatná k</w:t>
      </w:r>
      <w:r>
        <w:rPr>
          <w:sz w:val="16"/>
          <w:szCs w:val="16"/>
        </w:rPr>
        <w:t>ategorie</w:t>
      </w:r>
      <w:r w:rsidRPr="00B34C77">
        <w:rPr>
          <w:sz w:val="16"/>
          <w:szCs w:val="16"/>
        </w:rPr>
        <w:t>.</w:t>
      </w:r>
    </w:p>
  </w:footnote>
  <w:footnote w:id="8">
    <w:p w14:paraId="53E643AF" w14:textId="77777777" w:rsidR="0091476D" w:rsidRPr="004E68B1" w:rsidRDefault="0091476D" w:rsidP="00E97F14">
      <w:pPr>
        <w:pStyle w:val="Textpoznpodarou"/>
        <w:jc w:val="both"/>
        <w:rPr>
          <w:spacing w:val="-3"/>
          <w:sz w:val="16"/>
          <w:szCs w:val="16"/>
        </w:rPr>
      </w:pPr>
      <w:r w:rsidRPr="004E68B1">
        <w:rPr>
          <w:rStyle w:val="Znakapoznpodarou"/>
          <w:spacing w:val="-3"/>
          <w:sz w:val="16"/>
          <w:szCs w:val="16"/>
        </w:rPr>
        <w:footnoteRef/>
      </w:r>
      <w:r w:rsidRPr="004E68B1">
        <w:rPr>
          <w:spacing w:val="-3"/>
          <w:sz w:val="16"/>
          <w:szCs w:val="16"/>
        </w:rPr>
        <w:t xml:space="preserve"> U osob ve věku 15–64 let, hodnota po sezónním očištění. </w:t>
      </w:r>
      <w:r>
        <w:rPr>
          <w:spacing w:val="-3"/>
          <w:sz w:val="16"/>
          <w:szCs w:val="16"/>
        </w:rPr>
        <w:t>Není-li uvedeno jinak, vycházejí v</w:t>
      </w:r>
      <w:r w:rsidRPr="004E68B1">
        <w:rPr>
          <w:spacing w:val="-3"/>
          <w:sz w:val="16"/>
          <w:szCs w:val="16"/>
        </w:rPr>
        <w:t>šechny údaje o nezaměstnanosti z</w:t>
      </w:r>
      <w:r>
        <w:rPr>
          <w:spacing w:val="-3"/>
          <w:sz w:val="16"/>
          <w:szCs w:val="16"/>
        </w:rPr>
        <w:t> VŠPS.</w:t>
      </w:r>
    </w:p>
  </w:footnote>
  <w:footnote w:id="9">
    <w:p w14:paraId="43BF6D1C" w14:textId="77777777" w:rsidR="0091476D" w:rsidRPr="003F02A3" w:rsidRDefault="0091476D" w:rsidP="00E97F14">
      <w:pPr>
        <w:pStyle w:val="Textpoznpodarou"/>
        <w:rPr>
          <w:sz w:val="16"/>
          <w:szCs w:val="16"/>
        </w:rPr>
      </w:pPr>
      <w:r w:rsidRPr="003F02A3">
        <w:rPr>
          <w:rStyle w:val="Znakapoznpodarou"/>
          <w:sz w:val="16"/>
          <w:szCs w:val="16"/>
        </w:rPr>
        <w:footnoteRef/>
      </w:r>
      <w:r w:rsidRPr="003F02A3">
        <w:rPr>
          <w:sz w:val="16"/>
          <w:szCs w:val="16"/>
        </w:rPr>
        <w:t xml:space="preserve"> V EU činila na konci roku 2020 ve skupině 15</w:t>
      </w:r>
      <w:r>
        <w:rPr>
          <w:sz w:val="16"/>
          <w:szCs w:val="16"/>
        </w:rPr>
        <w:t>–</w:t>
      </w:r>
      <w:r w:rsidRPr="003F02A3">
        <w:rPr>
          <w:sz w:val="16"/>
          <w:szCs w:val="16"/>
        </w:rPr>
        <w:t>74letých míra nezaměstnanosti mužů 7,0</w:t>
      </w:r>
      <w:r>
        <w:rPr>
          <w:sz w:val="16"/>
          <w:szCs w:val="16"/>
        </w:rPr>
        <w:t> %</w:t>
      </w:r>
      <w:r w:rsidRPr="003F02A3">
        <w:rPr>
          <w:sz w:val="16"/>
          <w:szCs w:val="16"/>
        </w:rPr>
        <w:t xml:space="preserve"> a</w:t>
      </w:r>
      <w:r>
        <w:rPr>
          <w:sz w:val="16"/>
          <w:szCs w:val="16"/>
        </w:rPr>
        <w:t> </w:t>
      </w:r>
      <w:r w:rsidRPr="003F02A3">
        <w:rPr>
          <w:sz w:val="16"/>
          <w:szCs w:val="16"/>
        </w:rPr>
        <w:t>žen 7,7</w:t>
      </w:r>
      <w:r>
        <w:rPr>
          <w:sz w:val="16"/>
          <w:szCs w:val="16"/>
        </w:rPr>
        <w:t> %</w:t>
      </w:r>
      <w:r w:rsidRPr="003F02A3">
        <w:rPr>
          <w:sz w:val="16"/>
          <w:szCs w:val="16"/>
        </w:rPr>
        <w:t>.</w:t>
      </w:r>
      <w:r>
        <w:rPr>
          <w:sz w:val="16"/>
          <w:szCs w:val="16"/>
        </w:rPr>
        <w:t xml:space="preserve"> Nezaměstnanost mužů v ČR dosahovala v rámci států EU minima (již téměř sedm let), nezaměstnanost českých žen byla v Unii druhá nejnižší (po Polsku s 3,0 %). V EU (podobně jako v Česku) byly negativní dopady pandemické krize na pracovní trh tlumeny vládními intervenčními programy. Ve srovnání s koncem roku 2019 tak míra celkové nezaměstnanosti v Unii vzrostla „jen“ o 0,8 p. b., tedy méně než během let 2009 a 2012. O více než 2 p. b. se loni navýšila nezaměstnanost jen v Litvě, Estonsku, Španělsku a Švédsku.</w:t>
      </w:r>
    </w:p>
  </w:footnote>
  <w:footnote w:id="10">
    <w:p w14:paraId="21C9B187" w14:textId="77777777" w:rsidR="0091476D" w:rsidRPr="00EA1250" w:rsidRDefault="0091476D" w:rsidP="00E97F14">
      <w:pPr>
        <w:pStyle w:val="Textpoznpodarou"/>
        <w:rPr>
          <w:sz w:val="16"/>
          <w:szCs w:val="16"/>
        </w:rPr>
      </w:pPr>
      <w:r w:rsidRPr="00EA1250">
        <w:rPr>
          <w:rStyle w:val="Znakapoznpodarou"/>
          <w:sz w:val="16"/>
          <w:szCs w:val="16"/>
        </w:rPr>
        <w:footnoteRef/>
      </w:r>
      <w:r>
        <w:rPr>
          <w:sz w:val="16"/>
          <w:szCs w:val="16"/>
        </w:rPr>
        <w:t xml:space="preserve"> Absolutní p</w:t>
      </w:r>
      <w:r w:rsidRPr="00EA1250">
        <w:rPr>
          <w:sz w:val="16"/>
          <w:szCs w:val="16"/>
        </w:rPr>
        <w:t xml:space="preserve">očet nezaměstnaných ve věku do </w:t>
      </w:r>
      <w:r>
        <w:rPr>
          <w:sz w:val="16"/>
          <w:szCs w:val="16"/>
        </w:rPr>
        <w:t>25 let zůstává</w:t>
      </w:r>
      <w:r w:rsidRPr="00EA1250">
        <w:rPr>
          <w:sz w:val="16"/>
          <w:szCs w:val="16"/>
        </w:rPr>
        <w:t xml:space="preserve"> dlouhodobě nízký (v</w:t>
      </w:r>
      <w:r>
        <w:rPr>
          <w:sz w:val="16"/>
          <w:szCs w:val="16"/>
        </w:rPr>
        <w:t> </w:t>
      </w:r>
      <w:r w:rsidRPr="00EA1250">
        <w:rPr>
          <w:sz w:val="16"/>
          <w:szCs w:val="16"/>
        </w:rPr>
        <w:t>prosinci 2020 šlo o</w:t>
      </w:r>
      <w:r>
        <w:rPr>
          <w:sz w:val="16"/>
          <w:szCs w:val="16"/>
        </w:rPr>
        <w:t> </w:t>
      </w:r>
      <w:r w:rsidRPr="00EA1250">
        <w:rPr>
          <w:sz w:val="16"/>
          <w:szCs w:val="16"/>
        </w:rPr>
        <w:t>26</w:t>
      </w:r>
      <w:r>
        <w:rPr>
          <w:sz w:val="16"/>
          <w:szCs w:val="16"/>
        </w:rPr>
        <w:t> tis</w:t>
      </w:r>
      <w:r w:rsidRPr="00EA1250">
        <w:rPr>
          <w:sz w:val="16"/>
          <w:szCs w:val="16"/>
        </w:rPr>
        <w:t>. osob).</w:t>
      </w:r>
      <w:r>
        <w:rPr>
          <w:sz w:val="16"/>
          <w:szCs w:val="16"/>
        </w:rPr>
        <w:t xml:space="preserve"> Výrazná většina mladých v tomto věku tradičně setrvává v Česku (na rozdíl od mnohých států západní a severní Evropy) mezi ekonomicky neaktivními.</w:t>
      </w:r>
    </w:p>
  </w:footnote>
  <w:footnote w:id="11">
    <w:p w14:paraId="51AC402A" w14:textId="77777777" w:rsidR="0091476D" w:rsidRPr="004E0F30" w:rsidRDefault="0091476D" w:rsidP="00E97F14">
      <w:pPr>
        <w:pStyle w:val="Default"/>
        <w:rPr>
          <w:rFonts w:ascii="Arial" w:hAnsi="Arial" w:cs="Arial"/>
          <w:spacing w:val="-4"/>
          <w:sz w:val="16"/>
          <w:szCs w:val="16"/>
        </w:rPr>
      </w:pPr>
      <w:r w:rsidRPr="004E0F30">
        <w:rPr>
          <w:rStyle w:val="Znakapoznpodarou"/>
          <w:rFonts w:ascii="Arial" w:hAnsi="Arial" w:cs="Arial"/>
          <w:spacing w:val="-4"/>
          <w:sz w:val="16"/>
          <w:szCs w:val="16"/>
        </w:rPr>
        <w:footnoteRef/>
      </w:r>
      <w:r w:rsidRPr="004E0F30">
        <w:rPr>
          <w:rFonts w:ascii="Arial" w:hAnsi="Arial" w:cs="Arial"/>
          <w:spacing w:val="-4"/>
          <w:sz w:val="16"/>
          <w:szCs w:val="16"/>
        </w:rPr>
        <w:t xml:space="preserve"> V rámci programu Antivirus</w:t>
      </w:r>
      <w:r>
        <w:rPr>
          <w:rFonts w:ascii="Arial" w:hAnsi="Arial" w:cs="Arial"/>
          <w:spacing w:val="-4"/>
          <w:sz w:val="16"/>
          <w:szCs w:val="16"/>
        </w:rPr>
        <w:t> </w:t>
      </w:r>
      <w:r w:rsidRPr="004E0F30">
        <w:rPr>
          <w:rFonts w:ascii="Arial" w:hAnsi="Arial" w:cs="Arial"/>
          <w:spacing w:val="-4"/>
          <w:sz w:val="16"/>
          <w:szCs w:val="16"/>
        </w:rPr>
        <w:t>A</w:t>
      </w:r>
      <w:r>
        <w:rPr>
          <w:rFonts w:ascii="Arial" w:hAnsi="Arial" w:cs="Arial"/>
          <w:spacing w:val="-4"/>
          <w:sz w:val="16"/>
          <w:szCs w:val="16"/>
        </w:rPr>
        <w:t> </w:t>
      </w:r>
      <w:r w:rsidRPr="004E0F30">
        <w:rPr>
          <w:rFonts w:ascii="Arial" w:hAnsi="Arial" w:cs="Arial"/>
          <w:spacing w:val="-4"/>
          <w:sz w:val="16"/>
          <w:szCs w:val="16"/>
        </w:rPr>
        <w:t>+</w:t>
      </w:r>
      <w:r>
        <w:rPr>
          <w:rFonts w:ascii="Arial" w:hAnsi="Arial" w:cs="Arial"/>
          <w:spacing w:val="-4"/>
          <w:sz w:val="16"/>
          <w:szCs w:val="16"/>
        </w:rPr>
        <w:t> </w:t>
      </w:r>
      <w:r w:rsidRPr="004E0F30">
        <w:rPr>
          <w:rFonts w:ascii="Arial" w:hAnsi="Arial" w:cs="Arial"/>
          <w:spacing w:val="-4"/>
          <w:sz w:val="16"/>
          <w:szCs w:val="16"/>
        </w:rPr>
        <w:t>B</w:t>
      </w:r>
      <w:r>
        <w:rPr>
          <w:rFonts w:ascii="Arial" w:hAnsi="Arial" w:cs="Arial"/>
          <w:spacing w:val="-4"/>
          <w:sz w:val="16"/>
          <w:szCs w:val="16"/>
        </w:rPr>
        <w:t xml:space="preserve"> </w:t>
      </w:r>
      <w:r w:rsidRPr="004E0F30">
        <w:rPr>
          <w:rFonts w:ascii="Arial" w:hAnsi="Arial" w:cs="Arial"/>
          <w:spacing w:val="-4"/>
          <w:sz w:val="16"/>
          <w:szCs w:val="16"/>
        </w:rPr>
        <w:t>bylo od března do prosince 2020 vydáno z rozpočtu MPSV 28,9</w:t>
      </w:r>
      <w:r>
        <w:rPr>
          <w:rFonts w:ascii="Arial" w:hAnsi="Arial" w:cs="Arial"/>
          <w:spacing w:val="-4"/>
          <w:sz w:val="16"/>
          <w:szCs w:val="16"/>
        </w:rPr>
        <w:t> mld</w:t>
      </w:r>
      <w:r w:rsidRPr="004E0F30">
        <w:rPr>
          <w:rFonts w:ascii="Arial" w:hAnsi="Arial" w:cs="Arial"/>
          <w:spacing w:val="-4"/>
          <w:sz w:val="16"/>
          <w:szCs w:val="16"/>
        </w:rPr>
        <w:t>. korun. V úhrnu b</w:t>
      </w:r>
      <w:r>
        <w:rPr>
          <w:rFonts w:ascii="Arial" w:hAnsi="Arial" w:cs="Arial"/>
          <w:spacing w:val="-4"/>
          <w:sz w:val="16"/>
          <w:szCs w:val="16"/>
        </w:rPr>
        <w:t>ylo takto zčásti</w:t>
      </w:r>
      <w:r w:rsidRPr="004E0F30">
        <w:rPr>
          <w:rFonts w:ascii="Arial" w:hAnsi="Arial" w:cs="Arial"/>
          <w:spacing w:val="-4"/>
          <w:sz w:val="16"/>
          <w:szCs w:val="16"/>
        </w:rPr>
        <w:t xml:space="preserve"> podpořeno 953</w:t>
      </w:r>
      <w:r>
        <w:rPr>
          <w:rFonts w:ascii="Arial" w:hAnsi="Arial" w:cs="Arial"/>
          <w:spacing w:val="-4"/>
          <w:sz w:val="16"/>
          <w:szCs w:val="16"/>
        </w:rPr>
        <w:t> tis</w:t>
      </w:r>
      <w:r w:rsidRPr="004E0F30">
        <w:rPr>
          <w:rFonts w:ascii="Arial" w:hAnsi="Arial" w:cs="Arial"/>
          <w:spacing w:val="-4"/>
          <w:sz w:val="16"/>
          <w:szCs w:val="16"/>
        </w:rPr>
        <w:t>. pracovních míst. Většina firem žádala o</w:t>
      </w:r>
      <w:r>
        <w:rPr>
          <w:rFonts w:ascii="Arial" w:hAnsi="Arial" w:cs="Arial"/>
          <w:spacing w:val="-4"/>
          <w:sz w:val="16"/>
          <w:szCs w:val="16"/>
        </w:rPr>
        <w:t> </w:t>
      </w:r>
      <w:r w:rsidRPr="004E0F30">
        <w:rPr>
          <w:rFonts w:ascii="Arial" w:hAnsi="Arial" w:cs="Arial"/>
          <w:spacing w:val="-4"/>
          <w:sz w:val="16"/>
          <w:szCs w:val="16"/>
        </w:rPr>
        <w:t>příspěv</w:t>
      </w:r>
      <w:r>
        <w:rPr>
          <w:rFonts w:ascii="Arial" w:hAnsi="Arial" w:cs="Arial"/>
          <w:spacing w:val="-4"/>
          <w:sz w:val="16"/>
          <w:szCs w:val="16"/>
        </w:rPr>
        <w:t>ek na úhradu mzdových náhrad</w:t>
      </w:r>
      <w:r w:rsidRPr="004E0F30">
        <w:rPr>
          <w:rFonts w:ascii="Arial" w:hAnsi="Arial" w:cs="Arial"/>
          <w:spacing w:val="-4"/>
          <w:sz w:val="16"/>
          <w:szCs w:val="16"/>
        </w:rPr>
        <w:t xml:space="preserve"> zaměstnanců v jednotlivých měsících opakovaně. Čerpání</w:t>
      </w:r>
      <w:r>
        <w:rPr>
          <w:rFonts w:ascii="Arial" w:hAnsi="Arial" w:cs="Arial"/>
          <w:spacing w:val="-4"/>
          <w:sz w:val="16"/>
          <w:szCs w:val="16"/>
        </w:rPr>
        <w:t xml:space="preserve"> podpory během léta</w:t>
      </w:r>
      <w:r w:rsidRPr="004E0F30">
        <w:rPr>
          <w:rFonts w:ascii="Arial" w:hAnsi="Arial" w:cs="Arial"/>
          <w:spacing w:val="-4"/>
          <w:sz w:val="16"/>
          <w:szCs w:val="16"/>
        </w:rPr>
        <w:t xml:space="preserve"> sláblo (</w:t>
      </w:r>
      <w:r>
        <w:rPr>
          <w:rFonts w:ascii="Arial" w:hAnsi="Arial" w:cs="Arial"/>
          <w:spacing w:val="-4"/>
          <w:sz w:val="16"/>
          <w:szCs w:val="16"/>
        </w:rPr>
        <w:t>ve 3. čtvrtletí:</w:t>
      </w:r>
      <w:r w:rsidRPr="004E0F30">
        <w:rPr>
          <w:rFonts w:ascii="Arial" w:hAnsi="Arial" w:cs="Arial"/>
          <w:spacing w:val="-4"/>
          <w:sz w:val="16"/>
          <w:szCs w:val="16"/>
        </w:rPr>
        <w:t xml:space="preserve"> 2,7</w:t>
      </w:r>
      <w:r>
        <w:rPr>
          <w:rFonts w:ascii="Arial" w:hAnsi="Arial" w:cs="Arial"/>
          <w:spacing w:val="-4"/>
          <w:sz w:val="16"/>
          <w:szCs w:val="16"/>
        </w:rPr>
        <w:t> mld</w:t>
      </w:r>
      <w:r w:rsidRPr="004E0F30">
        <w:rPr>
          <w:rFonts w:ascii="Arial" w:hAnsi="Arial" w:cs="Arial"/>
          <w:spacing w:val="-4"/>
          <w:sz w:val="16"/>
          <w:szCs w:val="16"/>
        </w:rPr>
        <w:t>. korun</w:t>
      </w:r>
      <w:r>
        <w:rPr>
          <w:rFonts w:ascii="Arial" w:hAnsi="Arial" w:cs="Arial"/>
          <w:spacing w:val="-4"/>
          <w:sz w:val="16"/>
          <w:szCs w:val="16"/>
        </w:rPr>
        <w:t>), na konci roku ale</w:t>
      </w:r>
      <w:r w:rsidRPr="004E0F30">
        <w:rPr>
          <w:rFonts w:ascii="Arial" w:hAnsi="Arial" w:cs="Arial"/>
          <w:spacing w:val="-4"/>
          <w:sz w:val="16"/>
          <w:szCs w:val="16"/>
        </w:rPr>
        <w:t xml:space="preserve"> nabylo na významu </w:t>
      </w:r>
      <w:r w:rsidRPr="004E0F30">
        <w:rPr>
          <w:rFonts w:ascii="Arial" w:hAnsi="Arial" w:cs="Arial"/>
          <w:spacing w:val="-6"/>
          <w:sz w:val="16"/>
          <w:szCs w:val="16"/>
        </w:rPr>
        <w:t>(4.</w:t>
      </w:r>
      <w:r>
        <w:rPr>
          <w:rFonts w:ascii="Arial" w:hAnsi="Arial" w:cs="Arial"/>
          <w:spacing w:val="-6"/>
          <w:sz w:val="16"/>
          <w:szCs w:val="16"/>
        </w:rPr>
        <w:t> čtvrtlet</w:t>
      </w:r>
      <w:r w:rsidRPr="004E0F30">
        <w:rPr>
          <w:rFonts w:ascii="Arial" w:hAnsi="Arial" w:cs="Arial"/>
          <w:spacing w:val="-6"/>
          <w:sz w:val="16"/>
          <w:szCs w:val="16"/>
        </w:rPr>
        <w:t>í: 9,5</w:t>
      </w:r>
      <w:r>
        <w:rPr>
          <w:rFonts w:ascii="Arial" w:hAnsi="Arial" w:cs="Arial"/>
          <w:spacing w:val="-6"/>
          <w:sz w:val="16"/>
          <w:szCs w:val="16"/>
        </w:rPr>
        <w:t> mld</w:t>
      </w:r>
      <w:r w:rsidRPr="004E0F30">
        <w:rPr>
          <w:rFonts w:ascii="Arial" w:hAnsi="Arial" w:cs="Arial"/>
          <w:spacing w:val="-6"/>
          <w:sz w:val="16"/>
          <w:szCs w:val="16"/>
        </w:rPr>
        <w:t>. korun).</w:t>
      </w:r>
    </w:p>
  </w:footnote>
  <w:footnote w:id="12">
    <w:p w14:paraId="582666F8" w14:textId="77777777" w:rsidR="0091476D" w:rsidRPr="000A68F7" w:rsidRDefault="0091476D" w:rsidP="00E97F14">
      <w:pPr>
        <w:pStyle w:val="Textpoznpodarou"/>
        <w:jc w:val="both"/>
        <w:rPr>
          <w:spacing w:val="-2"/>
          <w:sz w:val="16"/>
          <w:szCs w:val="16"/>
        </w:rPr>
      </w:pPr>
      <w:r w:rsidRPr="000A68F7">
        <w:rPr>
          <w:rStyle w:val="Znakapoznpodarou"/>
          <w:spacing w:val="-2"/>
          <w:sz w:val="16"/>
          <w:szCs w:val="16"/>
        </w:rPr>
        <w:footnoteRef/>
      </w:r>
      <w:r>
        <w:rPr>
          <w:spacing w:val="-2"/>
          <w:sz w:val="16"/>
          <w:szCs w:val="16"/>
        </w:rPr>
        <w:t xml:space="preserve"> Č</w:t>
      </w:r>
      <w:r w:rsidRPr="000A68F7">
        <w:rPr>
          <w:spacing w:val="-2"/>
          <w:sz w:val="16"/>
          <w:szCs w:val="16"/>
        </w:rPr>
        <w:t>erpání dávek ošetřovného</w:t>
      </w:r>
      <w:r>
        <w:rPr>
          <w:spacing w:val="-2"/>
          <w:sz w:val="16"/>
          <w:szCs w:val="16"/>
        </w:rPr>
        <w:t xml:space="preserve"> za rok 2020</w:t>
      </w:r>
      <w:r w:rsidRPr="000A68F7">
        <w:rPr>
          <w:spacing w:val="-2"/>
          <w:sz w:val="16"/>
          <w:szCs w:val="16"/>
        </w:rPr>
        <w:t xml:space="preserve"> </w:t>
      </w:r>
      <w:r>
        <w:rPr>
          <w:spacing w:val="-2"/>
          <w:sz w:val="16"/>
          <w:szCs w:val="16"/>
        </w:rPr>
        <w:t>(zejména z důvodu uzavření škol) činilo 11,4 mld. korun, v předcházejícím roce jen 1,7</w:t>
      </w:r>
      <w:r w:rsidRPr="000A68F7">
        <w:rPr>
          <w:spacing w:val="-2"/>
          <w:sz w:val="16"/>
          <w:szCs w:val="16"/>
        </w:rPr>
        <w:t> mld.</w:t>
      </w:r>
    </w:p>
  </w:footnote>
  <w:footnote w:id="13">
    <w:p w14:paraId="54491E85" w14:textId="77777777" w:rsidR="0091476D" w:rsidRPr="000A68F7" w:rsidRDefault="0091476D" w:rsidP="00E97F14">
      <w:pPr>
        <w:pStyle w:val="Textpoznpodarou"/>
        <w:rPr>
          <w:spacing w:val="-2"/>
          <w:sz w:val="16"/>
          <w:szCs w:val="16"/>
        </w:rPr>
      </w:pPr>
      <w:r w:rsidRPr="000A68F7">
        <w:rPr>
          <w:rStyle w:val="Znakapoznpodarou"/>
          <w:spacing w:val="-2"/>
          <w:sz w:val="16"/>
          <w:szCs w:val="16"/>
        </w:rPr>
        <w:footnoteRef/>
      </w:r>
      <w:r w:rsidRPr="000A68F7">
        <w:rPr>
          <w:spacing w:val="-2"/>
          <w:sz w:val="16"/>
          <w:szCs w:val="16"/>
        </w:rPr>
        <w:t xml:space="preserve"> Podíl domácností očekávajících v příštích 12</w:t>
      </w:r>
      <w:r>
        <w:rPr>
          <w:spacing w:val="-2"/>
          <w:sz w:val="16"/>
          <w:szCs w:val="16"/>
        </w:rPr>
        <w:t> </w:t>
      </w:r>
      <w:r w:rsidRPr="000A68F7">
        <w:rPr>
          <w:spacing w:val="-2"/>
          <w:sz w:val="16"/>
          <w:szCs w:val="16"/>
        </w:rPr>
        <w:t>měsících</w:t>
      </w:r>
      <w:r>
        <w:rPr>
          <w:spacing w:val="-2"/>
          <w:sz w:val="16"/>
          <w:szCs w:val="16"/>
        </w:rPr>
        <w:t xml:space="preserve"> růst</w:t>
      </w:r>
      <w:r w:rsidRPr="000A68F7">
        <w:rPr>
          <w:spacing w:val="-2"/>
          <w:sz w:val="16"/>
          <w:szCs w:val="16"/>
        </w:rPr>
        <w:t xml:space="preserve"> nezaměstnanosti byl o</w:t>
      </w:r>
      <w:r>
        <w:rPr>
          <w:spacing w:val="-2"/>
          <w:sz w:val="16"/>
          <w:szCs w:val="16"/>
        </w:rPr>
        <w:t> </w:t>
      </w:r>
      <w:r w:rsidRPr="000A68F7">
        <w:rPr>
          <w:spacing w:val="-2"/>
          <w:sz w:val="16"/>
          <w:szCs w:val="16"/>
        </w:rPr>
        <w:t>60</w:t>
      </w:r>
      <w:r>
        <w:rPr>
          <w:spacing w:val="-2"/>
          <w:sz w:val="16"/>
          <w:szCs w:val="16"/>
        </w:rPr>
        <w:t> p. b.</w:t>
      </w:r>
      <w:r w:rsidRPr="000A68F7">
        <w:rPr>
          <w:spacing w:val="-2"/>
          <w:sz w:val="16"/>
          <w:szCs w:val="16"/>
        </w:rPr>
        <w:t xml:space="preserve"> vyšší než podíl těch, které vyhlížely snížení.</w:t>
      </w:r>
    </w:p>
  </w:footnote>
  <w:footnote w:id="14">
    <w:p w14:paraId="1424B9C6" w14:textId="77777777" w:rsidR="0091476D" w:rsidRPr="002C3DA7" w:rsidRDefault="0091476D" w:rsidP="00E97F14">
      <w:pPr>
        <w:pStyle w:val="Textpoznpodarou"/>
        <w:rPr>
          <w:sz w:val="16"/>
          <w:szCs w:val="16"/>
        </w:rPr>
      </w:pPr>
      <w:r w:rsidRPr="002C3DA7">
        <w:rPr>
          <w:rStyle w:val="Znakapoznpodarou"/>
          <w:sz w:val="16"/>
          <w:szCs w:val="16"/>
        </w:rPr>
        <w:footnoteRef/>
      </w:r>
      <w:r w:rsidRPr="002C3DA7">
        <w:rPr>
          <w:sz w:val="16"/>
          <w:szCs w:val="16"/>
        </w:rPr>
        <w:t xml:space="preserve"> Tato místa zaměstnavatelé z velké části cílí na zahraniční pracovníky. </w:t>
      </w:r>
      <w:r w:rsidRPr="00CB5B70">
        <w:rPr>
          <w:sz w:val="16"/>
          <w:szCs w:val="16"/>
        </w:rPr>
        <w:t>Počet cizinců evidovaných úřady práce v ČR po</w:t>
      </w:r>
      <w:r>
        <w:rPr>
          <w:sz w:val="16"/>
          <w:szCs w:val="16"/>
        </w:rPr>
        <w:t xml:space="preserve"> krátkém</w:t>
      </w:r>
      <w:r w:rsidRPr="00CB5B70">
        <w:rPr>
          <w:sz w:val="16"/>
          <w:szCs w:val="16"/>
        </w:rPr>
        <w:t xml:space="preserve"> poklesu v jarních měsících (</w:t>
      </w:r>
      <w:r>
        <w:rPr>
          <w:sz w:val="16"/>
          <w:szCs w:val="16"/>
        </w:rPr>
        <w:t>způsobeném i poza</w:t>
      </w:r>
      <w:r w:rsidRPr="00CB5B70">
        <w:rPr>
          <w:sz w:val="16"/>
          <w:szCs w:val="16"/>
        </w:rPr>
        <w:t xml:space="preserve">stavením vydávání </w:t>
      </w:r>
      <w:r>
        <w:rPr>
          <w:sz w:val="16"/>
          <w:szCs w:val="16"/>
        </w:rPr>
        <w:t xml:space="preserve">většiny </w:t>
      </w:r>
      <w:r w:rsidRPr="00CB5B70">
        <w:rPr>
          <w:sz w:val="16"/>
          <w:szCs w:val="16"/>
        </w:rPr>
        <w:t>pracovních povol</w:t>
      </w:r>
      <w:r>
        <w:rPr>
          <w:sz w:val="16"/>
          <w:szCs w:val="16"/>
        </w:rPr>
        <w:t>ení) ve 3. čtvrtletí 2020 opět rostl</w:t>
      </w:r>
      <w:r w:rsidRPr="00CB5B70">
        <w:rPr>
          <w:sz w:val="16"/>
          <w:szCs w:val="16"/>
        </w:rPr>
        <w:t xml:space="preserve">. </w:t>
      </w:r>
      <w:r>
        <w:rPr>
          <w:sz w:val="16"/>
          <w:szCs w:val="16"/>
        </w:rPr>
        <w:t>Na konci roku 2020 bylo celkem v evidenci 644 tis. osob s možností působení v ČR v pozici zaměstnanců (meziročně o 22 tis. více).</w:t>
      </w:r>
    </w:p>
  </w:footnote>
  <w:footnote w:id="15">
    <w:p w14:paraId="5FF79228" w14:textId="77777777" w:rsidR="0091476D" w:rsidRPr="0091472F" w:rsidRDefault="0091476D" w:rsidP="00E97F14">
      <w:pPr>
        <w:pStyle w:val="Textpoznpodarou"/>
        <w:rPr>
          <w:spacing w:val="-2"/>
          <w:sz w:val="16"/>
          <w:szCs w:val="16"/>
        </w:rPr>
      </w:pPr>
      <w:r w:rsidRPr="0091472F">
        <w:rPr>
          <w:rStyle w:val="Znakapoznpodarou"/>
          <w:spacing w:val="-2"/>
          <w:sz w:val="16"/>
          <w:szCs w:val="16"/>
        </w:rPr>
        <w:footnoteRef/>
      </w:r>
      <w:r w:rsidRPr="0091472F">
        <w:rPr>
          <w:spacing w:val="-2"/>
          <w:sz w:val="16"/>
          <w:szCs w:val="16"/>
        </w:rPr>
        <w:t xml:space="preserve"> </w:t>
      </w:r>
      <w:r w:rsidRPr="0091472F">
        <w:rPr>
          <w:rFonts w:cs="Arial"/>
          <w:bCs/>
          <w:color w:val="000000"/>
          <w:spacing w:val="-2"/>
          <w:sz w:val="16"/>
          <w:szCs w:val="16"/>
        </w:rPr>
        <w:t>Byť se počet neaktivní</w:t>
      </w:r>
      <w:r>
        <w:rPr>
          <w:rFonts w:cs="Arial"/>
          <w:bCs/>
          <w:color w:val="000000"/>
          <w:spacing w:val="-2"/>
          <w:sz w:val="16"/>
          <w:szCs w:val="16"/>
        </w:rPr>
        <w:t>ch zvyšoval i po většinu</w:t>
      </w:r>
      <w:r w:rsidRPr="0091472F">
        <w:rPr>
          <w:rFonts w:cs="Arial"/>
          <w:bCs/>
          <w:color w:val="000000"/>
          <w:spacing w:val="-2"/>
          <w:sz w:val="16"/>
          <w:szCs w:val="16"/>
        </w:rPr>
        <w:t xml:space="preserve"> roku</w:t>
      </w:r>
      <w:r>
        <w:rPr>
          <w:rFonts w:cs="Arial"/>
          <w:bCs/>
          <w:color w:val="000000"/>
          <w:spacing w:val="-2"/>
          <w:sz w:val="16"/>
          <w:szCs w:val="16"/>
        </w:rPr>
        <w:t xml:space="preserve"> 2019</w:t>
      </w:r>
      <w:r w:rsidRPr="0091472F">
        <w:rPr>
          <w:rFonts w:cs="Arial"/>
          <w:bCs/>
          <w:color w:val="000000"/>
          <w:spacing w:val="-2"/>
          <w:sz w:val="16"/>
          <w:szCs w:val="16"/>
        </w:rPr>
        <w:t xml:space="preserve">, k významnému zrychlení </w:t>
      </w:r>
      <w:r>
        <w:rPr>
          <w:rFonts w:cs="Arial"/>
          <w:bCs/>
          <w:color w:val="000000"/>
          <w:spacing w:val="-2"/>
          <w:sz w:val="16"/>
          <w:szCs w:val="16"/>
        </w:rPr>
        <w:t>meziročního tempa došlo až vloni</w:t>
      </w:r>
      <w:r w:rsidRPr="0091472F">
        <w:rPr>
          <w:rFonts w:cs="Arial"/>
          <w:bCs/>
          <w:color w:val="000000"/>
          <w:spacing w:val="-2"/>
          <w:sz w:val="16"/>
          <w:szCs w:val="16"/>
        </w:rPr>
        <w:t>. Na počátku roku</w:t>
      </w:r>
      <w:r>
        <w:rPr>
          <w:rFonts w:cs="Arial"/>
          <w:bCs/>
          <w:color w:val="000000"/>
          <w:spacing w:val="-2"/>
          <w:sz w:val="16"/>
          <w:szCs w:val="16"/>
        </w:rPr>
        <w:t xml:space="preserve"> 2020</w:t>
      </w:r>
      <w:r w:rsidRPr="0091472F">
        <w:rPr>
          <w:rFonts w:cs="Arial"/>
          <w:bCs/>
          <w:color w:val="000000"/>
          <w:spacing w:val="-2"/>
          <w:sz w:val="16"/>
          <w:szCs w:val="16"/>
        </w:rPr>
        <w:t xml:space="preserve"> činil nárůst 59 tis. osob, ve 2. čtvrtletí již 86 tis. (nejvíce v historii ČR) a</w:t>
      </w:r>
      <w:r>
        <w:rPr>
          <w:rFonts w:cs="Arial"/>
          <w:bCs/>
          <w:color w:val="000000"/>
          <w:spacing w:val="-2"/>
          <w:sz w:val="16"/>
          <w:szCs w:val="16"/>
        </w:rPr>
        <w:t> </w:t>
      </w:r>
      <w:r w:rsidRPr="0091472F">
        <w:rPr>
          <w:rFonts w:cs="Arial"/>
          <w:bCs/>
          <w:color w:val="000000"/>
          <w:spacing w:val="-2"/>
          <w:sz w:val="16"/>
          <w:szCs w:val="16"/>
        </w:rPr>
        <w:t>rovněž po zbylou část roku dosahoval přírůstek okolo 50</w:t>
      </w:r>
      <w:r>
        <w:rPr>
          <w:rFonts w:cs="Arial"/>
          <w:bCs/>
          <w:color w:val="000000"/>
          <w:spacing w:val="-2"/>
          <w:sz w:val="16"/>
          <w:szCs w:val="16"/>
        </w:rPr>
        <w:t> tis</w:t>
      </w:r>
      <w:r w:rsidRPr="0091472F">
        <w:rPr>
          <w:rFonts w:cs="Arial"/>
          <w:bCs/>
          <w:color w:val="000000"/>
          <w:spacing w:val="-2"/>
          <w:sz w:val="16"/>
          <w:szCs w:val="16"/>
        </w:rPr>
        <w:t>.</w:t>
      </w:r>
    </w:p>
  </w:footnote>
  <w:footnote w:id="16">
    <w:p w14:paraId="37AEEF55" w14:textId="77777777" w:rsidR="0091476D" w:rsidRPr="006A4CF3" w:rsidRDefault="0091476D" w:rsidP="00E97F14">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Podnikům postiženým dopady koronavirové krize přispíval za splnění určitých podmínek (např. zachování pracovních míst) na mzdy zaměstnanců částečně stát (program Antivirus). Tyto náhrady mezd čerpali lidé z titulu překážek v práci v souvislosti s pandemií. Naopak osoby, které nepracovaly z důvodu pobírání ošetřovného či nařízené karantény, pobíraly transfery od státu, které metodicky nejsou součástí mezd (jejich čerpání tak působilo proti růstu průměrných mezd).</w:t>
      </w:r>
    </w:p>
  </w:footnote>
  <w:footnote w:id="17">
    <w:p w14:paraId="4D2071CF" w14:textId="77777777" w:rsidR="0091476D" w:rsidRPr="006A49B8" w:rsidRDefault="0091476D" w:rsidP="00E97F14">
      <w:pPr>
        <w:pStyle w:val="Textpoznpodarou"/>
        <w:rPr>
          <w:spacing w:val="-4"/>
          <w:sz w:val="16"/>
          <w:szCs w:val="16"/>
        </w:rPr>
      </w:pPr>
      <w:r w:rsidRPr="006A49B8">
        <w:rPr>
          <w:rStyle w:val="Znakapoznpodarou"/>
          <w:spacing w:val="-4"/>
          <w:sz w:val="16"/>
          <w:szCs w:val="16"/>
        </w:rPr>
        <w:footnoteRef/>
      </w:r>
      <w:r w:rsidRPr="006A49B8">
        <w:rPr>
          <w:spacing w:val="-4"/>
          <w:sz w:val="16"/>
          <w:szCs w:val="16"/>
        </w:rPr>
        <w:t xml:space="preserve"> V segmentu výroby motorových vozidel mzdový růst ve 4.</w:t>
      </w:r>
      <w:r>
        <w:rPr>
          <w:spacing w:val="-4"/>
          <w:sz w:val="16"/>
          <w:szCs w:val="16"/>
        </w:rPr>
        <w:t> čtvrtlet</w:t>
      </w:r>
      <w:r w:rsidRPr="006A49B8">
        <w:rPr>
          <w:spacing w:val="-4"/>
          <w:sz w:val="16"/>
          <w:szCs w:val="16"/>
        </w:rPr>
        <w:t>í 2020 zrychlil na 5,9</w:t>
      </w:r>
      <w:r>
        <w:rPr>
          <w:spacing w:val="-4"/>
          <w:sz w:val="16"/>
          <w:szCs w:val="16"/>
        </w:rPr>
        <w:t> %</w:t>
      </w:r>
      <w:r w:rsidRPr="006A49B8">
        <w:rPr>
          <w:spacing w:val="-4"/>
          <w:sz w:val="16"/>
          <w:szCs w:val="16"/>
        </w:rPr>
        <w:t>, za celý rok zde však výdělky vzrostly jen o</w:t>
      </w:r>
      <w:r>
        <w:rPr>
          <w:spacing w:val="-4"/>
          <w:sz w:val="16"/>
          <w:szCs w:val="16"/>
        </w:rPr>
        <w:t> </w:t>
      </w:r>
      <w:r w:rsidRPr="006A49B8">
        <w:rPr>
          <w:spacing w:val="-4"/>
          <w:sz w:val="16"/>
          <w:szCs w:val="16"/>
        </w:rPr>
        <w:t>0,3</w:t>
      </w:r>
      <w:r>
        <w:rPr>
          <w:spacing w:val="-4"/>
          <w:sz w:val="16"/>
          <w:szCs w:val="16"/>
        </w:rPr>
        <w:t> %</w:t>
      </w:r>
      <w:r w:rsidRPr="006A49B8">
        <w:rPr>
          <w:spacing w:val="-4"/>
          <w:sz w:val="16"/>
          <w:szCs w:val="16"/>
        </w:rPr>
        <w:t>.</w:t>
      </w:r>
    </w:p>
  </w:footnote>
  <w:footnote w:id="18">
    <w:p w14:paraId="70BAFB8C" w14:textId="77777777" w:rsidR="0091476D" w:rsidRPr="000862CD" w:rsidRDefault="0091476D" w:rsidP="00E97F14">
      <w:pPr>
        <w:pStyle w:val="Textpoznpodarou"/>
        <w:rPr>
          <w:sz w:val="16"/>
          <w:szCs w:val="16"/>
        </w:rPr>
      </w:pPr>
      <w:r w:rsidRPr="000862CD">
        <w:rPr>
          <w:rStyle w:val="Znakapoznpodarou"/>
          <w:sz w:val="16"/>
          <w:szCs w:val="16"/>
        </w:rPr>
        <w:footnoteRef/>
      </w:r>
      <w:r w:rsidRPr="000862CD">
        <w:rPr>
          <w:sz w:val="16"/>
          <w:szCs w:val="16"/>
        </w:rPr>
        <w:t xml:space="preserve"> </w:t>
      </w:r>
      <w:r w:rsidRPr="000862CD">
        <w:rPr>
          <w:bCs/>
          <w:spacing w:val="-3"/>
          <w:sz w:val="16"/>
          <w:szCs w:val="16"/>
        </w:rPr>
        <w:t xml:space="preserve">Projevila se výplata mimořádných odměn zdravotníkům v souvislosti s vyššími výkony během jarní pandemické vlny. Bez zahrnutí tohoto odvětví by se mzdový růst v ekonomice </w:t>
      </w:r>
      <w:r>
        <w:rPr>
          <w:bCs/>
          <w:spacing w:val="-3"/>
          <w:sz w:val="16"/>
          <w:szCs w:val="16"/>
        </w:rPr>
        <w:t xml:space="preserve">ve 4. čtvrtletí </w:t>
      </w:r>
      <w:r w:rsidRPr="000862CD">
        <w:rPr>
          <w:bCs/>
          <w:spacing w:val="-3"/>
          <w:sz w:val="16"/>
          <w:szCs w:val="16"/>
        </w:rPr>
        <w:t>pohyboval jen mírně nad 4</w:t>
      </w:r>
      <w:r>
        <w:rPr>
          <w:bCs/>
          <w:spacing w:val="-3"/>
          <w:sz w:val="16"/>
          <w:szCs w:val="16"/>
        </w:rPr>
        <w:t> %</w:t>
      </w:r>
      <w:r w:rsidRPr="000862CD">
        <w:rPr>
          <w:bCs/>
          <w:spacing w:val="-3"/>
          <w:sz w:val="16"/>
          <w:szCs w:val="16"/>
        </w:rPr>
        <w:t>.</w:t>
      </w:r>
    </w:p>
  </w:footnote>
  <w:footnote w:id="19">
    <w:p w14:paraId="50511289" w14:textId="77777777" w:rsidR="0091476D" w:rsidRPr="005370FE" w:rsidRDefault="0091476D" w:rsidP="00E97F14">
      <w:pPr>
        <w:pStyle w:val="Textpoznpodarou"/>
        <w:rPr>
          <w:sz w:val="16"/>
          <w:szCs w:val="16"/>
        </w:rPr>
      </w:pPr>
      <w:r w:rsidRPr="005370FE">
        <w:rPr>
          <w:rStyle w:val="Znakapoznpodarou"/>
          <w:sz w:val="16"/>
          <w:szCs w:val="16"/>
        </w:rPr>
        <w:footnoteRef/>
      </w:r>
      <w:r w:rsidRPr="005370FE">
        <w:rPr>
          <w:sz w:val="16"/>
          <w:szCs w:val="16"/>
        </w:rPr>
        <w:t xml:space="preserve"> Jednalo se o</w:t>
      </w:r>
      <w:r>
        <w:rPr>
          <w:sz w:val="16"/>
          <w:szCs w:val="16"/>
        </w:rPr>
        <w:t> </w:t>
      </w:r>
      <w:r w:rsidRPr="005370FE">
        <w:rPr>
          <w:sz w:val="16"/>
          <w:szCs w:val="16"/>
        </w:rPr>
        <w:t>jedno z mála hlavních odvětví ekonomiky, kde za loňský rok počet zaměstnanci odpracovaných hodin narostl (+1,6</w:t>
      </w:r>
      <w:r>
        <w:rPr>
          <w:sz w:val="16"/>
          <w:szCs w:val="16"/>
        </w:rPr>
        <w:t> %</w:t>
      </w:r>
      <w:r w:rsidRPr="005370F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91476D" w:rsidRDefault="0091476D" w:rsidP="00937AE2">
    <w:pPr>
      <w:pStyle w:val="Zhlav"/>
    </w:pPr>
    <w:r>
      <w:t>Vývoj ekonomiky České republiky</w:t>
    </w:r>
  </w:p>
  <w:p w14:paraId="675E4C41" w14:textId="77777777" w:rsidR="0091476D" w:rsidRPr="006F5416" w:rsidRDefault="0091476D"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91476D" w:rsidRDefault="0091476D" w:rsidP="00937AE2">
    <w:pPr>
      <w:pStyle w:val="Zhlav"/>
    </w:pPr>
    <w:r>
      <w:t>Vývoj ekonomiky České republiky</w:t>
    </w:r>
  </w:p>
  <w:p w14:paraId="0CDCFD48" w14:textId="77777777" w:rsidR="0091476D" w:rsidRPr="006F5416" w:rsidRDefault="0091476D"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6F4E"/>
    <w:rsid w:val="000D73BB"/>
    <w:rsid w:val="000E0E96"/>
    <w:rsid w:val="000E298B"/>
    <w:rsid w:val="000E2C7D"/>
    <w:rsid w:val="000E3E56"/>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609"/>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031"/>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A0487"/>
    <w:rsid w:val="001A0675"/>
    <w:rsid w:val="001A1F68"/>
    <w:rsid w:val="001A21FA"/>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5DA"/>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B33"/>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46FC7"/>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566A"/>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19CB"/>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2C0A"/>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648B"/>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1324"/>
    <w:rsid w:val="009B284F"/>
    <w:rsid w:val="009B3764"/>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26FE"/>
    <w:rsid w:val="00B038CA"/>
    <w:rsid w:val="00B05F00"/>
    <w:rsid w:val="00B06DB4"/>
    <w:rsid w:val="00B0750D"/>
    <w:rsid w:val="00B0799C"/>
    <w:rsid w:val="00B102CE"/>
    <w:rsid w:val="00B10A4D"/>
    <w:rsid w:val="00B10C90"/>
    <w:rsid w:val="00B11002"/>
    <w:rsid w:val="00B1114F"/>
    <w:rsid w:val="00B121B2"/>
    <w:rsid w:val="00B131B1"/>
    <w:rsid w:val="00B141B6"/>
    <w:rsid w:val="00B14BC1"/>
    <w:rsid w:val="00B162C3"/>
    <w:rsid w:val="00B16DD1"/>
    <w:rsid w:val="00B16EB8"/>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D89"/>
    <w:rsid w:val="00B80EC6"/>
    <w:rsid w:val="00B81288"/>
    <w:rsid w:val="00B81D70"/>
    <w:rsid w:val="00B833B9"/>
    <w:rsid w:val="00B83AAF"/>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246C"/>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0AEA"/>
    <w:rsid w:val="00CC20FE"/>
    <w:rsid w:val="00CC2E7D"/>
    <w:rsid w:val="00CC5BE8"/>
    <w:rsid w:val="00CC612B"/>
    <w:rsid w:val="00CC655F"/>
    <w:rsid w:val="00CC66F9"/>
    <w:rsid w:val="00CC6C2A"/>
    <w:rsid w:val="00CC6FE5"/>
    <w:rsid w:val="00CC7458"/>
    <w:rsid w:val="00CC76BD"/>
    <w:rsid w:val="00CC7A87"/>
    <w:rsid w:val="00CD0D6B"/>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70289"/>
    <w:rsid w:val="00D70822"/>
    <w:rsid w:val="00D72076"/>
    <w:rsid w:val="00D721B4"/>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32B8"/>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851"/>
    <w:rsid w:val="00ED3E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6799D"/>
    <w:rsid w:val="00F7150B"/>
    <w:rsid w:val="00F717E4"/>
    <w:rsid w:val="00F71DE6"/>
    <w:rsid w:val="00F72D71"/>
    <w:rsid w:val="00F7381C"/>
    <w:rsid w:val="00F73A0C"/>
    <w:rsid w:val="00F7549F"/>
    <w:rsid w:val="00F756DB"/>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20\Q-makro\celorok\Trh%20pr&#225;ce\Grafy-trh%20pr&#225;ce-rok-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rok%202020\Trh%20pr&#225;ce\Grafy-trh%20pr&#225;ce-rok-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20\Q-makro\celorok\Trh%20pr&#225;ce\Grafy-trh%20pr&#225;ce-rok-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95179103013891"/>
          <c:y val="1.6549886621315374E-2"/>
          <c:w val="0.80473832896239506"/>
          <c:h val="0.65992692395395358"/>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1'!$AC$28:$AC$52</c:f>
              <c:numCache>
                <c:formatCode>#\ ##0.0</c:formatCode>
                <c:ptCount val="25"/>
                <c:pt idx="0">
                  <c:v>-6.3775886113478369E-2</c:v>
                </c:pt>
                <c:pt idx="1">
                  <c:v>-5.3530554883726662E-2</c:v>
                </c:pt>
                <c:pt idx="2">
                  <c:v>-6.4075390166381849E-2</c:v>
                </c:pt>
                <c:pt idx="3">
                  <c:v>-0.13844304699479693</c:v>
                </c:pt>
                <c:pt idx="4">
                  <c:v>-0.13446730863002626</c:v>
                </c:pt>
                <c:pt idx="5">
                  <c:v>-4.2544545507820601E-2</c:v>
                </c:pt>
                <c:pt idx="6">
                  <c:v>-3.3191194580390673E-2</c:v>
                </c:pt>
                <c:pt idx="7">
                  <c:v>6.6309323471769377E-2</c:v>
                </c:pt>
                <c:pt idx="8">
                  <c:v>9.8066936941412233E-2</c:v>
                </c:pt>
                <c:pt idx="9">
                  <c:v>2.5196330912572437E-2</c:v>
                </c:pt>
                <c:pt idx="10">
                  <c:v>2.0639846638534198E-2</c:v>
                </c:pt>
                <c:pt idx="11">
                  <c:v>-8.3455519417103677E-2</c:v>
                </c:pt>
                <c:pt idx="12">
                  <c:v>2.5494598026070365E-2</c:v>
                </c:pt>
                <c:pt idx="13">
                  <c:v>2.6684441302942768E-2</c:v>
                </c:pt>
                <c:pt idx="14">
                  <c:v>1.9708592256982422E-2</c:v>
                </c:pt>
                <c:pt idx="15">
                  <c:v>8.7635855137036173E-2</c:v>
                </c:pt>
                <c:pt idx="16">
                  <c:v>-1.7993164823325757E-2</c:v>
                </c:pt>
                <c:pt idx="17">
                  <c:v>-7.0820472864832854E-2</c:v>
                </c:pt>
                <c:pt idx="18">
                  <c:v>-0.10170278786374146</c:v>
                </c:pt>
                <c:pt idx="19">
                  <c:v>-0.11671422849704614</c:v>
                </c:pt>
                <c:pt idx="20">
                  <c:v>-0.13192229045620107</c:v>
                </c:pt>
                <c:pt idx="21">
                  <c:v>-6.1309960075012639E-2</c:v>
                </c:pt>
                <c:pt idx="22">
                  <c:v>2.592734961307994E-2</c:v>
                </c:pt>
                <c:pt idx="23">
                  <c:v>1.8337259316546568E-2</c:v>
                </c:pt>
              </c:numCache>
            </c:numRef>
          </c:val>
          <c:extLst>
            <c:ext xmlns:c16="http://schemas.microsoft.com/office/drawing/2014/chart" uri="{C3380CC4-5D6E-409C-BE32-E72D297353CC}">
              <c16:uniqueId val="{00000000-7183-4E6F-83A3-6D0750B77546}"/>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1'!$AD$28:$AD$52</c:f>
              <c:numCache>
                <c:formatCode>#\ ##0.0</c:formatCode>
                <c:ptCount val="25"/>
                <c:pt idx="0">
                  <c:v>0.87384359543532464</c:v>
                </c:pt>
                <c:pt idx="1">
                  <c:v>0.93524489787512044</c:v>
                </c:pt>
                <c:pt idx="2">
                  <c:v>0.78267698384636852</c:v>
                </c:pt>
                <c:pt idx="3">
                  <c:v>0.94962455048902517</c:v>
                </c:pt>
                <c:pt idx="4">
                  <c:v>0.84718285167324348</c:v>
                </c:pt>
                <c:pt idx="5">
                  <c:v>0.62908867154608861</c:v>
                </c:pt>
                <c:pt idx="6">
                  <c:v>0.67775956738111331</c:v>
                </c:pt>
                <c:pt idx="7">
                  <c:v>0.54172812831113937</c:v>
                </c:pt>
                <c:pt idx="8">
                  <c:v>0.26867627785059034</c:v>
                </c:pt>
                <c:pt idx="9">
                  <c:v>0.39386843676908101</c:v>
                </c:pt>
                <c:pt idx="10">
                  <c:v>0.49256509811427385</c:v>
                </c:pt>
                <c:pt idx="11">
                  <c:v>0.47713964802096459</c:v>
                </c:pt>
                <c:pt idx="12">
                  <c:v>0.36434303678320645</c:v>
                </c:pt>
                <c:pt idx="13">
                  <c:v>0.28695143937637824</c:v>
                </c:pt>
                <c:pt idx="14">
                  <c:v>9.8952780783639532E-2</c:v>
                </c:pt>
                <c:pt idx="15">
                  <c:v>7.558219904144467E-2</c:v>
                </c:pt>
                <c:pt idx="16">
                  <c:v>-2.3335465306952373E-2</c:v>
                </c:pt>
                <c:pt idx="17">
                  <c:v>-0.19164270518730264</c:v>
                </c:pt>
                <c:pt idx="18">
                  <c:v>-0.35809202690016206</c:v>
                </c:pt>
                <c:pt idx="19">
                  <c:v>-0.74585932300225566</c:v>
                </c:pt>
                <c:pt idx="20">
                  <c:v>-0.68716111979198968</c:v>
                </c:pt>
                <c:pt idx="21">
                  <c:v>-0.95806001759904347</c:v>
                </c:pt>
                <c:pt idx="22">
                  <c:v>-0.98623436481310467</c:v>
                </c:pt>
                <c:pt idx="23">
                  <c:v>-0.79348811235920402</c:v>
                </c:pt>
              </c:numCache>
            </c:numRef>
          </c:val>
          <c:extLst>
            <c:ext xmlns:c16="http://schemas.microsoft.com/office/drawing/2014/chart" uri="{C3380CC4-5D6E-409C-BE32-E72D297353CC}">
              <c16:uniqueId val="{00000001-7183-4E6F-83A3-6D0750B77546}"/>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1'!$AE$28:$AE$52</c:f>
              <c:numCache>
                <c:formatCode>#\ ##0.0</c:formatCode>
                <c:ptCount val="25"/>
                <c:pt idx="0">
                  <c:v>-0.11694210540586052</c:v>
                </c:pt>
                <c:pt idx="1">
                  <c:v>-0.10810072845885586</c:v>
                </c:pt>
                <c:pt idx="2">
                  <c:v>-0.15839123886250733</c:v>
                </c:pt>
                <c:pt idx="3">
                  <c:v>-0.17189865446459995</c:v>
                </c:pt>
                <c:pt idx="4">
                  <c:v>-0.11151278826793087</c:v>
                </c:pt>
                <c:pt idx="5">
                  <c:v>-0.12826978061125432</c:v>
                </c:pt>
                <c:pt idx="6">
                  <c:v>-3.014577719148143E-2</c:v>
                </c:pt>
                <c:pt idx="7">
                  <c:v>1.7024586966207105E-2</c:v>
                </c:pt>
                <c:pt idx="8">
                  <c:v>-6.5148695688723116E-3</c:v>
                </c:pt>
                <c:pt idx="9">
                  <c:v>1.4289321905169284E-2</c:v>
                </c:pt>
                <c:pt idx="10">
                  <c:v>6.6438659970773833E-2</c:v>
                </c:pt>
                <c:pt idx="11">
                  <c:v>-6.4943430456315621E-2</c:v>
                </c:pt>
                <c:pt idx="12">
                  <c:v>0.11291809775653174</c:v>
                </c:pt>
                <c:pt idx="13">
                  <c:v>6.2607246062592548E-2</c:v>
                </c:pt>
                <c:pt idx="14">
                  <c:v>5.182353842998591E-2</c:v>
                </c:pt>
                <c:pt idx="15">
                  <c:v>0.12116998337824897</c:v>
                </c:pt>
                <c:pt idx="16">
                  <c:v>3.1719909121533031E-2</c:v>
                </c:pt>
                <c:pt idx="17">
                  <c:v>5.5381462391177826E-2</c:v>
                </c:pt>
                <c:pt idx="18">
                  <c:v>8.9850693144459925E-2</c:v>
                </c:pt>
                <c:pt idx="19">
                  <c:v>0.15065541085764433</c:v>
                </c:pt>
                <c:pt idx="20">
                  <c:v>0.22462444050650451</c:v>
                </c:pt>
                <c:pt idx="21">
                  <c:v>-3.6664679361405939E-2</c:v>
                </c:pt>
                <c:pt idx="22">
                  <c:v>8.483974244393748E-2</c:v>
                </c:pt>
                <c:pt idx="23">
                  <c:v>0.17742637211820689</c:v>
                </c:pt>
              </c:numCache>
            </c:numRef>
          </c:val>
          <c:extLst>
            <c:ext xmlns:c16="http://schemas.microsoft.com/office/drawing/2014/chart" uri="{C3380CC4-5D6E-409C-BE32-E72D297353CC}">
              <c16:uniqueId val="{00000002-7183-4E6F-83A3-6D0750B77546}"/>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1'!$AF$28:$AF$52</c:f>
              <c:numCache>
                <c:formatCode>#\ ##0.0</c:formatCode>
                <c:ptCount val="25"/>
                <c:pt idx="0">
                  <c:v>0.22879550024382489</c:v>
                </c:pt>
                <c:pt idx="1">
                  <c:v>0.47330112084625897</c:v>
                </c:pt>
                <c:pt idx="2">
                  <c:v>0.33213712914903176</c:v>
                </c:pt>
                <c:pt idx="3">
                  <c:v>0.17959968299057444</c:v>
                </c:pt>
                <c:pt idx="4">
                  <c:v>8.0583366917820948E-2</c:v>
                </c:pt>
                <c:pt idx="5">
                  <c:v>0.20992754897152985</c:v>
                </c:pt>
                <c:pt idx="6">
                  <c:v>-8.6158327395090793E-3</c:v>
                </c:pt>
                <c:pt idx="7">
                  <c:v>9.5260739725036819E-2</c:v>
                </c:pt>
                <c:pt idx="8">
                  <c:v>0.16015880233389024</c:v>
                </c:pt>
                <c:pt idx="9">
                  <c:v>-9.025834979993895E-3</c:v>
                </c:pt>
                <c:pt idx="10">
                  <c:v>0.34149737055569235</c:v>
                </c:pt>
                <c:pt idx="11">
                  <c:v>0.22106834398785968</c:v>
                </c:pt>
                <c:pt idx="12">
                  <c:v>0.14583136020082346</c:v>
                </c:pt>
                <c:pt idx="13">
                  <c:v>0.38632474852631182</c:v>
                </c:pt>
                <c:pt idx="14">
                  <c:v>0.20625097681409202</c:v>
                </c:pt>
                <c:pt idx="15">
                  <c:v>0.2575234748212693</c:v>
                </c:pt>
                <c:pt idx="16">
                  <c:v>0.39403175997637707</c:v>
                </c:pt>
                <c:pt idx="17">
                  <c:v>4.5764322215464309E-2</c:v>
                </c:pt>
                <c:pt idx="18">
                  <c:v>-7.2257163132816132E-2</c:v>
                </c:pt>
                <c:pt idx="19">
                  <c:v>-0.11883095082430688</c:v>
                </c:pt>
                <c:pt idx="20">
                  <c:v>-0.26494730276074041</c:v>
                </c:pt>
                <c:pt idx="21">
                  <c:v>-0.76201884729923541</c:v>
                </c:pt>
                <c:pt idx="22">
                  <c:v>-0.57071495726133536</c:v>
                </c:pt>
                <c:pt idx="23">
                  <c:v>-1.1510369692443747</c:v>
                </c:pt>
              </c:numCache>
            </c:numRef>
          </c:val>
          <c:extLst>
            <c:ext xmlns:c16="http://schemas.microsoft.com/office/drawing/2014/chart" uri="{C3380CC4-5D6E-409C-BE32-E72D297353CC}">
              <c16:uniqueId val="{00000003-7183-4E6F-83A3-6D0750B77546}"/>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1'!$AG$28:$AG$52</c:f>
              <c:numCache>
                <c:formatCode>#\ ##0.0</c:formatCode>
                <c:ptCount val="25"/>
                <c:pt idx="0">
                  <c:v>7.3874717124669956E-3</c:v>
                </c:pt>
                <c:pt idx="1">
                  <c:v>5.6060947547706408E-2</c:v>
                </c:pt>
                <c:pt idx="2">
                  <c:v>7.3237389552977303E-2</c:v>
                </c:pt>
                <c:pt idx="3">
                  <c:v>0.10393464068853153</c:v>
                </c:pt>
                <c:pt idx="4">
                  <c:v>0.12034144994565989</c:v>
                </c:pt>
                <c:pt idx="5">
                  <c:v>0.11313726215922026</c:v>
                </c:pt>
                <c:pt idx="6">
                  <c:v>0.12927604067983756</c:v>
                </c:pt>
                <c:pt idx="7">
                  <c:v>0.16693713637598337</c:v>
                </c:pt>
                <c:pt idx="8">
                  <c:v>0.13971624972775135</c:v>
                </c:pt>
                <c:pt idx="9">
                  <c:v>0.13821878661994863</c:v>
                </c:pt>
                <c:pt idx="10">
                  <c:v>0.13496598887461</c:v>
                </c:pt>
                <c:pt idx="11">
                  <c:v>0.11698506830016364</c:v>
                </c:pt>
                <c:pt idx="12">
                  <c:v>0.11058328966551791</c:v>
                </c:pt>
                <c:pt idx="13">
                  <c:v>0.13540854835327559</c:v>
                </c:pt>
                <c:pt idx="14">
                  <c:v>0.13011769084595673</c:v>
                </c:pt>
                <c:pt idx="15">
                  <c:v>0.1533068562760779</c:v>
                </c:pt>
                <c:pt idx="16">
                  <c:v>0.14101447318239424</c:v>
                </c:pt>
                <c:pt idx="17">
                  <c:v>7.4984215546272034E-2</c:v>
                </c:pt>
                <c:pt idx="18">
                  <c:v>0.12791770141729253</c:v>
                </c:pt>
                <c:pt idx="19">
                  <c:v>0.14299839791729246</c:v>
                </c:pt>
                <c:pt idx="20">
                  <c:v>0.13885105940325984</c:v>
                </c:pt>
                <c:pt idx="21">
                  <c:v>9.7239508020651039E-2</c:v>
                </c:pt>
                <c:pt idx="22">
                  <c:v>0.10343298747563447</c:v>
                </c:pt>
                <c:pt idx="23">
                  <c:v>8.1141910812593782E-2</c:v>
                </c:pt>
              </c:numCache>
            </c:numRef>
          </c:val>
          <c:extLst>
            <c:ext xmlns:c16="http://schemas.microsoft.com/office/drawing/2014/chart" uri="{C3380CC4-5D6E-409C-BE32-E72D297353CC}">
              <c16:uniqueId val="{00000004-7183-4E6F-83A3-6D0750B77546}"/>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1'!$AH$28:$AH$52</c:f>
              <c:numCache>
                <c:formatCode>#\ ##0.0</c:formatCode>
                <c:ptCount val="25"/>
                <c:pt idx="0">
                  <c:v>0.11379850042183202</c:v>
                </c:pt>
                <c:pt idx="1">
                  <c:v>0.11820268366776726</c:v>
                </c:pt>
                <c:pt idx="2">
                  <c:v>0.23129653035669548</c:v>
                </c:pt>
                <c:pt idx="3">
                  <c:v>0.37241784026117603</c:v>
                </c:pt>
                <c:pt idx="4">
                  <c:v>0.26699425205615607</c:v>
                </c:pt>
                <c:pt idx="5">
                  <c:v>0.23716608218519117</c:v>
                </c:pt>
                <c:pt idx="6">
                  <c:v>0.24081927124703897</c:v>
                </c:pt>
                <c:pt idx="7">
                  <c:v>0.25506101535021469</c:v>
                </c:pt>
                <c:pt idx="8">
                  <c:v>0.4253197253437988</c:v>
                </c:pt>
                <c:pt idx="9">
                  <c:v>0.3617364642403027</c:v>
                </c:pt>
                <c:pt idx="10">
                  <c:v>0.29161615885428543</c:v>
                </c:pt>
                <c:pt idx="11">
                  <c:v>0.14112634349596684</c:v>
                </c:pt>
                <c:pt idx="12">
                  <c:v>0.15102819111308005</c:v>
                </c:pt>
                <c:pt idx="13">
                  <c:v>0.15512205414730354</c:v>
                </c:pt>
                <c:pt idx="14">
                  <c:v>7.7586282372714338E-2</c:v>
                </c:pt>
                <c:pt idx="15">
                  <c:v>0.21983484069239514</c:v>
                </c:pt>
                <c:pt idx="16">
                  <c:v>0.20886910918623508</c:v>
                </c:pt>
                <c:pt idx="17">
                  <c:v>0.16389670307116369</c:v>
                </c:pt>
                <c:pt idx="18">
                  <c:v>0.15468645117267918</c:v>
                </c:pt>
                <c:pt idx="19">
                  <c:v>5.7611659863705152E-3</c:v>
                </c:pt>
                <c:pt idx="20">
                  <c:v>-0.24247015575211209</c:v>
                </c:pt>
                <c:pt idx="21">
                  <c:v>-0.40867793231056837</c:v>
                </c:pt>
                <c:pt idx="22">
                  <c:v>-0.60095431811070577</c:v>
                </c:pt>
                <c:pt idx="23">
                  <c:v>-0.38602423842204375</c:v>
                </c:pt>
              </c:numCache>
            </c:numRef>
          </c:val>
          <c:extLst>
            <c:ext xmlns:c16="http://schemas.microsoft.com/office/drawing/2014/chart" uri="{C3380CC4-5D6E-409C-BE32-E72D297353CC}">
              <c16:uniqueId val="{00000005-7183-4E6F-83A3-6D0750B77546}"/>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1'!$AI$28:$AI$52</c:f>
              <c:numCache>
                <c:formatCode>#\ ##0.0</c:formatCode>
                <c:ptCount val="25"/>
                <c:pt idx="0">
                  <c:v>0.25561438026381811</c:v>
                </c:pt>
                <c:pt idx="1">
                  <c:v>0.23618959741845097</c:v>
                </c:pt>
                <c:pt idx="2">
                  <c:v>0.10591974557381781</c:v>
                </c:pt>
                <c:pt idx="3">
                  <c:v>9.8709639055718459E-2</c:v>
                </c:pt>
                <c:pt idx="4">
                  <c:v>0.36242141278378515</c:v>
                </c:pt>
                <c:pt idx="5">
                  <c:v>0.34758527415111612</c:v>
                </c:pt>
                <c:pt idx="6">
                  <c:v>0.42951950059780825</c:v>
                </c:pt>
                <c:pt idx="7">
                  <c:v>0.52568461923790011</c:v>
                </c:pt>
                <c:pt idx="8">
                  <c:v>0.43143338593628888</c:v>
                </c:pt>
                <c:pt idx="9">
                  <c:v>0.47637406936515148</c:v>
                </c:pt>
                <c:pt idx="10">
                  <c:v>0.54554133741649136</c:v>
                </c:pt>
                <c:pt idx="11">
                  <c:v>0.54623885355011015</c:v>
                </c:pt>
                <c:pt idx="12">
                  <c:v>0.39194649373019252</c:v>
                </c:pt>
                <c:pt idx="13">
                  <c:v>0.44662708849321481</c:v>
                </c:pt>
                <c:pt idx="14">
                  <c:v>0.31647379381273566</c:v>
                </c:pt>
                <c:pt idx="15">
                  <c:v>0.28796501123579255</c:v>
                </c:pt>
                <c:pt idx="16">
                  <c:v>0.30898159429086303</c:v>
                </c:pt>
                <c:pt idx="17">
                  <c:v>0.22102841127976061</c:v>
                </c:pt>
                <c:pt idx="18">
                  <c:v>0.30448068256247734</c:v>
                </c:pt>
                <c:pt idx="19">
                  <c:v>0.31027468061421015</c:v>
                </c:pt>
                <c:pt idx="20">
                  <c:v>0.38801106103529076</c:v>
                </c:pt>
                <c:pt idx="21">
                  <c:v>0.28629692987066752</c:v>
                </c:pt>
                <c:pt idx="22">
                  <c:v>0.49787145120553933</c:v>
                </c:pt>
                <c:pt idx="23">
                  <c:v>0.38063201312452954</c:v>
                </c:pt>
              </c:numCache>
            </c:numRef>
          </c:val>
          <c:extLst>
            <c:ext xmlns:c16="http://schemas.microsoft.com/office/drawing/2014/chart" uri="{C3380CC4-5D6E-409C-BE32-E72D297353CC}">
              <c16:uniqueId val="{00000006-7183-4E6F-83A3-6D0750B77546}"/>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1'!$AJ$28:$AJ$52</c:f>
              <c:numCache>
                <c:formatCode>#\ ##0.0</c:formatCode>
                <c:ptCount val="25"/>
                <c:pt idx="0">
                  <c:v>-4.1849241349879537E-2</c:v>
                </c:pt>
                <c:pt idx="1">
                  <c:v>9.7841849673883707E-2</c:v>
                </c:pt>
                <c:pt idx="2">
                  <c:v>4.8115148164572803E-2</c:v>
                </c:pt>
                <c:pt idx="3">
                  <c:v>-4.5211861143632473E-2</c:v>
                </c:pt>
                <c:pt idx="4">
                  <c:v>0.13066419283038919</c:v>
                </c:pt>
                <c:pt idx="5">
                  <c:v>8.2910779442291055E-2</c:v>
                </c:pt>
                <c:pt idx="6">
                  <c:v>0.10551022017018508</c:v>
                </c:pt>
                <c:pt idx="7">
                  <c:v>0.16861073984045793</c:v>
                </c:pt>
                <c:pt idx="8">
                  <c:v>-5.0552331024152901E-2</c:v>
                </c:pt>
                <c:pt idx="9">
                  <c:v>1.1401054711570741E-3</c:v>
                </c:pt>
                <c:pt idx="10">
                  <c:v>3.7899847185385735E-2</c:v>
                </c:pt>
                <c:pt idx="11">
                  <c:v>4.0443247413313496E-2</c:v>
                </c:pt>
                <c:pt idx="12">
                  <c:v>0.20431453706121822</c:v>
                </c:pt>
                <c:pt idx="13">
                  <c:v>0.21238866413451776</c:v>
                </c:pt>
                <c:pt idx="14">
                  <c:v>3.4275812620838987E-3</c:v>
                </c:pt>
                <c:pt idx="15">
                  <c:v>1.2817489016641342E-2</c:v>
                </c:pt>
                <c:pt idx="16">
                  <c:v>-0.11309724322455375</c:v>
                </c:pt>
                <c:pt idx="17">
                  <c:v>-5.1807276195606156E-2</c:v>
                </c:pt>
                <c:pt idx="18">
                  <c:v>3.8583922061212472E-2</c:v>
                </c:pt>
                <c:pt idx="19">
                  <c:v>4.5481920614445746E-2</c:v>
                </c:pt>
                <c:pt idx="20">
                  <c:v>9.7168173536073502E-2</c:v>
                </c:pt>
                <c:pt idx="21">
                  <c:v>-0.13635511552222562</c:v>
                </c:pt>
                <c:pt idx="22">
                  <c:v>-0.11424987036325199</c:v>
                </c:pt>
                <c:pt idx="23">
                  <c:v>-0.2069543455795945</c:v>
                </c:pt>
              </c:numCache>
            </c:numRef>
          </c:val>
          <c:extLst>
            <c:ext xmlns:c16="http://schemas.microsoft.com/office/drawing/2014/chart" uri="{C3380CC4-5D6E-409C-BE32-E72D297353CC}">
              <c16:uniqueId val="{00000007-7183-4E6F-83A3-6D0750B77546}"/>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1'!$AK$28:$AK$52</c:f>
              <c:numCache>
                <c:formatCode>#\ ##0.0</c:formatCode>
                <c:ptCount val="25"/>
                <c:pt idx="0">
                  <c:v>1.2568722152080483</c:v>
                </c:pt>
                <c:pt idx="1">
                  <c:v>1.755209813686605</c:v>
                </c:pt>
                <c:pt idx="2">
                  <c:v>1.3509162976145745</c:v>
                </c:pt>
                <c:pt idx="3">
                  <c:v>1.3487327908819964</c:v>
                </c:pt>
                <c:pt idx="4">
                  <c:v>1.5622074293090975</c:v>
                </c:pt>
                <c:pt idx="5">
                  <c:v>1.4490012923363622</c:v>
                </c:pt>
                <c:pt idx="6">
                  <c:v>1.510931795564602</c:v>
                </c:pt>
                <c:pt idx="7">
                  <c:v>1.8366162892787088</c:v>
                </c:pt>
                <c:pt idx="8">
                  <c:v>1.4663041775407066</c:v>
                </c:pt>
                <c:pt idx="9">
                  <c:v>1.4017976803033889</c:v>
                </c:pt>
                <c:pt idx="10">
                  <c:v>1.9311643076100466</c:v>
                </c:pt>
                <c:pt idx="11">
                  <c:v>1.3946025548949592</c:v>
                </c:pt>
                <c:pt idx="12">
                  <c:v>1.5064596043366407</c:v>
                </c:pt>
                <c:pt idx="13">
                  <c:v>1.7121142303965371</c:v>
                </c:pt>
                <c:pt idx="14">
                  <c:v>0.90434123657819043</c:v>
                </c:pt>
                <c:pt idx="15">
                  <c:v>1.2158357095989061</c:v>
                </c:pt>
                <c:pt idx="16">
                  <c:v>0.93019097240257054</c:v>
                </c:pt>
                <c:pt idx="17">
                  <c:v>0.2467846602560968</c:v>
                </c:pt>
                <c:pt idx="18">
                  <c:v>0.18346747246140183</c:v>
                </c:pt>
                <c:pt idx="19">
                  <c:v>-0.32623292633364542</c:v>
                </c:pt>
                <c:pt idx="20">
                  <c:v>-0.47784613427991474</c:v>
                </c:pt>
                <c:pt idx="21">
                  <c:v>-1.9795501142761793</c:v>
                </c:pt>
                <c:pt idx="22">
                  <c:v>-1.5600819798102066</c:v>
                </c:pt>
                <c:pt idx="23">
                  <c:v>-1.8799661102333403</c:v>
                </c:pt>
              </c:numCache>
            </c:numRef>
          </c:val>
          <c:smooth val="0"/>
          <c:extLst>
            <c:ext xmlns:c16="http://schemas.microsoft.com/office/drawing/2014/chart" uri="{C3380CC4-5D6E-409C-BE32-E72D297353CC}">
              <c16:uniqueId val="{00000008-7183-4E6F-83A3-6D0750B77546}"/>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1'!$AL$28:$AL$52</c:f>
              <c:numCache>
                <c:formatCode>General</c:formatCode>
                <c:ptCount val="25"/>
              </c:numCache>
            </c:numRef>
          </c:val>
          <c:smooth val="0"/>
          <c:extLst>
            <c:ext xmlns:c16="http://schemas.microsoft.com/office/drawing/2014/chart" uri="{C3380CC4-5D6E-409C-BE32-E72D297353CC}">
              <c16:uniqueId val="{00000009-7183-4E6F-83A3-6D0750B77546}"/>
            </c:ext>
          </c:extLst>
        </c:ser>
        <c:ser>
          <c:idx val="10"/>
          <c:order val="10"/>
          <c:tx>
            <c:strRef>
              <c:f>'Trh práce 1'!$AM$7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1'!$AM$28:$AM$52</c:f>
              <c:numCache>
                <c:formatCode>General</c:formatCode>
                <c:ptCount val="25"/>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formatCode="#\ ##0.0">
                  <c:v>-5.9</c:v>
                </c:pt>
                <c:pt idx="24" formatCode="#\ ##0.0">
                  <c:v>0.1</c:v>
                </c:pt>
              </c:numCache>
            </c:numRef>
          </c:val>
          <c:smooth val="0"/>
          <c:extLst>
            <c:ext xmlns:c16="http://schemas.microsoft.com/office/drawing/2014/chart" uri="{C3380CC4-5D6E-409C-BE32-E72D297353CC}">
              <c16:uniqueId val="{0000000A-7183-4E6F-83A3-6D0750B77546}"/>
            </c:ext>
          </c:extLst>
        </c:ser>
        <c:ser>
          <c:idx val="11"/>
          <c:order val="11"/>
          <c:tx>
            <c:strRef>
              <c:f>'Trh práce 1'!$AN$7</c:f>
              <c:strCache>
                <c:ptCount val="1"/>
                <c:pt idx="0">
                  <c:v>Očekávání zaměstnanosti (stavebnictví)</c:v>
                </c:pt>
              </c:strCache>
            </c:strRef>
          </c:tx>
          <c:spPr>
            <a:ln w="15875">
              <a:solidFill>
                <a:srgbClr val="00B0F0"/>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1'!$AN$28:$AN$52</c:f>
              <c:numCache>
                <c:formatCode>General</c:formatCode>
                <c:ptCount val="25"/>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formatCode="#\ ##0.0">
                  <c:v>-3.1</c:v>
                </c:pt>
                <c:pt idx="24" formatCode="#\ ##0.0">
                  <c:v>2.1</c:v>
                </c:pt>
              </c:numCache>
            </c:numRef>
          </c:val>
          <c:smooth val="0"/>
          <c:extLst>
            <c:ext xmlns:c16="http://schemas.microsoft.com/office/drawing/2014/chart" uri="{C3380CC4-5D6E-409C-BE32-E72D297353CC}">
              <c16:uniqueId val="{0000000B-7183-4E6F-83A3-6D0750B77546}"/>
            </c:ext>
          </c:extLst>
        </c:ser>
        <c:ser>
          <c:idx val="12"/>
          <c:order val="12"/>
          <c:tx>
            <c:strRef>
              <c:f>'Trh práce 1'!$AO$7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1'!$AO$28:$AO$52</c:f>
              <c:numCache>
                <c:formatCode>General</c:formatCode>
                <c:ptCount val="25"/>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formatCode="#\ ##0.0">
                  <c:v>1.3</c:v>
                </c:pt>
                <c:pt idx="24" formatCode="#\ ##0.0">
                  <c:v>4.2</c:v>
                </c:pt>
              </c:numCache>
            </c:numRef>
          </c:val>
          <c:smooth val="0"/>
          <c:extLst>
            <c:ext xmlns:c16="http://schemas.microsoft.com/office/drawing/2014/chart" uri="{C3380CC4-5D6E-409C-BE32-E72D297353CC}">
              <c16:uniqueId val="{0000000C-7183-4E6F-83A3-6D0750B77546}"/>
            </c:ext>
          </c:extLst>
        </c:ser>
        <c:ser>
          <c:idx val="13"/>
          <c:order val="13"/>
          <c:tx>
            <c:strRef>
              <c:f>'Trh práce 1'!$AP$7</c:f>
              <c:strCache>
                <c:ptCount val="1"/>
                <c:pt idx="0">
                  <c:v>Očekávání zaměstnanosti (vybr. služby)</c:v>
                </c:pt>
              </c:strCache>
            </c:strRef>
          </c:tx>
          <c:spPr>
            <a:ln w="15875">
              <a:solidFill>
                <a:srgbClr val="C00000"/>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1'!$AP$28:$AP$52</c:f>
              <c:numCache>
                <c:formatCode>General</c:formatCode>
                <c:ptCount val="25"/>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formatCode="#\ ##0.0">
                  <c:v>-27.3</c:v>
                </c:pt>
                <c:pt idx="24" formatCode="#\ ##0.0">
                  <c:v>-28</c:v>
                </c:pt>
              </c:numCache>
            </c:numRef>
          </c:val>
          <c:smooth val="0"/>
          <c:extLst>
            <c:ext xmlns:c16="http://schemas.microsoft.com/office/drawing/2014/chart" uri="{C3380CC4-5D6E-409C-BE32-E72D297353CC}">
              <c16:uniqueId val="{0000000D-7183-4E6F-83A3-6D0750B77546}"/>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Zaměstnanost, Příspěvky k </a:t>
                </a:r>
                <a:r>
                  <a:rPr lang="cs-CZ" sz="700" b="0" i="1" baseline="0"/>
                  <a:t>růstu zaměstnanosti</a:t>
                </a:r>
                <a:endParaRPr lang="cs-CZ" sz="700" b="0" i="1"/>
              </a:p>
            </c:rich>
          </c:tx>
          <c:layout>
            <c:manualLayout>
              <c:xMode val="edge"/>
              <c:yMode val="edge"/>
              <c:x val="0"/>
              <c:y val="0.15110810581510684"/>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a:t>
                </a:r>
                <a:r>
                  <a:rPr lang="cs-CZ" sz="700" b="0" i="1" baseline="0"/>
                  <a:t> vývoje zaměstnanosti</a:t>
                </a:r>
                <a:endParaRPr lang="cs-CZ" sz="700" b="0" i="1"/>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37351285059999"/>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393509070294773"/>
        </c:manualLayout>
      </c:layout>
      <c:barChart>
        <c:barDir val="col"/>
        <c:grouping val="clustered"/>
        <c:varyColors val="0"/>
        <c:ser>
          <c:idx val="0"/>
          <c:order val="0"/>
          <c:tx>
            <c:strRef>
              <c:f>'Trh práce-2b'!$A$29</c:f>
              <c:strCache>
                <c:ptCount val="1"/>
                <c:pt idx="0">
                  <c:v>Míra nezaměstnanosti mužů (levá osa)</c:v>
                </c:pt>
              </c:strCache>
            </c:strRef>
          </c:tx>
          <c:spPr>
            <a:solidFill>
              <a:srgbClr val="BCBCBC"/>
            </a:solidFill>
          </c:spPr>
          <c:invertIfNegative val="0"/>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práce-2b'!$B$29:$Z$29</c:f>
              <c:numCache>
                <c:formatCode>0.0</c:formatCode>
                <c:ptCount val="25"/>
                <c:pt idx="0">
                  <c:v>5.0286804860428278</c:v>
                </c:pt>
                <c:pt idx="1">
                  <c:v>4.316189756466537</c:v>
                </c:pt>
                <c:pt idx="2">
                  <c:v>4.0483559079327902</c:v>
                </c:pt>
                <c:pt idx="3">
                  <c:v>3.7938067129619806</c:v>
                </c:pt>
                <c:pt idx="4">
                  <c:v>3.6581491320606965</c:v>
                </c:pt>
                <c:pt idx="5">
                  <c:v>3.5653416289764519</c:v>
                </c:pt>
                <c:pt idx="6">
                  <c:v>3.3804885792890111</c:v>
                </c:pt>
                <c:pt idx="7">
                  <c:v>3.1582180433962712</c:v>
                </c:pt>
                <c:pt idx="8">
                  <c:v>2.7008048652386436</c:v>
                </c:pt>
                <c:pt idx="9">
                  <c:v>2.4863499145951189</c:v>
                </c:pt>
                <c:pt idx="10">
                  <c:v>2.2428273248500514</c:v>
                </c:pt>
                <c:pt idx="11">
                  <c:v>2.0854185882996998</c:v>
                </c:pt>
                <c:pt idx="12">
                  <c:v>1.9000315854162355</c:v>
                </c:pt>
                <c:pt idx="13">
                  <c:v>1.825963200573766</c:v>
                </c:pt>
                <c:pt idx="14">
                  <c:v>1.8816328699437612</c:v>
                </c:pt>
                <c:pt idx="15">
                  <c:v>1.6834916277315468</c:v>
                </c:pt>
                <c:pt idx="16">
                  <c:v>1.8084001962578264</c:v>
                </c:pt>
                <c:pt idx="17">
                  <c:v>1.6727707429959271</c:v>
                </c:pt>
                <c:pt idx="18">
                  <c:v>1.7588619454428518</c:v>
                </c:pt>
                <c:pt idx="19">
                  <c:v>1.8612935738959582</c:v>
                </c:pt>
                <c:pt idx="20">
                  <c:v>1.8486553661079945</c:v>
                </c:pt>
                <c:pt idx="21">
                  <c:v>2.2738946541465075</c:v>
                </c:pt>
                <c:pt idx="22">
                  <c:v>2.4978108144062401</c:v>
                </c:pt>
                <c:pt idx="23">
                  <c:v>2.5588415507262603</c:v>
                </c:pt>
              </c:numCache>
            </c:numRef>
          </c:val>
          <c:extLst>
            <c:ext xmlns:c16="http://schemas.microsoft.com/office/drawing/2014/chart" uri="{C3380CC4-5D6E-409C-BE32-E72D297353CC}">
              <c16:uniqueId val="{00000000-3438-4750-AEA7-0CD1161E5773}"/>
            </c:ext>
          </c:extLst>
        </c:ser>
        <c:ser>
          <c:idx val="1"/>
          <c:order val="1"/>
          <c:tx>
            <c:strRef>
              <c:f>'Trh práce-2b'!$A$30</c:f>
              <c:strCache>
                <c:ptCount val="1"/>
                <c:pt idx="0">
                  <c:v>Míra nezaměstnanosti žen (levá osa)</c:v>
                </c:pt>
              </c:strCache>
            </c:strRef>
          </c:tx>
          <c:spPr>
            <a:solidFill>
              <a:schemeClr val="bg1">
                <a:lumMod val="95000"/>
              </a:schemeClr>
            </a:solidFill>
            <a:ln>
              <a:solidFill>
                <a:schemeClr val="bg1">
                  <a:lumMod val="65000"/>
                </a:schemeClr>
              </a:solidFill>
            </a:ln>
          </c:spPr>
          <c:invertIfNegative val="0"/>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práce-2b'!$B$30:$Z$30</c:f>
              <c:numCache>
                <c:formatCode>0.0</c:formatCode>
                <c:ptCount val="25"/>
                <c:pt idx="0">
                  <c:v>6.9464142792555421</c:v>
                </c:pt>
                <c:pt idx="1">
                  <c:v>6.1780480257613553</c:v>
                </c:pt>
                <c:pt idx="2">
                  <c:v>5.9663172944605627</c:v>
                </c:pt>
                <c:pt idx="3">
                  <c:v>5.6518697540759959</c:v>
                </c:pt>
                <c:pt idx="4">
                  <c:v>5.0903150386124132</c:v>
                </c:pt>
                <c:pt idx="5">
                  <c:v>4.8068294324681693</c:v>
                </c:pt>
                <c:pt idx="6">
                  <c:v>4.7737722718859779</c:v>
                </c:pt>
                <c:pt idx="7">
                  <c:v>4.3467086506009425</c:v>
                </c:pt>
                <c:pt idx="8">
                  <c:v>4.2815491287587832</c:v>
                </c:pt>
                <c:pt idx="9">
                  <c:v>3.9220946704954631</c:v>
                </c:pt>
                <c:pt idx="10">
                  <c:v>3.3875401119422448</c:v>
                </c:pt>
                <c:pt idx="11">
                  <c:v>2.9892052270397369</c:v>
                </c:pt>
                <c:pt idx="12">
                  <c:v>2.9423657180632605</c:v>
                </c:pt>
                <c:pt idx="13">
                  <c:v>2.9361315203544063</c:v>
                </c:pt>
                <c:pt idx="14">
                  <c:v>2.8590055663589014</c:v>
                </c:pt>
                <c:pt idx="15">
                  <c:v>2.647035820666332</c:v>
                </c:pt>
                <c:pt idx="16">
                  <c:v>2.2517208267218964</c:v>
                </c:pt>
                <c:pt idx="17">
                  <c:v>2.5021629449511704</c:v>
                </c:pt>
                <c:pt idx="18">
                  <c:v>2.543841804974909</c:v>
                </c:pt>
                <c:pt idx="19">
                  <c:v>2.43984632107458</c:v>
                </c:pt>
                <c:pt idx="20">
                  <c:v>2.0721336765050933</c:v>
                </c:pt>
                <c:pt idx="21">
                  <c:v>2.8192930682979447</c:v>
                </c:pt>
                <c:pt idx="22">
                  <c:v>3.3444461950950886</c:v>
                </c:pt>
                <c:pt idx="23">
                  <c:v>3.8830773318477259</c:v>
                </c:pt>
              </c:numCache>
            </c:numRef>
          </c:val>
          <c:extLst>
            <c:ext xmlns:c16="http://schemas.microsoft.com/office/drawing/2014/chart" uri="{C3380CC4-5D6E-409C-BE32-E72D297353CC}">
              <c16:uniqueId val="{00000001-3438-4750-AEA7-0CD1161E5773}"/>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Podíl nezam. déle než 1 rok (pravá osa)</c:v>
                </c:pt>
              </c:strCache>
            </c:strRef>
          </c:tx>
          <c:spPr>
            <a:ln w="19050">
              <a:solidFill>
                <a:srgbClr val="66330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práce-2b'!$B$31:$Z$31</c:f>
              <c:numCache>
                <c:formatCode>0.0</c:formatCode>
                <c:ptCount val="25"/>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27.049952874646561</c:v>
                </c:pt>
                <c:pt idx="21">
                  <c:v>20.823436262866192</c:v>
                </c:pt>
                <c:pt idx="22">
                  <c:v>20.012995451591941</c:v>
                </c:pt>
                <c:pt idx="23">
                  <c:v>21.521335807050093</c:v>
                </c:pt>
              </c:numCache>
            </c:numRef>
          </c:val>
          <c:smooth val="0"/>
          <c:extLst>
            <c:ext xmlns:c16="http://schemas.microsoft.com/office/drawing/2014/chart" uri="{C3380CC4-5D6E-409C-BE32-E72D297353CC}">
              <c16:uniqueId val="{00000002-3438-4750-AEA7-0CD1161E5773}"/>
            </c:ext>
          </c:extLst>
        </c:ser>
        <c:ser>
          <c:idx val="3"/>
          <c:order val="3"/>
          <c:tx>
            <c:strRef>
              <c:f>'Trh práce-2b'!$A$32</c:f>
              <c:strCache>
                <c:ptCount val="1"/>
                <c:pt idx="0">
                  <c:v>Podíl osob do 25 let mezi nezam. (pr. osa)</c:v>
                </c:pt>
              </c:strCache>
            </c:strRef>
          </c:tx>
          <c:spPr>
            <a:ln w="19050">
              <a:solidFill>
                <a:srgbClr val="00B05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práce-2b'!$B$32:$Z$32</c:f>
              <c:numCache>
                <c:formatCode>0.0</c:formatCode>
                <c:ptCount val="25"/>
                <c:pt idx="0">
                  <c:v>15.50632911392405</c:v>
                </c:pt>
                <c:pt idx="1">
                  <c:v>15.648854961832063</c:v>
                </c:pt>
                <c:pt idx="2">
                  <c:v>17.509727626459142</c:v>
                </c:pt>
                <c:pt idx="3">
                  <c:v>16.455696202531644</c:v>
                </c:pt>
                <c:pt idx="4">
                  <c:v>13.852813852813853</c:v>
                </c:pt>
                <c:pt idx="5">
                  <c:v>15.238095238095239</c:v>
                </c:pt>
                <c:pt idx="6">
                  <c:v>18.30985915492958</c:v>
                </c:pt>
                <c:pt idx="7">
                  <c:v>18.75</c:v>
                </c:pt>
                <c:pt idx="8">
                  <c:v>14.673913043478262</c:v>
                </c:pt>
                <c:pt idx="9">
                  <c:v>16.352201257861633</c:v>
                </c:pt>
                <c:pt idx="10">
                  <c:v>18.666666666666668</c:v>
                </c:pt>
                <c:pt idx="11">
                  <c:v>14.728682170542637</c:v>
                </c:pt>
                <c:pt idx="12">
                  <c:v>14.615384615384617</c:v>
                </c:pt>
                <c:pt idx="13">
                  <c:v>16.949152542372879</c:v>
                </c:pt>
                <c:pt idx="14">
                  <c:v>18.110236220472441</c:v>
                </c:pt>
                <c:pt idx="15">
                  <c:v>16.216216216216218</c:v>
                </c:pt>
                <c:pt idx="16">
                  <c:v>14.545454545454545</c:v>
                </c:pt>
                <c:pt idx="17">
                  <c:v>15.686274509803921</c:v>
                </c:pt>
                <c:pt idx="18">
                  <c:v>15.65217391304348</c:v>
                </c:pt>
                <c:pt idx="19">
                  <c:v>13.761467889908257</c:v>
                </c:pt>
                <c:pt idx="20">
                  <c:v>13.20754716981132</c:v>
                </c:pt>
                <c:pt idx="21">
                  <c:v>14.285714285714285</c:v>
                </c:pt>
                <c:pt idx="22">
                  <c:v>16.883116883116884</c:v>
                </c:pt>
                <c:pt idx="23">
                  <c:v>15.873015873015875</c:v>
                </c:pt>
              </c:numCache>
            </c:numRef>
          </c:val>
          <c:smooth val="0"/>
          <c:extLst>
            <c:ext xmlns:c16="http://schemas.microsoft.com/office/drawing/2014/chart" uri="{C3380CC4-5D6E-409C-BE32-E72D297353CC}">
              <c16:uniqueId val="{00000003-3438-4750-AEA7-0CD1161E5773}"/>
            </c:ext>
          </c:extLst>
        </c:ser>
        <c:ser>
          <c:idx val="6"/>
          <c:order val="4"/>
          <c:tx>
            <c:strRef>
              <c:f>'Trh práce-2b'!$A$33</c:f>
              <c:strCache>
                <c:ptCount val="1"/>
                <c:pt idx="0">
                  <c:v>Podíl osob nad 50 let mezi nezam. (pr. osa)</c:v>
                </c:pt>
              </c:strCache>
            </c:strRef>
          </c:tx>
          <c:spPr>
            <a:ln w="19050">
              <a:solidFill>
                <a:srgbClr val="0070C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práce-2b'!$B$33:$Z$33</c:f>
              <c:numCache>
                <c:formatCode>0.0</c:formatCode>
                <c:ptCount val="25"/>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numCache>
            </c:numRef>
          </c:val>
          <c:smooth val="0"/>
          <c:extLst>
            <c:ext xmlns:c16="http://schemas.microsoft.com/office/drawing/2014/chart" uri="{C3380CC4-5D6E-409C-BE32-E72D297353CC}">
              <c16:uniqueId val="{00000004-3438-4750-AEA7-0CD1161E5773}"/>
            </c:ext>
          </c:extLst>
        </c:ser>
        <c:ser>
          <c:idx val="7"/>
          <c:order val="5"/>
          <c:tx>
            <c:strRef>
              <c:f>'Trh práce-2b'!$A$34</c:f>
              <c:strCache>
                <c:ptCount val="1"/>
                <c:pt idx="0">
                  <c:v>Ekon. neaktiv. chtějící pracovat (pr. osa)</c:v>
                </c:pt>
              </c:strCache>
            </c:strRef>
          </c:tx>
          <c:spPr>
            <a:ln w="19050">
              <a:solidFill>
                <a:schemeClr val="accent2">
                  <a:lumMod val="60000"/>
                  <a:lumOff val="40000"/>
                </a:schemeClr>
              </a:solidFill>
              <a:prstDash val="solid"/>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práce-2b'!$B$34:$Z$34</c:f>
              <c:numCache>
                <c:formatCode>General</c:formatCode>
                <c:ptCount val="25"/>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numCache>
            </c:numRef>
          </c:val>
          <c:smooth val="0"/>
          <c:extLst>
            <c:ext xmlns:c16="http://schemas.microsoft.com/office/drawing/2014/chart" uri="{C3380CC4-5D6E-409C-BE32-E72D297353CC}">
              <c16:uniqueId val="{00000005-3438-4750-AEA7-0CD1161E5773}"/>
            </c:ext>
          </c:extLst>
        </c:ser>
        <c:ser>
          <c:idx val="4"/>
          <c:order val="6"/>
          <c:tx>
            <c:strRef>
              <c:f>'Trh práce-2b'!$A$35</c:f>
              <c:strCache>
                <c:ptCount val="1"/>
                <c:pt idx="0">
                  <c:v>Očekávání vývoje nezam. (pravá osa)</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práce-2b'!$B$35:$Z$35</c:f>
              <c:numCache>
                <c:formatCode>#\ ##0.0</c:formatCode>
                <c:ptCount val="25"/>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numCache>
            </c:numRef>
          </c:val>
          <c:smooth val="0"/>
          <c:extLst>
            <c:ext xmlns:c16="http://schemas.microsoft.com/office/drawing/2014/chart" uri="{C3380CC4-5D6E-409C-BE32-E72D297353CC}">
              <c16:uniqueId val="{00000006-3438-4750-AEA7-0CD1161E5773}"/>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layout/>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u="none" strike="noStrike" baseline="0">
                    <a:effectLst/>
                  </a:rPr>
                  <a:t>Ekon. neaktivní, </a:t>
                </a:r>
                <a:r>
                  <a:rPr lang="cs-CZ" sz="700" b="0" i="1" baseline="0"/>
                  <a:t>vybr. skupiny nezam., očekávání nezaměstnanosti</a:t>
                </a:r>
                <a:endParaRPr lang="cs-CZ" sz="700" b="0" i="1"/>
              </a:p>
            </c:rich>
          </c:tx>
          <c:layout/>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6.9661976872503594E-3"/>
          <c:y val="0.85929280045351475"/>
          <c:w val="0.98428486364480727"/>
          <c:h val="0.13700935374149659"/>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3'!$D$29:$D$52</c:f>
              <c:numCache>
                <c:formatCode>#\ ##0.0</c:formatCode>
                <c:ptCount val="24"/>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3.9000000000000057</c:v>
                </c:pt>
                <c:pt idx="17">
                  <c:v>3.7000000000000028</c:v>
                </c:pt>
                <c:pt idx="18">
                  <c:v>3.4000000000000057</c:v>
                </c:pt>
                <c:pt idx="19">
                  <c:v>3.0999999999999943</c:v>
                </c:pt>
                <c:pt idx="20">
                  <c:v>1.5</c:v>
                </c:pt>
                <c:pt idx="21">
                  <c:v>-2.2999999999999972</c:v>
                </c:pt>
                <c:pt idx="22" formatCode="0.0">
                  <c:v>1.7999999999999972</c:v>
                </c:pt>
                <c:pt idx="23" formatCode="0.0">
                  <c:v>3.7999999999999972</c:v>
                </c:pt>
              </c:numCache>
            </c:numRef>
          </c:val>
          <c:extLst>
            <c:ext xmlns:c16="http://schemas.microsoft.com/office/drawing/2014/chart" uri="{C3380CC4-5D6E-409C-BE32-E72D297353CC}">
              <c16:uniqueId val="{00000000-561C-47FD-939A-301D20694E00}"/>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3'!$C$29:$C$52</c:f>
              <c:numCache>
                <c:formatCode>0.0</c:formatCode>
                <c:ptCount val="24"/>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6.7000000000000028</c:v>
                </c:pt>
                <c:pt idx="17">
                  <c:v>6.5999999999999943</c:v>
                </c:pt>
                <c:pt idx="18">
                  <c:v>6.2999999999999972</c:v>
                </c:pt>
                <c:pt idx="19">
                  <c:v>6.2000000000000028</c:v>
                </c:pt>
                <c:pt idx="20">
                  <c:v>5.2000000000000028</c:v>
                </c:pt>
                <c:pt idx="21">
                  <c:v>0.70000000000000284</c:v>
                </c:pt>
                <c:pt idx="22">
                  <c:v>5.2000000000000028</c:v>
                </c:pt>
                <c:pt idx="23">
                  <c:v>6.5</c:v>
                </c:pt>
              </c:numCache>
            </c:numRef>
          </c:val>
          <c:smooth val="0"/>
          <c:extLst>
            <c:ext xmlns:c16="http://schemas.microsoft.com/office/drawing/2014/chart" uri="{C3380CC4-5D6E-409C-BE32-E72D297353CC}">
              <c16:uniqueId val="{00000001-561C-47FD-939A-301D20694E00}"/>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3'!$E$29:$E$52</c:f>
              <c:numCache>
                <c:formatCode>0.0</c:formatCode>
                <c:ptCount val="24"/>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5.8906444633842483</c:v>
                </c:pt>
                <c:pt idx="17">
                  <c:v>5.883790554163852</c:v>
                </c:pt>
                <c:pt idx="18">
                  <c:v>5.5271271016749779</c:v>
                </c:pt>
                <c:pt idx="19">
                  <c:v>4.4163668801731433</c:v>
                </c:pt>
                <c:pt idx="20">
                  <c:v>4.4918428628919855</c:v>
                </c:pt>
                <c:pt idx="21">
                  <c:v>-3.8517022504327798</c:v>
                </c:pt>
                <c:pt idx="22">
                  <c:v>2.5781579422926342</c:v>
                </c:pt>
                <c:pt idx="23" formatCode="#\ ##0.0">
                  <c:v>3.6413545839052261</c:v>
                </c:pt>
              </c:numCache>
            </c:numRef>
          </c:val>
          <c:smooth val="0"/>
          <c:extLst>
            <c:ext xmlns:c16="http://schemas.microsoft.com/office/drawing/2014/chart" uri="{C3380CC4-5D6E-409C-BE32-E72D297353CC}">
              <c16:uniqueId val="{00000002-561C-47FD-939A-301D20694E00}"/>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3'!$F$29:$F$52</c:f>
              <c:numCache>
                <c:formatCode>0.0</c:formatCode>
                <c:ptCount val="24"/>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7.819417814188597</c:v>
                </c:pt>
                <c:pt idx="17">
                  <c:v>5.5341966815054491</c:v>
                </c:pt>
                <c:pt idx="18">
                  <c:v>6.4442351674963021</c:v>
                </c:pt>
                <c:pt idx="19">
                  <c:v>4.3541090726313172</c:v>
                </c:pt>
                <c:pt idx="20">
                  <c:v>4.2324107604759291</c:v>
                </c:pt>
                <c:pt idx="21">
                  <c:v>-0.76374908126418006</c:v>
                </c:pt>
                <c:pt idx="22">
                  <c:v>2.7711071789686486</c:v>
                </c:pt>
                <c:pt idx="23">
                  <c:v>0.50273947859594159</c:v>
                </c:pt>
              </c:numCache>
            </c:numRef>
          </c:val>
          <c:smooth val="0"/>
          <c:extLst>
            <c:ext xmlns:c16="http://schemas.microsoft.com/office/drawing/2014/chart" uri="{C3380CC4-5D6E-409C-BE32-E72D297353CC}">
              <c16:uniqueId val="{00000003-561C-47FD-939A-301D20694E00}"/>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3'!$G$29:$G$52</c:f>
              <c:numCache>
                <c:formatCode>0.0</c:formatCode>
                <c:ptCount val="24"/>
                <c:pt idx="0">
                  <c:v>3.2969862362055835</c:v>
                </c:pt>
                <c:pt idx="1">
                  <c:v>4.3911756253133944</c:v>
                </c:pt>
                <c:pt idx="2">
                  <c:v>3.8219222561767907</c:v>
                </c:pt>
                <c:pt idx="3">
                  <c:v>3.619515486346188</c:v>
                </c:pt>
                <c:pt idx="4">
                  <c:v>4.5289177350120013</c:v>
                </c:pt>
                <c:pt idx="5">
                  <c:v>3.6719023287164134</c:v>
                </c:pt>
                <c:pt idx="6">
                  <c:v>4.7653279531701003</c:v>
                </c:pt>
                <c:pt idx="7">
                  <c:v>6.0966410162312883</c:v>
                </c:pt>
                <c:pt idx="8">
                  <c:v>5.5247766356738168</c:v>
                </c:pt>
                <c:pt idx="9">
                  <c:v>7.3063245418352665</c:v>
                </c:pt>
                <c:pt idx="10">
                  <c:v>7.9641633982088251</c:v>
                </c:pt>
                <c:pt idx="11">
                  <c:v>10.355070231119569</c:v>
                </c:pt>
                <c:pt idx="12">
                  <c:v>12.053862599189841</c:v>
                </c:pt>
                <c:pt idx="13">
                  <c:v>11.764894122513709</c:v>
                </c:pt>
                <c:pt idx="14">
                  <c:v>11.368398747819299</c:v>
                </c:pt>
                <c:pt idx="15">
                  <c:v>6.0821398053785032</c:v>
                </c:pt>
                <c:pt idx="16">
                  <c:v>7.8518279760411787</c:v>
                </c:pt>
                <c:pt idx="17">
                  <c:v>8.194498985588865</c:v>
                </c:pt>
                <c:pt idx="18">
                  <c:v>7.1812776904979643</c:v>
                </c:pt>
                <c:pt idx="19">
                  <c:v>10.074376758144311</c:v>
                </c:pt>
                <c:pt idx="20">
                  <c:v>5.4989356032211703</c:v>
                </c:pt>
                <c:pt idx="21">
                  <c:v>5.3862795833745167</c:v>
                </c:pt>
                <c:pt idx="22">
                  <c:v>8.9263995666425018</c:v>
                </c:pt>
                <c:pt idx="23" formatCode="#\ ##0.0">
                  <c:v>14.527315278329837</c:v>
                </c:pt>
              </c:numCache>
            </c:numRef>
          </c:val>
          <c:smooth val="0"/>
          <c:extLst>
            <c:ext xmlns:c16="http://schemas.microsoft.com/office/drawing/2014/chart" uri="{C3380CC4-5D6E-409C-BE32-E72D297353CC}">
              <c16:uniqueId val="{00000004-561C-47FD-939A-301D20694E00}"/>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3'!$H$29:$H$52</c:f>
              <c:numCache>
                <c:formatCode>0.0</c:formatCode>
                <c:ptCount val="24"/>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7.0999999999999943</c:v>
                </c:pt>
                <c:pt idx="17">
                  <c:v>6.5999999999999943</c:v>
                </c:pt>
                <c:pt idx="18">
                  <c:v>7.2000000000000028</c:v>
                </c:pt>
                <c:pt idx="19">
                  <c:v>6.5</c:v>
                </c:pt>
                <c:pt idx="20">
                  <c:v>6</c:v>
                </c:pt>
                <c:pt idx="21">
                  <c:v>0</c:v>
                </c:pt>
                <c:pt idx="22">
                  <c:v>5.2000000000000028</c:v>
                </c:pt>
                <c:pt idx="23" formatCode="#\ ##0.0">
                  <c:v>5.4000000000000057</c:v>
                </c:pt>
              </c:numCache>
            </c:numRef>
          </c:val>
          <c:smooth val="0"/>
          <c:extLst>
            <c:ext xmlns:c16="http://schemas.microsoft.com/office/drawing/2014/chart" uri="{C3380CC4-5D6E-409C-BE32-E72D297353CC}">
              <c16:uniqueId val="{00000005-561C-47FD-939A-301D20694E00}"/>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6"/>
          <c:min val="-4"/>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4.4585535014236267E-2"/>
          <c:y val="0.87578174603174608"/>
          <c:w val="0.94198822026318074"/>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29C8-C554-4337-AEAF-FB2E754D5F06}">
  <ds:schemaRefs>
    <ds:schemaRef ds:uri="http://schemas.openxmlformats.org/officeDocument/2006/bibliography"/>
  </ds:schemaRefs>
</ds:datastoreItem>
</file>

<file path=customXml/itemProps2.xml><?xml version="1.0" encoding="utf-8"?>
<ds:datastoreItem xmlns:ds="http://schemas.openxmlformats.org/officeDocument/2006/customXml" ds:itemID="{33103953-30FA-4369-AB3A-56CB323B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3</TotalTime>
  <Pages>5</Pages>
  <Words>2287</Words>
  <Characters>13498</Characters>
  <Application>Microsoft Office Word</Application>
  <DocSecurity>0</DocSecurity>
  <Lines>112</Lines>
  <Paragraphs>31</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15754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2021-03-18T08:13:00Z</dcterms:created>
  <dcterms:modified xsi:type="dcterms:W3CDTF">2021-03-18T09:01:00Z</dcterms:modified>
</cp:coreProperties>
</file>