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AF3B" w14:textId="77777777" w:rsidR="00BC7EFA" w:rsidRPr="00DA3ADF" w:rsidRDefault="00BC7EFA" w:rsidP="00BC7EFA">
      <w:pPr>
        <w:spacing w:after="0" w:line="240" w:lineRule="auto"/>
        <w:jc w:val="left"/>
        <w:rPr>
          <w:rFonts w:eastAsia="MS Gothic"/>
          <w:bCs/>
          <w:color w:val="71818C"/>
          <w:sz w:val="2"/>
          <w:szCs w:val="2"/>
          <w:highlight w:val="yellow"/>
        </w:rPr>
      </w:pPr>
      <w:bookmarkStart w:id="0" w:name="_Toc58605374"/>
      <w:bookmarkStart w:id="1" w:name="_Toc66719930"/>
      <w:bookmarkStart w:id="2" w:name="_Toc532558287"/>
      <w:bookmarkStart w:id="3" w:name="_Toc58605375"/>
      <w:bookmarkStart w:id="4" w:name="_Toc82508186"/>
    </w:p>
    <w:p w14:paraId="2BB728DA" w14:textId="77777777" w:rsidR="00BC7EFA" w:rsidRDefault="00BC7EFA" w:rsidP="00BC7EFA">
      <w:pPr>
        <w:spacing w:after="0" w:line="240" w:lineRule="auto"/>
        <w:jc w:val="left"/>
        <w:rPr>
          <w:b/>
          <w:sz w:val="2"/>
          <w:szCs w:val="2"/>
          <w:highlight w:val="yellow"/>
        </w:rPr>
      </w:pPr>
    </w:p>
    <w:p w14:paraId="7C080676" w14:textId="77777777" w:rsidR="00C2272B" w:rsidRPr="00DA3ADF" w:rsidRDefault="00C2272B" w:rsidP="00C2272B">
      <w:pPr>
        <w:spacing w:after="0" w:line="240" w:lineRule="auto"/>
        <w:jc w:val="left"/>
        <w:rPr>
          <w:rFonts w:eastAsia="MS Gothic"/>
          <w:bCs/>
          <w:color w:val="71818C"/>
          <w:sz w:val="2"/>
          <w:szCs w:val="2"/>
          <w:highlight w:val="yellow"/>
        </w:rPr>
      </w:pPr>
      <w:bookmarkStart w:id="5" w:name="_Toc90395912"/>
      <w:bookmarkStart w:id="6" w:name="_Toc98245443"/>
      <w:bookmarkStart w:id="7" w:name="_Toc90395913"/>
      <w:bookmarkStart w:id="8" w:name="_Toc50712130"/>
      <w:bookmarkStart w:id="9" w:name="_Toc58605377"/>
      <w:bookmarkStart w:id="10" w:name="_Toc26865023"/>
      <w:bookmarkStart w:id="11" w:name="_Toc74246554"/>
      <w:bookmarkStart w:id="12" w:name="_Toc66719933"/>
      <w:bookmarkStart w:id="13" w:name="_Toc50712132"/>
      <w:bookmarkEnd w:id="0"/>
      <w:bookmarkEnd w:id="1"/>
      <w:bookmarkEnd w:id="2"/>
      <w:bookmarkEnd w:id="3"/>
      <w:bookmarkEnd w:id="4"/>
    </w:p>
    <w:p w14:paraId="5AECE5FC" w14:textId="77777777" w:rsidR="00C2272B" w:rsidRDefault="00C2272B" w:rsidP="00C2272B">
      <w:pPr>
        <w:spacing w:after="0" w:line="240" w:lineRule="auto"/>
        <w:jc w:val="left"/>
        <w:rPr>
          <w:b/>
          <w:sz w:val="2"/>
          <w:szCs w:val="2"/>
          <w:highlight w:val="yellow"/>
        </w:rPr>
      </w:pPr>
    </w:p>
    <w:p w14:paraId="4D3FDDF8" w14:textId="77777777" w:rsidR="00C2272B" w:rsidRDefault="00C2272B" w:rsidP="00C2272B">
      <w:pPr>
        <w:pStyle w:val="Nadpis11"/>
      </w:pPr>
      <w:bookmarkStart w:id="14" w:name="_Toc114134046"/>
      <w:r>
        <w:rPr>
          <w:szCs w:val="32"/>
        </w:rPr>
        <w:t>3</w:t>
      </w:r>
      <w:r>
        <w:t>. Výkonnost odvětví</w:t>
      </w:r>
      <w:bookmarkEnd w:id="14"/>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5"/>
        <w:gridCol w:w="227"/>
        <w:gridCol w:w="7607"/>
      </w:tblGrid>
      <w:tr w:rsidR="00C2272B" w:rsidRPr="009A525C" w14:paraId="06049F47" w14:textId="77777777" w:rsidTr="00DB13EF">
        <w:trPr>
          <w:trHeight w:val="145"/>
        </w:trPr>
        <w:tc>
          <w:tcPr>
            <w:tcW w:w="1805" w:type="dxa"/>
            <w:tcBorders>
              <w:top w:val="nil"/>
              <w:left w:val="nil"/>
              <w:bottom w:val="nil"/>
              <w:right w:val="nil"/>
            </w:tcBorders>
            <w:shd w:val="clear" w:color="auto" w:fill="auto"/>
            <w:tcMar>
              <w:left w:w="0" w:type="dxa"/>
            </w:tcMar>
          </w:tcPr>
          <w:p w14:paraId="263362BD" w14:textId="77777777" w:rsidR="00C2272B" w:rsidRPr="009B56B9" w:rsidRDefault="00C2272B" w:rsidP="00DB13EF">
            <w:pPr>
              <w:pStyle w:val="Marginlie"/>
              <w:rPr>
                <w:spacing w:val="-6"/>
              </w:rPr>
            </w:pPr>
            <w:r w:rsidRPr="009B56B9">
              <w:rPr>
                <w:color w:val="0D0D0D" w:themeColor="text1" w:themeTint="F2"/>
                <w:spacing w:val="-6"/>
              </w:rPr>
              <w:t>I přes významné růstové bariéry, sílící nákladové tlaky i nejistoty spojené s budoucí dostupností plynu se průmyslová produkce dále mezikvartálně zvyšovala.</w:t>
            </w:r>
          </w:p>
        </w:tc>
        <w:tc>
          <w:tcPr>
            <w:tcW w:w="227" w:type="dxa"/>
            <w:tcBorders>
              <w:top w:val="nil"/>
              <w:left w:val="nil"/>
              <w:bottom w:val="nil"/>
              <w:right w:val="nil"/>
            </w:tcBorders>
            <w:shd w:val="clear" w:color="auto" w:fill="auto"/>
            <w:tcMar>
              <w:left w:w="0" w:type="dxa"/>
            </w:tcMar>
          </w:tcPr>
          <w:p w14:paraId="1C5FB8DD" w14:textId="77777777" w:rsidR="00C2272B" w:rsidRPr="009B56B9" w:rsidRDefault="00C2272B" w:rsidP="00DB13EF">
            <w:pPr>
              <w:pStyle w:val="Textpoznpodarou"/>
              <w:jc w:val="both"/>
              <w:rPr>
                <w:spacing w:val="-6"/>
              </w:rPr>
            </w:pPr>
          </w:p>
        </w:tc>
        <w:tc>
          <w:tcPr>
            <w:tcW w:w="7607" w:type="dxa"/>
            <w:tcBorders>
              <w:top w:val="nil"/>
              <w:left w:val="nil"/>
              <w:bottom w:val="nil"/>
              <w:right w:val="nil"/>
            </w:tcBorders>
            <w:shd w:val="clear" w:color="auto" w:fill="auto"/>
            <w:tcMar>
              <w:left w:w="0" w:type="dxa"/>
            </w:tcMar>
          </w:tcPr>
          <w:p w14:paraId="1F43C5B6" w14:textId="77777777" w:rsidR="00C2272B" w:rsidRPr="009B56B9" w:rsidRDefault="00C2272B" w:rsidP="005866CA">
            <w:pPr>
              <w:spacing w:after="200"/>
              <w:rPr>
                <w:spacing w:val="-6"/>
              </w:rPr>
            </w:pPr>
            <w:r w:rsidRPr="009B56B9">
              <w:rPr>
                <w:spacing w:val="-6"/>
              </w:rPr>
              <w:t xml:space="preserve">Údaje </w:t>
            </w:r>
            <w:r w:rsidRPr="009B56B9">
              <w:rPr>
                <w:color w:val="0D0D0D" w:themeColor="text1" w:themeTint="F2"/>
                <w:spacing w:val="-6"/>
              </w:rPr>
              <w:t>z podnikových statistik potvrzují, že trend mírného zotavování tuzemského průmyslu pokračoval i během letošního 1. pololetí. Jeho produkce</w:t>
            </w:r>
            <w:r w:rsidRPr="009B56B9">
              <w:rPr>
                <w:rStyle w:val="Znakapoznpodarou"/>
                <w:color w:val="0D0D0D" w:themeColor="text1" w:themeTint="F2"/>
                <w:spacing w:val="-6"/>
              </w:rPr>
              <w:footnoteReference w:id="1"/>
            </w:r>
            <w:r w:rsidRPr="009B56B9">
              <w:rPr>
                <w:color w:val="0D0D0D" w:themeColor="text1" w:themeTint="F2"/>
                <w:spacing w:val="-6"/>
              </w:rPr>
              <w:t xml:space="preserve"> se v 1. čtvrtletí mezikvartálně zvýšila o 1,2 %, ve 2. čtvrtletí o 0,8 %. Přestože se nejedná o závratná tempa, jde o příznivější výsledky, než byly patrné po celý loňský rok. Z velké části se o to zasloužil automobilový průmysl, v němž letos na jaře mírně polevily obtíže s dodávkami některých výrobních komponent. Jestliže se v 1. čtvrtletí dařilo i většině dalších významnějších zpracovatelských oborů, v následujícím období se v nich růst produkce zpravidla zastavil. Průmysl již více než dva roky limitovaly i další významné růstové bariéry, některé z nich přitom letos zesilovaly. Zažehnutí rusko-ukrajinského válečného konfliktu výrazně přispělo i k eskalaci cenového růstu energií i dalších materiálových vstupů, což se již mohlo negativně podepsat na výkonu některých energeticky náročnějších odvětví. Produkce v celém průmyslu se tak letos ve 2. čtvrtletí stále nacházela pod svým předpandemickým vrcholem</w:t>
            </w:r>
            <w:r w:rsidRPr="009B56B9">
              <w:rPr>
                <w:rStyle w:val="Znakapoznpodarou"/>
                <w:color w:val="0D0D0D" w:themeColor="text1" w:themeTint="F2"/>
                <w:spacing w:val="-6"/>
              </w:rPr>
              <w:footnoteReference w:id="2"/>
            </w:r>
            <w:r w:rsidRPr="009B56B9">
              <w:rPr>
                <w:color w:val="0D0D0D" w:themeColor="text1" w:themeTint="F2"/>
                <w:spacing w:val="-6"/>
              </w:rPr>
              <w:t>.</w:t>
            </w:r>
          </w:p>
        </w:tc>
      </w:tr>
      <w:tr w:rsidR="00C2272B" w:rsidRPr="00BC0151" w14:paraId="6237AE81" w14:textId="77777777" w:rsidTr="00DB13EF">
        <w:trPr>
          <w:trHeight w:val="145"/>
        </w:trPr>
        <w:tc>
          <w:tcPr>
            <w:tcW w:w="1805" w:type="dxa"/>
            <w:tcBorders>
              <w:top w:val="nil"/>
              <w:left w:val="nil"/>
              <w:bottom w:val="nil"/>
              <w:right w:val="nil"/>
            </w:tcBorders>
            <w:shd w:val="clear" w:color="auto" w:fill="auto"/>
            <w:tcMar>
              <w:left w:w="0" w:type="dxa"/>
            </w:tcMar>
          </w:tcPr>
          <w:p w14:paraId="7A5F1732" w14:textId="77777777" w:rsidR="00C2272B" w:rsidRPr="009B56B9" w:rsidRDefault="00C2272B" w:rsidP="00DB13EF">
            <w:pPr>
              <w:pStyle w:val="Marginlie"/>
              <w:rPr>
                <w:spacing w:val="-6"/>
              </w:rPr>
            </w:pPr>
            <w:r w:rsidRPr="009B56B9">
              <w:rPr>
                <w:spacing w:val="-6"/>
              </w:rPr>
              <w:t xml:space="preserve">Průmyslová produkce </w:t>
            </w:r>
            <w:r w:rsidRPr="009B56B9">
              <w:rPr>
                <w:spacing w:val="-6"/>
              </w:rPr>
              <w:br/>
              <w:t>v 1. pololetí stagnovala. Prorůstově působila výroba elektrických zařízení a také některé menší obory, jež loni trpěly v důsledku nuceně uzavřených provozoven.</w:t>
            </w:r>
          </w:p>
        </w:tc>
        <w:tc>
          <w:tcPr>
            <w:tcW w:w="227" w:type="dxa"/>
            <w:tcBorders>
              <w:top w:val="nil"/>
              <w:left w:val="nil"/>
              <w:bottom w:val="nil"/>
              <w:right w:val="nil"/>
            </w:tcBorders>
            <w:shd w:val="clear" w:color="auto" w:fill="auto"/>
            <w:tcMar>
              <w:left w:w="0" w:type="dxa"/>
            </w:tcMar>
          </w:tcPr>
          <w:p w14:paraId="2D09C00B" w14:textId="77777777" w:rsidR="00C2272B" w:rsidRPr="009B56B9" w:rsidRDefault="00C2272B" w:rsidP="00DB13EF">
            <w:pPr>
              <w:pStyle w:val="Textpoznpodarou"/>
              <w:jc w:val="both"/>
              <w:rPr>
                <w:spacing w:val="-6"/>
              </w:rPr>
            </w:pPr>
          </w:p>
        </w:tc>
        <w:tc>
          <w:tcPr>
            <w:tcW w:w="7607" w:type="dxa"/>
            <w:tcBorders>
              <w:top w:val="nil"/>
              <w:left w:val="nil"/>
              <w:bottom w:val="nil"/>
              <w:right w:val="nil"/>
            </w:tcBorders>
            <w:shd w:val="clear" w:color="auto" w:fill="auto"/>
            <w:tcMar>
              <w:left w:w="0" w:type="dxa"/>
            </w:tcMar>
          </w:tcPr>
          <w:p w14:paraId="6A19289B" w14:textId="7DD209CE" w:rsidR="00C2272B" w:rsidRPr="009B56B9" w:rsidRDefault="00C2272B" w:rsidP="005866CA">
            <w:pPr>
              <w:spacing w:after="200"/>
              <w:rPr>
                <w:spacing w:val="-6"/>
              </w:rPr>
            </w:pPr>
            <w:r w:rsidRPr="009B56B9">
              <w:rPr>
                <w:spacing w:val="-6"/>
              </w:rPr>
              <w:t xml:space="preserve">V </w:t>
            </w:r>
            <w:r w:rsidRPr="009B56B9">
              <w:rPr>
                <w:color w:val="0D0D0D" w:themeColor="text1" w:themeTint="F2"/>
                <w:spacing w:val="-6"/>
              </w:rPr>
              <w:t>meziročním srovnání letošní průmyslová produkce v 1. i 2. čtvrtletí fakticky pouze stagnovala. Na počátku loňského roku se však ještě v tuzemském průmyslu příliš neprojevovalo narušení globálních dodavatelských řetězců, a proto tehdy zejména výrobci automobilů poměrně rychle smazávali své ztráty z předchozího „covidového“ roku. V úhrnu za celé 1. pololetí 2022 vzrostl nejvíce výkon odvětví, která byla hluboce zasažena poklesem poptávky v souvislosti s nuceným uzavřením provozoven v kritických obdobích pandemie. Výrobci nápojů tak letos zaznamenali 12% růst produkce, ještě větší oživení hlásily další menší obory – oděvní (+13 %) a kožedělný průmysl (+23 %). Díky stále silné poptávce v tuzemsku i zahraničí se dařilo farmaceutickému průmyslu (+11 %), který spolu s papírenským průmyslem patřil k jediným průmyslovým odvětvím, jejichž růst produkce nebyl po celé pandemické období přerušen. Ve směru růstu celého průmyslu působila v 1. pololetí nejvíce váhově významná výroba elektrických zařízení (+0,3  p. b.), navzdory svému relativně skromnému meziročnímu navýšení (3,7 %). Podobným tempem posílily i některé další významnější obory – chemický průmysl či výroba stavebních materiálů (u nichž se pozitivně projevovala i solidní tuzemská poptávka). Ve strojírenství, které vloni profitovalo z oživené investiční aktivity v tuzemské ekonomice i v eurozóně, l</w:t>
            </w:r>
            <w:r w:rsidR="00DB13EF">
              <w:rPr>
                <w:color w:val="0D0D0D" w:themeColor="text1" w:themeTint="F2"/>
                <w:spacing w:val="-6"/>
              </w:rPr>
              <w:t>etos produkce vzrostla jen o 2,8</w:t>
            </w:r>
            <w:r w:rsidRPr="009B56B9">
              <w:rPr>
                <w:color w:val="0D0D0D" w:themeColor="text1" w:themeTint="F2"/>
                <w:spacing w:val="-6"/>
              </w:rPr>
              <w:t xml:space="preserve"> %. V energeticky náročných odvětvích hutnického a kovodělného průmyslu se výkon dokonce snížil (shodně okolo 3 %).</w:t>
            </w:r>
          </w:p>
        </w:tc>
      </w:tr>
      <w:tr w:rsidR="00C2272B" w:rsidRPr="0023321C" w14:paraId="4178D3B5" w14:textId="77777777" w:rsidTr="00DB13EF">
        <w:trPr>
          <w:trHeight w:val="145"/>
        </w:trPr>
        <w:tc>
          <w:tcPr>
            <w:tcW w:w="1805" w:type="dxa"/>
            <w:tcBorders>
              <w:top w:val="nil"/>
              <w:left w:val="nil"/>
              <w:bottom w:val="nil"/>
              <w:right w:val="nil"/>
            </w:tcBorders>
            <w:shd w:val="clear" w:color="auto" w:fill="auto"/>
            <w:tcMar>
              <w:left w:w="0" w:type="dxa"/>
            </w:tcMar>
          </w:tcPr>
          <w:p w14:paraId="0D2E6FCC" w14:textId="77777777" w:rsidR="00C2272B" w:rsidRPr="009B56B9" w:rsidRDefault="00C2272B" w:rsidP="00DB13EF">
            <w:pPr>
              <w:pStyle w:val="Marginlie"/>
              <w:rPr>
                <w:color w:val="0D0D0D" w:themeColor="text1" w:themeTint="F2"/>
                <w:spacing w:val="-6"/>
              </w:rPr>
            </w:pPr>
            <w:r w:rsidRPr="009B56B9">
              <w:rPr>
                <w:color w:val="0D0D0D" w:themeColor="text1" w:themeTint="F2"/>
                <w:spacing w:val="-6"/>
              </w:rPr>
              <w:t>Růst průmyslu nejvíce brzdila výroba motorových vozidel, ve 2. čtvrtletí se zde ale situace zlepšila a počet vyrobených vozů se přibližoval úrovni před pandemií.</w:t>
            </w:r>
          </w:p>
          <w:p w14:paraId="49838BEC" w14:textId="77777777" w:rsidR="00C2272B" w:rsidRPr="009B56B9" w:rsidRDefault="00C2272B" w:rsidP="00DB13EF">
            <w:pPr>
              <w:pStyle w:val="Marginlie"/>
              <w:rPr>
                <w:color w:val="0D0D0D" w:themeColor="text1" w:themeTint="F2"/>
                <w:spacing w:val="-6"/>
              </w:rPr>
            </w:pPr>
          </w:p>
          <w:p w14:paraId="569BBA05" w14:textId="77777777" w:rsidR="00C2272B" w:rsidRPr="009B56B9" w:rsidRDefault="00C2272B" w:rsidP="00DB13EF">
            <w:pPr>
              <w:pStyle w:val="Marginlie"/>
              <w:rPr>
                <w:color w:val="0D0D0D" w:themeColor="text1" w:themeTint="F2"/>
                <w:spacing w:val="-6"/>
              </w:rPr>
            </w:pPr>
          </w:p>
          <w:p w14:paraId="2F3C3120" w14:textId="77777777" w:rsidR="00C2272B" w:rsidRPr="009B56B9" w:rsidRDefault="00C2272B" w:rsidP="00DB13EF">
            <w:pPr>
              <w:pStyle w:val="Marginlie"/>
              <w:rPr>
                <w:color w:val="0D0D0D" w:themeColor="text1" w:themeTint="F2"/>
                <w:spacing w:val="-6"/>
              </w:rPr>
            </w:pPr>
          </w:p>
          <w:p w14:paraId="33357443" w14:textId="77777777" w:rsidR="00C2272B" w:rsidRPr="009B56B9" w:rsidRDefault="00C2272B" w:rsidP="00DB13EF">
            <w:pPr>
              <w:pStyle w:val="Marginlie"/>
              <w:rPr>
                <w:color w:val="0D0D0D" w:themeColor="text1" w:themeTint="F2"/>
                <w:spacing w:val="-6"/>
              </w:rPr>
            </w:pPr>
            <w:r w:rsidRPr="009B56B9">
              <w:rPr>
                <w:color w:val="0D0D0D" w:themeColor="text1" w:themeTint="F2"/>
                <w:spacing w:val="-6"/>
              </w:rPr>
              <w:lastRenderedPageBreak/>
              <w:t>Produkci energetiky snižovala slabší poptávka po plynu i teplu vlivem počasí i úspor v domácnostech a podnicích.</w:t>
            </w:r>
          </w:p>
          <w:p w14:paraId="24BA0DCD" w14:textId="77777777" w:rsidR="00C2272B" w:rsidRPr="009B56B9" w:rsidRDefault="00C2272B" w:rsidP="00DB13EF">
            <w:pPr>
              <w:pStyle w:val="Marginlie"/>
              <w:rPr>
                <w:spacing w:val="-6"/>
              </w:rPr>
            </w:pPr>
          </w:p>
        </w:tc>
        <w:tc>
          <w:tcPr>
            <w:tcW w:w="227" w:type="dxa"/>
            <w:tcBorders>
              <w:top w:val="nil"/>
              <w:left w:val="nil"/>
              <w:bottom w:val="nil"/>
              <w:right w:val="nil"/>
            </w:tcBorders>
            <w:shd w:val="clear" w:color="auto" w:fill="auto"/>
            <w:tcMar>
              <w:left w:w="0" w:type="dxa"/>
            </w:tcMar>
          </w:tcPr>
          <w:p w14:paraId="10B034B0" w14:textId="77777777" w:rsidR="00C2272B" w:rsidRPr="009B56B9" w:rsidRDefault="00C2272B" w:rsidP="00DB13EF">
            <w:pPr>
              <w:pStyle w:val="Textpoznpodarou"/>
              <w:jc w:val="both"/>
              <w:rPr>
                <w:spacing w:val="-6"/>
              </w:rPr>
            </w:pPr>
          </w:p>
        </w:tc>
        <w:tc>
          <w:tcPr>
            <w:tcW w:w="7607" w:type="dxa"/>
            <w:tcBorders>
              <w:top w:val="nil"/>
              <w:left w:val="nil"/>
              <w:bottom w:val="nil"/>
              <w:right w:val="nil"/>
            </w:tcBorders>
            <w:shd w:val="clear" w:color="auto" w:fill="auto"/>
            <w:tcMar>
              <w:left w:w="0" w:type="dxa"/>
            </w:tcMar>
          </w:tcPr>
          <w:p w14:paraId="52E1F4CA" w14:textId="2CBBACDC" w:rsidR="00C2272B" w:rsidRPr="009B56B9" w:rsidRDefault="00C2272B" w:rsidP="005866CA">
            <w:pPr>
              <w:spacing w:after="200"/>
              <w:rPr>
                <w:spacing w:val="-6"/>
              </w:rPr>
            </w:pPr>
            <w:r w:rsidRPr="009B56B9">
              <w:rPr>
                <w:color w:val="0D0D0D" w:themeColor="text1" w:themeTint="F2"/>
                <w:spacing w:val="-6"/>
              </w:rPr>
              <w:t xml:space="preserve">Produkce v klíčovém odvětví výroby motorových vozidel se za letošní </w:t>
            </w:r>
            <w:r w:rsidR="00DB13EF">
              <w:rPr>
                <w:color w:val="0D0D0D" w:themeColor="text1" w:themeTint="F2"/>
                <w:spacing w:val="-6"/>
              </w:rPr>
              <w:t>pololetí meziročně snížila o 4,3</w:t>
            </w:r>
            <w:r w:rsidRPr="009B56B9">
              <w:rPr>
                <w:color w:val="0D0D0D" w:themeColor="text1" w:themeTint="F2"/>
                <w:spacing w:val="-6"/>
              </w:rPr>
              <w:t> % a proti růstu výkonu celého průmyslu působila −0,8 p. b. (nejvíce ze všech odvětví). Automobilový průmysl se na počátku roku potýkal s vážnými dodavatelskými problémy, dále prohloubenými zmrazením výroby některých zdrojových komponent v Číně i na Ukrajině. Situace v zásobování čipy i kabelovými svazky se ale postupně zlepšovala a ve 2. čtvrtletí tak produkce v tomto odvětví již mírně rostla, a to o 2,5 %</w:t>
            </w:r>
            <w:r w:rsidRPr="009B56B9">
              <w:rPr>
                <w:rStyle w:val="Znakapoznpodarou"/>
                <w:color w:val="0D0D0D" w:themeColor="text1" w:themeTint="F2"/>
                <w:spacing w:val="-6"/>
              </w:rPr>
              <w:footnoteReference w:id="3"/>
            </w:r>
            <w:r w:rsidRPr="009B56B9">
              <w:rPr>
                <w:color w:val="0D0D0D" w:themeColor="text1" w:themeTint="F2"/>
                <w:spacing w:val="-6"/>
              </w:rPr>
              <w:t>. Využití výrobních kapacit se zde ovšem již čtvrtý kvartál v řadě pohybovalo znatelně pod dlouhodobým průměrem</w:t>
            </w:r>
            <w:r w:rsidRPr="009B56B9">
              <w:rPr>
                <w:rStyle w:val="Znakapoznpodarou"/>
                <w:color w:val="0D0D0D" w:themeColor="text1" w:themeTint="F2"/>
                <w:spacing w:val="-6"/>
              </w:rPr>
              <w:footnoteReference w:id="4"/>
            </w:r>
            <w:r w:rsidRPr="009B56B9">
              <w:rPr>
                <w:color w:val="0D0D0D" w:themeColor="text1" w:themeTint="F2"/>
                <w:spacing w:val="-6"/>
              </w:rPr>
              <w:t>. Nedostatek materiálu a zařízení deklarovalo letos v červenci 86 % podniků v odvětví výroby motorových vozidel (v celém průmyslu pak rekordních 53 %)</w:t>
            </w:r>
            <w:r w:rsidRPr="009B56B9">
              <w:rPr>
                <w:rStyle w:val="Znakapoznpodarou"/>
                <w:color w:val="0D0D0D" w:themeColor="text1" w:themeTint="F2"/>
                <w:spacing w:val="-6"/>
              </w:rPr>
              <w:footnoteReference w:id="5"/>
            </w:r>
            <w:r w:rsidRPr="009B56B9">
              <w:rPr>
                <w:color w:val="0D0D0D" w:themeColor="text1" w:themeTint="F2"/>
                <w:spacing w:val="-6"/>
              </w:rPr>
              <w:t xml:space="preserve">. Potíže </w:t>
            </w:r>
            <w:r w:rsidRPr="009B56B9">
              <w:rPr>
                <w:color w:val="0D0D0D" w:themeColor="text1" w:themeTint="F2"/>
                <w:spacing w:val="-6"/>
              </w:rPr>
              <w:lastRenderedPageBreak/>
              <w:t>automobilového průmyslu se promítly i do návazné výroby pryžových a plastových výrobků, v níž v 1. pololetí produkce meziročně poklesla o rovná 3 %. Mimo zpracovatelská odvětví se snížila p</w:t>
            </w:r>
            <w:r w:rsidR="002E4DCE">
              <w:rPr>
                <w:color w:val="0D0D0D" w:themeColor="text1" w:themeTint="F2"/>
                <w:spacing w:val="-6"/>
              </w:rPr>
              <w:t>rodukce energetiky (o 1,0</w:t>
            </w:r>
            <w:r w:rsidRPr="009B56B9">
              <w:rPr>
                <w:color w:val="0D0D0D" w:themeColor="text1" w:themeTint="F2"/>
                <w:spacing w:val="-6"/>
              </w:rPr>
              <w:t> %), a to přesto, že vloni od ledna do dubna bylo významné omezení chodu řady provozoven maloobchodu a služeb spojeno s nižší spotřebou elektřiny. Nižší letošní výkon se odrážel v poklesu spotřeby plynu i vyrobeného tepla (vlivem nadprůměrných teplot v zimních měsících i úspor v domácnostech a podnicích)</w:t>
            </w:r>
            <w:r w:rsidRPr="009B56B9">
              <w:rPr>
                <w:rStyle w:val="Znakapoznpodarou"/>
                <w:color w:val="0D0D0D" w:themeColor="text1" w:themeTint="F2"/>
                <w:spacing w:val="-6"/>
              </w:rPr>
              <w:footnoteReference w:id="6"/>
            </w:r>
            <w:r w:rsidRPr="009B56B9">
              <w:rPr>
                <w:color w:val="0D0D0D" w:themeColor="text1" w:themeTint="F2"/>
                <w:spacing w:val="-6"/>
              </w:rPr>
              <w:t>. Množství vyrobené elektřiny naopak mírně vzrostlo</w:t>
            </w:r>
            <w:r w:rsidRPr="009B56B9">
              <w:rPr>
                <w:rStyle w:val="Znakapoznpodarou"/>
                <w:color w:val="0D0D0D" w:themeColor="text1" w:themeTint="F2"/>
                <w:spacing w:val="-6"/>
              </w:rPr>
              <w:footnoteReference w:id="7"/>
            </w:r>
            <w:r w:rsidRPr="009B56B9">
              <w:rPr>
                <w:color w:val="0D0D0D" w:themeColor="text1" w:themeTint="F2"/>
                <w:spacing w:val="-6"/>
              </w:rPr>
              <w:t>. Produkce v dlouhodobě útlumovém odvětví těžby a dobývání se zvýšila o 5,5 % (a navázala na růst z 2. pololetí 2021). Oživení souvisí se zvýšenou poptávkou po stavebních materiálech a nověji i po uhlí.</w:t>
            </w:r>
          </w:p>
        </w:tc>
      </w:tr>
      <w:tr w:rsidR="00C2272B" w:rsidRPr="00A92514" w14:paraId="3850B46A" w14:textId="77777777" w:rsidTr="00DB13EF">
        <w:trPr>
          <w:trHeight w:val="145"/>
        </w:trPr>
        <w:tc>
          <w:tcPr>
            <w:tcW w:w="1805" w:type="dxa"/>
            <w:tcBorders>
              <w:top w:val="nil"/>
              <w:left w:val="nil"/>
              <w:bottom w:val="nil"/>
              <w:right w:val="nil"/>
            </w:tcBorders>
            <w:shd w:val="clear" w:color="auto" w:fill="auto"/>
            <w:tcMar>
              <w:left w:w="0" w:type="dxa"/>
            </w:tcMar>
          </w:tcPr>
          <w:p w14:paraId="535E96ED" w14:textId="77777777" w:rsidR="00C2272B" w:rsidRPr="00E81AAA" w:rsidRDefault="00C2272B" w:rsidP="00DB13EF">
            <w:pPr>
              <w:pStyle w:val="Marginlie"/>
              <w:rPr>
                <w:spacing w:val="-4"/>
              </w:rPr>
            </w:pPr>
          </w:p>
        </w:tc>
        <w:tc>
          <w:tcPr>
            <w:tcW w:w="227" w:type="dxa"/>
            <w:tcBorders>
              <w:top w:val="nil"/>
              <w:left w:val="nil"/>
              <w:bottom w:val="nil"/>
              <w:right w:val="nil"/>
            </w:tcBorders>
            <w:shd w:val="clear" w:color="auto" w:fill="auto"/>
            <w:tcMar>
              <w:left w:w="0" w:type="dxa"/>
            </w:tcMar>
          </w:tcPr>
          <w:p w14:paraId="6ED0E992"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F9D8052" w14:textId="77777777" w:rsidR="00C2272B" w:rsidRPr="00E81AAA" w:rsidRDefault="00C2272B" w:rsidP="00DB13EF">
            <w:pPr>
              <w:spacing w:after="0"/>
              <w:rPr>
                <w:spacing w:val="-5"/>
              </w:rPr>
            </w:pPr>
            <w:r w:rsidRPr="008E64D7">
              <w:rPr>
                <w:rFonts w:cs="Arial"/>
                <w:b/>
                <w:bCs/>
                <w:color w:val="000000"/>
                <w:szCs w:val="20"/>
              </w:rPr>
              <w:t xml:space="preserve">Graf č. 4 </w:t>
            </w:r>
            <w:r w:rsidRPr="008E64D7">
              <w:rPr>
                <w:b/>
              </w:rPr>
              <w:t>Příspěvky dílčích odvětví k meziroční změně průmyslové produkce</w:t>
            </w:r>
            <w:r w:rsidRPr="008E64D7">
              <w:rPr>
                <w:b/>
              </w:rPr>
              <w:br/>
            </w:r>
            <w:r w:rsidRPr="008E64D7">
              <w:t xml:space="preserve">(očištěno o kalendářní vlivy, reálně, v p. b.) </w:t>
            </w:r>
            <w:r w:rsidRPr="008E64D7">
              <w:rPr>
                <w:b/>
              </w:rPr>
              <w:t xml:space="preserve">a tržby* i produkce v celém průmyslu </w:t>
            </w:r>
            <w:r w:rsidRPr="008E64D7">
              <w:t>(sezónně očištěno, úroveň roku 2015=100, pravá osa)</w:t>
            </w:r>
          </w:p>
        </w:tc>
      </w:tr>
      <w:tr w:rsidR="00C2272B" w:rsidRPr="0067514E" w14:paraId="355C1ECC" w14:textId="77777777" w:rsidTr="00DB13EF">
        <w:trPr>
          <w:trHeight w:val="145"/>
        </w:trPr>
        <w:tc>
          <w:tcPr>
            <w:tcW w:w="1805" w:type="dxa"/>
            <w:tcBorders>
              <w:top w:val="nil"/>
              <w:left w:val="nil"/>
              <w:bottom w:val="nil"/>
              <w:right w:val="nil"/>
            </w:tcBorders>
            <w:shd w:val="clear" w:color="auto" w:fill="auto"/>
            <w:tcMar>
              <w:left w:w="0" w:type="dxa"/>
            </w:tcMar>
          </w:tcPr>
          <w:p w14:paraId="0B260C32" w14:textId="77777777" w:rsidR="00C2272B" w:rsidRPr="00E81AAA" w:rsidRDefault="00C2272B" w:rsidP="00DB13EF">
            <w:pPr>
              <w:pStyle w:val="Marginlie"/>
              <w:rPr>
                <w:spacing w:val="-4"/>
              </w:rPr>
            </w:pPr>
          </w:p>
        </w:tc>
        <w:tc>
          <w:tcPr>
            <w:tcW w:w="227" w:type="dxa"/>
            <w:tcBorders>
              <w:top w:val="nil"/>
              <w:left w:val="nil"/>
              <w:bottom w:val="nil"/>
              <w:right w:val="nil"/>
            </w:tcBorders>
            <w:shd w:val="clear" w:color="auto" w:fill="auto"/>
            <w:tcMar>
              <w:left w:w="0" w:type="dxa"/>
            </w:tcMar>
          </w:tcPr>
          <w:p w14:paraId="4DAE8ACB"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3C0F632A" w14:textId="77777777" w:rsidR="00C2272B" w:rsidRPr="00E81AAA" w:rsidRDefault="00C2272B" w:rsidP="00DB13EF">
            <w:pPr>
              <w:spacing w:after="0"/>
              <w:rPr>
                <w:spacing w:val="-5"/>
              </w:rPr>
            </w:pPr>
            <w:r>
              <w:rPr>
                <w:noProof/>
              </w:rPr>
              <w:drawing>
                <wp:inline distT="0" distB="0" distL="0" distR="0" wp14:anchorId="0048FA59" wp14:editId="0AB8DF68">
                  <wp:extent cx="4663098" cy="3420000"/>
                  <wp:effectExtent l="0" t="0" r="4445"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2272B" w:rsidRPr="00E52D45" w14:paraId="16139765" w14:textId="77777777" w:rsidTr="00DB13EF">
        <w:trPr>
          <w:trHeight w:val="145"/>
        </w:trPr>
        <w:tc>
          <w:tcPr>
            <w:tcW w:w="1805" w:type="dxa"/>
            <w:tcBorders>
              <w:top w:val="nil"/>
              <w:left w:val="nil"/>
              <w:bottom w:val="nil"/>
              <w:right w:val="nil"/>
            </w:tcBorders>
            <w:shd w:val="clear" w:color="auto" w:fill="auto"/>
            <w:tcMar>
              <w:left w:w="0" w:type="dxa"/>
            </w:tcMar>
          </w:tcPr>
          <w:p w14:paraId="2A16381A" w14:textId="77777777" w:rsidR="00C2272B" w:rsidRPr="00E81AAA" w:rsidRDefault="00C2272B" w:rsidP="00DB13EF">
            <w:pPr>
              <w:pStyle w:val="Marginlie"/>
              <w:rPr>
                <w:spacing w:val="-4"/>
              </w:rPr>
            </w:pPr>
          </w:p>
        </w:tc>
        <w:tc>
          <w:tcPr>
            <w:tcW w:w="227" w:type="dxa"/>
            <w:tcBorders>
              <w:top w:val="nil"/>
              <w:left w:val="nil"/>
              <w:bottom w:val="nil"/>
              <w:right w:val="nil"/>
            </w:tcBorders>
            <w:shd w:val="clear" w:color="auto" w:fill="auto"/>
            <w:tcMar>
              <w:left w:w="0" w:type="dxa"/>
            </w:tcMar>
          </w:tcPr>
          <w:p w14:paraId="3172F591"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22439764" w14:textId="77777777" w:rsidR="00C2272B" w:rsidRPr="00E81AAA" w:rsidRDefault="00C2272B" w:rsidP="00DB13EF">
            <w:pPr>
              <w:spacing w:after="200"/>
              <w:rPr>
                <w:spacing w:val="-5"/>
              </w:rPr>
            </w:pPr>
            <w:r>
              <w:rPr>
                <w:rFonts w:cs="Arial"/>
                <w:sz w:val="14"/>
                <w:szCs w:val="14"/>
              </w:rPr>
              <w:t xml:space="preserve">Poznámka: Tržby jsou uvedeny v běžných cenách.                                                                                                 </w:t>
            </w:r>
            <w:r w:rsidRPr="00883202">
              <w:rPr>
                <w:rFonts w:cs="Arial"/>
                <w:sz w:val="14"/>
                <w:szCs w:val="14"/>
              </w:rPr>
              <w:t>Zdroj: ČSÚ</w:t>
            </w:r>
          </w:p>
        </w:tc>
      </w:tr>
      <w:tr w:rsidR="00C2272B" w:rsidRPr="00030362" w14:paraId="6D6ED8DE" w14:textId="77777777" w:rsidTr="00DB13EF">
        <w:trPr>
          <w:trHeight w:val="145"/>
        </w:trPr>
        <w:tc>
          <w:tcPr>
            <w:tcW w:w="1805" w:type="dxa"/>
            <w:tcBorders>
              <w:top w:val="nil"/>
              <w:left w:val="nil"/>
              <w:bottom w:val="nil"/>
              <w:right w:val="nil"/>
            </w:tcBorders>
            <w:shd w:val="clear" w:color="auto" w:fill="auto"/>
            <w:tcMar>
              <w:left w:w="0" w:type="dxa"/>
            </w:tcMar>
          </w:tcPr>
          <w:p w14:paraId="08A3BCC9" w14:textId="77777777" w:rsidR="00C2272B" w:rsidRPr="00E81AAA" w:rsidRDefault="00C2272B" w:rsidP="00DB13EF">
            <w:pPr>
              <w:pStyle w:val="Marginlie"/>
              <w:rPr>
                <w:spacing w:val="-4"/>
              </w:rPr>
            </w:pPr>
            <w:r>
              <w:rPr>
                <w:color w:val="0D0D0D" w:themeColor="text1" w:themeTint="F2"/>
              </w:rPr>
              <w:t xml:space="preserve">Růst tržeb podniků z průmyslové činnosti sílil zejména vlivem vyšších cen energií, surovin </w:t>
            </w:r>
            <w:r>
              <w:rPr>
                <w:color w:val="0D0D0D" w:themeColor="text1" w:themeTint="F2"/>
              </w:rPr>
              <w:br/>
              <w:t>a dalších meziproduktů. Méně stržili meziročně pouze výrobci automobilů.</w:t>
            </w:r>
          </w:p>
        </w:tc>
        <w:tc>
          <w:tcPr>
            <w:tcW w:w="227" w:type="dxa"/>
            <w:tcBorders>
              <w:top w:val="nil"/>
              <w:left w:val="nil"/>
              <w:bottom w:val="nil"/>
              <w:right w:val="nil"/>
            </w:tcBorders>
            <w:shd w:val="clear" w:color="auto" w:fill="auto"/>
            <w:tcMar>
              <w:left w:w="0" w:type="dxa"/>
            </w:tcMar>
          </w:tcPr>
          <w:p w14:paraId="0C8E1C40"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42DE83B0" w14:textId="05AF4514" w:rsidR="00C2272B" w:rsidRPr="001665AB" w:rsidRDefault="00C2272B" w:rsidP="005866CA">
            <w:pPr>
              <w:spacing w:after="200"/>
              <w:rPr>
                <w:spacing w:val="-6"/>
              </w:rPr>
            </w:pPr>
            <w:r w:rsidRPr="001665AB">
              <w:rPr>
                <w:rFonts w:cs="Arial"/>
                <w:bCs/>
                <w:color w:val="0D0D0D" w:themeColor="text1" w:themeTint="F2"/>
                <w:spacing w:val="-6"/>
                <w:szCs w:val="20"/>
              </w:rPr>
              <w:t>Nominální tržby průmyslových podniků</w:t>
            </w:r>
            <w:r w:rsidRPr="001665AB">
              <w:rPr>
                <w:rStyle w:val="Znakapoznpodarou"/>
                <w:bCs/>
                <w:color w:val="0D0D0D" w:themeColor="text1" w:themeTint="F2"/>
                <w:spacing w:val="-6"/>
                <w:szCs w:val="20"/>
              </w:rPr>
              <w:footnoteReference w:id="8"/>
            </w:r>
            <w:r w:rsidRPr="001665AB">
              <w:rPr>
                <w:rFonts w:cs="Arial"/>
                <w:bCs/>
                <w:color w:val="0D0D0D" w:themeColor="text1" w:themeTint="F2"/>
                <w:spacing w:val="-6"/>
                <w:szCs w:val="20"/>
              </w:rPr>
              <w:t xml:space="preserve"> překonaly v 1. pololetí 2022 loňskou úroveň o 10,9 % (z toho v samotném 2. čtvrtletí dokonce o 12,5 %). Vlivem sílících nákladů, jež podniky promítají do svých finálních produktů, se v posledních dvou letech stále výrazněji odlišuje dynamika vývoje tržeb a průmyslové produkce</w:t>
            </w:r>
            <w:r w:rsidRPr="001665AB">
              <w:rPr>
                <w:rStyle w:val="Znakapoznpodarou"/>
                <w:bCs/>
                <w:color w:val="0D0D0D" w:themeColor="text1" w:themeTint="F2"/>
                <w:spacing w:val="-6"/>
                <w:szCs w:val="20"/>
              </w:rPr>
              <w:footnoteReference w:id="9"/>
            </w:r>
            <w:r w:rsidRPr="001665AB">
              <w:rPr>
                <w:rFonts w:cs="Arial"/>
                <w:bCs/>
                <w:color w:val="0D0D0D" w:themeColor="text1" w:themeTint="F2"/>
                <w:spacing w:val="-6"/>
                <w:szCs w:val="20"/>
              </w:rPr>
              <w:t>. Domácí tržby (zahrnující i nepřímý vývoz</w:t>
            </w:r>
            <w:r w:rsidRPr="001665AB">
              <w:rPr>
                <w:rStyle w:val="Znakapoznpodarou"/>
                <w:bCs/>
                <w:color w:val="0D0D0D" w:themeColor="text1" w:themeTint="F2"/>
                <w:spacing w:val="-6"/>
                <w:szCs w:val="20"/>
              </w:rPr>
              <w:footnoteReference w:id="10"/>
            </w:r>
            <w:r w:rsidRPr="001665AB">
              <w:rPr>
                <w:rFonts w:cs="Arial"/>
                <w:bCs/>
                <w:color w:val="0D0D0D" w:themeColor="text1" w:themeTint="F2"/>
                <w:spacing w:val="-6"/>
                <w:szCs w:val="20"/>
              </w:rPr>
              <w:t>) se navýšily o</w:t>
            </w:r>
            <w:r w:rsidRPr="001665AB">
              <w:rPr>
                <w:color w:val="0D0D0D" w:themeColor="text1" w:themeTint="F2"/>
                <w:spacing w:val="-6"/>
              </w:rPr>
              <w:t> </w:t>
            </w:r>
            <w:r w:rsidRPr="001665AB">
              <w:rPr>
                <w:rFonts w:cs="Arial"/>
                <w:bCs/>
                <w:color w:val="0D0D0D" w:themeColor="text1" w:themeTint="F2"/>
                <w:spacing w:val="-6"/>
                <w:szCs w:val="20"/>
              </w:rPr>
              <w:t>17,9 %, skoro trojnásobným tempem oproti tržbám z přímého vývozu. To lze vysvětlit silným cenovým růstem v odvětvích produkujících výrobky zejména pro tuzemský trh (těžba a</w:t>
            </w:r>
            <w:r w:rsidRPr="001665AB">
              <w:rPr>
                <w:color w:val="0D0D0D" w:themeColor="text1" w:themeTint="F2"/>
                <w:spacing w:val="-6"/>
              </w:rPr>
              <w:t> </w:t>
            </w:r>
            <w:r w:rsidRPr="001665AB">
              <w:rPr>
                <w:rFonts w:cs="Arial"/>
                <w:bCs/>
                <w:color w:val="0D0D0D" w:themeColor="text1" w:themeTint="F2"/>
                <w:spacing w:val="-6"/>
                <w:szCs w:val="20"/>
              </w:rPr>
              <w:t>dobývání, dřevozpracující, papírenský a tiskařský průmysl, kovovýroba či potravinářství) a</w:t>
            </w:r>
            <w:r w:rsidRPr="001665AB">
              <w:rPr>
                <w:color w:val="0D0D0D" w:themeColor="text1" w:themeTint="F2"/>
                <w:spacing w:val="-6"/>
              </w:rPr>
              <w:t> </w:t>
            </w:r>
            <w:r w:rsidRPr="001665AB">
              <w:rPr>
                <w:rFonts w:cs="Arial"/>
                <w:bCs/>
                <w:color w:val="0D0D0D" w:themeColor="text1" w:themeTint="F2"/>
                <w:spacing w:val="-6"/>
                <w:szCs w:val="20"/>
              </w:rPr>
              <w:t xml:space="preserve">současně dosud relativně nízkým cenovým posunem u některých tradičních exportních artiklů (motorová vozidla, </w:t>
            </w:r>
            <w:r w:rsidRPr="001665AB">
              <w:rPr>
                <w:color w:val="0D0D0D" w:themeColor="text1" w:themeTint="F2"/>
                <w:spacing w:val="-6"/>
              </w:rPr>
              <w:t>počítače, elektronické a optické přístroje</w:t>
            </w:r>
            <w:r w:rsidRPr="001665AB">
              <w:rPr>
                <w:rFonts w:cs="Arial"/>
                <w:bCs/>
                <w:color w:val="0D0D0D" w:themeColor="text1" w:themeTint="F2"/>
                <w:spacing w:val="-6"/>
                <w:szCs w:val="20"/>
              </w:rPr>
              <w:t>). Ve</w:t>
            </w:r>
            <w:r w:rsidR="00CF35A7">
              <w:rPr>
                <w:rFonts w:cs="Arial"/>
                <w:bCs/>
                <w:color w:val="0D0D0D" w:themeColor="text1" w:themeTint="F2"/>
                <w:spacing w:val="-6"/>
                <w:szCs w:val="20"/>
              </w:rPr>
              <w:t> </w:t>
            </w:r>
            <w:r w:rsidRPr="001665AB">
              <w:rPr>
                <w:rFonts w:cs="Arial"/>
                <w:bCs/>
                <w:color w:val="0D0D0D" w:themeColor="text1" w:themeTint="F2"/>
                <w:spacing w:val="-6"/>
                <w:szCs w:val="20"/>
              </w:rPr>
              <w:t xml:space="preserve">srovnání </w:t>
            </w:r>
            <w:r w:rsidRPr="001665AB">
              <w:rPr>
                <w:rFonts w:cs="Arial"/>
                <w:bCs/>
                <w:color w:val="0D0D0D" w:themeColor="text1" w:themeTint="F2"/>
                <w:spacing w:val="-6"/>
                <w:szCs w:val="20"/>
              </w:rPr>
              <w:lastRenderedPageBreak/>
              <w:t xml:space="preserve">s loňským prvním pololetím se letos </w:t>
            </w:r>
            <w:r>
              <w:rPr>
                <w:rFonts w:cs="Arial"/>
                <w:bCs/>
                <w:color w:val="0D0D0D" w:themeColor="text1" w:themeTint="F2"/>
                <w:spacing w:val="-6"/>
                <w:szCs w:val="20"/>
              </w:rPr>
              <w:t xml:space="preserve">nejvíce </w:t>
            </w:r>
            <w:r w:rsidRPr="001665AB">
              <w:rPr>
                <w:rFonts w:cs="Arial"/>
                <w:bCs/>
                <w:color w:val="0D0D0D" w:themeColor="text1" w:themeTint="F2"/>
                <w:spacing w:val="-6"/>
                <w:szCs w:val="20"/>
              </w:rPr>
              <w:t>zvýšily celkové tržby podnikům v těžbě uhlí (o 43</w:t>
            </w:r>
            <w:r>
              <w:rPr>
                <w:rFonts w:cs="Arial"/>
                <w:bCs/>
                <w:color w:val="0D0D0D" w:themeColor="text1" w:themeTint="F2"/>
                <w:spacing w:val="-6"/>
                <w:szCs w:val="20"/>
              </w:rPr>
              <w:t> </w:t>
            </w:r>
            <w:r w:rsidRPr="001665AB">
              <w:rPr>
                <w:rFonts w:cs="Arial"/>
                <w:bCs/>
                <w:color w:val="0D0D0D" w:themeColor="text1" w:themeTint="F2"/>
                <w:spacing w:val="-6"/>
                <w:szCs w:val="20"/>
              </w:rPr>
              <w:t>%) a v hutnictví a</w:t>
            </w:r>
            <w:r w:rsidRPr="001665AB">
              <w:rPr>
                <w:color w:val="0D0D0D" w:themeColor="text1" w:themeTint="F2"/>
                <w:spacing w:val="-6"/>
              </w:rPr>
              <w:t> </w:t>
            </w:r>
            <w:r w:rsidRPr="001665AB">
              <w:rPr>
                <w:rFonts w:cs="Arial"/>
                <w:bCs/>
                <w:color w:val="0D0D0D" w:themeColor="text1" w:themeTint="F2"/>
                <w:spacing w:val="-6"/>
                <w:szCs w:val="20"/>
              </w:rPr>
              <w:t>slévárenství či chemickém průmyslu (shodně 35 %). Dvojciferný růst tržeb ale měly více než tři čtvrtiny hlavních odvětví. Mírný pokles postihl jen výrobce motorových vozidel – jak u domácích tržeb (o 1</w:t>
            </w:r>
            <w:r w:rsidRPr="001665AB">
              <w:rPr>
                <w:color w:val="0D0D0D" w:themeColor="text1" w:themeTint="F2"/>
                <w:spacing w:val="-6"/>
              </w:rPr>
              <w:t> </w:t>
            </w:r>
            <w:r w:rsidRPr="001665AB">
              <w:rPr>
                <w:rFonts w:cs="Arial"/>
                <w:bCs/>
                <w:color w:val="0D0D0D" w:themeColor="text1" w:themeTint="F2"/>
                <w:spacing w:val="-6"/>
                <w:szCs w:val="20"/>
              </w:rPr>
              <w:t xml:space="preserve">%), tak u přímého vývozu (6 %). </w:t>
            </w:r>
          </w:p>
        </w:tc>
      </w:tr>
      <w:tr w:rsidR="00C2272B" w:rsidRPr="00030362" w14:paraId="2C6D6C0D" w14:textId="77777777" w:rsidTr="00DB13EF">
        <w:trPr>
          <w:trHeight w:val="145"/>
        </w:trPr>
        <w:tc>
          <w:tcPr>
            <w:tcW w:w="1805" w:type="dxa"/>
            <w:tcBorders>
              <w:top w:val="nil"/>
              <w:left w:val="nil"/>
              <w:bottom w:val="nil"/>
              <w:right w:val="nil"/>
            </w:tcBorders>
            <w:shd w:val="clear" w:color="auto" w:fill="auto"/>
            <w:tcMar>
              <w:left w:w="0" w:type="dxa"/>
            </w:tcMar>
          </w:tcPr>
          <w:p w14:paraId="5082A5FF" w14:textId="77777777" w:rsidR="00C2272B" w:rsidRDefault="00C2272B" w:rsidP="00DB13EF">
            <w:pPr>
              <w:pStyle w:val="Marginlie"/>
              <w:rPr>
                <w:color w:val="0D0D0D" w:themeColor="text1" w:themeTint="F2"/>
              </w:rPr>
            </w:pPr>
            <w:r>
              <w:rPr>
                <w:color w:val="0D0D0D" w:themeColor="text1" w:themeTint="F2"/>
              </w:rPr>
              <w:lastRenderedPageBreak/>
              <w:t>Růst objemu nových zakázek odrážel ve většině průmyslových odvětví zejména dopad sílících cen výrobních nákladů.</w:t>
            </w:r>
          </w:p>
          <w:p w14:paraId="3F271076" w14:textId="77777777" w:rsidR="00C2272B" w:rsidRDefault="00C2272B" w:rsidP="00DB13EF">
            <w:pPr>
              <w:pStyle w:val="Marginlie"/>
              <w:rPr>
                <w:color w:val="0D0D0D" w:themeColor="text1" w:themeTint="F2"/>
              </w:rPr>
            </w:pPr>
          </w:p>
          <w:p w14:paraId="58AF5D20" w14:textId="77777777" w:rsidR="00C2272B" w:rsidRDefault="00C2272B" w:rsidP="00DB13EF">
            <w:pPr>
              <w:pStyle w:val="Marginlie"/>
              <w:rPr>
                <w:color w:val="0D0D0D" w:themeColor="text1" w:themeTint="F2"/>
              </w:rPr>
            </w:pPr>
          </w:p>
          <w:p w14:paraId="5A9481CB" w14:textId="77777777" w:rsidR="00C2272B" w:rsidRDefault="00C2272B" w:rsidP="00DB13EF">
            <w:pPr>
              <w:pStyle w:val="Marginlie"/>
              <w:rPr>
                <w:color w:val="0D0D0D" w:themeColor="text1" w:themeTint="F2"/>
              </w:rPr>
            </w:pPr>
          </w:p>
          <w:p w14:paraId="0E443B8A" w14:textId="77777777" w:rsidR="00C2272B" w:rsidRDefault="00C2272B" w:rsidP="00DB13EF">
            <w:pPr>
              <w:pStyle w:val="Marginlie"/>
              <w:rPr>
                <w:color w:val="0D0D0D" w:themeColor="text1" w:themeTint="F2"/>
              </w:rPr>
            </w:pPr>
            <w:r>
              <w:rPr>
                <w:color w:val="0D0D0D" w:themeColor="text1" w:themeTint="F2"/>
              </w:rPr>
              <w:t xml:space="preserve">Růst poptávky v elektrotechnickém průmyslu přetrvával, ke zlepšení došlo u výrobců automobilů.  </w:t>
            </w:r>
          </w:p>
        </w:tc>
        <w:tc>
          <w:tcPr>
            <w:tcW w:w="227" w:type="dxa"/>
            <w:tcBorders>
              <w:top w:val="nil"/>
              <w:left w:val="nil"/>
              <w:bottom w:val="nil"/>
              <w:right w:val="nil"/>
            </w:tcBorders>
            <w:shd w:val="clear" w:color="auto" w:fill="auto"/>
            <w:tcMar>
              <w:left w:w="0" w:type="dxa"/>
            </w:tcMar>
          </w:tcPr>
          <w:p w14:paraId="6AACDB19"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045E303E" w14:textId="77777777" w:rsidR="00C2272B" w:rsidRPr="001665AB" w:rsidRDefault="00C2272B" w:rsidP="005866CA">
            <w:pPr>
              <w:spacing w:after="200"/>
              <w:rPr>
                <w:rFonts w:cs="Arial"/>
                <w:bCs/>
                <w:color w:val="0D0D0D" w:themeColor="text1" w:themeTint="F2"/>
                <w:spacing w:val="-6"/>
                <w:szCs w:val="20"/>
              </w:rPr>
            </w:pPr>
            <w:r w:rsidRPr="001665AB">
              <w:rPr>
                <w:color w:val="0D0D0D" w:themeColor="text1" w:themeTint="F2"/>
                <w:spacing w:val="-6"/>
              </w:rPr>
              <w:t>Ačkoli růst hodnoty nových zakázek ve vybraných průmyslových odvětvích</w:t>
            </w:r>
            <w:r w:rsidRPr="001665AB">
              <w:rPr>
                <w:rStyle w:val="Znakapoznpodarou"/>
                <w:color w:val="0D0D0D" w:themeColor="text1" w:themeTint="F2"/>
                <w:spacing w:val="-6"/>
              </w:rPr>
              <w:footnoteReference w:id="11"/>
            </w:r>
            <w:r w:rsidRPr="001665AB">
              <w:rPr>
                <w:color w:val="0D0D0D" w:themeColor="text1" w:themeTint="F2"/>
                <w:spacing w:val="-6"/>
              </w:rPr>
              <w:t xml:space="preserve"> ve 2. čtvrtletí meziročně zrychlil na 9,3 %, zaostával za letošní dynamikou tržeb i růstem cen průmyslových výrobců. K vyššímu objemu zakázek přispěla nejvíce </w:t>
            </w:r>
            <w:r w:rsidRPr="001665AB">
              <w:rPr>
                <w:rFonts w:cs="Arial"/>
                <w:bCs/>
                <w:color w:val="0D0D0D" w:themeColor="text1" w:themeTint="F2"/>
                <w:spacing w:val="-6"/>
                <w:szCs w:val="20"/>
              </w:rPr>
              <w:t>výroba kovových konstrukcí a kovodělných výrobků</w:t>
            </w:r>
            <w:r w:rsidRPr="001665AB">
              <w:rPr>
                <w:color w:val="0D0D0D" w:themeColor="text1" w:themeTint="F2"/>
                <w:spacing w:val="-6"/>
              </w:rPr>
              <w:t>, ve které hodnota nasmlouvaných prací posílila skoro o</w:t>
            </w:r>
            <w:r w:rsidRPr="001665AB">
              <w:rPr>
                <w:rFonts w:cs="Arial"/>
                <w:bCs/>
                <w:color w:val="0D0D0D" w:themeColor="text1" w:themeTint="F2"/>
                <w:spacing w:val="-6"/>
                <w:szCs w:val="20"/>
              </w:rPr>
              <w:t> </w:t>
            </w:r>
            <w:r w:rsidRPr="001665AB">
              <w:rPr>
                <w:color w:val="0D0D0D" w:themeColor="text1" w:themeTint="F2"/>
                <w:spacing w:val="-6"/>
              </w:rPr>
              <w:t xml:space="preserve">pětinu. Ani tak nelze mluvit o skutečném růstu poptávky, neboť do hodnoty zakázek zásadně promlouvá vysoký cenový růst vstupů v tomto odvětví. </w:t>
            </w:r>
            <w:r w:rsidRPr="001665AB">
              <w:rPr>
                <w:rFonts w:cs="Arial"/>
                <w:bCs/>
                <w:color w:val="0D0D0D" w:themeColor="text1" w:themeTint="F2"/>
                <w:spacing w:val="-6"/>
                <w:szCs w:val="20"/>
              </w:rPr>
              <w:t>S ohledem na dynamiku výrobních nákladů i loňskou základnu lze pozitivně hodnotit současný růst zakázek ve výrobě elektrických zařízení (11 %), farmacii (15 %), textilním průmyslu (18 %) a oděvnictví (14 %, zde zejména domácí poptávku). S tím kontrastuje tři čtvrtletí přetrvávající mírný pokles zakázek ve výrobě počítačů, elektronických a optických přístrojů. Ještě s hlubším útlumem poptávky se od poloviny loňského roku potýkal automobilový průmysl, v letošním 2. čtvrtletí se ale situace zlepšila a objem zakázek zde velmi mírně vzrostl (i přes vyšší loňskou základnu).</w:t>
            </w:r>
          </w:p>
        </w:tc>
      </w:tr>
      <w:tr w:rsidR="00C2272B" w:rsidRPr="00030362" w14:paraId="009A1CFB" w14:textId="77777777" w:rsidTr="00DB13EF">
        <w:trPr>
          <w:trHeight w:val="145"/>
        </w:trPr>
        <w:tc>
          <w:tcPr>
            <w:tcW w:w="1805" w:type="dxa"/>
            <w:tcBorders>
              <w:top w:val="nil"/>
              <w:left w:val="nil"/>
              <w:bottom w:val="nil"/>
              <w:right w:val="nil"/>
            </w:tcBorders>
            <w:shd w:val="clear" w:color="auto" w:fill="auto"/>
            <w:tcMar>
              <w:left w:w="0" w:type="dxa"/>
            </w:tcMar>
          </w:tcPr>
          <w:p w14:paraId="7CD70B08" w14:textId="77777777" w:rsidR="00C2272B" w:rsidRDefault="00C2272B" w:rsidP="00DB13EF">
            <w:pPr>
              <w:pStyle w:val="Marginlie"/>
              <w:rPr>
                <w:color w:val="0D0D0D" w:themeColor="text1" w:themeTint="F2"/>
              </w:rPr>
            </w:pPr>
          </w:p>
        </w:tc>
        <w:tc>
          <w:tcPr>
            <w:tcW w:w="227" w:type="dxa"/>
            <w:tcBorders>
              <w:top w:val="nil"/>
              <w:left w:val="nil"/>
              <w:bottom w:val="nil"/>
              <w:right w:val="nil"/>
            </w:tcBorders>
            <w:shd w:val="clear" w:color="auto" w:fill="auto"/>
            <w:tcMar>
              <w:left w:w="0" w:type="dxa"/>
            </w:tcMar>
          </w:tcPr>
          <w:p w14:paraId="60CF29B7"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06803C68" w14:textId="77777777" w:rsidR="00C2272B" w:rsidRPr="00030362" w:rsidRDefault="00C2272B" w:rsidP="00DB13EF">
            <w:pPr>
              <w:spacing w:after="0"/>
              <w:rPr>
                <w:color w:val="0D0D0D" w:themeColor="text1" w:themeTint="F2"/>
                <w:spacing w:val="-5"/>
              </w:rPr>
            </w:pPr>
            <w:r w:rsidRPr="00760356">
              <w:rPr>
                <w:b/>
                <w:spacing w:val="-2"/>
              </w:rPr>
              <w:t>Graf č. 5</w:t>
            </w:r>
            <w:r>
              <w:rPr>
                <w:b/>
                <w:spacing w:val="-2"/>
              </w:rPr>
              <w:t xml:space="preserve"> Nové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C2272B" w:rsidRPr="00030362" w14:paraId="425D1ABC" w14:textId="77777777" w:rsidTr="00DB13EF">
        <w:trPr>
          <w:trHeight w:val="145"/>
        </w:trPr>
        <w:tc>
          <w:tcPr>
            <w:tcW w:w="1805" w:type="dxa"/>
            <w:tcBorders>
              <w:top w:val="nil"/>
              <w:left w:val="nil"/>
              <w:bottom w:val="nil"/>
              <w:right w:val="nil"/>
            </w:tcBorders>
            <w:shd w:val="clear" w:color="auto" w:fill="auto"/>
            <w:tcMar>
              <w:left w:w="0" w:type="dxa"/>
            </w:tcMar>
          </w:tcPr>
          <w:p w14:paraId="33566954" w14:textId="77777777" w:rsidR="00C2272B" w:rsidRDefault="00C2272B" w:rsidP="00DB13EF">
            <w:pPr>
              <w:pStyle w:val="Marginlie"/>
              <w:rPr>
                <w:color w:val="0D0D0D" w:themeColor="text1" w:themeTint="F2"/>
              </w:rPr>
            </w:pPr>
          </w:p>
        </w:tc>
        <w:tc>
          <w:tcPr>
            <w:tcW w:w="227" w:type="dxa"/>
            <w:tcBorders>
              <w:top w:val="nil"/>
              <w:left w:val="nil"/>
              <w:bottom w:val="nil"/>
              <w:right w:val="nil"/>
            </w:tcBorders>
            <w:shd w:val="clear" w:color="auto" w:fill="auto"/>
            <w:tcMar>
              <w:left w:w="0" w:type="dxa"/>
            </w:tcMar>
          </w:tcPr>
          <w:p w14:paraId="15139270"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2AE58647" w14:textId="77777777" w:rsidR="00C2272B" w:rsidRPr="00760356" w:rsidRDefault="00C2272B" w:rsidP="00DB13EF">
            <w:pPr>
              <w:spacing w:after="0"/>
              <w:rPr>
                <w:b/>
                <w:spacing w:val="-2"/>
              </w:rPr>
            </w:pPr>
            <w:r>
              <w:rPr>
                <w:noProof/>
              </w:rPr>
              <w:drawing>
                <wp:inline distT="0" distB="0" distL="0" distR="0" wp14:anchorId="715F5FAA" wp14:editId="72E5DE87">
                  <wp:extent cx="4679332" cy="3420000"/>
                  <wp:effectExtent l="0" t="0" r="698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272B" w:rsidRPr="00030362" w14:paraId="20A89B32" w14:textId="77777777" w:rsidTr="00DB13EF">
        <w:trPr>
          <w:trHeight w:val="145"/>
        </w:trPr>
        <w:tc>
          <w:tcPr>
            <w:tcW w:w="1805" w:type="dxa"/>
            <w:tcBorders>
              <w:top w:val="nil"/>
              <w:left w:val="nil"/>
              <w:bottom w:val="nil"/>
              <w:right w:val="nil"/>
            </w:tcBorders>
            <w:shd w:val="clear" w:color="auto" w:fill="auto"/>
            <w:tcMar>
              <w:left w:w="0" w:type="dxa"/>
            </w:tcMar>
          </w:tcPr>
          <w:p w14:paraId="08D784B1" w14:textId="77777777" w:rsidR="00C2272B" w:rsidRDefault="00C2272B" w:rsidP="00DB13EF">
            <w:pPr>
              <w:pStyle w:val="Marginlie"/>
              <w:rPr>
                <w:color w:val="0D0D0D" w:themeColor="text1" w:themeTint="F2"/>
              </w:rPr>
            </w:pPr>
          </w:p>
        </w:tc>
        <w:tc>
          <w:tcPr>
            <w:tcW w:w="227" w:type="dxa"/>
            <w:tcBorders>
              <w:top w:val="nil"/>
              <w:left w:val="nil"/>
              <w:bottom w:val="nil"/>
              <w:right w:val="nil"/>
            </w:tcBorders>
            <w:shd w:val="clear" w:color="auto" w:fill="auto"/>
            <w:tcMar>
              <w:left w:w="0" w:type="dxa"/>
            </w:tcMar>
          </w:tcPr>
          <w:p w14:paraId="4F0A22C3"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2E46FFA" w14:textId="77777777" w:rsidR="00C2272B" w:rsidRDefault="00C2272B" w:rsidP="00DB13EF">
            <w:pPr>
              <w:spacing w:after="200" w:line="240" w:lineRule="auto"/>
              <w:rPr>
                <w:noProof/>
              </w:rPr>
            </w:pPr>
            <w:r>
              <w:rPr>
                <w:color w:val="0D0D0D" w:themeColor="text1" w:themeTint="F2"/>
                <w:spacing w:val="-5"/>
              </w:rPr>
              <w:t>*</w:t>
            </w:r>
            <w:r w:rsidRPr="00883202">
              <w:rPr>
                <w:rFonts w:cs="Arial"/>
                <w:sz w:val="14"/>
                <w:szCs w:val="14"/>
              </w:rPr>
              <w:t>Využití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Eurostat</w:t>
            </w:r>
          </w:p>
        </w:tc>
      </w:tr>
      <w:tr w:rsidR="00C2272B" w:rsidRPr="00030362" w14:paraId="5DEFDA8E" w14:textId="77777777" w:rsidTr="00DB13EF">
        <w:trPr>
          <w:trHeight w:val="145"/>
        </w:trPr>
        <w:tc>
          <w:tcPr>
            <w:tcW w:w="1805" w:type="dxa"/>
            <w:tcBorders>
              <w:top w:val="nil"/>
              <w:left w:val="nil"/>
              <w:bottom w:val="nil"/>
              <w:right w:val="nil"/>
            </w:tcBorders>
            <w:shd w:val="clear" w:color="auto" w:fill="auto"/>
            <w:tcMar>
              <w:left w:w="0" w:type="dxa"/>
            </w:tcMar>
          </w:tcPr>
          <w:p w14:paraId="7F568AAD" w14:textId="77777777" w:rsidR="00C2272B" w:rsidRDefault="00C2272B" w:rsidP="00DB13EF">
            <w:pPr>
              <w:pStyle w:val="Marginlie"/>
              <w:rPr>
                <w:color w:val="0D0D0D" w:themeColor="text1" w:themeTint="F2"/>
              </w:rPr>
            </w:pPr>
            <w:r w:rsidRPr="00E61635">
              <w:rPr>
                <w:color w:val="0D0D0D" w:themeColor="text1" w:themeTint="F2"/>
              </w:rPr>
              <w:t>Jarní optimismus průmyslových podniků se v červen</w:t>
            </w:r>
            <w:r>
              <w:rPr>
                <w:color w:val="0D0D0D" w:themeColor="text1" w:themeTint="F2"/>
              </w:rPr>
              <w:t>ci zchladil. Očekávání výroby i</w:t>
            </w:r>
            <w:r w:rsidRPr="00E61635">
              <w:rPr>
                <w:color w:val="0D0D0D" w:themeColor="text1" w:themeTint="F2"/>
              </w:rPr>
              <w:t> zaměstnanosti byla přesto mírně pozitivní.</w:t>
            </w:r>
          </w:p>
          <w:p w14:paraId="361313EC" w14:textId="77777777" w:rsidR="00C2272B" w:rsidRPr="00E61635" w:rsidRDefault="00C2272B" w:rsidP="00DB13EF">
            <w:pPr>
              <w:pStyle w:val="Marginlie"/>
              <w:rPr>
                <w:color w:val="0D0D0D" w:themeColor="text1" w:themeTint="F2"/>
              </w:rPr>
            </w:pPr>
          </w:p>
          <w:p w14:paraId="14F00EFE" w14:textId="77777777" w:rsidR="00C2272B" w:rsidRDefault="00C2272B" w:rsidP="00DB13EF">
            <w:pPr>
              <w:pStyle w:val="Marginlie"/>
              <w:rPr>
                <w:color w:val="0D0D0D" w:themeColor="text1" w:themeTint="F2"/>
                <w:spacing w:val="0"/>
              </w:rPr>
            </w:pPr>
          </w:p>
          <w:p w14:paraId="4D51AA3D" w14:textId="77777777" w:rsidR="00CF35A7" w:rsidRDefault="00CF35A7" w:rsidP="00DB13EF">
            <w:pPr>
              <w:pStyle w:val="Marginlie"/>
              <w:rPr>
                <w:color w:val="0D0D0D" w:themeColor="text1" w:themeTint="F2"/>
                <w:spacing w:val="0"/>
              </w:rPr>
            </w:pPr>
            <w:r>
              <w:rPr>
                <w:color w:val="0D0D0D" w:themeColor="text1" w:themeTint="F2"/>
                <w:spacing w:val="0"/>
              </w:rPr>
              <w:lastRenderedPageBreak/>
              <w:t xml:space="preserve">  </w:t>
            </w:r>
          </w:p>
          <w:p w14:paraId="587BD9F9" w14:textId="601AD744" w:rsidR="00C2272B" w:rsidRDefault="00C2272B" w:rsidP="00DB13EF">
            <w:pPr>
              <w:pStyle w:val="Marginlie"/>
              <w:rPr>
                <w:color w:val="0D0D0D" w:themeColor="text1" w:themeTint="F2"/>
                <w:spacing w:val="0"/>
              </w:rPr>
            </w:pPr>
            <w:r>
              <w:rPr>
                <w:color w:val="0D0D0D" w:themeColor="text1" w:themeTint="F2"/>
                <w:spacing w:val="0"/>
              </w:rPr>
              <w:t>Významné růstové bariéry přetrvávaly, očekávání růstu cen vlastní produkce se zmírnila jen lehce.</w:t>
            </w:r>
          </w:p>
          <w:p w14:paraId="22660C09" w14:textId="77777777" w:rsidR="00C2272B" w:rsidRDefault="00C2272B" w:rsidP="00DB13EF">
            <w:pPr>
              <w:pStyle w:val="Marginlie"/>
              <w:rPr>
                <w:color w:val="0D0D0D" w:themeColor="text1" w:themeTint="F2"/>
              </w:rPr>
            </w:pPr>
          </w:p>
        </w:tc>
        <w:tc>
          <w:tcPr>
            <w:tcW w:w="227" w:type="dxa"/>
            <w:tcBorders>
              <w:top w:val="nil"/>
              <w:left w:val="nil"/>
              <w:bottom w:val="nil"/>
              <w:right w:val="nil"/>
            </w:tcBorders>
            <w:shd w:val="clear" w:color="auto" w:fill="auto"/>
            <w:tcMar>
              <w:left w:w="0" w:type="dxa"/>
            </w:tcMar>
          </w:tcPr>
          <w:p w14:paraId="3FE8824C"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5DB6CF5" w14:textId="77777777" w:rsidR="00C2272B" w:rsidRPr="009B56B9" w:rsidRDefault="00C2272B" w:rsidP="005866CA">
            <w:pPr>
              <w:spacing w:after="200"/>
              <w:rPr>
                <w:color w:val="0D0D0D" w:themeColor="text1" w:themeTint="F2"/>
                <w:spacing w:val="-6"/>
              </w:rPr>
            </w:pPr>
            <w:r w:rsidRPr="009B56B9">
              <w:rPr>
                <w:color w:val="0D0D0D" w:themeColor="text1" w:themeTint="F2"/>
                <w:spacing w:val="-6"/>
              </w:rPr>
              <w:t>Důvěra podnikatelů v průmyslu se po růstu ve 2. čtvrtletí 2022 v červenci výrazněji snížila a vrátila se na úroveň z počátku letošního roku (i tak však byla nálada firem mírně příznivější než před propuknutím pandemie). Hodnocení současné poptávky se zhoršilo, přibylo podniků indikujících nárůst zásob hotových výrobků a vzrostly i obavy z celkové ekonomické situace (zejména v nejbližších třech měsících). Současně ale skoro každý třetí podnik předpokládal v tomto období růst výroby (pokles jen desetina), s čímž korespondoval i mírný optimismus v oblasti náboru nových pracovníků</w:t>
            </w:r>
            <w:r w:rsidRPr="009B56B9">
              <w:rPr>
                <w:rStyle w:val="Znakapoznpodarou"/>
                <w:color w:val="0D0D0D" w:themeColor="text1" w:themeTint="F2"/>
                <w:spacing w:val="-6"/>
              </w:rPr>
              <w:footnoteReference w:id="12"/>
            </w:r>
            <w:r w:rsidRPr="009B56B9">
              <w:rPr>
                <w:color w:val="0D0D0D" w:themeColor="text1" w:themeTint="F2"/>
                <w:spacing w:val="-6"/>
              </w:rPr>
              <w:t xml:space="preserve">. Vlivem vyšší rozpracovanosti současných </w:t>
            </w:r>
            <w:r w:rsidRPr="009B56B9">
              <w:rPr>
                <w:color w:val="0D0D0D" w:themeColor="text1" w:themeTint="F2"/>
                <w:spacing w:val="-6"/>
              </w:rPr>
              <w:lastRenderedPageBreak/>
              <w:t>zakázek se firmám zároveň ztenčila zásoba práce</w:t>
            </w:r>
            <w:r w:rsidRPr="009B56B9">
              <w:rPr>
                <w:rStyle w:val="Znakapoznpodarou"/>
                <w:color w:val="0D0D0D" w:themeColor="text1" w:themeTint="F2"/>
                <w:spacing w:val="-6"/>
              </w:rPr>
              <w:footnoteReference w:id="13"/>
            </w:r>
            <w:r w:rsidRPr="009B56B9">
              <w:rPr>
                <w:color w:val="0D0D0D" w:themeColor="text1" w:themeTint="F2"/>
                <w:spacing w:val="-6"/>
              </w:rPr>
              <w:t>. Celé odvětví limitovaly významné bariéry – nedostatek materiálu a zařízení sužoval již polovinu firem (zejména ve větších tradičních exportních odvětvích</w:t>
            </w:r>
            <w:r w:rsidRPr="009B56B9">
              <w:rPr>
                <w:rStyle w:val="Znakapoznpodarou"/>
                <w:color w:val="0D0D0D" w:themeColor="text1" w:themeTint="F2"/>
                <w:spacing w:val="-6"/>
              </w:rPr>
              <w:footnoteReference w:id="14"/>
            </w:r>
            <w:r w:rsidRPr="009B56B9">
              <w:rPr>
                <w:color w:val="0D0D0D" w:themeColor="text1" w:themeTint="F2"/>
                <w:spacing w:val="-6"/>
              </w:rPr>
              <w:t>), nedostatek pracovníků již více než čtvrtinu</w:t>
            </w:r>
            <w:r w:rsidRPr="009B56B9">
              <w:rPr>
                <w:rStyle w:val="Znakapoznpodarou"/>
                <w:color w:val="0D0D0D" w:themeColor="text1" w:themeTint="F2"/>
                <w:spacing w:val="-6"/>
              </w:rPr>
              <w:footnoteReference w:id="15"/>
            </w:r>
            <w:r w:rsidRPr="009B56B9">
              <w:rPr>
                <w:color w:val="0D0D0D" w:themeColor="text1" w:themeTint="F2"/>
                <w:spacing w:val="-6"/>
              </w:rPr>
              <w:t xml:space="preserve"> a nedostatečná poptávka pak skoro pětinu</w:t>
            </w:r>
            <w:r w:rsidRPr="009B56B9">
              <w:rPr>
                <w:rStyle w:val="Znakapoznpodarou"/>
                <w:color w:val="0D0D0D" w:themeColor="text1" w:themeTint="F2"/>
                <w:spacing w:val="-6"/>
              </w:rPr>
              <w:footnoteReference w:id="16"/>
            </w:r>
            <w:r w:rsidRPr="009B56B9">
              <w:rPr>
                <w:color w:val="0D0D0D" w:themeColor="text1" w:themeTint="F2"/>
                <w:spacing w:val="-6"/>
              </w:rPr>
              <w:t>. Nedostatek materiálů se spolu s prudce zvyšujícími cenami energií i dalších vstupů promítaly do výrazně vysokých očekávání podniků v oblasti růstu cen vlastní produkce</w:t>
            </w:r>
            <w:r w:rsidRPr="009B56B9">
              <w:rPr>
                <w:rStyle w:val="Znakapoznpodarou"/>
                <w:color w:val="0D0D0D" w:themeColor="text1" w:themeTint="F2"/>
                <w:spacing w:val="-6"/>
              </w:rPr>
              <w:footnoteReference w:id="17"/>
            </w:r>
            <w:r w:rsidRPr="009B56B9">
              <w:rPr>
                <w:color w:val="0D0D0D" w:themeColor="text1" w:themeTint="F2"/>
                <w:spacing w:val="-6"/>
              </w:rPr>
              <w:t>.</w:t>
            </w:r>
          </w:p>
        </w:tc>
      </w:tr>
      <w:tr w:rsidR="00C2272B" w:rsidRPr="00030362" w14:paraId="507F6792" w14:textId="77777777" w:rsidTr="00DB13EF">
        <w:trPr>
          <w:trHeight w:val="145"/>
        </w:trPr>
        <w:tc>
          <w:tcPr>
            <w:tcW w:w="1805" w:type="dxa"/>
            <w:tcBorders>
              <w:top w:val="nil"/>
              <w:left w:val="nil"/>
              <w:bottom w:val="nil"/>
              <w:right w:val="nil"/>
            </w:tcBorders>
            <w:shd w:val="clear" w:color="auto" w:fill="auto"/>
            <w:tcMar>
              <w:left w:w="0" w:type="dxa"/>
            </w:tcMar>
          </w:tcPr>
          <w:p w14:paraId="55A05479" w14:textId="77777777" w:rsidR="00C2272B" w:rsidRPr="00E61635" w:rsidRDefault="00C2272B" w:rsidP="00DB13EF">
            <w:pPr>
              <w:pStyle w:val="Marginlie"/>
              <w:rPr>
                <w:color w:val="0D0D0D" w:themeColor="text1" w:themeTint="F2"/>
              </w:rPr>
            </w:pPr>
            <w:r>
              <w:rPr>
                <w:color w:val="0D0D0D" w:themeColor="text1" w:themeTint="F2"/>
                <w:spacing w:val="0"/>
              </w:rPr>
              <w:lastRenderedPageBreak/>
              <w:t>Průmysl v EU pokračoval v pomalém zotavování. Podobně jako v tuzemsku ho citelně brzdil hlavně nedostatek výrobních komponent.</w:t>
            </w:r>
          </w:p>
        </w:tc>
        <w:tc>
          <w:tcPr>
            <w:tcW w:w="227" w:type="dxa"/>
            <w:tcBorders>
              <w:top w:val="nil"/>
              <w:left w:val="nil"/>
              <w:bottom w:val="nil"/>
              <w:right w:val="nil"/>
            </w:tcBorders>
            <w:shd w:val="clear" w:color="auto" w:fill="auto"/>
            <w:tcMar>
              <w:left w:w="0" w:type="dxa"/>
            </w:tcMar>
          </w:tcPr>
          <w:p w14:paraId="02D58C77"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57A50ED" w14:textId="77777777" w:rsidR="00C2272B" w:rsidRPr="0050728A" w:rsidRDefault="00C2272B" w:rsidP="005866CA">
            <w:pPr>
              <w:spacing w:after="200"/>
              <w:rPr>
                <w:color w:val="0D0D0D" w:themeColor="text1" w:themeTint="F2"/>
                <w:spacing w:val="-4"/>
              </w:rPr>
            </w:pPr>
            <w:r>
              <w:rPr>
                <w:color w:val="0D0D0D" w:themeColor="text1" w:themeTint="F2"/>
                <w:spacing w:val="-4"/>
              </w:rPr>
              <w:t xml:space="preserve">Průmyslová produkce v EU dosud letos pokračovala v nevýrazném růstu. Ve 2. čtvrtletí oproti předchozímu kvartálu posílila o 1,1 %. Meziročně byla za celé pololetí vyšší </w:t>
            </w:r>
            <w:r>
              <w:rPr>
                <w:color w:val="0D0D0D" w:themeColor="text1" w:themeTint="F2"/>
                <w:spacing w:val="-4"/>
              </w:rPr>
              <w:br/>
              <w:t xml:space="preserve">o 1,4 %, primárně díky nárůstu výkonu odvětví vyrábějících zboží krátkodobé </w:t>
            </w:r>
            <w:r>
              <w:rPr>
                <w:color w:val="0D0D0D" w:themeColor="text1" w:themeTint="F2"/>
                <w:spacing w:val="-4"/>
              </w:rPr>
              <w:br/>
              <w:t>i dlouhodobé spotřeby a také oborů souvisejících s energetikou. Naopak výkon odvětví zacílených na produkty investiční povahy se snížil (−1,9 %), hlavně vlivem přetrvávajících obtíží výrobců automobilů (−6,3 %). Zatímco v EU produkce v celém průmyslu překonala své předpandemické maximum již na počátku letošního roku, v zemích eurozóny se tak nestalo ani ve 2. čtvrtletí (−1,3 %). Oproti 1. pololetí 2021 vzrostla letos produkce nejvíce zejména v novějších členských státech Unie (např. v Polsku o 14,3 %), pokles postihl osm států – z významnějších průmyslových zemí šlo vedle Česka (−0,3 %) o Slovensko (−3,2 %), Rumunsko (−1,6 %) a</w:t>
            </w:r>
            <w:r w:rsidRPr="00052275">
              <w:rPr>
                <w:color w:val="0D0D0D" w:themeColor="text1" w:themeTint="F2"/>
                <w:spacing w:val="-6"/>
              </w:rPr>
              <w:t> </w:t>
            </w:r>
            <w:r>
              <w:rPr>
                <w:color w:val="0D0D0D" w:themeColor="text1" w:themeTint="F2"/>
                <w:spacing w:val="-4"/>
              </w:rPr>
              <w:t>Německo (−1,2 %). Průmyslové podniky v EU se letos potýkají s identickými růstovými bariérami (a s obdobnou intenzitou) jako ty v Česku.</w:t>
            </w:r>
          </w:p>
        </w:tc>
      </w:tr>
      <w:tr w:rsidR="00C2272B" w:rsidRPr="00030362" w14:paraId="14B54B86" w14:textId="77777777" w:rsidTr="00DB13EF">
        <w:trPr>
          <w:trHeight w:val="145"/>
        </w:trPr>
        <w:tc>
          <w:tcPr>
            <w:tcW w:w="1805" w:type="dxa"/>
            <w:tcBorders>
              <w:top w:val="nil"/>
              <w:left w:val="nil"/>
              <w:bottom w:val="nil"/>
              <w:right w:val="nil"/>
            </w:tcBorders>
            <w:shd w:val="clear" w:color="auto" w:fill="auto"/>
            <w:tcMar>
              <w:left w:w="0" w:type="dxa"/>
            </w:tcMar>
          </w:tcPr>
          <w:p w14:paraId="42B523DB" w14:textId="77777777" w:rsidR="00C2272B" w:rsidRDefault="00C2272B" w:rsidP="00DB13EF">
            <w:pPr>
              <w:pStyle w:val="Marginlie"/>
              <w:rPr>
                <w:color w:val="0D0D0D" w:themeColor="text1" w:themeTint="F2"/>
                <w:spacing w:val="0"/>
              </w:rPr>
            </w:pPr>
            <w:r>
              <w:rPr>
                <w:color w:val="0D0D0D" w:themeColor="text1" w:themeTint="F2"/>
                <w:spacing w:val="0"/>
              </w:rPr>
              <w:t>Růst stavební produkce na počátku roku citelně zrychlil, vysoké tempo se ale v dalším období neudrželo.</w:t>
            </w:r>
          </w:p>
        </w:tc>
        <w:tc>
          <w:tcPr>
            <w:tcW w:w="227" w:type="dxa"/>
            <w:tcBorders>
              <w:top w:val="nil"/>
              <w:left w:val="nil"/>
              <w:bottom w:val="nil"/>
              <w:right w:val="nil"/>
            </w:tcBorders>
            <w:shd w:val="clear" w:color="auto" w:fill="auto"/>
            <w:tcMar>
              <w:left w:w="0" w:type="dxa"/>
            </w:tcMar>
          </w:tcPr>
          <w:p w14:paraId="3A2D5DE7"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79783C7C" w14:textId="77777777" w:rsidR="00C2272B" w:rsidRPr="001665AB" w:rsidRDefault="00C2272B" w:rsidP="005866CA">
            <w:pPr>
              <w:spacing w:after="200"/>
              <w:rPr>
                <w:color w:val="0D0D0D" w:themeColor="text1" w:themeTint="F2"/>
                <w:spacing w:val="-6"/>
              </w:rPr>
            </w:pPr>
            <w:r w:rsidRPr="001665AB">
              <w:rPr>
                <w:color w:val="0D0D0D" w:themeColor="text1" w:themeTint="F2"/>
                <w:spacing w:val="-6"/>
              </w:rPr>
              <w:t>Po výrazném zrychlení růstu stavební produkce</w:t>
            </w:r>
            <w:r w:rsidRPr="001665AB">
              <w:rPr>
                <w:rStyle w:val="Znakapoznpodarou"/>
                <w:color w:val="0D0D0D" w:themeColor="text1" w:themeTint="F2"/>
                <w:spacing w:val="-6"/>
              </w:rPr>
              <w:footnoteReference w:id="18"/>
            </w:r>
            <w:r w:rsidRPr="001665AB">
              <w:rPr>
                <w:color w:val="0D0D0D" w:themeColor="text1" w:themeTint="F2"/>
                <w:spacing w:val="-6"/>
              </w:rPr>
              <w:t xml:space="preserve"> v 1. čtvrtletí 2022 (na 3,8 % mezikvartálně) způsobeném teplou zimou</w:t>
            </w:r>
            <w:r w:rsidRPr="001665AB">
              <w:rPr>
                <w:rStyle w:val="Znakapoznpodarou"/>
                <w:color w:val="0D0D0D" w:themeColor="text1" w:themeTint="F2"/>
                <w:spacing w:val="-6"/>
              </w:rPr>
              <w:footnoteReference w:id="19"/>
            </w:r>
            <w:r w:rsidRPr="001665AB">
              <w:rPr>
                <w:color w:val="0D0D0D" w:themeColor="text1" w:themeTint="F2"/>
                <w:spacing w:val="-6"/>
              </w:rPr>
              <w:t xml:space="preserve"> a vysokou zásobou veřejných i soukromých zakázek došlo v následujícím období ke korekci (zejména v inženýrském stavitelství) a objem stavební produkce tak klesl těsně pod úroveň 2. čtvrtletí 2019. Za celé 1. pololetí se letos zvýšil výkon </w:t>
            </w:r>
            <w:r w:rsidRPr="001665AB">
              <w:rPr>
                <w:color w:val="0D0D0D" w:themeColor="text1" w:themeTint="F2"/>
                <w:spacing w:val="-8"/>
              </w:rPr>
              <w:t>stavebnictví meziročně o 5,6 %, hlavně díky pozemnímu stavitelství (k růstu přispělo 4,5 p. b.).</w:t>
            </w:r>
            <w:r w:rsidRPr="001665AB">
              <w:rPr>
                <w:color w:val="0D0D0D" w:themeColor="text1" w:themeTint="F2"/>
                <w:spacing w:val="-6"/>
              </w:rPr>
              <w:t xml:space="preserve"> V samotném 2. čtvrtletí ale tempo zvolnilo (na 3,0 %, z velké části proto, že loňská srovnávací základna už měla obvyklou úroveň</w:t>
            </w:r>
            <w:r w:rsidRPr="001665AB">
              <w:rPr>
                <w:rStyle w:val="Znakapoznpodarou"/>
                <w:color w:val="0D0D0D" w:themeColor="text1" w:themeTint="F2"/>
                <w:spacing w:val="-6"/>
              </w:rPr>
              <w:footnoteReference w:id="20"/>
            </w:r>
            <w:r w:rsidRPr="001665AB">
              <w:rPr>
                <w:color w:val="0D0D0D" w:themeColor="text1" w:themeTint="F2"/>
                <w:spacing w:val="-6"/>
              </w:rPr>
              <w:t>). Výkon inženýrského stavitelství dokonce meziročně klesl (</w:t>
            </w:r>
            <w:r>
              <w:rPr>
                <w:color w:val="0D0D0D" w:themeColor="text1" w:themeTint="F2"/>
                <w:spacing w:val="-6"/>
              </w:rPr>
              <w:t>−</w:t>
            </w:r>
            <w:r w:rsidRPr="001665AB">
              <w:rPr>
                <w:color w:val="0D0D0D" w:themeColor="text1" w:themeTint="F2"/>
                <w:spacing w:val="-6"/>
              </w:rPr>
              <w:t xml:space="preserve">0,4 %). Zrychlené čerpání kapitálových výdajů ze státního rozpočtu (po ukončení </w:t>
            </w:r>
            <w:r w:rsidRPr="001665AB">
              <w:rPr>
                <w:color w:val="0D0D0D" w:themeColor="text1" w:themeTint="F2"/>
                <w:spacing w:val="-7"/>
              </w:rPr>
              <w:t>rozpočtového provizoria) spolu s vysokým objemem plánovaných investic v oblasti dopravních staveb na celý rok 2022 by měly dodat tomuto segmentu stavebnictví růstové impulsy.</w:t>
            </w:r>
          </w:p>
        </w:tc>
      </w:tr>
      <w:tr w:rsidR="00C2272B" w:rsidRPr="00030362" w14:paraId="71B21D9B" w14:textId="77777777" w:rsidTr="00DB13EF">
        <w:trPr>
          <w:trHeight w:val="145"/>
        </w:trPr>
        <w:tc>
          <w:tcPr>
            <w:tcW w:w="1805" w:type="dxa"/>
            <w:tcBorders>
              <w:top w:val="nil"/>
              <w:left w:val="nil"/>
              <w:bottom w:val="nil"/>
              <w:right w:val="nil"/>
            </w:tcBorders>
            <w:shd w:val="clear" w:color="auto" w:fill="auto"/>
            <w:tcMar>
              <w:left w:w="0" w:type="dxa"/>
            </w:tcMar>
          </w:tcPr>
          <w:p w14:paraId="0A1F0B81" w14:textId="77777777" w:rsidR="00C2272B" w:rsidRDefault="00C2272B" w:rsidP="00DB13EF">
            <w:pPr>
              <w:pStyle w:val="Marginlie"/>
              <w:rPr>
                <w:color w:val="0D0D0D" w:themeColor="text1" w:themeTint="F2"/>
                <w:spacing w:val="0"/>
              </w:rPr>
            </w:pPr>
            <w:r>
              <w:rPr>
                <w:color w:val="0D0D0D" w:themeColor="text1" w:themeTint="F2"/>
                <w:spacing w:val="0"/>
              </w:rPr>
              <w:t xml:space="preserve">Počet zahájených i dokončených bytů byl v rámci 1. pololetí rekordní. </w:t>
            </w:r>
          </w:p>
          <w:p w14:paraId="640913B3" w14:textId="77777777" w:rsidR="00C2272B" w:rsidRDefault="00C2272B" w:rsidP="00DB13EF">
            <w:pPr>
              <w:pStyle w:val="Marginlie"/>
              <w:rPr>
                <w:color w:val="0D0D0D" w:themeColor="text1" w:themeTint="F2"/>
                <w:spacing w:val="0"/>
              </w:rPr>
            </w:pPr>
          </w:p>
          <w:p w14:paraId="4B45B0F0" w14:textId="77777777" w:rsidR="00C2272B" w:rsidRDefault="00C2272B" w:rsidP="00DB13EF">
            <w:pPr>
              <w:pStyle w:val="Marginlie"/>
              <w:rPr>
                <w:color w:val="0D0D0D" w:themeColor="text1" w:themeTint="F2"/>
                <w:spacing w:val="0"/>
              </w:rPr>
            </w:pPr>
            <w:r>
              <w:rPr>
                <w:color w:val="0D0D0D" w:themeColor="text1" w:themeTint="F2"/>
                <w:spacing w:val="0"/>
              </w:rPr>
              <w:t>Patrně také vzrostla rozestavěnost, zejména u rodinných domů.</w:t>
            </w:r>
          </w:p>
        </w:tc>
        <w:tc>
          <w:tcPr>
            <w:tcW w:w="227" w:type="dxa"/>
            <w:tcBorders>
              <w:top w:val="nil"/>
              <w:left w:val="nil"/>
              <w:bottom w:val="nil"/>
              <w:right w:val="nil"/>
            </w:tcBorders>
            <w:shd w:val="clear" w:color="auto" w:fill="auto"/>
            <w:tcMar>
              <w:left w:w="0" w:type="dxa"/>
            </w:tcMar>
          </w:tcPr>
          <w:p w14:paraId="4BA1CB24"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18FB09C2" w14:textId="77777777" w:rsidR="00C2272B" w:rsidRPr="00CD6813" w:rsidRDefault="00C2272B" w:rsidP="005866CA">
            <w:pPr>
              <w:spacing w:after="200"/>
              <w:rPr>
                <w:color w:val="0D0D0D" w:themeColor="text1" w:themeTint="F2"/>
                <w:spacing w:val="-5"/>
              </w:rPr>
            </w:pPr>
            <w:r>
              <w:rPr>
                <w:color w:val="0D0D0D" w:themeColor="text1" w:themeTint="F2"/>
                <w:spacing w:val="-4"/>
              </w:rPr>
              <w:t xml:space="preserve">Pozemní stavitelství nadále profitovalo i z rozvoje bytové výstavby. Počet zahájených bytů vystoupal v 1. pololetí na 22,7 tis. a meziročně byl téměř o desetinu vyšší (posílil ve všech hlavních formách výstavby, nejvíce u rodinných domů). Počet bytů v rodinných </w:t>
            </w:r>
            <w:r>
              <w:rPr>
                <w:color w:val="0D0D0D" w:themeColor="text1" w:themeTint="F2"/>
                <w:spacing w:val="-4"/>
              </w:rPr>
              <w:br/>
              <w:t xml:space="preserve">i bytových domech mírně převýšil rekordní hladinu z 1. pololetí 2008. Skoro třetina zahájených bytů byla soustředěna ve Středočeském kraji, popř. v Praze, ve které však výstavba zaostala za loňskou úrovní i rekordní výší z roku 2006. Dosud nevídaný byl letos i celkový počet dokončených bytů v ČR (17,4 tis.), meziročně ale vzrostl jen mírně </w:t>
            </w:r>
            <w:r>
              <w:rPr>
                <w:color w:val="0D0D0D" w:themeColor="text1" w:themeTint="F2"/>
                <w:spacing w:val="-4"/>
              </w:rPr>
              <w:br/>
              <w:t>(+2,6 %), což patrně souviselo s prodlužováním doby výstavby (hlavně rodinných domů) vinou vysokého růstu cen materiálů a značné vytíženosti stavebních firem.</w:t>
            </w:r>
          </w:p>
        </w:tc>
      </w:tr>
      <w:tr w:rsidR="00C2272B" w:rsidRPr="00030362" w14:paraId="2E4F50AC" w14:textId="77777777" w:rsidTr="00DB13EF">
        <w:trPr>
          <w:trHeight w:val="145"/>
        </w:trPr>
        <w:tc>
          <w:tcPr>
            <w:tcW w:w="1805" w:type="dxa"/>
            <w:tcBorders>
              <w:top w:val="nil"/>
              <w:left w:val="nil"/>
              <w:bottom w:val="nil"/>
              <w:right w:val="nil"/>
            </w:tcBorders>
            <w:shd w:val="clear" w:color="auto" w:fill="auto"/>
            <w:tcMar>
              <w:left w:w="0" w:type="dxa"/>
            </w:tcMar>
          </w:tcPr>
          <w:p w14:paraId="5926C41C" w14:textId="77777777" w:rsidR="00C2272B" w:rsidRDefault="00C2272B" w:rsidP="00DB13EF">
            <w:pPr>
              <w:pStyle w:val="Marginlie"/>
              <w:rPr>
                <w:color w:val="0D0D0D" w:themeColor="text1" w:themeTint="F2"/>
                <w:spacing w:val="0"/>
              </w:rPr>
            </w:pPr>
            <w:r>
              <w:rPr>
                <w:color w:val="0D0D0D" w:themeColor="text1" w:themeTint="F2"/>
                <w:spacing w:val="-5"/>
              </w:rPr>
              <w:lastRenderedPageBreak/>
              <w:t>Zvyšování</w:t>
            </w:r>
            <w:r w:rsidRPr="006E6774">
              <w:rPr>
                <w:color w:val="0D0D0D" w:themeColor="text1" w:themeTint="F2"/>
                <w:spacing w:val="-5"/>
              </w:rPr>
              <w:t xml:space="preserve"> hodnoty nových stavebních zakázek odrážel</w:t>
            </w:r>
            <w:r>
              <w:rPr>
                <w:color w:val="0D0D0D" w:themeColor="text1" w:themeTint="F2"/>
                <w:spacing w:val="-5"/>
              </w:rPr>
              <w:t>o</w:t>
            </w:r>
            <w:r w:rsidRPr="006E6774">
              <w:rPr>
                <w:color w:val="0D0D0D" w:themeColor="text1" w:themeTint="F2"/>
                <w:spacing w:val="-5"/>
              </w:rPr>
              <w:t xml:space="preserve"> hlavně rostoucí ceny stavebních prací. </w:t>
            </w:r>
            <w:r>
              <w:rPr>
                <w:color w:val="0D0D0D" w:themeColor="text1" w:themeTint="F2"/>
                <w:spacing w:val="-5"/>
              </w:rPr>
              <w:t>Růst celkové zásoby práce se zmírnil, zejména kvůli soukromým zakázkám.</w:t>
            </w:r>
          </w:p>
        </w:tc>
        <w:tc>
          <w:tcPr>
            <w:tcW w:w="227" w:type="dxa"/>
            <w:tcBorders>
              <w:top w:val="nil"/>
              <w:left w:val="nil"/>
              <w:bottom w:val="nil"/>
              <w:right w:val="nil"/>
            </w:tcBorders>
            <w:shd w:val="clear" w:color="auto" w:fill="auto"/>
            <w:tcMar>
              <w:left w:w="0" w:type="dxa"/>
            </w:tcMar>
          </w:tcPr>
          <w:p w14:paraId="3F3E494D"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38EF4B9" w14:textId="77777777" w:rsidR="00C2272B" w:rsidRDefault="00C2272B" w:rsidP="005866CA">
            <w:pPr>
              <w:spacing w:after="200"/>
              <w:rPr>
                <w:color w:val="0D0D0D" w:themeColor="text1" w:themeTint="F2"/>
                <w:spacing w:val="-4"/>
              </w:rPr>
            </w:pPr>
            <w:r w:rsidRPr="00CD6813">
              <w:rPr>
                <w:rFonts w:cs="Arial"/>
                <w:color w:val="0D0D0D" w:themeColor="text1" w:themeTint="F2"/>
                <w:spacing w:val="-6"/>
              </w:rPr>
              <w:t>Nominální hodnota nově uzavřených tuzemských stavebních zakázek (v podnicích s více než 50 zaměstnanci) vzrostla ve 2. čtvrtletí me</w:t>
            </w:r>
            <w:r>
              <w:rPr>
                <w:rFonts w:cs="Arial"/>
                <w:color w:val="0D0D0D" w:themeColor="text1" w:themeTint="F2"/>
                <w:spacing w:val="-6"/>
              </w:rPr>
              <w:t>ziročně o 16,3 % (jen mírně nižšího tempa docílila i</w:t>
            </w:r>
            <w:r>
              <w:rPr>
                <w:rFonts w:cs="Arial"/>
                <w:color w:val="0D0D0D" w:themeColor="text1" w:themeTint="F2"/>
                <w:spacing w:val="-4"/>
              </w:rPr>
              <w:t> </w:t>
            </w:r>
            <w:r w:rsidRPr="00CD6813">
              <w:rPr>
                <w:rFonts w:cs="Arial"/>
                <w:color w:val="0D0D0D" w:themeColor="text1" w:themeTint="F2"/>
                <w:spacing w:val="-6"/>
              </w:rPr>
              <w:t>na</w:t>
            </w:r>
            <w:r>
              <w:rPr>
                <w:rFonts w:cs="Arial"/>
                <w:color w:val="0D0D0D" w:themeColor="text1" w:themeTint="F2"/>
                <w:spacing w:val="-4"/>
              </w:rPr>
              <w:t xml:space="preserve"> počátku roku). K růstu přispěly pouze zakázky v inženýrském stavebnictví. </w:t>
            </w:r>
            <w:r w:rsidRPr="003448DB">
              <w:rPr>
                <w:rFonts w:cs="Arial"/>
                <w:color w:val="0D0D0D" w:themeColor="text1" w:themeTint="F2"/>
                <w:spacing w:val="-4"/>
              </w:rPr>
              <w:t xml:space="preserve">Celková zásoba práce zahrnující veškeré dosud nerealizované stavební zakázky byla </w:t>
            </w:r>
            <w:r>
              <w:rPr>
                <w:rFonts w:cs="Arial"/>
                <w:color w:val="0D0D0D" w:themeColor="text1" w:themeTint="F2"/>
                <w:spacing w:val="-4"/>
              </w:rPr>
              <w:t xml:space="preserve">letos </w:t>
            </w:r>
            <w:r w:rsidRPr="003448DB">
              <w:rPr>
                <w:rFonts w:cs="Arial"/>
                <w:color w:val="0D0D0D" w:themeColor="text1" w:themeTint="F2"/>
                <w:spacing w:val="-4"/>
              </w:rPr>
              <w:t>na konc</w:t>
            </w:r>
            <w:r>
              <w:rPr>
                <w:rFonts w:cs="Arial"/>
                <w:color w:val="0D0D0D" w:themeColor="text1" w:themeTint="F2"/>
                <w:spacing w:val="-4"/>
              </w:rPr>
              <w:t>i června meziročně o</w:t>
            </w:r>
            <w:r>
              <w:t> </w:t>
            </w:r>
            <w:r>
              <w:rPr>
                <w:rFonts w:cs="Arial"/>
                <w:color w:val="0D0D0D" w:themeColor="text1" w:themeTint="F2"/>
                <w:spacing w:val="-4"/>
              </w:rPr>
              <w:t>8,1</w:t>
            </w:r>
            <w:r w:rsidRPr="003448DB">
              <w:rPr>
                <w:rFonts w:cs="Arial"/>
                <w:color w:val="0D0D0D" w:themeColor="text1" w:themeTint="F2"/>
                <w:spacing w:val="-4"/>
              </w:rPr>
              <w:t xml:space="preserve"> %</w:t>
            </w:r>
            <w:r>
              <w:rPr>
                <w:rFonts w:cs="Arial"/>
                <w:color w:val="0D0D0D" w:themeColor="text1" w:themeTint="F2"/>
                <w:spacing w:val="-4"/>
              </w:rPr>
              <w:t xml:space="preserve"> vyšší. Růst zásoby soukromých objednávek se ale poprvé od roku 2017 fakticky zastavil, což souvisí i s nižším přílivem nových zakázek v pozemním stavitelství. Menší poptávku registrovaly firmy i u prací v zahraničí. </w:t>
            </w:r>
            <w:r w:rsidRPr="003448DB">
              <w:rPr>
                <w:rFonts w:cs="Arial"/>
                <w:color w:val="0D0D0D" w:themeColor="text1" w:themeTint="F2"/>
                <w:spacing w:val="-4"/>
              </w:rPr>
              <w:t>Pozitivnější výhledy pro celé odvětví naznačuje pokračující svižný růst orientační hodnoty vydaných stavebních povolení (</w:t>
            </w:r>
            <w:r>
              <w:rPr>
                <w:rFonts w:cs="Arial"/>
                <w:color w:val="0D0D0D" w:themeColor="text1" w:themeTint="F2"/>
                <w:spacing w:val="-4"/>
              </w:rPr>
              <w:t>za 1. pololetí meziročně o</w:t>
            </w:r>
            <w:r w:rsidRPr="003448DB">
              <w:rPr>
                <w:rFonts w:cs="Arial"/>
                <w:color w:val="0D0D0D" w:themeColor="text1" w:themeTint="F2"/>
                <w:spacing w:val="-4"/>
              </w:rPr>
              <w:t> </w:t>
            </w:r>
            <w:r>
              <w:rPr>
                <w:rFonts w:cs="Arial"/>
                <w:color w:val="0D0D0D" w:themeColor="text1" w:themeTint="F2"/>
                <w:spacing w:val="-4"/>
              </w:rPr>
              <w:t xml:space="preserve">20,7 </w:t>
            </w:r>
            <w:r w:rsidRPr="003448DB">
              <w:rPr>
                <w:rFonts w:cs="Arial"/>
                <w:color w:val="0D0D0D" w:themeColor="text1" w:themeTint="F2"/>
                <w:spacing w:val="-4"/>
              </w:rPr>
              <w:t xml:space="preserve">%) sycený </w:t>
            </w:r>
            <w:r>
              <w:rPr>
                <w:rFonts w:cs="Arial"/>
                <w:color w:val="0D0D0D" w:themeColor="text1" w:themeTint="F2"/>
                <w:spacing w:val="-4"/>
              </w:rPr>
              <w:t xml:space="preserve">zejména </w:t>
            </w:r>
            <w:r w:rsidRPr="003448DB">
              <w:rPr>
                <w:rFonts w:cs="Arial"/>
                <w:color w:val="0D0D0D" w:themeColor="text1" w:themeTint="F2"/>
                <w:spacing w:val="-4"/>
              </w:rPr>
              <w:t>novou výstavbo</w:t>
            </w:r>
            <w:r>
              <w:rPr>
                <w:rFonts w:cs="Arial"/>
                <w:color w:val="0D0D0D" w:themeColor="text1" w:themeTint="F2"/>
                <w:spacing w:val="-4"/>
              </w:rPr>
              <w:t xml:space="preserve">u </w:t>
            </w:r>
            <w:r w:rsidRPr="003448DB">
              <w:rPr>
                <w:rFonts w:cs="Arial"/>
                <w:color w:val="0D0D0D" w:themeColor="text1" w:themeTint="F2"/>
                <w:spacing w:val="-4"/>
              </w:rPr>
              <w:t xml:space="preserve">bytových </w:t>
            </w:r>
            <w:r>
              <w:rPr>
                <w:rFonts w:cs="Arial"/>
                <w:color w:val="0D0D0D" w:themeColor="text1" w:themeTint="F2"/>
                <w:spacing w:val="-4"/>
              </w:rPr>
              <w:t xml:space="preserve">i nebytových </w:t>
            </w:r>
            <w:r w:rsidRPr="003448DB">
              <w:rPr>
                <w:rFonts w:cs="Arial"/>
                <w:color w:val="0D0D0D" w:themeColor="text1" w:themeTint="F2"/>
                <w:spacing w:val="-4"/>
              </w:rPr>
              <w:t xml:space="preserve">budov. Tempo růstu nominální hodnoty povolení </w:t>
            </w:r>
            <w:r>
              <w:rPr>
                <w:rFonts w:cs="Arial"/>
                <w:color w:val="0D0D0D" w:themeColor="text1" w:themeTint="F2"/>
                <w:spacing w:val="-4"/>
              </w:rPr>
              <w:t>tak stále mírně</w:t>
            </w:r>
            <w:r w:rsidRPr="003448DB">
              <w:rPr>
                <w:rFonts w:cs="Arial"/>
                <w:color w:val="0D0D0D" w:themeColor="text1" w:themeTint="F2"/>
                <w:spacing w:val="-4"/>
              </w:rPr>
              <w:t xml:space="preserve"> převyšovalo dynamiku cen stavebních prací</w:t>
            </w:r>
            <w:r>
              <w:rPr>
                <w:rStyle w:val="Znakapoznpodarou"/>
                <w:color w:val="0D0D0D" w:themeColor="text1" w:themeTint="F2"/>
                <w:spacing w:val="-4"/>
              </w:rPr>
              <w:footnoteReference w:id="21"/>
            </w:r>
            <w:r w:rsidRPr="003448DB">
              <w:rPr>
                <w:rFonts w:cs="Arial"/>
                <w:color w:val="0D0D0D" w:themeColor="text1" w:themeTint="F2"/>
                <w:spacing w:val="-4"/>
              </w:rPr>
              <w:t>.</w:t>
            </w:r>
          </w:p>
        </w:tc>
      </w:tr>
      <w:tr w:rsidR="00C2272B" w:rsidRPr="00030362" w14:paraId="3085CBB1" w14:textId="77777777" w:rsidTr="00DB13EF">
        <w:trPr>
          <w:trHeight w:val="145"/>
        </w:trPr>
        <w:tc>
          <w:tcPr>
            <w:tcW w:w="1805" w:type="dxa"/>
            <w:tcBorders>
              <w:top w:val="nil"/>
              <w:left w:val="nil"/>
              <w:bottom w:val="nil"/>
              <w:right w:val="nil"/>
            </w:tcBorders>
            <w:shd w:val="clear" w:color="auto" w:fill="auto"/>
            <w:tcMar>
              <w:left w:w="0" w:type="dxa"/>
            </w:tcMar>
          </w:tcPr>
          <w:p w14:paraId="33D6ACCE" w14:textId="77777777" w:rsidR="00C2272B" w:rsidRDefault="00C2272B" w:rsidP="00DB13EF">
            <w:pPr>
              <w:pStyle w:val="Marginlie"/>
              <w:rPr>
                <w:color w:val="0D0D0D" w:themeColor="text1" w:themeTint="F2"/>
                <w:spacing w:val="-5"/>
              </w:rPr>
            </w:pPr>
          </w:p>
        </w:tc>
        <w:tc>
          <w:tcPr>
            <w:tcW w:w="227" w:type="dxa"/>
            <w:tcBorders>
              <w:top w:val="nil"/>
              <w:left w:val="nil"/>
              <w:bottom w:val="nil"/>
              <w:right w:val="nil"/>
            </w:tcBorders>
            <w:shd w:val="clear" w:color="auto" w:fill="auto"/>
            <w:tcMar>
              <w:left w:w="0" w:type="dxa"/>
            </w:tcMar>
          </w:tcPr>
          <w:p w14:paraId="4DB017E7"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7791D42D" w14:textId="2F9A09D8" w:rsidR="00C2272B" w:rsidRPr="00CD6813" w:rsidRDefault="00C2272B" w:rsidP="00DB13EF">
            <w:pPr>
              <w:spacing w:after="0"/>
              <w:rPr>
                <w:rFonts w:cs="Arial"/>
                <w:color w:val="0D0D0D" w:themeColor="text1" w:themeTint="F2"/>
                <w:spacing w:val="-6"/>
              </w:rPr>
            </w:pPr>
            <w:r w:rsidRPr="006E759E">
              <w:rPr>
                <w:b/>
                <w:spacing w:val="-5"/>
              </w:rPr>
              <w:t xml:space="preserve">Graf </w:t>
            </w:r>
            <w:r w:rsidR="0052792D" w:rsidRPr="006E759E">
              <w:rPr>
                <w:b/>
                <w:spacing w:val="-5"/>
              </w:rPr>
              <w:t>č. 6 Příspěvky</w:t>
            </w:r>
            <w:r w:rsidRPr="006E759E">
              <w:rPr>
                <w:b/>
                <w:spacing w:val="-5"/>
              </w:rPr>
              <w:t xml:space="preserve">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C2272B" w:rsidRPr="00030362" w14:paraId="0AE1D209" w14:textId="77777777" w:rsidTr="00DB13EF">
        <w:trPr>
          <w:trHeight w:val="145"/>
        </w:trPr>
        <w:tc>
          <w:tcPr>
            <w:tcW w:w="1805" w:type="dxa"/>
            <w:tcBorders>
              <w:top w:val="nil"/>
              <w:left w:val="nil"/>
              <w:bottom w:val="nil"/>
              <w:right w:val="nil"/>
            </w:tcBorders>
            <w:shd w:val="clear" w:color="auto" w:fill="auto"/>
            <w:tcMar>
              <w:left w:w="0" w:type="dxa"/>
            </w:tcMar>
          </w:tcPr>
          <w:p w14:paraId="17E41D32" w14:textId="77777777" w:rsidR="00C2272B" w:rsidRDefault="00C2272B" w:rsidP="00DB13EF">
            <w:pPr>
              <w:pStyle w:val="Marginlie"/>
              <w:rPr>
                <w:color w:val="0D0D0D" w:themeColor="text1" w:themeTint="F2"/>
                <w:spacing w:val="-5"/>
              </w:rPr>
            </w:pPr>
          </w:p>
        </w:tc>
        <w:tc>
          <w:tcPr>
            <w:tcW w:w="227" w:type="dxa"/>
            <w:tcBorders>
              <w:top w:val="nil"/>
              <w:left w:val="nil"/>
              <w:bottom w:val="nil"/>
              <w:right w:val="nil"/>
            </w:tcBorders>
            <w:shd w:val="clear" w:color="auto" w:fill="auto"/>
            <w:tcMar>
              <w:left w:w="0" w:type="dxa"/>
            </w:tcMar>
          </w:tcPr>
          <w:p w14:paraId="2540BD1D"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3FA3D2FC" w14:textId="77777777" w:rsidR="00C2272B" w:rsidRPr="006E759E" w:rsidRDefault="00C2272B" w:rsidP="00DB13EF">
            <w:pPr>
              <w:spacing w:after="0"/>
              <w:rPr>
                <w:b/>
                <w:spacing w:val="-5"/>
              </w:rPr>
            </w:pPr>
            <w:r>
              <w:rPr>
                <w:noProof/>
              </w:rPr>
              <w:drawing>
                <wp:inline distT="0" distB="0" distL="0" distR="0" wp14:anchorId="7796D39B" wp14:editId="28EE7A45">
                  <wp:extent cx="4693285" cy="3348000"/>
                  <wp:effectExtent l="0" t="0" r="0" b="508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2272B" w:rsidRPr="00030362" w14:paraId="24E04332" w14:textId="77777777" w:rsidTr="00DB13EF">
        <w:trPr>
          <w:trHeight w:val="145"/>
        </w:trPr>
        <w:tc>
          <w:tcPr>
            <w:tcW w:w="1805" w:type="dxa"/>
            <w:tcBorders>
              <w:top w:val="nil"/>
              <w:left w:val="nil"/>
              <w:bottom w:val="nil"/>
              <w:right w:val="nil"/>
            </w:tcBorders>
            <w:shd w:val="clear" w:color="auto" w:fill="auto"/>
            <w:tcMar>
              <w:left w:w="0" w:type="dxa"/>
            </w:tcMar>
          </w:tcPr>
          <w:p w14:paraId="1443577F" w14:textId="77777777" w:rsidR="00C2272B" w:rsidRDefault="00C2272B" w:rsidP="00DB13EF">
            <w:pPr>
              <w:pStyle w:val="Marginlie"/>
              <w:rPr>
                <w:color w:val="0D0D0D" w:themeColor="text1" w:themeTint="F2"/>
                <w:spacing w:val="-5"/>
              </w:rPr>
            </w:pPr>
          </w:p>
        </w:tc>
        <w:tc>
          <w:tcPr>
            <w:tcW w:w="227" w:type="dxa"/>
            <w:tcBorders>
              <w:top w:val="nil"/>
              <w:left w:val="nil"/>
              <w:bottom w:val="nil"/>
              <w:right w:val="nil"/>
            </w:tcBorders>
            <w:shd w:val="clear" w:color="auto" w:fill="auto"/>
            <w:tcMar>
              <w:left w:w="0" w:type="dxa"/>
            </w:tcMar>
          </w:tcPr>
          <w:p w14:paraId="76806DC3"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37FFCEBF" w14:textId="77777777" w:rsidR="00C2272B" w:rsidRPr="00883202" w:rsidRDefault="00C2272B" w:rsidP="00DB13EF">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6BAB476E" w14:textId="77777777" w:rsidR="00C2272B" w:rsidRDefault="00C2272B" w:rsidP="00DB13EF">
            <w:pPr>
              <w:spacing w:after="220"/>
              <w:rPr>
                <w:noProof/>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Eurostat</w:t>
            </w:r>
          </w:p>
        </w:tc>
      </w:tr>
      <w:tr w:rsidR="00C2272B" w:rsidRPr="00030362" w14:paraId="2ED47D3B" w14:textId="77777777" w:rsidTr="00DB13EF">
        <w:trPr>
          <w:trHeight w:val="145"/>
        </w:trPr>
        <w:tc>
          <w:tcPr>
            <w:tcW w:w="1805" w:type="dxa"/>
            <w:tcBorders>
              <w:top w:val="nil"/>
              <w:left w:val="nil"/>
              <w:bottom w:val="nil"/>
              <w:right w:val="nil"/>
            </w:tcBorders>
            <w:shd w:val="clear" w:color="auto" w:fill="auto"/>
            <w:tcMar>
              <w:left w:w="0" w:type="dxa"/>
            </w:tcMar>
          </w:tcPr>
          <w:p w14:paraId="4A7E8EEF" w14:textId="77777777" w:rsidR="00C2272B" w:rsidRDefault="00C2272B" w:rsidP="00DB13EF">
            <w:pPr>
              <w:pStyle w:val="Marginlie"/>
            </w:pPr>
            <w:r>
              <w:t>Důvěra podnikatelů ve stavebnictví zůstávala navzdory mírnému zhoršení znatelně nad dlouhodobým průměrem.</w:t>
            </w:r>
          </w:p>
          <w:p w14:paraId="743E4262" w14:textId="77777777" w:rsidR="00C2272B" w:rsidRDefault="00C2272B" w:rsidP="00DB13EF">
            <w:pPr>
              <w:pStyle w:val="Marginlie"/>
            </w:pPr>
          </w:p>
          <w:p w14:paraId="1385A875" w14:textId="77777777" w:rsidR="00C2272B" w:rsidRDefault="00C2272B" w:rsidP="00DB13EF">
            <w:pPr>
              <w:pStyle w:val="Marginlie"/>
            </w:pPr>
          </w:p>
          <w:p w14:paraId="099C57EA" w14:textId="77777777" w:rsidR="00C2272B" w:rsidRDefault="00C2272B" w:rsidP="00DB13EF">
            <w:pPr>
              <w:pStyle w:val="Marginlie"/>
            </w:pPr>
            <w:r>
              <w:t>I přes rostoucí obavy ze zhoršení vlastní ekonomické situace plánovaly podniky pokračovat v náboru pracovníků.</w:t>
            </w:r>
          </w:p>
          <w:p w14:paraId="4DE56374" w14:textId="77777777" w:rsidR="00C2272B" w:rsidRDefault="00C2272B" w:rsidP="00DB13EF">
            <w:pPr>
              <w:pStyle w:val="Marginlie"/>
            </w:pPr>
          </w:p>
          <w:p w14:paraId="742542DD" w14:textId="77777777" w:rsidR="00C2272B" w:rsidRDefault="00C2272B" w:rsidP="00DB13EF">
            <w:pPr>
              <w:pStyle w:val="Marginlie"/>
              <w:rPr>
                <w:color w:val="0D0D0D" w:themeColor="text1" w:themeTint="F2"/>
                <w:spacing w:val="-5"/>
              </w:rPr>
            </w:pPr>
          </w:p>
        </w:tc>
        <w:tc>
          <w:tcPr>
            <w:tcW w:w="227" w:type="dxa"/>
            <w:tcBorders>
              <w:top w:val="nil"/>
              <w:left w:val="nil"/>
              <w:bottom w:val="nil"/>
              <w:right w:val="nil"/>
            </w:tcBorders>
            <w:shd w:val="clear" w:color="auto" w:fill="auto"/>
            <w:tcMar>
              <w:left w:w="0" w:type="dxa"/>
            </w:tcMar>
          </w:tcPr>
          <w:p w14:paraId="5482FD70"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404193EB" w14:textId="324583A1" w:rsidR="00C2272B" w:rsidRDefault="00C2272B" w:rsidP="00CF35A7">
            <w:pPr>
              <w:spacing w:after="180"/>
              <w:rPr>
                <w:rFonts w:cs="Arial"/>
                <w:sz w:val="14"/>
                <w:szCs w:val="14"/>
              </w:rPr>
            </w:pPr>
            <w:r>
              <w:rPr>
                <w:rFonts w:cs="Arial"/>
                <w:color w:val="0D0D0D" w:themeColor="text1" w:themeTint="F2"/>
                <w:spacing w:val="-6"/>
              </w:rPr>
              <w:t>Dobré výsledky stavebnictví na počátku letošního roku podpořily optimismus podnikatelů v tomto odvětví a únorové saldo důvěry se tak srovnalo s absolutním maximem (z ledna 2019). Později nálada v odvětví lehce opadla, v červenci se však stále nacházela na úrovni období těsně před propuknutím pandemie (a současně znatelně nad dlouhodobým průměrem). Podniky vnímaly svou současnou ekonomickou situaci příznivě, výhledy na nejbližší pololetí ale zhoršily (do mírně negativního pásma). I přesto plánovaly nábor nových pracovníků (evidenční počet zaměstnanců se v 1. pololetí meziročně zvýšil o 1 %). Růst, shodně jako pokles stavební činnosti, očekávala v nejbližším kvartálu necelá pětina firem. Zpomalení růstu cen stavebních materiálů se dosud projevilo v inflačních očekáváních podniků jen omezeně</w:t>
            </w:r>
            <w:r>
              <w:rPr>
                <w:rStyle w:val="Znakapoznpodarou"/>
                <w:color w:val="0D0D0D" w:themeColor="text1" w:themeTint="F2"/>
                <w:spacing w:val="-6"/>
              </w:rPr>
              <w:footnoteReference w:id="22"/>
            </w:r>
            <w:r>
              <w:rPr>
                <w:rFonts w:cs="Arial"/>
                <w:color w:val="0D0D0D" w:themeColor="text1" w:themeTint="F2"/>
                <w:spacing w:val="-6"/>
              </w:rPr>
              <w:t>. Podniky jsou stále výrazně omezeny růstovými bariérami. Již</w:t>
            </w:r>
            <w:r w:rsidR="00CF35A7">
              <w:rPr>
                <w:rFonts w:cs="Arial"/>
                <w:color w:val="0D0D0D" w:themeColor="text1" w:themeTint="F2"/>
                <w:spacing w:val="-6"/>
              </w:rPr>
              <w:t> </w:t>
            </w:r>
            <w:r>
              <w:rPr>
                <w:rFonts w:cs="Arial"/>
                <w:color w:val="0D0D0D" w:themeColor="text1" w:themeTint="F2"/>
                <w:spacing w:val="-6"/>
              </w:rPr>
              <w:t xml:space="preserve">bezmála čtyři roky zůstává hlavním limitem nedostatek pracovníků (byť se zdá, že válka </w:t>
            </w:r>
            <w:r>
              <w:rPr>
                <w:rFonts w:cs="Arial"/>
                <w:color w:val="0D0D0D" w:themeColor="text1" w:themeTint="F2"/>
                <w:spacing w:val="-6"/>
              </w:rPr>
              <w:lastRenderedPageBreak/>
              <w:t>na Ukrajině tento problém významně nezhoršila). K tomu rostl podíl podniků sužovaných nedostatkem materiálů (jako jednu z bariér ho uvedly skoro čtyři z deseti podniků, více trápil firmy v oblasti výstavby budov). Nedostatečnou poptávku vnímala citlivě pětina podniků (častěji v oblasti inženýrských staveb).</w:t>
            </w:r>
          </w:p>
        </w:tc>
      </w:tr>
      <w:tr w:rsidR="00C2272B" w:rsidRPr="00030362" w14:paraId="46008A82" w14:textId="77777777" w:rsidTr="00DB13EF">
        <w:trPr>
          <w:trHeight w:val="145"/>
        </w:trPr>
        <w:tc>
          <w:tcPr>
            <w:tcW w:w="1805" w:type="dxa"/>
            <w:tcBorders>
              <w:top w:val="nil"/>
              <w:left w:val="nil"/>
              <w:bottom w:val="nil"/>
              <w:right w:val="nil"/>
            </w:tcBorders>
            <w:shd w:val="clear" w:color="auto" w:fill="auto"/>
            <w:tcMar>
              <w:left w:w="0" w:type="dxa"/>
            </w:tcMar>
          </w:tcPr>
          <w:p w14:paraId="28D518A0" w14:textId="77777777" w:rsidR="00C2272B" w:rsidRDefault="00C2272B" w:rsidP="00DB13EF">
            <w:pPr>
              <w:pStyle w:val="Marginlie"/>
            </w:pPr>
            <w:r>
              <w:lastRenderedPageBreak/>
              <w:t>Tržby ve službách posilovaly a překonaly úroveň z roku 2019. Růst poptávky zasáhl letos ve 2. čtvrtletí všechna hlavní odvětví.</w:t>
            </w:r>
          </w:p>
        </w:tc>
        <w:tc>
          <w:tcPr>
            <w:tcW w:w="227" w:type="dxa"/>
            <w:tcBorders>
              <w:top w:val="nil"/>
              <w:left w:val="nil"/>
              <w:bottom w:val="nil"/>
              <w:right w:val="nil"/>
            </w:tcBorders>
            <w:shd w:val="clear" w:color="auto" w:fill="auto"/>
            <w:tcMar>
              <w:left w:w="0" w:type="dxa"/>
            </w:tcMar>
          </w:tcPr>
          <w:p w14:paraId="121E83F3"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37B8C23E" w14:textId="5A4BA404" w:rsidR="00C2272B" w:rsidRDefault="00C2272B" w:rsidP="00DB13EF">
            <w:pPr>
              <w:spacing w:after="180"/>
              <w:rPr>
                <w:rFonts w:cs="Arial"/>
                <w:color w:val="0D0D0D" w:themeColor="text1" w:themeTint="F2"/>
                <w:spacing w:val="-6"/>
              </w:rPr>
            </w:pPr>
            <w:r>
              <w:rPr>
                <w:rFonts w:cs="Arial"/>
                <w:color w:val="0D0D0D" w:themeColor="text1" w:themeTint="F2"/>
                <w:spacing w:val="-6"/>
              </w:rPr>
              <w:t>Poptávka po službách se nadále zvyšovala.</w:t>
            </w:r>
            <w:r w:rsidRPr="00231745">
              <w:rPr>
                <w:color w:val="0D0D0D" w:themeColor="text1" w:themeTint="F2"/>
                <w:spacing w:val="-4"/>
              </w:rPr>
              <w:t xml:space="preserve"> </w:t>
            </w:r>
            <w:r>
              <w:rPr>
                <w:color w:val="0D0D0D" w:themeColor="text1" w:themeTint="F2"/>
                <w:spacing w:val="-4"/>
              </w:rPr>
              <w:t xml:space="preserve">Tržby ve </w:t>
            </w:r>
            <w:r w:rsidRPr="00231745">
              <w:rPr>
                <w:color w:val="0D0D0D" w:themeColor="text1" w:themeTint="F2"/>
                <w:spacing w:val="-4"/>
              </w:rPr>
              <w:t>službách</w:t>
            </w:r>
            <w:r w:rsidRPr="00231745">
              <w:rPr>
                <w:color w:val="0D0D0D" w:themeColor="text1" w:themeTint="F2"/>
                <w:spacing w:val="-4"/>
                <w:vertAlign w:val="superscript"/>
              </w:rPr>
              <w:footnoteReference w:id="23"/>
            </w:r>
            <w:r>
              <w:rPr>
                <w:color w:val="0D0D0D" w:themeColor="text1" w:themeTint="F2"/>
                <w:spacing w:val="-4"/>
              </w:rPr>
              <w:t xml:space="preserve"> mezikvartálně rostly nepřetržitě od počátku loňského roku a v 1. čtvrtletí 2022 poprvé vystoupaly na úroveň z vrcholu předpandemické konjunktury. V následujícím kvartálu posílily o 2,6 %. Pozitivní bylo, že se na tomto růstu podílela všechna hlavní odvětví. Poslední protipandemické restrikce (spočívající zejména v regulaci počtu návštěvníků u některých hromadných vnitřních aktivit</w:t>
            </w:r>
            <w:r>
              <w:rPr>
                <w:rStyle w:val="Znakapoznpodarou"/>
                <w:color w:val="0D0D0D" w:themeColor="text1" w:themeTint="F2"/>
                <w:spacing w:val="-4"/>
              </w:rPr>
              <w:footnoteReference w:id="24"/>
            </w:r>
            <w:r>
              <w:rPr>
                <w:color w:val="0D0D0D" w:themeColor="text1" w:themeTint="F2"/>
                <w:spacing w:val="-4"/>
              </w:rPr>
              <w:t>) byly letos během 1. čtvrtletí zrušeny a domácnosti tak mohly pokračovat v realizaci své „odložené spotřeby“. Tržby ve službách za celé 1. pololetí se meziročně zvýšily (o 12,6 %), a to díky všem hlavním odvětvím. Nejvíce přis</w:t>
            </w:r>
            <w:r w:rsidR="002E4DCE">
              <w:rPr>
                <w:color w:val="0D0D0D" w:themeColor="text1" w:themeTint="F2"/>
                <w:spacing w:val="-4"/>
              </w:rPr>
              <w:t xml:space="preserve">pěla doprava </w:t>
            </w:r>
            <w:r w:rsidR="002E4DCE">
              <w:rPr>
                <w:color w:val="0D0D0D" w:themeColor="text1" w:themeTint="F2"/>
                <w:spacing w:val="-4"/>
              </w:rPr>
              <w:br/>
              <w:t>a skladování (+4,8</w:t>
            </w:r>
            <w:r>
              <w:rPr>
                <w:color w:val="0D0D0D" w:themeColor="text1" w:themeTint="F2"/>
                <w:spacing w:val="-4"/>
              </w:rPr>
              <w:t xml:space="preserve"> p. b.), které sehrály rozhodující roli v oživení služeb i vloni. </w:t>
            </w:r>
          </w:p>
        </w:tc>
      </w:tr>
      <w:tr w:rsidR="00C2272B" w:rsidRPr="00030362" w14:paraId="64AE15F9" w14:textId="77777777" w:rsidTr="00DB13EF">
        <w:trPr>
          <w:trHeight w:val="145"/>
        </w:trPr>
        <w:tc>
          <w:tcPr>
            <w:tcW w:w="1805" w:type="dxa"/>
            <w:tcBorders>
              <w:top w:val="nil"/>
              <w:left w:val="nil"/>
              <w:bottom w:val="nil"/>
              <w:right w:val="nil"/>
            </w:tcBorders>
            <w:shd w:val="clear" w:color="auto" w:fill="auto"/>
            <w:tcMar>
              <w:left w:w="0" w:type="dxa"/>
            </w:tcMar>
          </w:tcPr>
          <w:p w14:paraId="1DCE69BB" w14:textId="77777777" w:rsidR="00C2272B" w:rsidRDefault="00C2272B" w:rsidP="00DB13EF">
            <w:pPr>
              <w:pStyle w:val="Marginlie"/>
            </w:pPr>
            <w:r>
              <w:t>Růst tržeb v pozemní dopravě i vlivem slabší dynamiky vývozu zboží ve 2. čtvrtletí zvolnil. Poptávka ve skladování zůstala vysoká.</w:t>
            </w:r>
          </w:p>
          <w:p w14:paraId="12BAEFDF" w14:textId="77777777" w:rsidR="00C2272B" w:rsidRDefault="00C2272B" w:rsidP="00DB13EF">
            <w:pPr>
              <w:pStyle w:val="Marginlie"/>
            </w:pPr>
          </w:p>
          <w:p w14:paraId="2890F5AF" w14:textId="77777777" w:rsidR="00C2272B" w:rsidRDefault="00C2272B" w:rsidP="00DB13EF">
            <w:pPr>
              <w:pStyle w:val="Marginlie"/>
            </w:pPr>
          </w:p>
          <w:p w14:paraId="5C2E12D7" w14:textId="77777777" w:rsidR="00C2272B" w:rsidRDefault="00C2272B" w:rsidP="00DB13EF">
            <w:pPr>
              <w:pStyle w:val="Marginlie"/>
            </w:pPr>
          </w:p>
          <w:p w14:paraId="6E959AE5" w14:textId="77777777" w:rsidR="00C2272B" w:rsidRDefault="00C2272B" w:rsidP="00DB13EF">
            <w:pPr>
              <w:pStyle w:val="Marginlie"/>
            </w:pPr>
          </w:p>
          <w:p w14:paraId="7C642665" w14:textId="77777777" w:rsidR="00C2272B" w:rsidRDefault="00C2272B" w:rsidP="00DB13EF">
            <w:pPr>
              <w:pStyle w:val="Marginlie"/>
            </w:pPr>
            <w:r>
              <w:t>Poptávka po ubytování ze strany tuzemských hostů mírně převyšovala úroveň z roku 2019, u zahraničních hostů za ní o více než třetinu zaostávala.</w:t>
            </w:r>
          </w:p>
        </w:tc>
        <w:tc>
          <w:tcPr>
            <w:tcW w:w="227" w:type="dxa"/>
            <w:tcBorders>
              <w:top w:val="nil"/>
              <w:left w:val="nil"/>
              <w:bottom w:val="nil"/>
              <w:right w:val="nil"/>
            </w:tcBorders>
            <w:shd w:val="clear" w:color="auto" w:fill="auto"/>
            <w:tcMar>
              <w:left w:w="0" w:type="dxa"/>
            </w:tcMar>
          </w:tcPr>
          <w:p w14:paraId="2921DD6A"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1337F491" w14:textId="77777777" w:rsidR="00C2272B" w:rsidRDefault="00C2272B" w:rsidP="00DB13EF">
            <w:pPr>
              <w:spacing w:after="180"/>
              <w:rPr>
                <w:rFonts w:cs="Arial"/>
                <w:color w:val="0D0D0D" w:themeColor="text1" w:themeTint="F2"/>
                <w:spacing w:val="-6"/>
              </w:rPr>
            </w:pPr>
            <w:r>
              <w:rPr>
                <w:color w:val="0D0D0D" w:themeColor="text1" w:themeTint="F2"/>
                <w:spacing w:val="-4"/>
              </w:rPr>
              <w:t xml:space="preserve">Tržby v odvětví dopravy a skladování převýšily ve 2. čtvrtletí 2022 loňskou úroveň </w:t>
            </w:r>
            <w:r>
              <w:rPr>
                <w:color w:val="0D0D0D" w:themeColor="text1" w:themeTint="F2"/>
                <w:spacing w:val="-4"/>
              </w:rPr>
              <w:br/>
              <w:t xml:space="preserve">o 15,7 %. Pozitivně se zde projevil zejména růst tržeb </w:t>
            </w:r>
            <w:r>
              <w:rPr>
                <w:rFonts w:cs="Arial"/>
                <w:color w:val="0D0D0D" w:themeColor="text1" w:themeTint="F2"/>
                <w:spacing w:val="-2"/>
              </w:rPr>
              <w:t>za pozemní a potrubní dopravu (11,5 %)</w:t>
            </w:r>
            <w:r>
              <w:rPr>
                <w:rStyle w:val="Znakapoznpodarou"/>
                <w:color w:val="0D0D0D" w:themeColor="text1" w:themeTint="F2"/>
                <w:spacing w:val="-2"/>
              </w:rPr>
              <w:footnoteReference w:id="25"/>
            </w:r>
            <w:r>
              <w:rPr>
                <w:rFonts w:cs="Arial"/>
                <w:color w:val="0D0D0D" w:themeColor="text1" w:themeTint="F2"/>
                <w:spacing w:val="-2"/>
              </w:rPr>
              <w:t xml:space="preserve">, jeho tempo ale ve srovnání s počátkem roku zvolnilo, což bylo ovlivněno </w:t>
            </w:r>
            <w:r>
              <w:rPr>
                <w:rFonts w:cs="Arial"/>
                <w:color w:val="0D0D0D" w:themeColor="text1" w:themeTint="F2"/>
                <w:spacing w:val="-2"/>
              </w:rPr>
              <w:br/>
              <w:t>i slabšími výsledky tuzemských vývozců zboží. Poptávka po skladování zůstala ovšem silná a proti shodnému období roku 2019 byla o více než čtvrtinu vyšší. Výrazně letos ožila l</w:t>
            </w:r>
            <w:r w:rsidRPr="00264089">
              <w:rPr>
                <w:rFonts w:cs="Arial"/>
                <w:color w:val="0D0D0D" w:themeColor="text1" w:themeTint="F2"/>
                <w:spacing w:val="-2"/>
              </w:rPr>
              <w:t xml:space="preserve">etecká </w:t>
            </w:r>
            <w:r>
              <w:rPr>
                <w:rFonts w:cs="Arial"/>
                <w:color w:val="0D0D0D" w:themeColor="text1" w:themeTint="F2"/>
                <w:spacing w:val="-2"/>
              </w:rPr>
              <w:t>i</w:t>
            </w:r>
            <w:r>
              <w:rPr>
                <w:color w:val="0D0D0D" w:themeColor="text1" w:themeTint="F2"/>
                <w:spacing w:val="-4"/>
              </w:rPr>
              <w:t> </w:t>
            </w:r>
            <w:r>
              <w:rPr>
                <w:rFonts w:cs="Arial"/>
                <w:color w:val="0D0D0D" w:themeColor="text1" w:themeTint="F2"/>
                <w:spacing w:val="-2"/>
              </w:rPr>
              <w:t xml:space="preserve">vodní </w:t>
            </w:r>
            <w:r w:rsidRPr="00264089">
              <w:rPr>
                <w:rFonts w:cs="Arial"/>
                <w:color w:val="0D0D0D" w:themeColor="text1" w:themeTint="F2"/>
                <w:spacing w:val="-2"/>
              </w:rPr>
              <w:t>doprava</w:t>
            </w:r>
            <w:r>
              <w:rPr>
                <w:rFonts w:cs="Arial"/>
                <w:color w:val="0D0D0D" w:themeColor="text1" w:themeTint="F2"/>
                <w:spacing w:val="-2"/>
              </w:rPr>
              <w:t xml:space="preserve">, jejich tržby ale předkrizové úrovně zdaleka nedosáhly. Meziroční pokles tržeb poštovních a kurýrních činností se letos prohluboval (až na </w:t>
            </w:r>
            <w:r>
              <w:rPr>
                <w:rFonts w:cs="Arial"/>
                <w:color w:val="0D0D0D" w:themeColor="text1" w:themeTint="F2"/>
                <w:spacing w:val="-2"/>
              </w:rPr>
              <w:br/>
              <w:t xml:space="preserve">6,6 %), což souviselo i se slabšími výkony internetových prodejců. </w:t>
            </w:r>
            <w:r>
              <w:rPr>
                <w:rFonts w:cs="Arial"/>
                <w:color w:val="0D0D0D" w:themeColor="text1" w:themeTint="F2"/>
                <w:spacing w:val="-6"/>
              </w:rPr>
              <w:t>Odvětví ubytování, stravování a pohostinství zaznamenalo v letošním 2. čtvrtletí očekávané oživení a jeho tržby byly meziročně o více než polovinu vyšší</w:t>
            </w:r>
            <w:r>
              <w:rPr>
                <w:rStyle w:val="Znakapoznpodarou"/>
                <w:color w:val="0D0D0D" w:themeColor="text1" w:themeTint="F2"/>
                <w:spacing w:val="-6"/>
              </w:rPr>
              <w:footnoteReference w:id="26"/>
            </w:r>
            <w:r>
              <w:rPr>
                <w:rFonts w:cs="Arial"/>
                <w:color w:val="0D0D0D" w:themeColor="text1" w:themeTint="F2"/>
                <w:spacing w:val="-6"/>
              </w:rPr>
              <w:t>. Zatímco počet přenocování tuzemských hostů v hromadných ubytovacích zařízeních již čtvrtý kvartál v řadě mírně převyšoval úroveň z „běžného“ roku 2019, u</w:t>
            </w:r>
            <w:r>
              <w:rPr>
                <w:rFonts w:cs="Arial"/>
                <w:color w:val="0D0D0D" w:themeColor="text1" w:themeTint="F2"/>
                <w:spacing w:val="-2"/>
              </w:rPr>
              <w:t> </w:t>
            </w:r>
            <w:r>
              <w:rPr>
                <w:rFonts w:cs="Arial"/>
                <w:color w:val="0D0D0D" w:themeColor="text1" w:themeTint="F2"/>
                <w:spacing w:val="-6"/>
              </w:rPr>
              <w:t>zahraniční klientely stále citelně zaostával (o 36 %)</w:t>
            </w:r>
            <w:r>
              <w:rPr>
                <w:rStyle w:val="Znakapoznpodarou"/>
                <w:color w:val="0D0D0D" w:themeColor="text1" w:themeTint="F2"/>
                <w:spacing w:val="-6"/>
              </w:rPr>
              <w:footnoteReference w:id="27"/>
            </w:r>
            <w:r>
              <w:rPr>
                <w:rFonts w:cs="Arial"/>
                <w:color w:val="0D0D0D" w:themeColor="text1" w:themeTint="F2"/>
                <w:spacing w:val="-6"/>
              </w:rPr>
              <w:t xml:space="preserve">. </w:t>
            </w:r>
            <w:r>
              <w:rPr>
                <w:rFonts w:cs="Arial"/>
                <w:color w:val="0D0D0D" w:themeColor="text1" w:themeTint="F2"/>
                <w:spacing w:val="-2"/>
              </w:rPr>
              <w:t>Stále p</w:t>
            </w:r>
            <w:r w:rsidRPr="00052ADA">
              <w:rPr>
                <w:rFonts w:cs="Arial"/>
                <w:color w:val="0D0D0D" w:themeColor="text1" w:themeTint="F2"/>
                <w:spacing w:val="-2"/>
              </w:rPr>
              <w:t xml:space="preserve">rakticky absentovala dříve významná </w:t>
            </w:r>
            <w:r>
              <w:rPr>
                <w:rFonts w:cs="Arial"/>
                <w:color w:val="0D0D0D" w:themeColor="text1" w:themeTint="F2"/>
                <w:spacing w:val="-2"/>
              </w:rPr>
              <w:t>klientela z Ruska či asijských států (vyjma Izraele). Více než 30% propad poptávky ale přetrvával i od</w:t>
            </w:r>
            <w:r w:rsidRPr="00052ADA">
              <w:rPr>
                <w:rFonts w:cs="Arial"/>
                <w:color w:val="0D0D0D" w:themeColor="text1" w:themeTint="F2"/>
                <w:spacing w:val="-2"/>
              </w:rPr>
              <w:t xml:space="preserve"> hostů z Itáli</w:t>
            </w:r>
            <w:r>
              <w:rPr>
                <w:rFonts w:cs="Arial"/>
                <w:color w:val="0D0D0D" w:themeColor="text1" w:themeTint="F2"/>
                <w:spacing w:val="-2"/>
              </w:rPr>
              <w:t>e, Francie, Španělska, USA či států Latinské Ameriky</w:t>
            </w:r>
            <w:r w:rsidRPr="00052ADA">
              <w:rPr>
                <w:rFonts w:cs="Arial"/>
                <w:color w:val="0D0D0D" w:themeColor="text1" w:themeTint="F2"/>
                <w:spacing w:val="-2"/>
              </w:rPr>
              <w:t>.</w:t>
            </w:r>
            <w:r>
              <w:rPr>
                <w:rFonts w:cs="Arial"/>
                <w:color w:val="0D0D0D" w:themeColor="text1" w:themeTint="F2"/>
                <w:spacing w:val="-2"/>
              </w:rPr>
              <w:t xml:space="preserve"> Situaci částečně zachraňovali nerezidenti ze středoevropských států – počet přenocování Slováků překonal výši z předkrizového roku 2019 o 20 % a poptávka váhově dominantní německé klientely byla nižší již jen o 15 %.</w:t>
            </w:r>
          </w:p>
        </w:tc>
      </w:tr>
      <w:tr w:rsidR="00C2272B" w:rsidRPr="00030362" w14:paraId="20D30FF1" w14:textId="77777777" w:rsidTr="00DB13EF">
        <w:trPr>
          <w:trHeight w:val="145"/>
        </w:trPr>
        <w:tc>
          <w:tcPr>
            <w:tcW w:w="1805" w:type="dxa"/>
            <w:tcBorders>
              <w:top w:val="nil"/>
              <w:left w:val="nil"/>
              <w:bottom w:val="nil"/>
              <w:right w:val="nil"/>
            </w:tcBorders>
            <w:shd w:val="clear" w:color="auto" w:fill="auto"/>
            <w:tcMar>
              <w:left w:w="0" w:type="dxa"/>
            </w:tcMar>
          </w:tcPr>
          <w:p w14:paraId="058DCD40" w14:textId="77777777" w:rsidR="00C2272B" w:rsidRDefault="00C2272B" w:rsidP="00DB13EF">
            <w:pPr>
              <w:pStyle w:val="Marginlie"/>
            </w:pPr>
            <w:r>
              <w:t>Poptávka po administrativních a podpůrných činnostech výrazněji ožila, hlavně díky cestovním kancelářím.</w:t>
            </w:r>
          </w:p>
          <w:p w14:paraId="2C07B0EC" w14:textId="77777777" w:rsidR="00C2272B" w:rsidRDefault="00C2272B" w:rsidP="00DB13EF">
            <w:pPr>
              <w:pStyle w:val="Marginlie"/>
            </w:pPr>
          </w:p>
          <w:p w14:paraId="3E1B08B4" w14:textId="77777777" w:rsidR="00C2272B" w:rsidRDefault="00C2272B" w:rsidP="00DB13EF">
            <w:pPr>
              <w:pStyle w:val="Marginlie"/>
            </w:pPr>
          </w:p>
          <w:p w14:paraId="2E29B95C" w14:textId="77777777" w:rsidR="00C2272B" w:rsidRDefault="00C2272B" w:rsidP="00DB13EF">
            <w:pPr>
              <w:pStyle w:val="Marginlie"/>
            </w:pPr>
          </w:p>
          <w:p w14:paraId="11B8BB57" w14:textId="77777777" w:rsidR="00C2272B" w:rsidRDefault="00C2272B" w:rsidP="00DB13EF">
            <w:pPr>
              <w:pStyle w:val="Marginlie"/>
            </w:pPr>
          </w:p>
          <w:p w14:paraId="76F7C5EE" w14:textId="77777777" w:rsidR="00C2272B" w:rsidRDefault="00C2272B" w:rsidP="00DB13EF">
            <w:pPr>
              <w:pStyle w:val="Marginlie"/>
            </w:pPr>
          </w:p>
          <w:p w14:paraId="1A7126B0" w14:textId="77777777" w:rsidR="00C2272B" w:rsidRDefault="00C2272B" w:rsidP="00DB13EF">
            <w:pPr>
              <w:pStyle w:val="Marginlie"/>
            </w:pPr>
          </w:p>
          <w:p w14:paraId="01E5DEB8" w14:textId="77777777" w:rsidR="00C2272B" w:rsidRDefault="00C2272B" w:rsidP="00DB13EF">
            <w:pPr>
              <w:pStyle w:val="Marginlie"/>
            </w:pPr>
            <w:r>
              <w:t>Růst tržeb v informačních a komunikačních činnostech zvolnil.</w:t>
            </w:r>
          </w:p>
          <w:p w14:paraId="6A9DF5D5" w14:textId="77777777" w:rsidR="00C2272B" w:rsidRDefault="00C2272B" w:rsidP="00DB13EF">
            <w:pPr>
              <w:pStyle w:val="Marginlie"/>
            </w:pPr>
          </w:p>
          <w:p w14:paraId="48ECE70A" w14:textId="77777777" w:rsidR="00C2272B" w:rsidRDefault="00C2272B" w:rsidP="00DB13EF">
            <w:pPr>
              <w:pStyle w:val="Marginlie"/>
            </w:pPr>
            <w:r>
              <w:lastRenderedPageBreak/>
              <w:t>Poptávka po činnostech v oblasti nemovitostí rostla, zejména v segmentu realitních kanceláří.</w:t>
            </w:r>
          </w:p>
        </w:tc>
        <w:tc>
          <w:tcPr>
            <w:tcW w:w="227" w:type="dxa"/>
            <w:tcBorders>
              <w:top w:val="nil"/>
              <w:left w:val="nil"/>
              <w:bottom w:val="nil"/>
              <w:right w:val="nil"/>
            </w:tcBorders>
            <w:shd w:val="clear" w:color="auto" w:fill="auto"/>
            <w:tcMar>
              <w:left w:w="0" w:type="dxa"/>
            </w:tcMar>
          </w:tcPr>
          <w:p w14:paraId="43684260"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11C72B41" w14:textId="162ADD23" w:rsidR="00C2272B" w:rsidRDefault="00C2272B" w:rsidP="00CF35A7">
            <w:pPr>
              <w:spacing w:after="200"/>
              <w:rPr>
                <w:color w:val="0D0D0D" w:themeColor="text1" w:themeTint="F2"/>
                <w:spacing w:val="-4"/>
              </w:rPr>
            </w:pPr>
            <w:r w:rsidRPr="00052ADA">
              <w:rPr>
                <w:rFonts w:cs="Arial"/>
                <w:color w:val="0D0D0D" w:themeColor="text1" w:themeTint="F2"/>
                <w:spacing w:val="-2"/>
              </w:rPr>
              <w:t xml:space="preserve">Oživení turismu </w:t>
            </w:r>
            <w:r>
              <w:rPr>
                <w:rFonts w:cs="Arial"/>
                <w:color w:val="0D0D0D" w:themeColor="text1" w:themeTint="F2"/>
                <w:spacing w:val="-2"/>
              </w:rPr>
              <w:t xml:space="preserve">ve 2. čtvrtletí zásadně </w:t>
            </w:r>
            <w:r w:rsidRPr="00052ADA">
              <w:rPr>
                <w:rFonts w:cs="Arial"/>
                <w:color w:val="0D0D0D" w:themeColor="text1" w:themeTint="F2"/>
                <w:spacing w:val="-2"/>
              </w:rPr>
              <w:t>zlepšilo i situaci cestovních agentur a kanc</w:t>
            </w:r>
            <w:r>
              <w:rPr>
                <w:rFonts w:cs="Arial"/>
                <w:color w:val="0D0D0D" w:themeColor="text1" w:themeTint="F2"/>
                <w:spacing w:val="-2"/>
              </w:rPr>
              <w:t xml:space="preserve">eláří, což se ukázalo jako rozhodující pro meziroční růst celého </w:t>
            </w:r>
            <w:r w:rsidRPr="00052ADA">
              <w:rPr>
                <w:rFonts w:cs="Arial"/>
                <w:color w:val="0D0D0D" w:themeColor="text1" w:themeTint="F2"/>
                <w:spacing w:val="-2"/>
              </w:rPr>
              <w:t>odvětví administrativních a</w:t>
            </w:r>
            <w:r w:rsidRPr="00052ADA">
              <w:rPr>
                <w:color w:val="0D0D0D" w:themeColor="text1" w:themeTint="F2"/>
                <w:spacing w:val="-4"/>
              </w:rPr>
              <w:t> </w:t>
            </w:r>
            <w:r>
              <w:rPr>
                <w:rFonts w:cs="Arial"/>
                <w:color w:val="0D0D0D" w:themeColor="text1" w:themeTint="F2"/>
                <w:spacing w:val="-2"/>
              </w:rPr>
              <w:t>podpůrných činností (21</w:t>
            </w:r>
            <w:r w:rsidRPr="00052ADA">
              <w:rPr>
                <w:rFonts w:cs="Arial"/>
                <w:color w:val="0D0D0D" w:themeColor="text1" w:themeTint="F2"/>
                <w:spacing w:val="-2"/>
              </w:rPr>
              <w:t xml:space="preserve">,4 %). </w:t>
            </w:r>
            <w:r>
              <w:rPr>
                <w:rFonts w:cs="Arial"/>
                <w:color w:val="0D0D0D" w:themeColor="text1" w:themeTint="F2"/>
                <w:spacing w:val="-2"/>
              </w:rPr>
              <w:t>Vyšší poptávku zde signalizovaly i ostatní obory, vyjma pracovních agentur. Tržby v celém odvětví ale zatím zůstaly pod úrovní z roku 2019 (o 8 %). To</w:t>
            </w:r>
            <w:r w:rsidRPr="00052ADA">
              <w:rPr>
                <w:rFonts w:cs="Arial"/>
                <w:color w:val="0D0D0D" w:themeColor="text1" w:themeTint="F2"/>
                <w:spacing w:val="-2"/>
              </w:rPr>
              <w:t xml:space="preserve"> neplatí pro odvětví profesní, vědecké a technické činnosti</w:t>
            </w:r>
            <w:r>
              <w:rPr>
                <w:rFonts w:cs="Arial"/>
                <w:color w:val="0D0D0D" w:themeColor="text1" w:themeTint="F2"/>
                <w:spacing w:val="-2"/>
              </w:rPr>
              <w:t xml:space="preserve"> (+2 %)</w:t>
            </w:r>
            <w:r w:rsidRPr="00052ADA">
              <w:rPr>
                <w:rFonts w:cs="Arial"/>
                <w:color w:val="0D0D0D" w:themeColor="text1" w:themeTint="F2"/>
                <w:spacing w:val="-2"/>
              </w:rPr>
              <w:t>, které zpravidla poskytuje sofis</w:t>
            </w:r>
            <w:r>
              <w:rPr>
                <w:rFonts w:cs="Arial"/>
                <w:color w:val="0D0D0D" w:themeColor="text1" w:themeTint="F2"/>
                <w:spacing w:val="-2"/>
              </w:rPr>
              <w:t xml:space="preserve">tikovanější služby pro podniky, a </w:t>
            </w:r>
            <w:r w:rsidRPr="00052ADA">
              <w:rPr>
                <w:rFonts w:cs="Arial"/>
                <w:color w:val="0D0D0D" w:themeColor="text1" w:themeTint="F2"/>
                <w:spacing w:val="-2"/>
              </w:rPr>
              <w:t>poptávka po mnohých z nich nebyla během pandemického období příliš narušena (právní a</w:t>
            </w:r>
            <w:r w:rsidRPr="00052ADA">
              <w:t> </w:t>
            </w:r>
            <w:r w:rsidRPr="00052ADA">
              <w:rPr>
                <w:rFonts w:cs="Arial"/>
                <w:color w:val="0D0D0D" w:themeColor="text1" w:themeTint="F2"/>
                <w:spacing w:val="-2"/>
              </w:rPr>
              <w:t>účetnické činnosti, poradenství</w:t>
            </w:r>
            <w:r>
              <w:rPr>
                <w:rFonts w:cs="Arial"/>
                <w:color w:val="0D0D0D" w:themeColor="text1" w:themeTint="F2"/>
                <w:spacing w:val="-2"/>
              </w:rPr>
              <w:t xml:space="preserve"> v oblasti řízení). K</w:t>
            </w:r>
            <w:r w:rsidR="002E4DCE">
              <w:rPr>
                <w:rFonts w:cs="Arial"/>
                <w:color w:val="0D0D0D" w:themeColor="text1" w:themeTint="F2"/>
                <w:spacing w:val="-2"/>
              </w:rPr>
              <w:t xml:space="preserve"> meziročnímu </w:t>
            </w:r>
            <w:r w:rsidRPr="00052ADA">
              <w:rPr>
                <w:rFonts w:cs="Arial"/>
                <w:color w:val="0D0D0D" w:themeColor="text1" w:themeTint="F2"/>
                <w:spacing w:val="-2"/>
              </w:rPr>
              <w:t>růstu cel</w:t>
            </w:r>
            <w:r>
              <w:rPr>
                <w:rFonts w:cs="Arial"/>
                <w:color w:val="0D0D0D" w:themeColor="text1" w:themeTint="F2"/>
                <w:spacing w:val="-2"/>
              </w:rPr>
              <w:t>ého výše uvedeného odvětví ve 2.</w:t>
            </w:r>
            <w:r w:rsidR="00CF35A7">
              <w:rPr>
                <w:rFonts w:cs="Arial"/>
                <w:color w:val="0D0D0D" w:themeColor="text1" w:themeTint="F2"/>
                <w:spacing w:val="-2"/>
              </w:rPr>
              <w:t> </w:t>
            </w:r>
            <w:r>
              <w:rPr>
                <w:rFonts w:cs="Arial"/>
                <w:color w:val="0D0D0D" w:themeColor="text1" w:themeTint="F2"/>
                <w:spacing w:val="-2"/>
              </w:rPr>
              <w:t>čtvrtletí (7,0 </w:t>
            </w:r>
            <w:r w:rsidRPr="00052ADA">
              <w:rPr>
                <w:rFonts w:cs="Arial"/>
                <w:color w:val="0D0D0D" w:themeColor="text1" w:themeTint="F2"/>
                <w:spacing w:val="-2"/>
              </w:rPr>
              <w:t xml:space="preserve">%) </w:t>
            </w:r>
            <w:r>
              <w:rPr>
                <w:rFonts w:cs="Arial"/>
                <w:color w:val="0D0D0D" w:themeColor="text1" w:themeTint="F2"/>
                <w:spacing w:val="-2"/>
              </w:rPr>
              <w:t xml:space="preserve">nejvíce přispěly </w:t>
            </w:r>
            <w:r w:rsidRPr="00052ADA">
              <w:rPr>
                <w:rFonts w:cs="Arial"/>
                <w:color w:val="0D0D0D" w:themeColor="text1" w:themeTint="F2"/>
                <w:spacing w:val="-2"/>
              </w:rPr>
              <w:t>architektonické a inže</w:t>
            </w:r>
            <w:r>
              <w:rPr>
                <w:rFonts w:cs="Arial"/>
                <w:color w:val="0D0D0D" w:themeColor="text1" w:themeTint="F2"/>
                <w:spacing w:val="-2"/>
              </w:rPr>
              <w:t xml:space="preserve">nýrské činnosti těžící z rozvoje stavebnictví. Opačně působily reklama a průzkum trhu (kde tržby zaostaly </w:t>
            </w:r>
            <w:r w:rsidR="00A9036F">
              <w:rPr>
                <w:rFonts w:cs="Arial"/>
                <w:color w:val="0D0D0D" w:themeColor="text1" w:themeTint="F2"/>
                <w:spacing w:val="-2"/>
              </w:rPr>
              <w:t xml:space="preserve">o 5,4 % a proti roku 2019 o </w:t>
            </w:r>
            <w:r>
              <w:rPr>
                <w:rFonts w:cs="Arial"/>
                <w:color w:val="0D0D0D" w:themeColor="text1" w:themeTint="F2"/>
                <w:spacing w:val="-2"/>
              </w:rPr>
              <w:t>12 %). Růst tržeb</w:t>
            </w:r>
            <w:r w:rsidRPr="00052ADA">
              <w:rPr>
                <w:rFonts w:cs="Arial"/>
                <w:color w:val="0D0D0D" w:themeColor="text1" w:themeTint="F2"/>
                <w:spacing w:val="-2"/>
              </w:rPr>
              <w:t xml:space="preserve"> v dlouhodobě p</w:t>
            </w:r>
            <w:r>
              <w:rPr>
                <w:rFonts w:cs="Arial"/>
                <w:color w:val="0D0D0D" w:themeColor="text1" w:themeTint="F2"/>
                <w:spacing w:val="-2"/>
              </w:rPr>
              <w:t>osilujícím odvětví informačních</w:t>
            </w:r>
            <w:r w:rsidR="00A9036F">
              <w:rPr>
                <w:rFonts w:cs="Arial"/>
                <w:color w:val="0D0D0D" w:themeColor="text1" w:themeTint="F2"/>
                <w:spacing w:val="-2"/>
              </w:rPr>
              <w:t xml:space="preserve"> </w:t>
            </w:r>
            <w:r w:rsidRPr="00052ADA">
              <w:rPr>
                <w:rFonts w:cs="Arial"/>
                <w:color w:val="0D0D0D" w:themeColor="text1" w:themeTint="F2"/>
                <w:spacing w:val="-2"/>
              </w:rPr>
              <w:t>a</w:t>
            </w:r>
            <w:r w:rsidRPr="00052ADA">
              <w:rPr>
                <w:color w:val="0D0D0D" w:themeColor="text1" w:themeTint="F2"/>
                <w:spacing w:val="-4"/>
              </w:rPr>
              <w:t> </w:t>
            </w:r>
            <w:r w:rsidRPr="00052ADA">
              <w:rPr>
                <w:rFonts w:cs="Arial"/>
                <w:color w:val="0D0D0D" w:themeColor="text1" w:themeTint="F2"/>
                <w:spacing w:val="-2"/>
              </w:rPr>
              <w:t>komunika</w:t>
            </w:r>
            <w:r>
              <w:rPr>
                <w:rFonts w:cs="Arial"/>
                <w:color w:val="0D0D0D" w:themeColor="text1" w:themeTint="F2"/>
                <w:spacing w:val="-2"/>
              </w:rPr>
              <w:t>čních činností ve 2.</w:t>
            </w:r>
            <w:r w:rsidRPr="00052ADA">
              <w:rPr>
                <w:rFonts w:cs="Arial"/>
                <w:color w:val="0D0D0D" w:themeColor="text1" w:themeTint="F2"/>
                <w:spacing w:val="-2"/>
              </w:rPr>
              <w:t> </w:t>
            </w:r>
            <w:r>
              <w:rPr>
                <w:rFonts w:cs="Arial"/>
                <w:color w:val="0D0D0D" w:themeColor="text1" w:themeTint="F2"/>
                <w:spacing w:val="-2"/>
              </w:rPr>
              <w:t>čtvrtletí zvolnil na 2,5 %.</w:t>
            </w:r>
            <w:r w:rsidRPr="00052ADA">
              <w:rPr>
                <w:rFonts w:cs="Arial"/>
                <w:color w:val="0D0D0D" w:themeColor="text1" w:themeTint="F2"/>
                <w:spacing w:val="-2"/>
              </w:rPr>
              <w:t xml:space="preserve"> </w:t>
            </w:r>
            <w:r>
              <w:rPr>
                <w:rFonts w:cs="Arial"/>
                <w:color w:val="0D0D0D" w:themeColor="text1" w:themeTint="F2"/>
                <w:spacing w:val="-2"/>
              </w:rPr>
              <w:t>Výkon odvětví stále táhla vysoká poptávka zejména</w:t>
            </w:r>
            <w:r w:rsidRPr="00052ADA">
              <w:rPr>
                <w:rFonts w:cs="Arial"/>
                <w:color w:val="0D0D0D" w:themeColor="text1" w:themeTint="F2"/>
                <w:spacing w:val="-2"/>
              </w:rPr>
              <w:t xml:space="preserve"> </w:t>
            </w:r>
            <w:r>
              <w:rPr>
                <w:rFonts w:cs="Arial"/>
                <w:color w:val="0D0D0D" w:themeColor="text1" w:themeTint="F2"/>
                <w:spacing w:val="-2"/>
              </w:rPr>
              <w:t>po činnostech</w:t>
            </w:r>
            <w:r w:rsidRPr="00052ADA">
              <w:rPr>
                <w:rFonts w:cs="Arial"/>
                <w:color w:val="0D0D0D" w:themeColor="text1" w:themeTint="F2"/>
                <w:spacing w:val="-2"/>
              </w:rPr>
              <w:t xml:space="preserve"> v oblasti informačních technologií (např. programování, správa počítačového vybavení).</w:t>
            </w:r>
            <w:r>
              <w:rPr>
                <w:rFonts w:cs="Arial"/>
                <w:color w:val="0D0D0D" w:themeColor="text1" w:themeTint="F2"/>
                <w:spacing w:val="-2"/>
              </w:rPr>
              <w:t xml:space="preserve"> </w:t>
            </w:r>
            <w:r w:rsidRPr="002E5997">
              <w:rPr>
                <w:rFonts w:cs="Arial"/>
                <w:color w:val="0D0D0D" w:themeColor="text1" w:themeTint="F2"/>
                <w:spacing w:val="-4"/>
              </w:rPr>
              <w:t xml:space="preserve">Po silném loňském roce se ale zastavil růst poptávky </w:t>
            </w:r>
            <w:r w:rsidRPr="002E5997">
              <w:rPr>
                <w:rFonts w:cs="Arial"/>
                <w:color w:val="0D0D0D" w:themeColor="text1" w:themeTint="F2"/>
                <w:spacing w:val="-4"/>
              </w:rPr>
              <w:lastRenderedPageBreak/>
              <w:t>v informačních činnostech</w:t>
            </w:r>
            <w:r w:rsidRPr="002E5997">
              <w:rPr>
                <w:rStyle w:val="Znakapoznpodarou"/>
                <w:color w:val="0D0D0D" w:themeColor="text1" w:themeTint="F2"/>
                <w:spacing w:val="-4"/>
              </w:rPr>
              <w:footnoteReference w:id="28"/>
            </w:r>
            <w:r w:rsidRPr="002E5997">
              <w:rPr>
                <w:rFonts w:cs="Arial"/>
                <w:color w:val="0D0D0D" w:themeColor="text1" w:themeTint="F2"/>
                <w:spacing w:val="-4"/>
              </w:rPr>
              <w:t>. K tomu se prohluboval pokles tržeb za tvorbu rozhlasových</w:t>
            </w:r>
            <w:r>
              <w:rPr>
                <w:rFonts w:cs="Arial"/>
                <w:color w:val="0D0D0D" w:themeColor="text1" w:themeTint="F2"/>
                <w:spacing w:val="-4"/>
              </w:rPr>
              <w:t xml:space="preserve"> i</w:t>
            </w:r>
            <w:r w:rsidR="00CF35A7">
              <w:rPr>
                <w:rFonts w:cs="Arial"/>
                <w:color w:val="0D0D0D" w:themeColor="text1" w:themeTint="F2"/>
                <w:spacing w:val="-4"/>
              </w:rPr>
              <w:t> </w:t>
            </w:r>
            <w:r w:rsidRPr="002E5997">
              <w:rPr>
                <w:rFonts w:cs="Arial"/>
                <w:color w:val="0D0D0D" w:themeColor="text1" w:themeTint="F2"/>
                <w:spacing w:val="-4"/>
              </w:rPr>
              <w:t xml:space="preserve">televizních programů a vysílání, když znatelně zaostával i za rokem 2019. Svižné zotavování filmového a hudebního průmyslu </w:t>
            </w:r>
            <w:r w:rsidRPr="002E5997">
              <w:rPr>
                <w:rFonts w:cs="Arial"/>
                <w:color w:val="0D0D0D" w:themeColor="text1" w:themeTint="F2"/>
                <w:spacing w:val="-6"/>
              </w:rPr>
              <w:t xml:space="preserve">v letošním 2. čtvrtletí </w:t>
            </w:r>
            <w:r>
              <w:rPr>
                <w:rFonts w:cs="Arial"/>
                <w:color w:val="0D0D0D" w:themeColor="text1" w:themeTint="F2"/>
                <w:spacing w:val="-6"/>
              </w:rPr>
              <w:t xml:space="preserve">se </w:t>
            </w:r>
            <w:r w:rsidRPr="002E5997">
              <w:rPr>
                <w:rFonts w:cs="Arial"/>
                <w:color w:val="0D0D0D" w:themeColor="text1" w:themeTint="F2"/>
                <w:spacing w:val="-6"/>
              </w:rPr>
              <w:t>přibrzdilo</w:t>
            </w:r>
            <w:r w:rsidRPr="002E5997">
              <w:rPr>
                <w:rStyle w:val="Znakapoznpodarou"/>
                <w:color w:val="0D0D0D" w:themeColor="text1" w:themeTint="F2"/>
                <w:spacing w:val="-6"/>
              </w:rPr>
              <w:footnoteReference w:id="29"/>
            </w:r>
            <w:r w:rsidRPr="002E5997">
              <w:rPr>
                <w:rFonts w:cs="Arial"/>
                <w:color w:val="0D0D0D" w:themeColor="text1" w:themeTint="F2"/>
                <w:spacing w:val="-6"/>
              </w:rPr>
              <w:t>. Poptávka v odvětví činností</w:t>
            </w:r>
            <w:r>
              <w:rPr>
                <w:rFonts w:cs="Arial"/>
                <w:color w:val="0D0D0D" w:themeColor="text1" w:themeTint="F2"/>
                <w:spacing w:val="-6"/>
              </w:rPr>
              <w:t xml:space="preserve"> v</w:t>
            </w:r>
            <w:r w:rsidRPr="002E5997">
              <w:rPr>
                <w:rFonts w:cs="Arial"/>
                <w:color w:val="0D0D0D" w:themeColor="text1" w:themeTint="F2"/>
                <w:spacing w:val="-4"/>
              </w:rPr>
              <w:t> </w:t>
            </w:r>
            <w:r w:rsidRPr="002E5997">
              <w:rPr>
                <w:rFonts w:cs="Arial"/>
                <w:color w:val="0D0D0D" w:themeColor="text1" w:themeTint="F2"/>
                <w:spacing w:val="-6"/>
              </w:rPr>
              <w:t>oblasti nemovitostí, jež nebyla</w:t>
            </w:r>
            <w:r w:rsidRPr="002E5997">
              <w:rPr>
                <w:rFonts w:cs="Arial"/>
                <w:color w:val="0D0D0D" w:themeColor="text1" w:themeTint="F2"/>
                <w:spacing w:val="-4"/>
              </w:rPr>
              <w:t xml:space="preserve"> za pandemického období významně narušena, posílila ve 2. čtvrtletí</w:t>
            </w:r>
            <w:r>
              <w:rPr>
                <w:rFonts w:cs="Arial"/>
                <w:color w:val="0D0D0D" w:themeColor="text1" w:themeTint="F2"/>
                <w:spacing w:val="-4"/>
              </w:rPr>
              <w:t xml:space="preserve"> meziročně o 2,8 %</w:t>
            </w:r>
            <w:r w:rsidRPr="002E5997">
              <w:rPr>
                <w:rFonts w:cs="Arial"/>
                <w:color w:val="0D0D0D" w:themeColor="text1" w:themeTint="F2"/>
                <w:spacing w:val="-4"/>
              </w:rPr>
              <w:t xml:space="preserve">. Nadále se svižněji zvyšovala poptávka po zprostředkovatelských činnostech realitních agentur, zatímco </w:t>
            </w:r>
            <w:r>
              <w:rPr>
                <w:rFonts w:cs="Arial"/>
                <w:color w:val="0D0D0D" w:themeColor="text1" w:themeTint="F2"/>
                <w:spacing w:val="-4"/>
              </w:rPr>
              <w:t>tržby za nákup a</w:t>
            </w:r>
            <w:r w:rsidRPr="002E5997">
              <w:rPr>
                <w:rFonts w:cs="Arial"/>
                <w:color w:val="0D0D0D" w:themeColor="text1" w:themeTint="F2"/>
                <w:spacing w:val="-4"/>
              </w:rPr>
              <w:t> prodej vlastních nemovitostí či jejich pronájem i správu se zvyšovaly nižšími tempy.</w:t>
            </w:r>
            <w:r>
              <w:rPr>
                <w:color w:val="0D0D0D" w:themeColor="text1" w:themeTint="F2"/>
                <w:spacing w:val="-4"/>
              </w:rPr>
              <w:t xml:space="preserve"> </w:t>
            </w:r>
          </w:p>
        </w:tc>
      </w:tr>
      <w:tr w:rsidR="00C2272B" w:rsidRPr="00030362" w14:paraId="013C03BE" w14:textId="77777777" w:rsidTr="00DB13EF">
        <w:trPr>
          <w:trHeight w:val="145"/>
        </w:trPr>
        <w:tc>
          <w:tcPr>
            <w:tcW w:w="1805" w:type="dxa"/>
            <w:tcBorders>
              <w:top w:val="nil"/>
              <w:left w:val="nil"/>
              <w:bottom w:val="nil"/>
              <w:right w:val="nil"/>
            </w:tcBorders>
            <w:shd w:val="clear" w:color="auto" w:fill="auto"/>
            <w:tcMar>
              <w:left w:w="0" w:type="dxa"/>
            </w:tcMar>
          </w:tcPr>
          <w:p w14:paraId="5C175449"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06095628"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2F3AE3A5" w14:textId="77777777" w:rsidR="00C2272B" w:rsidRPr="00052ADA" w:rsidRDefault="00C2272B" w:rsidP="00DB13EF">
            <w:pPr>
              <w:spacing w:after="0"/>
              <w:rPr>
                <w:rFonts w:cs="Arial"/>
                <w:color w:val="0D0D0D" w:themeColor="text1" w:themeTint="F2"/>
                <w:spacing w:val="-2"/>
              </w:rPr>
            </w:pPr>
            <w:r w:rsidRPr="004405E2">
              <w:rPr>
                <w:b/>
              </w:rPr>
              <w:t>Graf č. 7</w:t>
            </w:r>
            <w:r w:rsidRPr="00F0005D">
              <w:rPr>
                <w:b/>
              </w:rPr>
              <w:t xml:space="preserve"> Příspěvky dílčích odvětví k meziroční změně tržeb ve službách*</w:t>
            </w:r>
            <w:r w:rsidRPr="00052ADA">
              <w:br/>
              <w:t>(</w:t>
            </w:r>
            <w:r w:rsidRPr="00052ADA">
              <w:rPr>
                <w:bCs/>
              </w:rPr>
              <w:t xml:space="preserve">reálně, </w:t>
            </w:r>
            <w:r w:rsidRPr="00052ADA">
              <w:t>v p. b)</w:t>
            </w:r>
            <w:r w:rsidRPr="00052ADA">
              <w:rPr>
                <w:bCs/>
              </w:rPr>
              <w:t xml:space="preserve">, </w:t>
            </w:r>
            <w:r w:rsidRPr="00F0005D">
              <w:rPr>
                <w:b/>
              </w:rPr>
              <w:t>saldo důvěry podnikatelů ve službách**</w:t>
            </w:r>
            <w:r w:rsidRPr="00052ADA">
              <w:t xml:space="preserve"> (v p. b., </w:t>
            </w:r>
            <w:r>
              <w:t xml:space="preserve">sezónně očištěno, </w:t>
            </w:r>
            <w:r w:rsidRPr="00052ADA">
              <w:t>pravá osa)</w:t>
            </w:r>
            <w:r w:rsidRPr="004405E2">
              <w:rPr>
                <w:b/>
              </w:rPr>
              <w:t xml:space="preserve"> a vybrané bariéry růstu**</w:t>
            </w:r>
            <w:r w:rsidRPr="00052ADA">
              <w:t xml:space="preserve"> (v %, </w:t>
            </w:r>
            <w:r>
              <w:t>sezónně očištěno,</w:t>
            </w:r>
            <w:r w:rsidRPr="00052ADA">
              <w:t xml:space="preserve"> pravá osa)</w:t>
            </w:r>
          </w:p>
        </w:tc>
      </w:tr>
      <w:tr w:rsidR="00C2272B" w:rsidRPr="00030362" w14:paraId="5A5E0B3F" w14:textId="77777777" w:rsidTr="00DB13EF">
        <w:trPr>
          <w:trHeight w:val="145"/>
        </w:trPr>
        <w:tc>
          <w:tcPr>
            <w:tcW w:w="1805" w:type="dxa"/>
            <w:tcBorders>
              <w:top w:val="nil"/>
              <w:left w:val="nil"/>
              <w:bottom w:val="nil"/>
              <w:right w:val="nil"/>
            </w:tcBorders>
            <w:shd w:val="clear" w:color="auto" w:fill="auto"/>
            <w:tcMar>
              <w:left w:w="0" w:type="dxa"/>
            </w:tcMar>
          </w:tcPr>
          <w:p w14:paraId="7668387B"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174BCA30"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1984A0F" w14:textId="77777777" w:rsidR="00C2272B" w:rsidRPr="004405E2" w:rsidRDefault="00C2272B" w:rsidP="00DB13EF">
            <w:pPr>
              <w:spacing w:after="0"/>
              <w:rPr>
                <w:b/>
              </w:rPr>
            </w:pPr>
            <w:r>
              <w:rPr>
                <w:noProof/>
              </w:rPr>
              <w:drawing>
                <wp:inline distT="0" distB="0" distL="0" distR="0" wp14:anchorId="028B8230" wp14:editId="47081DCD">
                  <wp:extent cx="4658360" cy="3381271"/>
                  <wp:effectExtent l="0" t="0" r="889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2272B" w:rsidRPr="00030362" w14:paraId="5E499B95" w14:textId="77777777" w:rsidTr="00DB13EF">
        <w:trPr>
          <w:trHeight w:val="145"/>
        </w:trPr>
        <w:tc>
          <w:tcPr>
            <w:tcW w:w="1805" w:type="dxa"/>
            <w:tcBorders>
              <w:top w:val="nil"/>
              <w:left w:val="nil"/>
              <w:bottom w:val="nil"/>
              <w:right w:val="nil"/>
            </w:tcBorders>
            <w:shd w:val="clear" w:color="auto" w:fill="auto"/>
            <w:tcMar>
              <w:left w:w="0" w:type="dxa"/>
            </w:tcMar>
          </w:tcPr>
          <w:p w14:paraId="64E25C02"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5AF096AF"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AD1AF3C" w14:textId="77777777" w:rsidR="00C2272B" w:rsidRPr="00052ADA" w:rsidRDefault="00C2272B" w:rsidP="00DB13EF">
            <w:pPr>
              <w:spacing w:after="0" w:line="240" w:lineRule="auto"/>
              <w:rPr>
                <w:rFonts w:cs="Arial"/>
                <w:sz w:val="14"/>
                <w:szCs w:val="14"/>
              </w:rPr>
            </w:pPr>
            <w:r>
              <w:rPr>
                <w:rFonts w:cs="Arial"/>
                <w:color w:val="0D0D0D" w:themeColor="text1" w:themeTint="F2"/>
                <w:spacing w:val="-6"/>
              </w:rPr>
              <w:t>*</w:t>
            </w:r>
            <w:r w:rsidRPr="00052ADA">
              <w:rPr>
                <w:color w:val="0D0D0D" w:themeColor="text1" w:themeTint="F2"/>
                <w:sz w:val="14"/>
                <w:szCs w:val="14"/>
              </w:rPr>
              <w:t xml:space="preserve">Bez odvětví obchodu, peněžnictví, pojišťovnictví, vědy, výzkumu a veřejných služeb. </w:t>
            </w:r>
            <w:r w:rsidRPr="00052ADA">
              <w:rPr>
                <w:rFonts w:cs="Arial"/>
                <w:sz w:val="14"/>
                <w:szCs w:val="14"/>
              </w:rPr>
              <w:t>Tržby jsou očištěny o kalendářní vlivy.</w:t>
            </w:r>
          </w:p>
          <w:p w14:paraId="393C6DB5" w14:textId="77777777" w:rsidR="00C2272B" w:rsidRDefault="00C2272B" w:rsidP="00DB13EF">
            <w:pPr>
              <w:spacing w:after="200"/>
              <w:rPr>
                <w:noProof/>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Eurostat</w:t>
            </w:r>
          </w:p>
        </w:tc>
      </w:tr>
      <w:tr w:rsidR="00C2272B" w:rsidRPr="00030362" w14:paraId="6C240E80" w14:textId="77777777" w:rsidTr="00DB13EF">
        <w:trPr>
          <w:trHeight w:val="145"/>
        </w:trPr>
        <w:tc>
          <w:tcPr>
            <w:tcW w:w="1805" w:type="dxa"/>
            <w:tcBorders>
              <w:top w:val="nil"/>
              <w:left w:val="nil"/>
              <w:bottom w:val="nil"/>
              <w:right w:val="nil"/>
            </w:tcBorders>
            <w:shd w:val="clear" w:color="auto" w:fill="auto"/>
            <w:tcMar>
              <w:left w:w="0" w:type="dxa"/>
            </w:tcMar>
          </w:tcPr>
          <w:p w14:paraId="48E2935F" w14:textId="77777777" w:rsidR="00C2272B" w:rsidRDefault="00C2272B" w:rsidP="00DB13EF">
            <w:pPr>
              <w:pStyle w:val="Marginlie"/>
            </w:pPr>
            <w:r>
              <w:t>Trend mírného snižování tržeb v maloobchodu trval již téměř rok.</w:t>
            </w:r>
          </w:p>
          <w:p w14:paraId="373C8119" w14:textId="77777777" w:rsidR="00C2272B" w:rsidRDefault="00C2272B" w:rsidP="00DB13EF">
            <w:pPr>
              <w:pStyle w:val="Marginlie"/>
            </w:pPr>
          </w:p>
          <w:p w14:paraId="273170E7" w14:textId="77777777" w:rsidR="00C2272B" w:rsidRDefault="00C2272B" w:rsidP="00DB13EF">
            <w:pPr>
              <w:pStyle w:val="Marginlie"/>
            </w:pPr>
          </w:p>
          <w:p w14:paraId="2EC51913" w14:textId="77777777" w:rsidR="00C2272B" w:rsidRDefault="00C2272B" w:rsidP="00DB13EF">
            <w:pPr>
              <w:pStyle w:val="Marginlie"/>
            </w:pPr>
          </w:p>
          <w:p w14:paraId="5A5FA87F" w14:textId="77777777" w:rsidR="00C2272B" w:rsidRDefault="00C2272B" w:rsidP="00DB13EF">
            <w:pPr>
              <w:pStyle w:val="Marginlie"/>
            </w:pPr>
          </w:p>
          <w:p w14:paraId="22CFEBA0" w14:textId="77777777" w:rsidR="00C2272B" w:rsidRDefault="00C2272B" w:rsidP="00DB13EF">
            <w:pPr>
              <w:pStyle w:val="Marginlie"/>
            </w:pPr>
          </w:p>
          <w:p w14:paraId="1D8F2AA6" w14:textId="77777777" w:rsidR="00C2272B" w:rsidRDefault="00C2272B" w:rsidP="00DB13EF">
            <w:pPr>
              <w:pStyle w:val="Marginlie"/>
            </w:pPr>
          </w:p>
          <w:p w14:paraId="1863EDC3" w14:textId="77777777" w:rsidR="00C2272B" w:rsidRDefault="00C2272B" w:rsidP="00DB13EF">
            <w:pPr>
              <w:pStyle w:val="Marginlie"/>
            </w:pPr>
            <w:r>
              <w:t>Pesimismus spotřebitelů byl v červenci rekordní.</w:t>
            </w:r>
          </w:p>
          <w:p w14:paraId="4CA501F2" w14:textId="77777777" w:rsidR="00C2272B" w:rsidRDefault="00C2272B" w:rsidP="00DB13EF">
            <w:pPr>
              <w:pStyle w:val="Marginlie"/>
            </w:pPr>
            <w:r>
              <w:t xml:space="preserve">Důvěra obchodníků se ale snižovala jen mírně. Podniky si uchovávaly </w:t>
            </w:r>
            <w:r>
              <w:lastRenderedPageBreak/>
              <w:t>optimistický výhled na 2. pololetí.</w:t>
            </w:r>
          </w:p>
          <w:p w14:paraId="71486BEA" w14:textId="77777777" w:rsidR="00C2272B" w:rsidRDefault="00C2272B" w:rsidP="00DB13EF">
            <w:pPr>
              <w:pStyle w:val="Marginlie"/>
            </w:pPr>
          </w:p>
          <w:p w14:paraId="0260E965"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5AE6850E"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588B6139" w14:textId="77777777" w:rsidR="00C2272B" w:rsidRPr="00D74A69" w:rsidRDefault="00C2272B" w:rsidP="00DB13EF">
            <w:pPr>
              <w:spacing w:after="0"/>
              <w:rPr>
                <w:rFonts w:cs="Arial"/>
                <w:color w:val="0D0D0D" w:themeColor="text1" w:themeTint="F2"/>
                <w:spacing w:val="-4"/>
                <w:szCs w:val="20"/>
              </w:rPr>
            </w:pPr>
            <w:r w:rsidRPr="00D74A69">
              <w:rPr>
                <w:rFonts w:cs="Arial"/>
                <w:color w:val="0D0D0D" w:themeColor="text1" w:themeTint="F2"/>
                <w:spacing w:val="-4"/>
                <w:szCs w:val="20"/>
              </w:rPr>
              <w:t>Tržby v maloobchodu</w:t>
            </w:r>
            <w:r w:rsidRPr="00D74A69">
              <w:rPr>
                <w:rStyle w:val="Znakapoznpodarou"/>
                <w:color w:val="0D0D0D" w:themeColor="text1" w:themeTint="F2"/>
                <w:spacing w:val="-4"/>
              </w:rPr>
              <w:footnoteReference w:id="30"/>
            </w:r>
            <w:r w:rsidRPr="00D74A69">
              <w:rPr>
                <w:rFonts w:cs="Arial"/>
                <w:color w:val="0D0D0D" w:themeColor="text1" w:themeTint="F2"/>
                <w:spacing w:val="-4"/>
                <w:szCs w:val="20"/>
              </w:rPr>
              <w:t xml:space="preserve"> se po prudkém oživení </w:t>
            </w:r>
            <w:r>
              <w:rPr>
                <w:rFonts w:cs="Arial"/>
                <w:color w:val="0D0D0D" w:themeColor="text1" w:themeTint="F2"/>
                <w:spacing w:val="-4"/>
                <w:szCs w:val="20"/>
              </w:rPr>
              <w:t xml:space="preserve">v loňském </w:t>
            </w:r>
            <w:r w:rsidRPr="00D74A69">
              <w:rPr>
                <w:rFonts w:cs="Arial"/>
                <w:color w:val="0D0D0D" w:themeColor="text1" w:themeTint="F2"/>
                <w:spacing w:val="-4"/>
                <w:szCs w:val="20"/>
              </w:rPr>
              <w:t>květnu</w:t>
            </w:r>
            <w:r w:rsidRPr="00D74A69">
              <w:rPr>
                <w:rStyle w:val="Znakapoznpodarou"/>
                <w:color w:val="0D0D0D" w:themeColor="text1" w:themeTint="F2"/>
                <w:spacing w:val="-4"/>
                <w:szCs w:val="20"/>
              </w:rPr>
              <w:footnoteReference w:id="31"/>
            </w:r>
            <w:r>
              <w:rPr>
                <w:rFonts w:cs="Arial"/>
                <w:color w:val="0D0D0D" w:themeColor="text1" w:themeTint="F2"/>
                <w:spacing w:val="-4"/>
                <w:szCs w:val="20"/>
              </w:rPr>
              <w:t xml:space="preserve"> v dalším období převážně</w:t>
            </w:r>
            <w:r w:rsidRPr="00D74A69">
              <w:rPr>
                <w:rFonts w:cs="Arial"/>
                <w:color w:val="0D0D0D" w:themeColor="text1" w:themeTint="F2"/>
                <w:spacing w:val="-4"/>
                <w:szCs w:val="20"/>
              </w:rPr>
              <w:t xml:space="preserve"> meziměsíčně mírně snižovaly a letos v červnu dosahoval</w:t>
            </w:r>
            <w:r>
              <w:rPr>
                <w:rFonts w:cs="Arial"/>
                <w:color w:val="0D0D0D" w:themeColor="text1" w:themeTint="F2"/>
                <w:spacing w:val="-4"/>
                <w:szCs w:val="20"/>
              </w:rPr>
              <w:t xml:space="preserve"> jejich objem srovnatelné úrovně s listopadem</w:t>
            </w:r>
            <w:r w:rsidRPr="00D74A69">
              <w:rPr>
                <w:rFonts w:cs="Arial"/>
                <w:color w:val="0D0D0D" w:themeColor="text1" w:themeTint="F2"/>
                <w:spacing w:val="-4"/>
                <w:szCs w:val="20"/>
              </w:rPr>
              <w:t xml:space="preserve"> 2019. </w:t>
            </w:r>
            <w:r>
              <w:rPr>
                <w:rFonts w:cs="Arial"/>
                <w:color w:val="0D0D0D" w:themeColor="text1" w:themeTint="F2"/>
                <w:spacing w:val="-4"/>
                <w:szCs w:val="20"/>
              </w:rPr>
              <w:t xml:space="preserve">Tržby za celé 2. čtvrtletí 2022 zaostaly za předchozím kvartálem o významných 2,3 %, neboť k poklesu došlo napříč takřka všemi oblastmi maloobchodu. </w:t>
            </w:r>
            <w:r w:rsidRPr="00D74A69">
              <w:rPr>
                <w:rFonts w:cs="Arial"/>
                <w:color w:val="0D0D0D" w:themeColor="text1" w:themeTint="F2"/>
                <w:spacing w:val="-4"/>
                <w:szCs w:val="20"/>
              </w:rPr>
              <w:t>Tento vývoj úzce souvisel s postupným útlumem spotřebitelské důvěry až na historické minimum (v červenci 2022). Opakovaný meziroční pokles průměrných mezd se v 1. čtvrtletí 2021 přetavil i do nižšího reálného disponibilního důchodu domácností (</w:t>
            </w:r>
            <w:r>
              <w:rPr>
                <w:rFonts w:cs="Arial"/>
                <w:color w:val="0D0D0D" w:themeColor="text1" w:themeTint="F2"/>
                <w:spacing w:val="-4"/>
                <w:szCs w:val="20"/>
              </w:rPr>
              <w:t>−2</w:t>
            </w:r>
            <w:r w:rsidRPr="00D74A69">
              <w:rPr>
                <w:rFonts w:cs="Arial"/>
                <w:color w:val="0D0D0D" w:themeColor="text1" w:themeTint="F2"/>
                <w:spacing w:val="-4"/>
                <w:szCs w:val="20"/>
              </w:rPr>
              <w:t> %). Finanční situace domácností, stejně jako její výhled na období nejbližších 12 měsíců, se zhoršovaly. Obavy lidí z růstu cen, které byly na počátku jara rekordní, v létě mírně opadly. Růst spotřebitelských cen potravin či pohonných hmot ovšem dál zrychloval. Za této situace začala patrně větší část domácností omezovat své zbytné vý</w:t>
            </w:r>
            <w:r>
              <w:rPr>
                <w:rFonts w:cs="Arial"/>
                <w:color w:val="0D0D0D" w:themeColor="text1" w:themeTint="F2"/>
                <w:spacing w:val="-4"/>
                <w:szCs w:val="20"/>
              </w:rPr>
              <w:t xml:space="preserve">daje, ale i běžné nákupy zboží zasaženého </w:t>
            </w:r>
            <w:r w:rsidRPr="00D74A69">
              <w:rPr>
                <w:rFonts w:cs="Arial"/>
                <w:color w:val="0D0D0D" w:themeColor="text1" w:themeTint="F2"/>
                <w:spacing w:val="-4"/>
                <w:szCs w:val="20"/>
              </w:rPr>
              <w:t xml:space="preserve">vysokým cenovým růstem. </w:t>
            </w:r>
            <w:r>
              <w:rPr>
                <w:rFonts w:cs="Arial"/>
                <w:color w:val="0D0D0D" w:themeColor="text1" w:themeTint="F2"/>
                <w:spacing w:val="-4"/>
                <w:szCs w:val="20"/>
              </w:rPr>
              <w:t>Ovšem</w:t>
            </w:r>
            <w:r w:rsidRPr="00D74A69">
              <w:rPr>
                <w:rFonts w:cs="Arial"/>
                <w:color w:val="0D0D0D" w:themeColor="text1" w:themeTint="F2"/>
                <w:spacing w:val="-4"/>
                <w:szCs w:val="20"/>
              </w:rPr>
              <w:t xml:space="preserve"> </w:t>
            </w:r>
            <w:r w:rsidRPr="00D74A69">
              <w:rPr>
                <w:rFonts w:cs="Arial"/>
                <w:color w:val="0D0D0D" w:themeColor="text1" w:themeTint="F2"/>
                <w:spacing w:val="-4"/>
                <w:szCs w:val="20"/>
              </w:rPr>
              <w:lastRenderedPageBreak/>
              <w:t>nálada samotných obchodníků zůstávala i přes mírné zhoršení pozitivní</w:t>
            </w:r>
            <w:r w:rsidRPr="00D74A69">
              <w:rPr>
                <w:rStyle w:val="Znakapoznpodarou"/>
                <w:color w:val="0D0D0D" w:themeColor="text1" w:themeTint="F2"/>
                <w:spacing w:val="-4"/>
                <w:szCs w:val="20"/>
              </w:rPr>
              <w:footnoteReference w:id="32"/>
            </w:r>
            <w:r w:rsidRPr="00D74A69">
              <w:rPr>
                <w:rFonts w:cs="Arial"/>
                <w:color w:val="0D0D0D" w:themeColor="text1" w:themeTint="F2"/>
                <w:spacing w:val="-4"/>
                <w:szCs w:val="20"/>
              </w:rPr>
              <w:t xml:space="preserve">. </w:t>
            </w:r>
            <w:r>
              <w:rPr>
                <w:rFonts w:cs="Arial"/>
                <w:color w:val="0D0D0D" w:themeColor="text1" w:themeTint="F2"/>
                <w:spacing w:val="-4"/>
                <w:szCs w:val="20"/>
              </w:rPr>
              <w:t xml:space="preserve">Ti spoléhali </w:t>
            </w:r>
            <w:r>
              <w:rPr>
                <w:rFonts w:cs="Arial"/>
                <w:color w:val="0D0D0D" w:themeColor="text1" w:themeTint="F2"/>
                <w:spacing w:val="-4"/>
                <w:szCs w:val="20"/>
              </w:rPr>
              <w:br/>
              <w:t>i na určitou</w:t>
            </w:r>
            <w:r w:rsidRPr="00D74A69">
              <w:rPr>
                <w:rFonts w:cs="Arial"/>
                <w:color w:val="0D0D0D" w:themeColor="text1" w:themeTint="F2"/>
                <w:spacing w:val="-4"/>
                <w:szCs w:val="20"/>
              </w:rPr>
              <w:t xml:space="preserve"> setrvačnost ve spotřebním chování tuzemských domácností (vč. </w:t>
            </w:r>
            <w:r>
              <w:rPr>
                <w:rFonts w:cs="Arial"/>
                <w:color w:val="0D0D0D" w:themeColor="text1" w:themeTint="F2"/>
                <w:spacing w:val="-4"/>
                <w:szCs w:val="20"/>
              </w:rPr>
              <w:t xml:space="preserve">jejich </w:t>
            </w:r>
            <w:r w:rsidRPr="00D74A69">
              <w:rPr>
                <w:rFonts w:cs="Arial"/>
                <w:color w:val="0D0D0D" w:themeColor="text1" w:themeTint="F2"/>
                <w:spacing w:val="-4"/>
                <w:szCs w:val="20"/>
              </w:rPr>
              <w:t>využití zbývající části „zadržených“ úspor z let 2020 a 2021</w:t>
            </w:r>
            <w:r>
              <w:rPr>
                <w:rFonts w:cs="Arial"/>
                <w:color w:val="0D0D0D" w:themeColor="text1" w:themeTint="F2"/>
                <w:spacing w:val="-4"/>
                <w:szCs w:val="20"/>
              </w:rPr>
              <w:t xml:space="preserve"> k současným nákupům</w:t>
            </w:r>
            <w:r w:rsidRPr="00D74A69">
              <w:rPr>
                <w:rFonts w:cs="Arial"/>
                <w:color w:val="0D0D0D" w:themeColor="text1" w:themeTint="F2"/>
                <w:spacing w:val="-4"/>
                <w:szCs w:val="20"/>
              </w:rPr>
              <w:t>)</w:t>
            </w:r>
            <w:r>
              <w:rPr>
                <w:rFonts w:cs="Arial"/>
                <w:color w:val="0D0D0D" w:themeColor="text1" w:themeTint="F2"/>
                <w:spacing w:val="-4"/>
                <w:szCs w:val="20"/>
              </w:rPr>
              <w:t xml:space="preserve"> a</w:t>
            </w:r>
            <w:r w:rsidRPr="00D74A69">
              <w:rPr>
                <w:rFonts w:cs="Arial"/>
                <w:color w:val="0D0D0D" w:themeColor="text1" w:themeTint="F2"/>
                <w:spacing w:val="-4"/>
                <w:szCs w:val="20"/>
              </w:rPr>
              <w:t xml:space="preserve">  na vyšší výdaje nerezidentů související s oživením turismu i uprchlickou vlnou z Ukrajiny.</w:t>
            </w:r>
          </w:p>
          <w:p w14:paraId="761DB134" w14:textId="77777777" w:rsidR="00C2272B" w:rsidRDefault="00C2272B" w:rsidP="00DB13EF">
            <w:pPr>
              <w:spacing w:after="0" w:line="240" w:lineRule="auto"/>
              <w:rPr>
                <w:rFonts w:cs="Arial"/>
                <w:color w:val="0D0D0D" w:themeColor="text1" w:themeTint="F2"/>
                <w:spacing w:val="-6"/>
              </w:rPr>
            </w:pPr>
          </w:p>
        </w:tc>
      </w:tr>
      <w:tr w:rsidR="00C2272B" w:rsidRPr="00030362" w14:paraId="52A06E14" w14:textId="77777777" w:rsidTr="00DB13EF">
        <w:trPr>
          <w:trHeight w:val="145"/>
        </w:trPr>
        <w:tc>
          <w:tcPr>
            <w:tcW w:w="1805" w:type="dxa"/>
            <w:tcBorders>
              <w:top w:val="nil"/>
              <w:left w:val="nil"/>
              <w:bottom w:val="nil"/>
              <w:right w:val="nil"/>
            </w:tcBorders>
            <w:shd w:val="clear" w:color="auto" w:fill="auto"/>
            <w:tcMar>
              <w:left w:w="0" w:type="dxa"/>
            </w:tcMar>
          </w:tcPr>
          <w:p w14:paraId="3E4D3305" w14:textId="008750C5" w:rsidR="00C2272B" w:rsidRDefault="00C2272B" w:rsidP="00DB13EF">
            <w:pPr>
              <w:pStyle w:val="Marginlie"/>
            </w:pPr>
            <w:r>
              <w:lastRenderedPageBreak/>
              <w:t>Za mezir</w:t>
            </w:r>
            <w:r w:rsidR="00A9036F">
              <w:t>očním poklesem maloobchodu stály</w:t>
            </w:r>
            <w:r>
              <w:t xml:space="preserve"> ve </w:t>
            </w:r>
            <w:r>
              <w:br/>
              <w:t xml:space="preserve">2. čtvrtletí hlavně </w:t>
            </w:r>
            <w:r w:rsidR="00A9036F">
              <w:t xml:space="preserve">nižší tržby s potravinami. </w:t>
            </w:r>
            <w:r>
              <w:t>Pokles poptávky byl v rámci maloobchodu víceméně plošný.</w:t>
            </w:r>
          </w:p>
          <w:p w14:paraId="32AB1DA9" w14:textId="77777777" w:rsidR="00C2272B" w:rsidRDefault="00C2272B" w:rsidP="00DB13EF">
            <w:pPr>
              <w:pStyle w:val="Marginlie"/>
            </w:pPr>
          </w:p>
          <w:p w14:paraId="699DA3E0" w14:textId="77777777" w:rsidR="00C2272B" w:rsidRDefault="00C2272B" w:rsidP="00DB13EF">
            <w:pPr>
              <w:pStyle w:val="Marginlie"/>
            </w:pPr>
          </w:p>
          <w:p w14:paraId="5FA4AD27" w14:textId="77777777" w:rsidR="00C2272B" w:rsidRDefault="00C2272B" w:rsidP="00DB13EF">
            <w:pPr>
              <w:pStyle w:val="Marginlie"/>
            </w:pPr>
          </w:p>
          <w:p w14:paraId="4B9396C5" w14:textId="77777777" w:rsidR="00C2272B" w:rsidRDefault="00C2272B" w:rsidP="00DB13EF">
            <w:pPr>
              <w:pStyle w:val="Marginlie"/>
            </w:pPr>
            <w:r>
              <w:t>Na nižší spotřebě PHM se patrně podílely také rekordní ceny u čerpacích stanic.</w:t>
            </w:r>
          </w:p>
        </w:tc>
        <w:tc>
          <w:tcPr>
            <w:tcW w:w="227" w:type="dxa"/>
            <w:tcBorders>
              <w:top w:val="nil"/>
              <w:left w:val="nil"/>
              <w:bottom w:val="nil"/>
              <w:right w:val="nil"/>
            </w:tcBorders>
            <w:shd w:val="clear" w:color="auto" w:fill="auto"/>
            <w:tcMar>
              <w:left w:w="0" w:type="dxa"/>
            </w:tcMar>
          </w:tcPr>
          <w:p w14:paraId="780BE917"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451BB2A0" w14:textId="699C35A3" w:rsidR="00C2272B" w:rsidRPr="00D74A69" w:rsidRDefault="00C2272B" w:rsidP="00F45317">
            <w:pPr>
              <w:spacing w:after="200"/>
              <w:rPr>
                <w:rFonts w:cs="Arial"/>
                <w:color w:val="0D0D0D" w:themeColor="text1" w:themeTint="F2"/>
                <w:spacing w:val="-4"/>
                <w:szCs w:val="20"/>
              </w:rPr>
            </w:pPr>
            <w:r w:rsidRPr="001665AB">
              <w:rPr>
                <w:rFonts w:cs="Arial"/>
                <w:color w:val="0D0D0D" w:themeColor="text1" w:themeTint="F2"/>
                <w:spacing w:val="-4"/>
                <w:szCs w:val="20"/>
              </w:rPr>
              <w:t>Ve 2. čtvrtletí se maloobchodní tržby meziročně snížily o 3,0 %</w:t>
            </w:r>
            <w:r w:rsidRPr="001665AB">
              <w:rPr>
                <w:rStyle w:val="Znakapoznpodarou"/>
                <w:color w:val="0D0D0D" w:themeColor="text1" w:themeTint="F2"/>
                <w:spacing w:val="-4"/>
                <w:szCs w:val="20"/>
              </w:rPr>
              <w:footnoteReference w:id="33"/>
            </w:r>
            <w:r w:rsidRPr="001665AB">
              <w:rPr>
                <w:rFonts w:cs="Arial"/>
                <w:color w:val="0D0D0D" w:themeColor="text1" w:themeTint="F2"/>
                <w:spacing w:val="-4"/>
                <w:szCs w:val="20"/>
              </w:rPr>
              <w:t xml:space="preserve"> (v červnu dokonce o 6,9 %). Za poklesem stály hlavně tržby </w:t>
            </w:r>
            <w:r w:rsidR="00A9036F">
              <w:rPr>
                <w:rFonts w:cs="Arial"/>
                <w:color w:val="0D0D0D" w:themeColor="text1" w:themeTint="F2"/>
                <w:spacing w:val="-4"/>
                <w:szCs w:val="20"/>
              </w:rPr>
              <w:t xml:space="preserve">v maloobchodu s potravinami a také tržby </w:t>
            </w:r>
            <w:r w:rsidRPr="001665AB">
              <w:rPr>
                <w:rFonts w:cs="Arial"/>
                <w:color w:val="0D0D0D" w:themeColor="text1" w:themeTint="F2"/>
                <w:spacing w:val="-4"/>
                <w:szCs w:val="20"/>
              </w:rPr>
              <w:t>internetových prodejc</w:t>
            </w:r>
            <w:r w:rsidR="00A9036F">
              <w:rPr>
                <w:rFonts w:cs="Arial"/>
                <w:color w:val="0D0D0D" w:themeColor="text1" w:themeTint="F2"/>
                <w:spacing w:val="-4"/>
                <w:szCs w:val="20"/>
              </w:rPr>
              <w:t>ů – t</w:t>
            </w:r>
            <w:r w:rsidRPr="001665AB">
              <w:rPr>
                <w:rFonts w:cs="Arial"/>
                <w:color w:val="0D0D0D" w:themeColor="text1" w:themeTint="F2"/>
                <w:spacing w:val="-4"/>
                <w:szCs w:val="20"/>
              </w:rPr>
              <w:t>y byly oproti mimořádné loňské základně, kdy ještě zčásti suplovaly uzavřené kamenné prodejny, o 8,0 % nižší. Mírnější pokles postihl rovněž výraznou většinu ostatních specializovaných prodejen nepotravinářského zboží. Více než loni lidé poptávali jen oděvy, obuv, kožené zboží, farmaceutické a zdravotnické potřeby či kosmetické a toaletní výrobky. Pokles tržeb za potraviny se prohloubil na 4,0 % (větší propad nastal jen v 1. čtvrtletí 2012). K hlubšímu útlumu došlo ve velkých řetězcích, reálné útraty v menších prodejnách spíše stagnovaly. Prodejci pohonných hmot zaznamenali snížení tržeb o rovná 4 %</w:t>
            </w:r>
            <w:r w:rsidRPr="001665AB">
              <w:rPr>
                <w:rStyle w:val="Znakapoznpodarou"/>
                <w:color w:val="0D0D0D" w:themeColor="text1" w:themeTint="F2"/>
                <w:spacing w:val="-4"/>
                <w:szCs w:val="20"/>
              </w:rPr>
              <w:footnoteReference w:id="34"/>
            </w:r>
            <w:r w:rsidRPr="001665AB">
              <w:rPr>
                <w:rFonts w:cs="Arial"/>
                <w:color w:val="0D0D0D" w:themeColor="text1" w:themeTint="F2"/>
                <w:spacing w:val="-4"/>
                <w:szCs w:val="20"/>
              </w:rPr>
              <w:t>. Oproti 4. čtvrtletí 2019 zde byla poptávka nižší zhruba o</w:t>
            </w:r>
            <w:r w:rsidR="00CF35A7">
              <w:rPr>
                <w:rFonts w:cs="Arial"/>
                <w:color w:val="0D0D0D" w:themeColor="text1" w:themeTint="F2"/>
                <w:spacing w:val="-4"/>
                <w:szCs w:val="20"/>
              </w:rPr>
              <w:t> </w:t>
            </w:r>
            <w:r w:rsidRPr="001665AB">
              <w:rPr>
                <w:rFonts w:cs="Arial"/>
                <w:color w:val="0D0D0D" w:themeColor="text1" w:themeTint="F2"/>
                <w:spacing w:val="-4"/>
                <w:szCs w:val="20"/>
              </w:rPr>
              <w:t xml:space="preserve">desetinu. To platilo i pro motoristický segment obchodu, v němž se </w:t>
            </w:r>
            <w:r>
              <w:rPr>
                <w:rFonts w:cs="Arial"/>
                <w:color w:val="0D0D0D" w:themeColor="text1" w:themeTint="F2"/>
                <w:spacing w:val="-4"/>
                <w:szCs w:val="20"/>
              </w:rPr>
              <w:t xml:space="preserve">pokles tržeb </w:t>
            </w:r>
            <w:r w:rsidRPr="001665AB">
              <w:rPr>
                <w:rFonts w:cs="Arial"/>
                <w:color w:val="0D0D0D" w:themeColor="text1" w:themeTint="F2"/>
                <w:spacing w:val="-4"/>
                <w:szCs w:val="20"/>
              </w:rPr>
              <w:t>ve 2. čtvrtletí prohloubil na 7,7 %. Útlum poptávky v oblasti obchodu s motorovými vozidly byl ve srovnání s opravami a údržbou vozů více než dvojnásobný.</w:t>
            </w:r>
          </w:p>
        </w:tc>
      </w:tr>
      <w:tr w:rsidR="00C2272B" w:rsidRPr="00030362" w14:paraId="0D3A0BFF" w14:textId="77777777" w:rsidTr="00DB13EF">
        <w:trPr>
          <w:trHeight w:val="145"/>
        </w:trPr>
        <w:tc>
          <w:tcPr>
            <w:tcW w:w="1805" w:type="dxa"/>
            <w:tcBorders>
              <w:top w:val="nil"/>
              <w:left w:val="nil"/>
              <w:bottom w:val="nil"/>
              <w:right w:val="nil"/>
            </w:tcBorders>
            <w:shd w:val="clear" w:color="auto" w:fill="auto"/>
            <w:tcMar>
              <w:left w:w="0" w:type="dxa"/>
            </w:tcMar>
          </w:tcPr>
          <w:p w14:paraId="6FABD9D1"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2ED01DFD"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011B3E84" w14:textId="77777777" w:rsidR="00C2272B" w:rsidRDefault="00C2272B" w:rsidP="00DB13EF">
            <w:pPr>
              <w:spacing w:after="0"/>
              <w:rPr>
                <w:rFonts w:cs="Arial"/>
                <w:color w:val="0D0D0D" w:themeColor="text1" w:themeTint="F2"/>
                <w:spacing w:val="-3"/>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 xml:space="preserve">(reálně, úroveň roku 2015=100, pravá osa) </w:t>
            </w:r>
            <w:r w:rsidRPr="004405E2">
              <w:rPr>
                <w:rFonts w:cs="Arial"/>
                <w:b/>
                <w:bCs/>
                <w:color w:val="0D0D0D" w:themeColor="text1" w:themeTint="F2"/>
                <w:spacing w:val="-6"/>
              </w:rPr>
              <w:t xml:space="preserve">a saldo celkové důvěry spotřebitelů*** </w:t>
            </w:r>
            <w:r w:rsidRPr="004405E2">
              <w:rPr>
                <w:rFonts w:cs="Arial"/>
                <w:color w:val="0D0D0D" w:themeColor="text1" w:themeTint="F2"/>
                <w:spacing w:val="-6"/>
              </w:rPr>
              <w:t>(v p. b., pravá osa)</w:t>
            </w:r>
          </w:p>
        </w:tc>
      </w:tr>
      <w:tr w:rsidR="00C2272B" w:rsidRPr="00030362" w14:paraId="3DD1D8DC" w14:textId="77777777" w:rsidTr="00DB13EF">
        <w:trPr>
          <w:trHeight w:val="145"/>
        </w:trPr>
        <w:tc>
          <w:tcPr>
            <w:tcW w:w="1805" w:type="dxa"/>
            <w:tcBorders>
              <w:top w:val="nil"/>
              <w:left w:val="nil"/>
              <w:bottom w:val="nil"/>
              <w:right w:val="nil"/>
            </w:tcBorders>
            <w:shd w:val="clear" w:color="auto" w:fill="auto"/>
            <w:tcMar>
              <w:left w:w="0" w:type="dxa"/>
            </w:tcMar>
          </w:tcPr>
          <w:p w14:paraId="06EAF867"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7F484053"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11D89B7E" w14:textId="77777777" w:rsidR="00C2272B" w:rsidRDefault="00C2272B" w:rsidP="00DB13EF">
            <w:pPr>
              <w:spacing w:after="0"/>
              <w:rPr>
                <w:b/>
              </w:rPr>
            </w:pPr>
            <w:r>
              <w:rPr>
                <w:noProof/>
              </w:rPr>
              <w:drawing>
                <wp:inline distT="0" distB="0" distL="0" distR="0" wp14:anchorId="61BF08F0" wp14:editId="78C6D7D2">
                  <wp:extent cx="4787900" cy="3348000"/>
                  <wp:effectExtent l="0" t="0" r="0" b="508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2272B" w:rsidRPr="00030362" w14:paraId="23138A7A" w14:textId="77777777" w:rsidTr="00DB13EF">
        <w:trPr>
          <w:trHeight w:val="145"/>
        </w:trPr>
        <w:tc>
          <w:tcPr>
            <w:tcW w:w="1805" w:type="dxa"/>
            <w:tcBorders>
              <w:top w:val="nil"/>
              <w:left w:val="nil"/>
              <w:bottom w:val="nil"/>
              <w:right w:val="nil"/>
            </w:tcBorders>
            <w:shd w:val="clear" w:color="auto" w:fill="auto"/>
            <w:tcMar>
              <w:left w:w="0" w:type="dxa"/>
            </w:tcMar>
          </w:tcPr>
          <w:p w14:paraId="36795095" w14:textId="77777777" w:rsidR="00C2272B" w:rsidRDefault="00C2272B" w:rsidP="00DB13EF">
            <w:pPr>
              <w:pStyle w:val="Marginlie"/>
            </w:pPr>
          </w:p>
        </w:tc>
        <w:tc>
          <w:tcPr>
            <w:tcW w:w="227" w:type="dxa"/>
            <w:tcBorders>
              <w:top w:val="nil"/>
              <w:left w:val="nil"/>
              <w:bottom w:val="nil"/>
              <w:right w:val="nil"/>
            </w:tcBorders>
            <w:shd w:val="clear" w:color="auto" w:fill="auto"/>
            <w:tcMar>
              <w:left w:w="0" w:type="dxa"/>
            </w:tcMar>
          </w:tcPr>
          <w:p w14:paraId="671523BE" w14:textId="77777777" w:rsidR="00C2272B" w:rsidRDefault="00C2272B" w:rsidP="00DB13EF">
            <w:pPr>
              <w:pStyle w:val="Textpoznpodarou"/>
              <w:jc w:val="both"/>
              <w:rPr>
                <w:spacing w:val="-4"/>
              </w:rPr>
            </w:pPr>
          </w:p>
        </w:tc>
        <w:tc>
          <w:tcPr>
            <w:tcW w:w="7607" w:type="dxa"/>
            <w:tcBorders>
              <w:top w:val="nil"/>
              <w:left w:val="nil"/>
              <w:bottom w:val="nil"/>
              <w:right w:val="nil"/>
            </w:tcBorders>
            <w:shd w:val="clear" w:color="auto" w:fill="auto"/>
            <w:tcMar>
              <w:left w:w="0" w:type="dxa"/>
            </w:tcMar>
          </w:tcPr>
          <w:p w14:paraId="31091208" w14:textId="77777777" w:rsidR="00C2272B" w:rsidRPr="00052ADA" w:rsidRDefault="00C2272B" w:rsidP="00DB13EF">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440586DC" w14:textId="77777777" w:rsidR="00C2272B" w:rsidRDefault="00C2272B" w:rsidP="00DB13EF">
            <w:pPr>
              <w:spacing w:after="0"/>
              <w:rPr>
                <w:noProof/>
              </w:rPr>
            </w:pPr>
            <w:r w:rsidRPr="00052ADA">
              <w:rPr>
                <w:rFonts w:cs="Arial"/>
                <w:color w:val="0D0D0D" w:themeColor="text1" w:themeTint="F2"/>
                <w:spacing w:val="-4"/>
                <w:sz w:val="14"/>
                <w:szCs w:val="14"/>
              </w:rPr>
              <w:t>*** Saldo důvěry spotřebitelů je sezónně očištěno a vyjadřuje stav ve druhém m</w:t>
            </w:r>
            <w:r>
              <w:rPr>
                <w:rFonts w:cs="Arial"/>
                <w:color w:val="0D0D0D" w:themeColor="text1" w:themeTint="F2"/>
                <w:spacing w:val="-4"/>
                <w:sz w:val="14"/>
                <w:szCs w:val="14"/>
              </w:rPr>
              <w:t>ěsíci daného čtvrtletí.</w:t>
            </w:r>
            <w:r w:rsidRPr="00052ADA">
              <w:rPr>
                <w:rFonts w:cs="Arial"/>
                <w:color w:val="0D0D0D" w:themeColor="text1" w:themeTint="F2"/>
                <w:spacing w:val="-4"/>
                <w:sz w:val="14"/>
                <w:szCs w:val="14"/>
              </w:rPr>
              <w:t xml:space="preserve">           Zdroj: ČSÚ</w:t>
            </w:r>
            <w:bookmarkStart w:id="15" w:name="_GoBack"/>
            <w:bookmarkEnd w:id="15"/>
          </w:p>
        </w:tc>
      </w:tr>
      <w:bookmarkEnd w:id="5"/>
      <w:bookmarkEnd w:id="6"/>
      <w:bookmarkEnd w:id="7"/>
      <w:bookmarkEnd w:id="8"/>
      <w:bookmarkEnd w:id="9"/>
      <w:bookmarkEnd w:id="10"/>
      <w:bookmarkEnd w:id="11"/>
      <w:bookmarkEnd w:id="12"/>
      <w:bookmarkEnd w:id="13"/>
    </w:tbl>
    <w:p w14:paraId="5BAB8EA3" w14:textId="3E49B7A0" w:rsidR="000663F0" w:rsidRPr="00E42054" w:rsidRDefault="000663F0" w:rsidP="00F45317">
      <w:pPr>
        <w:pStyle w:val="Nadpis11"/>
        <w:rPr>
          <w:b w:val="0"/>
          <w:sz w:val="2"/>
          <w:szCs w:val="2"/>
        </w:rPr>
      </w:pPr>
    </w:p>
    <w:sectPr w:rsidR="000663F0" w:rsidRPr="00E42054" w:rsidSect="004837D9">
      <w:headerReference w:type="even" r:id="rId14"/>
      <w:headerReference w:type="default" r:id="rId15"/>
      <w:footerReference w:type="even" r:id="rId16"/>
      <w:footerReference w:type="default" r:id="rId17"/>
      <w:pgSz w:w="11906" w:h="16838" w:code="9"/>
      <w:pgMar w:top="1134" w:right="1134" w:bottom="1418" w:left="1134" w:header="680" w:footer="73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9837" w14:textId="77777777" w:rsidR="00D6687D" w:rsidRDefault="00D6687D" w:rsidP="00E71A58">
      <w:r>
        <w:separator/>
      </w:r>
    </w:p>
  </w:endnote>
  <w:endnote w:type="continuationSeparator" w:id="0">
    <w:p w14:paraId="42696065" w14:textId="77777777" w:rsidR="00D6687D" w:rsidRDefault="00D6687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4BD62912" w:rsidR="00CF35A7" w:rsidRPr="00932443" w:rsidRDefault="00CF35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4837D9">
      <w:rPr>
        <w:szCs w:val="16"/>
      </w:rPr>
      <w:t>16</w:t>
    </w:r>
    <w:r w:rsidRPr="00932443">
      <w:rPr>
        <w:szCs w:val="16"/>
      </w:rPr>
      <w:fldChar w:fldCharType="end"/>
    </w:r>
    <w:r w:rsidRPr="00932443">
      <w:rPr>
        <w:szCs w:val="16"/>
      </w:rPr>
      <w:tab/>
    </w:r>
    <w:r>
      <w:rPr>
        <w:szCs w:val="16"/>
      </w:rPr>
      <w:t>1. pololetí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B0EAB66" w:rsidR="00CF35A7" w:rsidRPr="00932443" w:rsidRDefault="00CF35A7" w:rsidP="00FA6CB6">
    <w:pPr>
      <w:pStyle w:val="Zpat"/>
      <w:rPr>
        <w:szCs w:val="16"/>
      </w:rPr>
    </w:pPr>
    <w:r w:rsidRPr="00FA6CB6">
      <w:rPr>
        <w:szCs w:val="16"/>
      </w:rPr>
      <w:tab/>
    </w:r>
    <w:r>
      <w:rPr>
        <w:szCs w:val="16"/>
      </w:rPr>
      <w:t>1. pololetí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4837D9">
      <w:rPr>
        <w:rStyle w:val="ZpatChar"/>
        <w:szCs w:val="16"/>
      </w:rPr>
      <w:t>17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3530" w14:textId="77777777" w:rsidR="00D6687D" w:rsidRDefault="00D6687D" w:rsidP="00A21B4D">
      <w:pPr>
        <w:spacing w:after="0"/>
      </w:pPr>
      <w:r>
        <w:separator/>
      </w:r>
    </w:p>
  </w:footnote>
  <w:footnote w:type="continuationSeparator" w:id="0">
    <w:p w14:paraId="0D02CE2A" w14:textId="77777777" w:rsidR="00D6687D" w:rsidRDefault="00D6687D" w:rsidP="00E71A58">
      <w:r>
        <w:continuationSeparator/>
      </w:r>
    </w:p>
  </w:footnote>
  <w:footnote w:id="1">
    <w:p w14:paraId="7F527E0F" w14:textId="77777777" w:rsidR="00CF35A7" w:rsidRPr="00CF35A7" w:rsidRDefault="00CF35A7" w:rsidP="00CF35A7">
      <w:pPr>
        <w:spacing w:after="0" w:line="240" w:lineRule="auto"/>
        <w:jc w:val="left"/>
        <w:rPr>
          <w:rFonts w:cs="Arial"/>
          <w:color w:val="0D0D0D" w:themeColor="text1" w:themeTint="F2"/>
          <w:spacing w:val="-6"/>
          <w:sz w:val="16"/>
          <w:szCs w:val="16"/>
        </w:rPr>
      </w:pPr>
      <w:r w:rsidRPr="00CF35A7">
        <w:rPr>
          <w:rStyle w:val="Znakapoznpodarou"/>
          <w:spacing w:val="-6"/>
          <w:sz w:val="16"/>
          <w:szCs w:val="16"/>
        </w:rPr>
        <w:footnoteRef/>
      </w:r>
      <w:r w:rsidRPr="00CF35A7">
        <w:rPr>
          <w:spacing w:val="-6"/>
          <w:sz w:val="16"/>
          <w:szCs w:val="16"/>
        </w:rPr>
        <w:t xml:space="preserve"> </w:t>
      </w:r>
      <w:r w:rsidRPr="00CF35A7">
        <w:rPr>
          <w:rFonts w:cs="Arial"/>
          <w:color w:val="0D0D0D" w:themeColor="text1" w:themeTint="F2"/>
          <w:spacing w:val="-6"/>
          <w:sz w:val="16"/>
          <w:szCs w:val="16"/>
        </w:rPr>
        <w:t>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tempa pak také o vliv sezónnosti.</w:t>
      </w:r>
    </w:p>
  </w:footnote>
  <w:footnote w:id="2">
    <w:p w14:paraId="1ABAFF83" w14:textId="77777777" w:rsidR="00CF35A7" w:rsidRPr="00CF35A7" w:rsidRDefault="00CF35A7" w:rsidP="00CF35A7">
      <w:pPr>
        <w:spacing w:after="0" w:line="240" w:lineRule="auto"/>
        <w:jc w:val="left"/>
        <w:rPr>
          <w:spacing w:val="-6"/>
          <w:sz w:val="16"/>
          <w:szCs w:val="16"/>
        </w:rPr>
      </w:pPr>
      <w:r w:rsidRPr="00CF35A7">
        <w:rPr>
          <w:rStyle w:val="Znakapoznpodarou"/>
          <w:spacing w:val="-6"/>
          <w:sz w:val="16"/>
          <w:szCs w:val="16"/>
        </w:rPr>
        <w:footnoteRef/>
      </w:r>
      <w:r w:rsidRPr="00CF35A7">
        <w:rPr>
          <w:spacing w:val="-6"/>
          <w:sz w:val="16"/>
          <w:szCs w:val="16"/>
        </w:rPr>
        <w:t xml:space="preserve"> Průmyslová produkce byla o 1,5 % pod úrovní dosud rekordního období (2. čtvrtletí 2019). Za svým vrcholem z éry předpandemické konjunktury (roky 2014 až 2019) dosud zaostávaly plné dvě třetiny ze všech (bezmála třiceti) hlavních průmyslových oborů. Šlo především o těžbu a úpravu uhlí (o 37 %), kožedělný průmysl (27 %), výrobu počítačů, elektronických a optických přístrojů (14 %) </w:t>
      </w:r>
      <w:r w:rsidRPr="00CF35A7">
        <w:rPr>
          <w:spacing w:val="-6"/>
          <w:sz w:val="16"/>
          <w:szCs w:val="16"/>
        </w:rPr>
        <w:br/>
        <w:t>a energetiku (11</w:t>
      </w:r>
      <w:r w:rsidRPr="00CF35A7">
        <w:rPr>
          <w:rFonts w:cs="Arial"/>
          <w:color w:val="0D0D0D" w:themeColor="text1" w:themeTint="F2"/>
          <w:spacing w:val="-6"/>
          <w:sz w:val="16"/>
          <w:szCs w:val="16"/>
        </w:rPr>
        <w:t> </w:t>
      </w:r>
      <w:r w:rsidRPr="00CF35A7">
        <w:rPr>
          <w:spacing w:val="-6"/>
          <w:sz w:val="16"/>
          <w:szCs w:val="16"/>
        </w:rPr>
        <w:t xml:space="preserve">%). Naopak předkrizovou úroveň již překonali výrobci elektrických zařízení (o 5 %) či stavebních materiálů (4 %) </w:t>
      </w:r>
      <w:r w:rsidRPr="00CF35A7">
        <w:rPr>
          <w:spacing w:val="-6"/>
          <w:sz w:val="16"/>
          <w:szCs w:val="16"/>
        </w:rPr>
        <w:br/>
        <w:t xml:space="preserve">a potravin (3 %). Z menších oborů patřily do této kategorie zejména papírenský průmysl (15 %), farmacie (11 %), nábytkářství (9 %) </w:t>
      </w:r>
      <w:r w:rsidRPr="00CF35A7">
        <w:rPr>
          <w:spacing w:val="-6"/>
          <w:sz w:val="16"/>
          <w:szCs w:val="16"/>
        </w:rPr>
        <w:br/>
        <w:t>a ostatní zpracovatelský průmysl (14 %), zahrnující například výrobu lékařských nástrojů, sportovních potřeb, her a hraček.</w:t>
      </w:r>
    </w:p>
  </w:footnote>
  <w:footnote w:id="3">
    <w:p w14:paraId="12E8F406"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To dokreslují i údaje Sdružení automobilového průmyslu. Jak v květnu, tak v červnu bylo letos v Česku vyrobeno přes 120 tis. osobních vozů, čímž se tyto měsíce přiblížily úrovni stejného období let 2017 až 2019, kdy byla výroba automobilů v tuzemsku na vrcholu. V úhrnu za 1.</w:t>
      </w:r>
      <w:r w:rsidRPr="00CF35A7">
        <w:rPr>
          <w:rFonts w:cs="Arial"/>
          <w:color w:val="0D0D0D" w:themeColor="text1" w:themeTint="F2"/>
          <w:spacing w:val="-6"/>
          <w:sz w:val="16"/>
          <w:szCs w:val="16"/>
        </w:rPr>
        <w:t> </w:t>
      </w:r>
      <w:r w:rsidRPr="00CF35A7">
        <w:rPr>
          <w:spacing w:val="-6"/>
          <w:sz w:val="16"/>
          <w:szCs w:val="16"/>
        </w:rPr>
        <w:t>pololetí 2022 dosáhla výroba osobních vozů 607 tis. (meziročně o 8 % méně, zároveň šlo o třetí nejnižší hodnotu po roce 2010).</w:t>
      </w:r>
    </w:p>
  </w:footnote>
  <w:footnote w:id="4">
    <w:p w14:paraId="0DE63CD6"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Na počátku 2. i 3. čtvrtletí 2022 se pohybovalo mírně pod 80 %. Za poslední konjunktury ovšem obvykle mírně přesahovalo 90 %.</w:t>
      </w:r>
    </w:p>
  </w:footnote>
  <w:footnote w:id="5">
    <w:p w14:paraId="54B88920"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w:t>
      </w:r>
      <w:r w:rsidRPr="00CF35A7">
        <w:rPr>
          <w:rFonts w:cs="Arial"/>
          <w:spacing w:val="-6"/>
          <w:sz w:val="16"/>
          <w:szCs w:val="16"/>
        </w:rPr>
        <w:t>Podniky mohly uvést více hlavních růstových bariér současně.</w:t>
      </w:r>
    </w:p>
  </w:footnote>
  <w:footnote w:id="6">
    <w:p w14:paraId="467170FC"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Spotřeba plynu v ČR se v 1. pololetí meziročně snížila o 19,7 % (po zohlednění teplejší zimy o 14,7 %). Nejvíce se na tom podíleli velkoodběratelé, svou spotřebu ale významně snížily i domácnosti (o 19 %). Dle aktuálních údajů klesla letos za 1. čtvrtletí celková hrubá výroba tepla o 7,7 %, především zásluhou nižšího využití zemního plynu. Obdobně ubylo i množství spotřebovaného tepla, ve srovnání s počátkem roku 2020 (kdy panovaly podobné teplotní poměry jako letos) činil pokles 3 % (z toho u domácností 4 %). </w:t>
      </w:r>
    </w:p>
  </w:footnote>
  <w:footnote w:id="7">
    <w:p w14:paraId="09083DA8" w14:textId="77777777" w:rsidR="00CF35A7" w:rsidRPr="00CF35A7" w:rsidRDefault="00CF35A7" w:rsidP="00CF35A7">
      <w:pPr>
        <w:pStyle w:val="Textpoznpodarou"/>
        <w:rPr>
          <w:spacing w:val="-6"/>
        </w:rPr>
      </w:pPr>
      <w:r w:rsidRPr="00CF35A7">
        <w:rPr>
          <w:rStyle w:val="Znakapoznpodarou"/>
          <w:spacing w:val="-6"/>
          <w:sz w:val="16"/>
          <w:szCs w:val="16"/>
        </w:rPr>
        <w:footnoteRef/>
      </w:r>
      <w:r w:rsidRPr="00CF35A7">
        <w:rPr>
          <w:spacing w:val="-6"/>
          <w:sz w:val="16"/>
          <w:szCs w:val="16"/>
        </w:rPr>
        <w:t xml:space="preserve"> V 1. pololetí 2022 činila hrubá tuzemská výroba elektřiny 42,2 TWh (meziročně o 2,2 % více, ale oproti roku 2019 o 4,2 % méně). K meziročnímu růstu výroby přispěly i přes pokles svého instalovaného výkonu nejvíce parní elektrárny, a to především díky vyššímu využití uhlí. Mírně posílila i výroba v jaderných elektrárnách. Naopak o 60 % propadla produkce v paroplynových elektrárnách a o skoro pětinu také ve vodních a přečerpávacích elektrárnách. Celková hrubá tuzemská spotřeba elektřiny meziročně mírně klesla (o 1,5 %, téměř výhradně díky domácnostem) na 36,8 TWh – tedy na druhou nejnižší hodnotu za posledních šest let.</w:t>
      </w:r>
    </w:p>
  </w:footnote>
  <w:footnote w:id="8">
    <w:p w14:paraId="1C31FBCC"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w:t>
      </w:r>
      <w:r w:rsidRPr="00CF35A7">
        <w:rPr>
          <w:rFonts w:cs="Arial"/>
          <w:color w:val="0D0D0D" w:themeColor="text1" w:themeTint="F2"/>
          <w:spacing w:val="-6"/>
          <w:sz w:val="16"/>
          <w:szCs w:val="16"/>
        </w:rPr>
        <w:t>Meziroční tempa tržeb jsou očištěna o kalendářní vlivy.</w:t>
      </w:r>
    </w:p>
  </w:footnote>
  <w:footnote w:id="9">
    <w:p w14:paraId="44958991"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Zatímco tržby z průmyslové činnosti v běžných cenách překonaly nejvyšší úroveň z předpandemického období již ve 4. čtvrtletí 2020, v případě průmyslové produkce (jež je od cenových vlivů standardně očištěna) se tak dosud nestalo.</w:t>
      </w:r>
    </w:p>
  </w:footnote>
  <w:footnote w:id="10">
    <w:p w14:paraId="37CB4BF4"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Jde o vývoz prostřednictvím podniků zařazených do jiných odvětví než průmysl.</w:t>
      </w:r>
    </w:p>
  </w:footnote>
  <w:footnote w:id="11">
    <w:p w14:paraId="0D2DA609" w14:textId="77777777" w:rsidR="00CF35A7" w:rsidRPr="00FB58F4" w:rsidRDefault="00CF35A7" w:rsidP="00CF35A7">
      <w:pPr>
        <w:pStyle w:val="Textpoznpodarou"/>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 xml:space="preserve">zek probíhá jen ve dvanácti zpracovatelských odvětvích </w:t>
      </w:r>
      <w:r w:rsidRPr="007A20EB">
        <w:rPr>
          <w:rFonts w:cs="Arial"/>
          <w:color w:val="0D0D0D" w:themeColor="text1" w:themeTint="F2"/>
          <w:sz w:val="16"/>
          <w:szCs w:val="16"/>
        </w:rPr>
        <w:t>vyrábějí</w:t>
      </w:r>
      <w:r>
        <w:rPr>
          <w:rFonts w:cs="Arial"/>
          <w:color w:val="0D0D0D" w:themeColor="text1" w:themeTint="F2"/>
          <w:sz w:val="16"/>
          <w:szCs w:val="16"/>
        </w:rPr>
        <w:t>cích</w:t>
      </w:r>
      <w:r w:rsidRPr="007A20EB">
        <w:rPr>
          <w:rFonts w:cs="Arial"/>
          <w:color w:val="0D0D0D" w:themeColor="text1" w:themeTint="F2"/>
          <w:sz w:val="16"/>
          <w:szCs w:val="16"/>
        </w:rPr>
        <w:t xml:space="preserve"> převážně na zakázku, s dlouhodobějším výrobním cyklem a s většími zásobami zakázek.</w:t>
      </w:r>
      <w:r>
        <w:rPr>
          <w:rFonts w:cs="Arial"/>
          <w:color w:val="0D0D0D" w:themeColor="text1" w:themeTint="F2"/>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zakázek</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w:t>
      </w:r>
    </w:p>
  </w:footnote>
  <w:footnote w:id="12">
    <w:p w14:paraId="2B476B4E"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Průměrný evidenční počet zaměstnanců v průmyslu letos v 1. pololetí (i samotném červnu) meziročně stagnoval.</w:t>
      </w:r>
    </w:p>
  </w:footnote>
  <w:footnote w:id="13">
    <w:p w14:paraId="6DEC667A"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Dle červencového šetření by současná zásoba zakázek skýtala firmám práci v průměru na další 8,4 měsíce. To bylo nejméně od konce roku 2017. I tak ovšem tuzemské průmyslové firmy disponovaly nejvyšší zásobou práce ze všech států EU.</w:t>
      </w:r>
    </w:p>
  </w:footnote>
  <w:footnote w:id="14">
    <w:p w14:paraId="212439AD"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Vedle výroby motorových vozidel (spolu s hlavními návaznými odvětvími) šlo letos v červenci především o výrobu počítačů, elektronických a optických přístrojů (jako jednu z bariér ji uvedlo 92 % podniků), chemický průmysl (71 %) a strojírenství (55 %).</w:t>
      </w:r>
    </w:p>
  </w:footnote>
  <w:footnote w:id="15">
    <w:p w14:paraId="05C5764C"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Šlo o hlavní bariéru růstu ve výrobě nápojů (49 %), kožedělném (65 %) a kovodělném průmyslu (43 %), výrobě ostatních (zejm. kolejových) dopravních prostředků (73 %) a opravách strojů a zařízení (41 %). Významnou roli pak mělo odvětví gumárenství a plastikářství (69 %) a strojírenství (41 %). </w:t>
      </w:r>
    </w:p>
  </w:footnote>
  <w:footnote w:id="16">
    <w:p w14:paraId="0357E9ED" w14:textId="77777777" w:rsidR="00CF35A7" w:rsidRPr="00CF35A7" w:rsidRDefault="00CF35A7" w:rsidP="00CF35A7">
      <w:pPr>
        <w:pStyle w:val="Textpoznpodarou"/>
        <w:rPr>
          <w:spacing w:val="-6"/>
        </w:rPr>
      </w:pPr>
      <w:r w:rsidRPr="00CF35A7">
        <w:rPr>
          <w:rStyle w:val="Znakapoznpodarou"/>
          <w:spacing w:val="-6"/>
          <w:sz w:val="16"/>
          <w:szCs w:val="16"/>
        </w:rPr>
        <w:footnoteRef/>
      </w:r>
      <w:r w:rsidRPr="00CF35A7">
        <w:rPr>
          <w:spacing w:val="-6"/>
          <w:sz w:val="16"/>
          <w:szCs w:val="16"/>
        </w:rPr>
        <w:t xml:space="preserve"> Hlavní růstovou bariéru tvořila v potravinářství (35 %), textilním (52 %), oděvním (75 %), dřevozpracujícím (63 %) a tiskařském průmyslu (27 %), farmacii (74 %), výrobě stavebních materiálů (28 %) a hutnictví a slévárenství (44 %).</w:t>
      </w:r>
    </w:p>
  </w:footnote>
  <w:footnote w:id="17">
    <w:p w14:paraId="5EB5D1EF"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Ta se oproti rekordní výši z dubna 2022 snížila jen velmi mírně. V červenci plánovalo navýšení vlastních prodejních cen v příštích třech měsících 53 % průmyslových podniků. </w:t>
      </w:r>
    </w:p>
  </w:footnote>
  <w:footnote w:id="18">
    <w:p w14:paraId="00439771" w14:textId="77777777" w:rsidR="00CF35A7" w:rsidRPr="00CF35A7" w:rsidRDefault="00CF35A7" w:rsidP="00CF35A7">
      <w:pPr>
        <w:pStyle w:val="Textpoznpodarou"/>
        <w:rPr>
          <w:spacing w:val="-6"/>
          <w:sz w:val="16"/>
          <w:szCs w:val="16"/>
        </w:rPr>
      </w:pPr>
      <w:r w:rsidRPr="00CF35A7">
        <w:rPr>
          <w:rStyle w:val="Znakapoznpodarou"/>
          <w:rFonts w:cs="Arial"/>
          <w:color w:val="0D0D0D" w:themeColor="text1" w:themeTint="F2"/>
          <w:spacing w:val="-6"/>
          <w:sz w:val="16"/>
          <w:szCs w:val="16"/>
        </w:rPr>
        <w:footnoteRef/>
      </w:r>
      <w:r w:rsidRPr="00CF35A7">
        <w:rPr>
          <w:rFonts w:cs="Arial"/>
          <w:color w:val="0D0D0D" w:themeColor="text1" w:themeTint="F2"/>
          <w:spacing w:val="-6"/>
          <w:sz w:val="16"/>
          <w:szCs w:val="16"/>
        </w:rPr>
        <w:t xml:space="preserve"> Údaje o stavební produkci jsou ve stálých cenách, meziroční tempa jsou očištěna o kalendářní vlivy, mezičtvrtletní též o vliv sezónnosti.</w:t>
      </w:r>
    </w:p>
  </w:footnote>
  <w:footnote w:id="19">
    <w:p w14:paraId="3C1586D1" w14:textId="0F2C58EF"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Dle údajů Českého hydrometeorologického úřadu činila letos v 1. čtvrtletí průměrná teplota vzduchu +2,2 stupně, tedy o 1,7 stupně více než průměr z období let 1991 až 2020. Ve shodném období vloni se teplota pohybovala nepatrně pod dlouhodobým normálem (o 0,2 °C).</w:t>
      </w:r>
    </w:p>
  </w:footnote>
  <w:footnote w:id="20">
    <w:p w14:paraId="20E1E5AF"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Ještě v 1. čtvrtletí 2021 se stavebnictví částečně nacházelo v útlumu, </w:t>
      </w:r>
      <w:r w:rsidRPr="00CF35A7">
        <w:rPr>
          <w:color w:val="0D0D0D" w:themeColor="text1" w:themeTint="F2"/>
          <w:spacing w:val="-6"/>
          <w:sz w:val="16"/>
          <w:szCs w:val="16"/>
        </w:rPr>
        <w:t xml:space="preserve">neboť tehdy pandemie kulminovala. </w:t>
      </w:r>
      <w:r w:rsidRPr="00CF35A7">
        <w:rPr>
          <w:spacing w:val="-6"/>
          <w:sz w:val="16"/>
          <w:szCs w:val="16"/>
        </w:rPr>
        <w:t>Z</w:t>
      </w:r>
      <w:r w:rsidRPr="00CF35A7">
        <w:rPr>
          <w:color w:val="0D0D0D" w:themeColor="text1" w:themeTint="F2"/>
          <w:spacing w:val="-6"/>
          <w:sz w:val="16"/>
          <w:szCs w:val="16"/>
        </w:rPr>
        <w:t>výšená nemocnost, ztížený přeshraniční pohyb pracovníků, restrikce u celkové mobility obyvatel v tuzemsku i omezení výkonu stavebních úřadů významně limitovaly produkční možnosti stavebnictví. Během jara se ekonomika rychle začala vracet k normálu, což se odrazilo i v citelnějším oživení stavebnictví.</w:t>
      </w:r>
    </w:p>
  </w:footnote>
  <w:footnote w:id="21">
    <w:p w14:paraId="15351FB4" w14:textId="77777777" w:rsidR="00CF35A7" w:rsidRPr="009B56B9" w:rsidRDefault="00CF35A7" w:rsidP="00CF35A7">
      <w:pPr>
        <w:pStyle w:val="Textpoznpodarou"/>
        <w:rPr>
          <w:spacing w:val="-2"/>
          <w:sz w:val="16"/>
          <w:szCs w:val="16"/>
        </w:rPr>
      </w:pPr>
      <w:r w:rsidRPr="009B56B9">
        <w:rPr>
          <w:rStyle w:val="Znakapoznpodarou"/>
          <w:spacing w:val="-2"/>
          <w:sz w:val="16"/>
          <w:szCs w:val="16"/>
        </w:rPr>
        <w:footnoteRef/>
      </w:r>
      <w:r w:rsidRPr="009B56B9">
        <w:rPr>
          <w:spacing w:val="-2"/>
          <w:sz w:val="16"/>
          <w:szCs w:val="16"/>
        </w:rPr>
        <w:t xml:space="preserve"> </w:t>
      </w:r>
      <w:r w:rsidRPr="009B56B9">
        <w:rPr>
          <w:rFonts w:cs="Arial"/>
          <w:color w:val="0D0D0D" w:themeColor="text1" w:themeTint="F2"/>
          <w:spacing w:val="-2"/>
          <w:sz w:val="16"/>
          <w:szCs w:val="16"/>
        </w:rPr>
        <w:t xml:space="preserve">V prostředí sílících nákladových cen (materiálových, energetických, mzdových) nelze vyloučit, že fakturované ceny po dokončení staveb se mohou od cen předpokládaných při povolování staveb významněji odchýlit. Může docházet i k tomu, že firmy či kapitálově méně silní veřejní investoři nakonec smlouvy o stavebních pracích vypoví a realizaci zakázky odsunou na dobu, kdy bude cenový vývoj stabilnější </w:t>
      </w:r>
      <w:r w:rsidRPr="009B56B9">
        <w:rPr>
          <w:rFonts w:cs="Arial"/>
          <w:color w:val="0D0D0D" w:themeColor="text1" w:themeTint="F2"/>
          <w:spacing w:val="-2"/>
          <w:sz w:val="16"/>
          <w:szCs w:val="16"/>
        </w:rPr>
        <w:br/>
        <w:t xml:space="preserve">a předvídatelnější. </w:t>
      </w:r>
    </w:p>
  </w:footnote>
  <w:footnote w:id="22">
    <w:p w14:paraId="320DE78D" w14:textId="77777777" w:rsidR="00CF35A7" w:rsidRPr="009B56B9" w:rsidRDefault="00CF35A7" w:rsidP="00CF35A7">
      <w:pPr>
        <w:pStyle w:val="Textpoznpodarou"/>
        <w:rPr>
          <w:spacing w:val="-2"/>
          <w:sz w:val="16"/>
          <w:szCs w:val="16"/>
        </w:rPr>
      </w:pPr>
      <w:r w:rsidRPr="009B56B9">
        <w:rPr>
          <w:rStyle w:val="Znakapoznpodarou"/>
          <w:spacing w:val="-2"/>
          <w:sz w:val="16"/>
          <w:szCs w:val="16"/>
        </w:rPr>
        <w:footnoteRef/>
      </w:r>
      <w:r w:rsidRPr="009B56B9">
        <w:rPr>
          <w:spacing w:val="-2"/>
          <w:sz w:val="16"/>
          <w:szCs w:val="16"/>
        </w:rPr>
        <w:t xml:space="preserve"> Navyšování svých prodejních cen plánovalo v červenci 56 % stavebních podniků (vyšší podíl byl v dlouhodobé řadě od roku 2003 patrný pouze v předchozích letošních měsících).</w:t>
      </w:r>
    </w:p>
  </w:footnote>
  <w:footnote w:id="23">
    <w:p w14:paraId="5A78D7AD" w14:textId="77777777" w:rsidR="00CF35A7" w:rsidRPr="00CF35A7" w:rsidRDefault="00CF35A7" w:rsidP="00CF35A7">
      <w:pPr>
        <w:spacing w:after="0" w:line="240" w:lineRule="auto"/>
        <w:jc w:val="left"/>
        <w:rPr>
          <w:spacing w:val="-6"/>
        </w:rPr>
      </w:pPr>
      <w:r w:rsidRPr="00CF35A7">
        <w:rPr>
          <w:rStyle w:val="Znakapoznpodarou"/>
          <w:color w:val="0D0D0D" w:themeColor="text1" w:themeTint="F2"/>
          <w:spacing w:val="-6"/>
          <w:sz w:val="16"/>
          <w:szCs w:val="16"/>
        </w:rPr>
        <w:footnoteRef/>
      </w:r>
      <w:r w:rsidRPr="00CF35A7">
        <w:rPr>
          <w:color w:val="0D0D0D" w:themeColor="text1" w:themeTint="F2"/>
          <w:spacing w:val="-6"/>
          <w:sz w:val="16"/>
          <w:szCs w:val="16"/>
        </w:rPr>
        <w:t xml:space="preserve"> Bez obchodu, peněžnictví, pojišťovnictví, vědy, výzkumu a veřejných služeb. Všechny údaje za služby jsou ve stálých cenách, meziroční údaje jsou očištěny o kalendářní vlivy, mezičtvrtletní jsou očištěny o sezónní vlivy (včetně vlivu počtu pracovních dnů).</w:t>
      </w:r>
    </w:p>
  </w:footnote>
  <w:footnote w:id="24">
    <w:p w14:paraId="68F6DE50"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Např. omezení počtu návštěvníků kin na představeních skončilo k 1. březnu 2022, povinnost nošení respirátorů při představeních 14. března.</w:t>
      </w:r>
    </w:p>
  </w:footnote>
  <w:footnote w:id="25">
    <w:p w14:paraId="61BB946D"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Lépe než silniční doprava si vedla železniční, ve které je významně zastoupena přeprava osob (u ní se patrně příznivě projevil i rozvoj domácího cestovního ruchu).</w:t>
      </w:r>
    </w:p>
  </w:footnote>
  <w:footnote w:id="26">
    <w:p w14:paraId="743A12FB" w14:textId="73EE23E9"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w:t>
      </w:r>
      <w:r w:rsidRPr="00CF35A7">
        <w:rPr>
          <w:rFonts w:cs="Arial"/>
          <w:color w:val="0D0D0D" w:themeColor="text1" w:themeTint="F2"/>
          <w:spacing w:val="-6"/>
          <w:sz w:val="16"/>
          <w:szCs w:val="16"/>
        </w:rPr>
        <w:t xml:space="preserve">Byť loni na jaře již v Evropě zásadnější restriktivní opatření neplatila, přeshraniční cestování tehdy stále komplikovala nedostatečná </w:t>
      </w:r>
      <w:r>
        <w:rPr>
          <w:rFonts w:cs="Arial"/>
          <w:color w:val="0D0D0D" w:themeColor="text1" w:themeTint="F2"/>
          <w:spacing w:val="-6"/>
          <w:sz w:val="16"/>
          <w:szCs w:val="16"/>
        </w:rPr>
        <w:t>p</w:t>
      </w:r>
      <w:r w:rsidRPr="00CF35A7">
        <w:rPr>
          <w:rFonts w:cs="Arial"/>
          <w:color w:val="0D0D0D" w:themeColor="text1" w:themeTint="F2"/>
          <w:spacing w:val="-6"/>
          <w:sz w:val="16"/>
          <w:szCs w:val="16"/>
        </w:rPr>
        <w:t>roočkovanost populace v řadě zemí (spolu s dalšími administrativními procedurami</w:t>
      </w:r>
      <w:r>
        <w:rPr>
          <w:rFonts w:cs="Arial"/>
          <w:color w:val="0D0D0D" w:themeColor="text1" w:themeTint="F2"/>
          <w:spacing w:val="-6"/>
          <w:sz w:val="16"/>
          <w:szCs w:val="16"/>
        </w:rPr>
        <w:t>)</w:t>
      </w:r>
      <w:r w:rsidRPr="00CF35A7">
        <w:rPr>
          <w:rFonts w:cs="Arial"/>
          <w:color w:val="0D0D0D" w:themeColor="text1" w:themeTint="F2"/>
          <w:spacing w:val="-6"/>
          <w:sz w:val="16"/>
          <w:szCs w:val="16"/>
        </w:rPr>
        <w:t>. Letošní oživení turismu v ČR zatím nedokázalo kompenzovat ztráty z předchozích let. Proti  2. čtvrtletí 2019 stržili ubytovatelé méně o 31 %, provozovatelé pohostinství a stravování o 9 %.</w:t>
      </w:r>
    </w:p>
  </w:footnote>
  <w:footnote w:id="27">
    <w:p w14:paraId="72F70AE9" w14:textId="77777777" w:rsidR="00CF35A7" w:rsidRPr="00CF35A7" w:rsidRDefault="00CF35A7" w:rsidP="00CF35A7">
      <w:pPr>
        <w:pStyle w:val="Textpoznpodarou"/>
        <w:rPr>
          <w:spacing w:val="-6"/>
          <w:sz w:val="16"/>
          <w:szCs w:val="16"/>
        </w:rPr>
      </w:pPr>
      <w:r w:rsidRPr="00CF35A7">
        <w:rPr>
          <w:rStyle w:val="Znakapoznpodarou"/>
          <w:spacing w:val="-6"/>
          <w:sz w:val="16"/>
          <w:szCs w:val="16"/>
        </w:rPr>
        <w:footnoteRef/>
      </w:r>
      <w:r w:rsidRPr="00CF35A7">
        <w:rPr>
          <w:spacing w:val="-6"/>
          <w:sz w:val="16"/>
          <w:szCs w:val="16"/>
        </w:rPr>
        <w:t xml:space="preserve"> Celková poptávka v hromadných ubytovacích zařízeních již v deseti krajích téměř dorovnala, či dokonce mírně předčila hladinu ze </w:t>
      </w:r>
      <w:r w:rsidRPr="00CF35A7">
        <w:rPr>
          <w:spacing w:val="-6"/>
          <w:sz w:val="16"/>
          <w:szCs w:val="16"/>
        </w:rPr>
        <w:br/>
        <w:t>2. čtvrtletí 2019. Počet přenocování výrazněji zaostával jen Praze (o 29 %), Karlovarském (24 %), Jihočeském (15 %) a Ústeckém kraji (14 %).</w:t>
      </w:r>
    </w:p>
  </w:footnote>
  <w:footnote w:id="28">
    <w:p w14:paraId="0A6A83DC" w14:textId="77777777" w:rsidR="00CF35A7" w:rsidRPr="00101B15" w:rsidRDefault="00CF35A7" w:rsidP="00CF35A7">
      <w:pPr>
        <w:pStyle w:val="Textpoznpodarou"/>
        <w:rPr>
          <w:spacing w:val="-6"/>
          <w:sz w:val="16"/>
          <w:szCs w:val="16"/>
        </w:rPr>
      </w:pPr>
      <w:r w:rsidRPr="00101B15">
        <w:rPr>
          <w:rStyle w:val="Znakapoznpodarou"/>
          <w:spacing w:val="-6"/>
          <w:sz w:val="16"/>
          <w:szCs w:val="16"/>
        </w:rPr>
        <w:footnoteRef/>
      </w:r>
      <w:r w:rsidRPr="00101B15">
        <w:rPr>
          <w:spacing w:val="-6"/>
          <w:sz w:val="16"/>
          <w:szCs w:val="16"/>
        </w:rPr>
        <w:t xml:space="preserve"> Ty zahrnují činnosti související se zpracováním dat a hostingem, oblast webových portálů a zpravodajské tiskové kanceláře i agentury.</w:t>
      </w:r>
    </w:p>
  </w:footnote>
  <w:footnote w:id="29">
    <w:p w14:paraId="33514219" w14:textId="3B1C8D54" w:rsidR="00CF35A7" w:rsidRPr="00101B15" w:rsidRDefault="00CF35A7" w:rsidP="00CF35A7">
      <w:pPr>
        <w:pStyle w:val="Textpoznpodarou"/>
        <w:rPr>
          <w:spacing w:val="-6"/>
          <w:sz w:val="16"/>
          <w:szCs w:val="16"/>
        </w:rPr>
      </w:pPr>
      <w:r w:rsidRPr="00101B15">
        <w:rPr>
          <w:rStyle w:val="Znakapoznpodarou"/>
          <w:spacing w:val="-6"/>
          <w:sz w:val="16"/>
          <w:szCs w:val="16"/>
        </w:rPr>
        <w:footnoteRef/>
      </w:r>
      <w:r w:rsidRPr="00101B15">
        <w:rPr>
          <w:spacing w:val="-6"/>
          <w:sz w:val="16"/>
          <w:szCs w:val="16"/>
        </w:rPr>
        <w:t xml:space="preserve"> </w:t>
      </w:r>
      <w:r w:rsidRPr="00101B15">
        <w:rPr>
          <w:rFonts w:cs="Arial"/>
          <w:color w:val="0D0D0D" w:themeColor="text1" w:themeTint="F2"/>
          <w:spacing w:val="-6"/>
          <w:sz w:val="16"/>
          <w:szCs w:val="16"/>
        </w:rPr>
        <w:t xml:space="preserve">Lépe se vedlo segmentu filmové distribuce, neboť poprvé od počátku pandemie neplatila letos na jaře žádná restriktivní opatření pro návštěvníky kin. To se dle údajů </w:t>
      </w:r>
      <w:r w:rsidRPr="00101B15">
        <w:rPr>
          <w:spacing w:val="-6"/>
          <w:sz w:val="16"/>
          <w:szCs w:val="16"/>
        </w:rPr>
        <w:t xml:space="preserve">Unie filmových distributorů </w:t>
      </w:r>
      <w:r w:rsidRPr="00101B15">
        <w:rPr>
          <w:rFonts w:cs="Arial"/>
          <w:color w:val="0D0D0D" w:themeColor="text1" w:themeTint="F2"/>
          <w:spacing w:val="-6"/>
          <w:sz w:val="16"/>
          <w:szCs w:val="16"/>
        </w:rPr>
        <w:t xml:space="preserve">odrazilo v dubnové návštěvnosti </w:t>
      </w:r>
      <w:r w:rsidRPr="00101B15">
        <w:rPr>
          <w:spacing w:val="-6"/>
          <w:sz w:val="16"/>
          <w:szCs w:val="16"/>
        </w:rPr>
        <w:t>(1,67 mil. osob, v tomto měsíci rekordní ve srovnatelné řadě od roku 2000). Za celé 1. pololetí si cestu do tuzemských kin našlo 6,4 mil osob. Proti rekordní výši z roku 2019 šlo o 27% pokles (odehraných představení analogicky ubylo jen o 5 %). Vyšší pololetní návštěvnost než letos byla patrná mj. i v letech 2007 a 2010.</w:t>
      </w:r>
    </w:p>
  </w:footnote>
  <w:footnote w:id="30">
    <w:p w14:paraId="4F61953E" w14:textId="77777777" w:rsidR="00CF35A7" w:rsidRPr="00101B15" w:rsidRDefault="00CF35A7" w:rsidP="00CF35A7">
      <w:pPr>
        <w:spacing w:after="0" w:line="240" w:lineRule="auto"/>
        <w:jc w:val="left"/>
        <w:rPr>
          <w:spacing w:val="-6"/>
        </w:rPr>
      </w:pPr>
      <w:r w:rsidRPr="00101B15">
        <w:rPr>
          <w:rStyle w:val="Znakapoznpodarou"/>
          <w:color w:val="0D0D0D" w:themeColor="text1" w:themeTint="F2"/>
          <w:spacing w:val="-6"/>
          <w:sz w:val="16"/>
          <w:szCs w:val="16"/>
        </w:rPr>
        <w:footnoteRef/>
      </w:r>
      <w:r w:rsidRPr="00101B15">
        <w:rPr>
          <w:color w:val="0D0D0D" w:themeColor="text1" w:themeTint="F2"/>
          <w:spacing w:val="-6"/>
          <w:sz w:val="16"/>
          <w:szCs w:val="16"/>
        </w:rPr>
        <w:t xml:space="preserve"> Všechna meziroční tempa tržeb za maloobchod jsou uvedena ve stálých cenách a očištěna o kalendářní vlivy, mezičtvrtletní </w:t>
      </w:r>
      <w:r w:rsidRPr="00101B15">
        <w:rPr>
          <w:color w:val="0D0D0D" w:themeColor="text1" w:themeTint="F2"/>
          <w:spacing w:val="-6"/>
          <w:sz w:val="16"/>
          <w:szCs w:val="16"/>
        </w:rPr>
        <w:br/>
        <w:t>i meziměsíční tempa jsou očištěna o sezónní vlivy (včetně vlivu počtu pracovních dnů). Maloobchod zahrnuje odvětví CZ-NACE 47.</w:t>
      </w:r>
    </w:p>
  </w:footnote>
  <w:footnote w:id="31">
    <w:p w14:paraId="6DA75565" w14:textId="77777777" w:rsidR="00CF35A7" w:rsidRPr="00101B15" w:rsidRDefault="00CF35A7" w:rsidP="00CF35A7">
      <w:pPr>
        <w:spacing w:after="0" w:line="240" w:lineRule="auto"/>
        <w:jc w:val="left"/>
        <w:rPr>
          <w:rFonts w:cs="Arial"/>
          <w:bCs/>
          <w:spacing w:val="-6"/>
          <w:sz w:val="16"/>
          <w:szCs w:val="16"/>
        </w:rPr>
      </w:pPr>
      <w:r w:rsidRPr="00101B15">
        <w:rPr>
          <w:rStyle w:val="Znakapoznpodarou"/>
          <w:spacing w:val="-6"/>
          <w:sz w:val="16"/>
          <w:szCs w:val="16"/>
        </w:rPr>
        <w:footnoteRef/>
      </w:r>
      <w:r w:rsidRPr="00101B15">
        <w:rPr>
          <w:spacing w:val="-6"/>
          <w:sz w:val="16"/>
          <w:szCs w:val="16"/>
        </w:rPr>
        <w:t xml:space="preserve"> 11. května 2021 byly znovuotevřeny větší </w:t>
      </w:r>
      <w:r w:rsidRPr="00101B15">
        <w:rPr>
          <w:rFonts w:cs="Arial"/>
          <w:bCs/>
          <w:spacing w:val="-6"/>
          <w:sz w:val="16"/>
          <w:szCs w:val="16"/>
        </w:rPr>
        <w:t>provozovny (mimo nákupní centra) i všechny provozovny v nákupních centrech (kromě stravovacích služeb) a skončila tak poslední podstatnější regulační opatření v maloobchodu. Dále byla již jen dle potřeby uplatňována dílčí omezení (počet zákazníků na prodejní plochu, zrušení vánočních trhů), jež na výkon celého odvětví maloobchodu neměla významný dopad.</w:t>
      </w:r>
    </w:p>
  </w:footnote>
  <w:footnote w:id="32">
    <w:p w14:paraId="4783F6C8" w14:textId="77777777" w:rsidR="00CF35A7" w:rsidRPr="00E95B69" w:rsidRDefault="00CF35A7" w:rsidP="00CF35A7">
      <w:pPr>
        <w:pStyle w:val="Textpoznpodarou"/>
        <w:rPr>
          <w:spacing w:val="-2"/>
          <w:sz w:val="16"/>
          <w:szCs w:val="16"/>
        </w:rPr>
      </w:pPr>
      <w:r w:rsidRPr="00E95B69">
        <w:rPr>
          <w:rStyle w:val="Znakapoznpodarou"/>
          <w:spacing w:val="-2"/>
          <w:sz w:val="16"/>
          <w:szCs w:val="16"/>
        </w:rPr>
        <w:footnoteRef/>
      </w:r>
      <w:r w:rsidRPr="00E95B69">
        <w:rPr>
          <w:spacing w:val="-2"/>
          <w:sz w:val="16"/>
          <w:szCs w:val="16"/>
        </w:rPr>
        <w:t xml:space="preserve"> Saldo důvěry v odvětví obchodu bylo v letošním červenci srovnatelné s úrovní z období těšně před nástupem pandemie. I přes mírné zhoršení od počátku roku vnímaly podniky svou současnou ekonomickou situaci stále pozitivně a příznivé byly i výhledy na nejbližší pololetí (35 </w:t>
      </w:r>
      <w:r>
        <w:rPr>
          <w:spacing w:val="-2"/>
          <w:sz w:val="16"/>
          <w:szCs w:val="16"/>
        </w:rPr>
        <w:t>% podniků očekávalo zlepšení, 13</w:t>
      </w:r>
      <w:r w:rsidRPr="00E95B69">
        <w:rPr>
          <w:spacing w:val="-2"/>
          <w:sz w:val="16"/>
          <w:szCs w:val="16"/>
        </w:rPr>
        <w:t xml:space="preserve"> %</w:t>
      </w:r>
      <w:r>
        <w:rPr>
          <w:spacing w:val="-2"/>
          <w:sz w:val="16"/>
          <w:szCs w:val="16"/>
        </w:rPr>
        <w:t xml:space="preserve"> zhoršení</w:t>
      </w:r>
      <w:r w:rsidRPr="00E95B69">
        <w:rPr>
          <w:spacing w:val="-2"/>
          <w:sz w:val="16"/>
          <w:szCs w:val="16"/>
        </w:rPr>
        <w:t xml:space="preserve">). </w:t>
      </w:r>
      <w:r>
        <w:rPr>
          <w:spacing w:val="-2"/>
          <w:sz w:val="16"/>
          <w:szCs w:val="16"/>
        </w:rPr>
        <w:t>To stvrzuje i fakt, že o</w:t>
      </w:r>
      <w:r w:rsidRPr="00E95B69">
        <w:rPr>
          <w:spacing w:val="-2"/>
          <w:sz w:val="16"/>
          <w:szCs w:val="16"/>
        </w:rPr>
        <w:t>bchodníci plánovali i nábor nových zaměstnanců.</w:t>
      </w:r>
    </w:p>
  </w:footnote>
  <w:footnote w:id="33">
    <w:p w14:paraId="2C9F307F" w14:textId="47C2C807" w:rsidR="00CF35A7" w:rsidRPr="005D44FC" w:rsidRDefault="00CF35A7" w:rsidP="00CF35A7">
      <w:pPr>
        <w:pStyle w:val="Textpoznpodarou"/>
        <w:rPr>
          <w:sz w:val="16"/>
          <w:szCs w:val="16"/>
        </w:rPr>
      </w:pPr>
      <w:r w:rsidRPr="005D44FC">
        <w:rPr>
          <w:rStyle w:val="Znakapoznpodarou"/>
          <w:sz w:val="16"/>
          <w:szCs w:val="16"/>
        </w:rPr>
        <w:footnoteRef/>
      </w:r>
      <w:r w:rsidRPr="005D44FC">
        <w:rPr>
          <w:sz w:val="16"/>
          <w:szCs w:val="16"/>
        </w:rPr>
        <w:t xml:space="preserve"> Také v EU se maloobchod začal </w:t>
      </w:r>
      <w:r>
        <w:rPr>
          <w:sz w:val="16"/>
          <w:szCs w:val="16"/>
        </w:rPr>
        <w:t xml:space="preserve">letos </w:t>
      </w:r>
      <w:r w:rsidRPr="005D44FC">
        <w:rPr>
          <w:sz w:val="16"/>
          <w:szCs w:val="16"/>
        </w:rPr>
        <w:t>potýkat se slabší spotřebitelskou poptáv</w:t>
      </w:r>
      <w:r>
        <w:rPr>
          <w:sz w:val="16"/>
          <w:szCs w:val="16"/>
        </w:rPr>
        <w:t>kou. Maloobchodní tržby stouply</w:t>
      </w:r>
      <w:r w:rsidRPr="005D44FC">
        <w:rPr>
          <w:sz w:val="16"/>
          <w:szCs w:val="16"/>
        </w:rPr>
        <w:t xml:space="preserve"> </w:t>
      </w:r>
      <w:r>
        <w:rPr>
          <w:sz w:val="16"/>
          <w:szCs w:val="16"/>
        </w:rPr>
        <w:t>ve 2. čtvrtletí meziročně o</w:t>
      </w:r>
      <w:r w:rsidRPr="00E95B69">
        <w:rPr>
          <w:spacing w:val="-2"/>
          <w:sz w:val="16"/>
          <w:szCs w:val="16"/>
        </w:rPr>
        <w:t> </w:t>
      </w:r>
      <w:r>
        <w:rPr>
          <w:sz w:val="16"/>
          <w:szCs w:val="16"/>
        </w:rPr>
        <w:t>1,3</w:t>
      </w:r>
      <w:r w:rsidRPr="005D44FC">
        <w:rPr>
          <w:sz w:val="16"/>
          <w:szCs w:val="16"/>
        </w:rPr>
        <w:t xml:space="preserve"> %</w:t>
      </w:r>
      <w:r>
        <w:rPr>
          <w:sz w:val="16"/>
          <w:szCs w:val="16"/>
        </w:rPr>
        <w:t>, nejméně od poloviny roku 2020. Hůře na tom byla samotná eurozóna, v níž k nepatrnému růstu (0,5 %) přispívaly zejména novější členové ze střední a východní Evropy. Pokles tržeb postihl 11 států EU – nejvíce Dánsko (–5,0 %) a Finsko (–4,0 %), v</w:t>
      </w:r>
      <w:r w:rsidRPr="00E95B69">
        <w:rPr>
          <w:spacing w:val="-2"/>
          <w:sz w:val="16"/>
          <w:szCs w:val="16"/>
        </w:rPr>
        <w:t> </w:t>
      </w:r>
      <w:r>
        <w:rPr>
          <w:sz w:val="16"/>
          <w:szCs w:val="16"/>
        </w:rPr>
        <w:t>nichž docházelo k mírnému mezikvartálnímu útlumu již od poloviny loňského roku. V rámci střední Evropy kontrastoval nižší výkon maloobchodu v Německu (–3,7 % meziročně), v Česku (–3,0 %) a Rakousku (–2,3 %) se svižným růstem Polska (+12,7 %), Maďarska (+7,9</w:t>
      </w:r>
      <w:r w:rsidRPr="00E95B69">
        <w:rPr>
          <w:spacing w:val="-2"/>
          <w:sz w:val="16"/>
          <w:szCs w:val="16"/>
        </w:rPr>
        <w:t> </w:t>
      </w:r>
      <w:r>
        <w:rPr>
          <w:sz w:val="16"/>
          <w:szCs w:val="16"/>
        </w:rPr>
        <w:t>%) a Slovenska (+5,4 %). V EU se snížily tržby za potraviny o 2,3 %, naopak u nepotravinářského zboží (+2,8 %) a prodeje pohonných hmot (+7,8 %) vykázaly znatelně vyšší tempa než v Česku. To spolu s Německem, Dánskem a Belgií patřilo k jediným státům Unie, v nichž v letošním 2. čtvrtletí klesly tržby ve všech výše uvedených hlavních segmentech maloobchodu.</w:t>
      </w:r>
    </w:p>
  </w:footnote>
  <w:footnote w:id="34">
    <w:p w14:paraId="721449CE" w14:textId="3BBEE68D" w:rsidR="00CF35A7" w:rsidRPr="00913B36" w:rsidRDefault="00CF35A7" w:rsidP="00CF35A7">
      <w:pPr>
        <w:pStyle w:val="Textpoznpodarou"/>
        <w:rPr>
          <w:spacing w:val="-7"/>
          <w:sz w:val="16"/>
          <w:szCs w:val="16"/>
        </w:rPr>
      </w:pPr>
      <w:r w:rsidRPr="00913B36">
        <w:rPr>
          <w:rStyle w:val="Znakapoznpodarou"/>
          <w:spacing w:val="-7"/>
          <w:sz w:val="16"/>
          <w:szCs w:val="16"/>
        </w:rPr>
        <w:footnoteRef/>
      </w:r>
      <w:r w:rsidRPr="00913B36">
        <w:rPr>
          <w:spacing w:val="-7"/>
          <w:sz w:val="16"/>
          <w:szCs w:val="16"/>
        </w:rPr>
        <w:t xml:space="preserve"> Nižší spotřeba PHM souvisela s cenovou eskalací podpořenou válkou na Ukrajině. Tržby za PHM v běžných cenách meziročně vzrostly o 38,1 %.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F35A7" w:rsidRDefault="00CF35A7" w:rsidP="00937AE2">
    <w:pPr>
      <w:pStyle w:val="Zhlav"/>
    </w:pPr>
    <w:r>
      <w:t>Vývoj ekonomiky České republiky</w:t>
    </w:r>
  </w:p>
  <w:p w14:paraId="3E881AB3" w14:textId="77777777" w:rsidR="00CF35A7" w:rsidRPr="006F5416" w:rsidRDefault="00CF35A7"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F35A7" w:rsidRDefault="00CF35A7" w:rsidP="00937AE2">
    <w:pPr>
      <w:pStyle w:val="Zhlav"/>
    </w:pPr>
    <w:r>
      <w:t>Vývoj ekonomiky České republiky</w:t>
    </w:r>
  </w:p>
  <w:p w14:paraId="57266714" w14:textId="77777777" w:rsidR="00CF35A7" w:rsidRPr="006F5416" w:rsidRDefault="00CF35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7CD"/>
    <w:rsid w:val="00083B7F"/>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753"/>
    <w:rsid w:val="000A6D94"/>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707"/>
    <w:rsid w:val="00152C86"/>
    <w:rsid w:val="00152F4F"/>
    <w:rsid w:val="00153264"/>
    <w:rsid w:val="0015329F"/>
    <w:rsid w:val="001544A1"/>
    <w:rsid w:val="001553B8"/>
    <w:rsid w:val="001554C2"/>
    <w:rsid w:val="00156D04"/>
    <w:rsid w:val="001571C0"/>
    <w:rsid w:val="0015753D"/>
    <w:rsid w:val="00157984"/>
    <w:rsid w:val="00157CC9"/>
    <w:rsid w:val="00160C21"/>
    <w:rsid w:val="001612F4"/>
    <w:rsid w:val="00161553"/>
    <w:rsid w:val="0016216F"/>
    <w:rsid w:val="0016256B"/>
    <w:rsid w:val="00162F81"/>
    <w:rsid w:val="00163793"/>
    <w:rsid w:val="00164CA1"/>
    <w:rsid w:val="0016531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7D9"/>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6CA"/>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B77"/>
    <w:rsid w:val="00621190"/>
    <w:rsid w:val="0062131B"/>
    <w:rsid w:val="00621E26"/>
    <w:rsid w:val="006224EA"/>
    <w:rsid w:val="0062263A"/>
    <w:rsid w:val="006227DF"/>
    <w:rsid w:val="006234A0"/>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27BC"/>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1E"/>
    <w:rsid w:val="007450BF"/>
    <w:rsid w:val="0074599A"/>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120"/>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0EBE"/>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2E83"/>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731E"/>
    <w:rsid w:val="00A309AC"/>
    <w:rsid w:val="00A30F65"/>
    <w:rsid w:val="00A315D0"/>
    <w:rsid w:val="00A3279E"/>
    <w:rsid w:val="00A33DB1"/>
    <w:rsid w:val="00A33EEB"/>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D0B22"/>
    <w:rsid w:val="00AD0EE7"/>
    <w:rsid w:val="00AD168E"/>
    <w:rsid w:val="00AD306C"/>
    <w:rsid w:val="00AD44CD"/>
    <w:rsid w:val="00AD47A7"/>
    <w:rsid w:val="00AD5AD2"/>
    <w:rsid w:val="00AD6462"/>
    <w:rsid w:val="00AD66C5"/>
    <w:rsid w:val="00AD68C4"/>
    <w:rsid w:val="00AD71F9"/>
    <w:rsid w:val="00AE09B3"/>
    <w:rsid w:val="00AE1A83"/>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71FBF"/>
    <w:rsid w:val="00B734A0"/>
    <w:rsid w:val="00B73A14"/>
    <w:rsid w:val="00B748BD"/>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8A9"/>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14EF"/>
    <w:rsid w:val="00D215B0"/>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687D"/>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32F0"/>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3E5D"/>
    <w:rsid w:val="00DE450F"/>
    <w:rsid w:val="00DE4865"/>
    <w:rsid w:val="00DE5CA6"/>
    <w:rsid w:val="00DE5E55"/>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962"/>
    <w:rsid w:val="00ED0EF0"/>
    <w:rsid w:val="00ED12B9"/>
    <w:rsid w:val="00ED16B8"/>
    <w:rsid w:val="00ED1959"/>
    <w:rsid w:val="00ED1A00"/>
    <w:rsid w:val="00ED1DF0"/>
    <w:rsid w:val="00ED2386"/>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531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B66"/>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2q-2022\ODV&#282;TV&#205;\Odv&#283;tv&#237;%20grafy-2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2q-2022\ODV&#282;TV&#205;\Odv&#283;tv&#237;%20grafy-2q-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2q-2022\ODV&#282;TV&#205;\Odv&#283;tv&#237;%20grafy-2q-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2q-2022\ODV&#282;TV&#205;\Odv&#283;tv&#237;%20grafy-2q-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2q-2022\ODV&#282;TV&#205;\Odv&#283;tv&#237;%20grafy-2q-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416232979949837E-2"/>
          <c:y val="1.6203544707896009E-2"/>
          <c:w val="0.85238566092029178"/>
          <c:h val="0.70160207211475656"/>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IPP'!$R$27:$AU$27</c:f>
              <c:numCache>
                <c:formatCode>0.0</c:formatCode>
                <c:ptCount val="30"/>
                <c:pt idx="0">
                  <c:v>1.5428898176392496</c:v>
                </c:pt>
                <c:pt idx="1">
                  <c:v>2.1743718256924138</c:v>
                </c:pt>
                <c:pt idx="2">
                  <c:v>2.3590492908960421</c:v>
                </c:pt>
                <c:pt idx="3">
                  <c:v>2.8772486090638356</c:v>
                </c:pt>
                <c:pt idx="4">
                  <c:v>3.3183568360577667</c:v>
                </c:pt>
                <c:pt idx="5">
                  <c:v>2.726135980015763</c:v>
                </c:pt>
                <c:pt idx="6">
                  <c:v>1.473763939457718</c:v>
                </c:pt>
                <c:pt idx="7">
                  <c:v>1.0298153192049724</c:v>
                </c:pt>
                <c:pt idx="8">
                  <c:v>1.7609137024842156</c:v>
                </c:pt>
                <c:pt idx="9">
                  <c:v>2.1167862077962001</c:v>
                </c:pt>
                <c:pt idx="10">
                  <c:v>1.5869964664235507</c:v>
                </c:pt>
                <c:pt idx="11">
                  <c:v>1.681411454669806</c:v>
                </c:pt>
                <c:pt idx="12">
                  <c:v>0.7423771495521897</c:v>
                </c:pt>
                <c:pt idx="13">
                  <c:v>0.54613557309892891</c:v>
                </c:pt>
                <c:pt idx="14">
                  <c:v>0.23904640916369457</c:v>
                </c:pt>
                <c:pt idx="15">
                  <c:v>0.98490029941942669</c:v>
                </c:pt>
                <c:pt idx="16">
                  <c:v>-0.22712700654221296</c:v>
                </c:pt>
                <c:pt idx="17">
                  <c:v>0.47876328427856657</c:v>
                </c:pt>
                <c:pt idx="18">
                  <c:v>0.83775598681488894</c:v>
                </c:pt>
                <c:pt idx="19">
                  <c:v>-1.1010749377233835</c:v>
                </c:pt>
                <c:pt idx="20">
                  <c:v>-1.5402455662309282</c:v>
                </c:pt>
                <c:pt idx="21">
                  <c:v>-9.3904500983178547</c:v>
                </c:pt>
                <c:pt idx="22">
                  <c:v>-0.18484894361250651</c:v>
                </c:pt>
                <c:pt idx="23">
                  <c:v>2.0392469803827926</c:v>
                </c:pt>
                <c:pt idx="24">
                  <c:v>1.892374406807124</c:v>
                </c:pt>
                <c:pt idx="25">
                  <c:v>11.014405395295929</c:v>
                </c:pt>
                <c:pt idx="26">
                  <c:v>-3.7911198727699209</c:v>
                </c:pt>
                <c:pt idx="27">
                  <c:v>-3.2574437128264551</c:v>
                </c:pt>
                <c:pt idx="28">
                  <c:v>-1.945628041737034</c:v>
                </c:pt>
                <c:pt idx="29">
                  <c:v>-4.481490143599498E-2</c:v>
                </c:pt>
              </c:numCache>
            </c:numRef>
          </c:val>
          <c:extLst>
            <c:ext xmlns:c16="http://schemas.microsoft.com/office/drawing/2014/chart" uri="{C3380CC4-5D6E-409C-BE32-E72D297353CC}">
              <c16:uniqueId val="{00000000-C3CE-485F-BBE2-753D2017FE75}"/>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IPP'!$R$28:$AU$28</c:f>
              <c:numCache>
                <c:formatCode>0.0</c:formatCode>
                <c:ptCount val="30"/>
                <c:pt idx="0">
                  <c:v>1.0346729511753439</c:v>
                </c:pt>
                <c:pt idx="1">
                  <c:v>1.2402872249055452</c:v>
                </c:pt>
                <c:pt idx="2">
                  <c:v>1.3942884794721917</c:v>
                </c:pt>
                <c:pt idx="3">
                  <c:v>0.6375697658888495</c:v>
                </c:pt>
                <c:pt idx="4">
                  <c:v>0.7944903405734538</c:v>
                </c:pt>
                <c:pt idx="5">
                  <c:v>0.20047553290148593</c:v>
                </c:pt>
                <c:pt idx="6">
                  <c:v>0.26203247933087626</c:v>
                </c:pt>
                <c:pt idx="7">
                  <c:v>0.42925022381945616</c:v>
                </c:pt>
                <c:pt idx="8">
                  <c:v>0.85509469319178988</c:v>
                </c:pt>
                <c:pt idx="9">
                  <c:v>1.4003096522077223</c:v>
                </c:pt>
                <c:pt idx="10">
                  <c:v>0.85542183955477247</c:v>
                </c:pt>
                <c:pt idx="11">
                  <c:v>1.6527257176883998</c:v>
                </c:pt>
                <c:pt idx="12">
                  <c:v>0.96912614591005897</c:v>
                </c:pt>
                <c:pt idx="13">
                  <c:v>0.34015391143850376</c:v>
                </c:pt>
                <c:pt idx="14">
                  <c:v>0.42914077951440693</c:v>
                </c:pt>
                <c:pt idx="15">
                  <c:v>-4.0280326098931299E-2</c:v>
                </c:pt>
                <c:pt idx="16">
                  <c:v>0.52468036745672719</c:v>
                </c:pt>
                <c:pt idx="17">
                  <c:v>0.40727721709233999</c:v>
                </c:pt>
                <c:pt idx="18">
                  <c:v>0.23777798772963621</c:v>
                </c:pt>
                <c:pt idx="19">
                  <c:v>0.39315489791744251</c:v>
                </c:pt>
                <c:pt idx="20">
                  <c:v>-0.5338676940070447</c:v>
                </c:pt>
                <c:pt idx="21">
                  <c:v>-4.0551444930052307</c:v>
                </c:pt>
                <c:pt idx="22">
                  <c:v>-0.43167140643618573</c:v>
                </c:pt>
                <c:pt idx="23">
                  <c:v>0.57148883598763667</c:v>
                </c:pt>
                <c:pt idx="24">
                  <c:v>0.71769230327060185</c:v>
                </c:pt>
                <c:pt idx="25">
                  <c:v>5.5195370424373298</c:v>
                </c:pt>
                <c:pt idx="26">
                  <c:v>0.62878637219110234</c:v>
                </c:pt>
                <c:pt idx="27">
                  <c:v>-0.40393350982488402</c:v>
                </c:pt>
                <c:pt idx="28">
                  <c:v>5.5499001897766326E-2</c:v>
                </c:pt>
                <c:pt idx="29">
                  <c:v>3.5003887840017407E-2</c:v>
                </c:pt>
              </c:numCache>
            </c:numRef>
          </c:val>
          <c:extLst>
            <c:ext xmlns:c16="http://schemas.microsoft.com/office/drawing/2014/chart" uri="{C3380CC4-5D6E-409C-BE32-E72D297353CC}">
              <c16:uniqueId val="{00000001-C3CE-485F-BBE2-753D2017FE75}"/>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IPP'!$R$29:$AU$29</c:f>
              <c:numCache>
                <c:formatCode>0.0</c:formatCode>
                <c:ptCount val="30"/>
                <c:pt idx="0">
                  <c:v>0.27254464463314693</c:v>
                </c:pt>
                <c:pt idx="1">
                  <c:v>0.29396963786095892</c:v>
                </c:pt>
                <c:pt idx="2">
                  <c:v>0.39152523509606846</c:v>
                </c:pt>
                <c:pt idx="3">
                  <c:v>1.620041773682121E-2</c:v>
                </c:pt>
                <c:pt idx="4">
                  <c:v>0.3669494200684188</c:v>
                </c:pt>
                <c:pt idx="5">
                  <c:v>-7.7911792574484814E-2</c:v>
                </c:pt>
                <c:pt idx="6">
                  <c:v>0.19870990164413244</c:v>
                </c:pt>
                <c:pt idx="7">
                  <c:v>0.31990708238357757</c:v>
                </c:pt>
                <c:pt idx="8">
                  <c:v>0.34959411680822755</c:v>
                </c:pt>
                <c:pt idx="9">
                  <c:v>1.0827590636445117</c:v>
                </c:pt>
                <c:pt idx="10">
                  <c:v>0.85295353330611501</c:v>
                </c:pt>
                <c:pt idx="11">
                  <c:v>0.80087396958540291</c:v>
                </c:pt>
                <c:pt idx="12">
                  <c:v>0.47947130791337922</c:v>
                </c:pt>
                <c:pt idx="13">
                  <c:v>0.14231572260320938</c:v>
                </c:pt>
                <c:pt idx="14">
                  <c:v>0.18574582107238075</c:v>
                </c:pt>
                <c:pt idx="15">
                  <c:v>-0.1959970008764986</c:v>
                </c:pt>
                <c:pt idx="16">
                  <c:v>0.14262071470057097</c:v>
                </c:pt>
                <c:pt idx="17">
                  <c:v>-1.7720632744717059E-2</c:v>
                </c:pt>
                <c:pt idx="18">
                  <c:v>-0.268207378307664</c:v>
                </c:pt>
                <c:pt idx="19">
                  <c:v>-0.13470183553131082</c:v>
                </c:pt>
                <c:pt idx="20">
                  <c:v>-0.70070857290029465</c:v>
                </c:pt>
                <c:pt idx="21">
                  <c:v>-2.1439518127357746</c:v>
                </c:pt>
                <c:pt idx="22">
                  <c:v>-0.79742744226132467</c:v>
                </c:pt>
                <c:pt idx="23">
                  <c:v>-0.53363467705880485</c:v>
                </c:pt>
                <c:pt idx="24">
                  <c:v>7.4421273623089423E-2</c:v>
                </c:pt>
                <c:pt idx="25">
                  <c:v>2.0988525377286389</c:v>
                </c:pt>
                <c:pt idx="26">
                  <c:v>0.54425225953070189</c:v>
                </c:pt>
                <c:pt idx="27">
                  <c:v>0.28388210671185465</c:v>
                </c:pt>
                <c:pt idx="28">
                  <c:v>0.36150831154348267</c:v>
                </c:pt>
                <c:pt idx="29">
                  <c:v>7.8750693448340292E-2</c:v>
                </c:pt>
              </c:numCache>
            </c:numRef>
          </c:val>
          <c:extLst>
            <c:ext xmlns:c16="http://schemas.microsoft.com/office/drawing/2014/chart" uri="{C3380CC4-5D6E-409C-BE32-E72D297353CC}">
              <c16:uniqueId val="{00000002-C3CE-485F-BBE2-753D2017FE75}"/>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IPP'!$R$30:$AU$30</c:f>
              <c:numCache>
                <c:formatCode>0.0</c:formatCode>
                <c:ptCount val="30"/>
                <c:pt idx="0">
                  <c:v>0.69598466412593452</c:v>
                </c:pt>
                <c:pt idx="1">
                  <c:v>0.78523209830157625</c:v>
                </c:pt>
                <c:pt idx="2">
                  <c:v>0.97812808698582698</c:v>
                </c:pt>
                <c:pt idx="3">
                  <c:v>0.60585855548016065</c:v>
                </c:pt>
                <c:pt idx="4">
                  <c:v>0.7974142567928203</c:v>
                </c:pt>
                <c:pt idx="5">
                  <c:v>0.39435941300086902</c:v>
                </c:pt>
                <c:pt idx="6">
                  <c:v>0.22320292471013245</c:v>
                </c:pt>
                <c:pt idx="7">
                  <c:v>0.25093421694411544</c:v>
                </c:pt>
                <c:pt idx="8">
                  <c:v>0.42059332335978522</c:v>
                </c:pt>
                <c:pt idx="9">
                  <c:v>0.91449350181259326</c:v>
                </c:pt>
                <c:pt idx="10">
                  <c:v>0.85069745323039148</c:v>
                </c:pt>
                <c:pt idx="11">
                  <c:v>0.9647578471128696</c:v>
                </c:pt>
                <c:pt idx="12">
                  <c:v>0.64962822876392534</c:v>
                </c:pt>
                <c:pt idx="13">
                  <c:v>0.47190400503104346</c:v>
                </c:pt>
                <c:pt idx="14">
                  <c:v>0.40332248383604552</c:v>
                </c:pt>
                <c:pt idx="15">
                  <c:v>0.15276873851363978</c:v>
                </c:pt>
                <c:pt idx="16">
                  <c:v>0.25794025853962294</c:v>
                </c:pt>
                <c:pt idx="17">
                  <c:v>8.1804977725853292E-3</c:v>
                </c:pt>
                <c:pt idx="18">
                  <c:v>-0.23678308583363933</c:v>
                </c:pt>
                <c:pt idx="19">
                  <c:v>-0.35697613657187982</c:v>
                </c:pt>
                <c:pt idx="20">
                  <c:v>-0.60281049456131075</c:v>
                </c:pt>
                <c:pt idx="21">
                  <c:v>-2.0861954788425612</c:v>
                </c:pt>
                <c:pt idx="22">
                  <c:v>-0.5444846288376417</c:v>
                </c:pt>
                <c:pt idx="23">
                  <c:v>0.14163094411535945</c:v>
                </c:pt>
                <c:pt idx="24">
                  <c:v>0.49125024176554588</c:v>
                </c:pt>
                <c:pt idx="25">
                  <c:v>3.0223090191369932</c:v>
                </c:pt>
                <c:pt idx="26">
                  <c:v>0.73330319150061429</c:v>
                </c:pt>
                <c:pt idx="27">
                  <c:v>-5.302572422008691E-2</c:v>
                </c:pt>
                <c:pt idx="28">
                  <c:v>-4.6415274400140949E-3</c:v>
                </c:pt>
                <c:pt idx="29">
                  <c:v>-0.60372071421962725</c:v>
                </c:pt>
              </c:numCache>
            </c:numRef>
          </c:val>
          <c:extLst>
            <c:ext xmlns:c16="http://schemas.microsoft.com/office/drawing/2014/chart" uri="{C3380CC4-5D6E-409C-BE32-E72D297353CC}">
              <c16:uniqueId val="{00000003-C3CE-485F-BBE2-753D2017FE75}"/>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IPP'!$R$31:$AU$31</c:f>
              <c:numCache>
                <c:formatCode>0.0</c:formatCode>
                <c:ptCount val="30"/>
                <c:pt idx="0">
                  <c:v>0.10174478910853679</c:v>
                </c:pt>
                <c:pt idx="1">
                  <c:v>1.5828953523061507E-2</c:v>
                </c:pt>
                <c:pt idx="2">
                  <c:v>4.099582748163965E-2</c:v>
                </c:pt>
                <c:pt idx="3">
                  <c:v>-7.2764071813088652E-2</c:v>
                </c:pt>
                <c:pt idx="4">
                  <c:v>-5.3199772200864075E-3</c:v>
                </c:pt>
                <c:pt idx="5">
                  <c:v>6.0334021815885541E-2</c:v>
                </c:pt>
                <c:pt idx="6">
                  <c:v>5.0638983184188413E-2</c:v>
                </c:pt>
                <c:pt idx="7">
                  <c:v>0.16208161104378513</c:v>
                </c:pt>
                <c:pt idx="8">
                  <c:v>0.14164406764460333</c:v>
                </c:pt>
                <c:pt idx="9">
                  <c:v>0.36084600241723092</c:v>
                </c:pt>
                <c:pt idx="10">
                  <c:v>0.23025191154693406</c:v>
                </c:pt>
                <c:pt idx="11">
                  <c:v>0.23490510719047825</c:v>
                </c:pt>
                <c:pt idx="12">
                  <c:v>0.39487785017355592</c:v>
                </c:pt>
                <c:pt idx="13">
                  <c:v>0.15525543720367541</c:v>
                </c:pt>
                <c:pt idx="14">
                  <c:v>0.63668466142391222</c:v>
                </c:pt>
                <c:pt idx="15">
                  <c:v>0.31239835694712781</c:v>
                </c:pt>
                <c:pt idx="16">
                  <c:v>-0.11382932295885205</c:v>
                </c:pt>
                <c:pt idx="17">
                  <c:v>-4.3414934465615729E-2</c:v>
                </c:pt>
                <c:pt idx="18">
                  <c:v>-0.61087240850785662</c:v>
                </c:pt>
                <c:pt idx="19">
                  <c:v>-0.34647971068415367</c:v>
                </c:pt>
                <c:pt idx="20">
                  <c:v>-9.3038606014309369E-2</c:v>
                </c:pt>
                <c:pt idx="21">
                  <c:v>-0.28123947830113605</c:v>
                </c:pt>
                <c:pt idx="22">
                  <c:v>4.9282163604515324E-3</c:v>
                </c:pt>
                <c:pt idx="23">
                  <c:v>-6.4929215180494224E-3</c:v>
                </c:pt>
                <c:pt idx="24">
                  <c:v>0.12384333164341847</c:v>
                </c:pt>
                <c:pt idx="25">
                  <c:v>0.16463834361694601</c:v>
                </c:pt>
                <c:pt idx="26">
                  <c:v>0.21897710943271045</c:v>
                </c:pt>
                <c:pt idx="27">
                  <c:v>-0.21799141876560088</c:v>
                </c:pt>
                <c:pt idx="28">
                  <c:v>1.2964209575405538E-2</c:v>
                </c:pt>
                <c:pt idx="29">
                  <c:v>-1.6198412459303771E-2</c:v>
                </c:pt>
              </c:numCache>
            </c:numRef>
          </c:val>
          <c:extLst>
            <c:ext xmlns:c16="http://schemas.microsoft.com/office/drawing/2014/chart" uri="{C3380CC4-5D6E-409C-BE32-E72D297353CC}">
              <c16:uniqueId val="{00000004-C3CE-485F-BBE2-753D2017FE75}"/>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IPP'!$R$32:$AU$32</c:f>
              <c:numCache>
                <c:formatCode>0.0</c:formatCode>
                <c:ptCount val="30"/>
                <c:pt idx="0">
                  <c:v>7.7143378794105238E-2</c:v>
                </c:pt>
                <c:pt idx="1">
                  <c:v>0.23593739633638328</c:v>
                </c:pt>
                <c:pt idx="2">
                  <c:v>-0.16180353097205286</c:v>
                </c:pt>
                <c:pt idx="3">
                  <c:v>-0.33496224531375757</c:v>
                </c:pt>
                <c:pt idx="4">
                  <c:v>-0.41674583594172754</c:v>
                </c:pt>
                <c:pt idx="5">
                  <c:v>-0.4282443957917389</c:v>
                </c:pt>
                <c:pt idx="6">
                  <c:v>-0.10705569687500868</c:v>
                </c:pt>
                <c:pt idx="7">
                  <c:v>0.23734613396913978</c:v>
                </c:pt>
                <c:pt idx="8">
                  <c:v>0.52004631375398069</c:v>
                </c:pt>
                <c:pt idx="9">
                  <c:v>0.82674096187567125</c:v>
                </c:pt>
                <c:pt idx="10">
                  <c:v>0.65160092738702025</c:v>
                </c:pt>
                <c:pt idx="11">
                  <c:v>0.50475413241681533</c:v>
                </c:pt>
                <c:pt idx="12">
                  <c:v>0.40512406777705551</c:v>
                </c:pt>
                <c:pt idx="13">
                  <c:v>7.9522592595157926E-2</c:v>
                </c:pt>
                <c:pt idx="14">
                  <c:v>-5.3175963741286886E-2</c:v>
                </c:pt>
                <c:pt idx="15">
                  <c:v>-6.9085533222069423E-2</c:v>
                </c:pt>
                <c:pt idx="16">
                  <c:v>0.10389114606048019</c:v>
                </c:pt>
                <c:pt idx="17">
                  <c:v>4.8518655211085282E-2</c:v>
                </c:pt>
                <c:pt idx="18">
                  <c:v>0.22788597854650425</c:v>
                </c:pt>
                <c:pt idx="19">
                  <c:v>3.1463411107325367E-2</c:v>
                </c:pt>
                <c:pt idx="20">
                  <c:v>-3.2282293071107422E-2</c:v>
                </c:pt>
                <c:pt idx="21">
                  <c:v>-0.54854126720456864</c:v>
                </c:pt>
                <c:pt idx="22">
                  <c:v>-0.21347008463541312</c:v>
                </c:pt>
                <c:pt idx="23">
                  <c:v>0.43258721577895892</c:v>
                </c:pt>
                <c:pt idx="24">
                  <c:v>0.28930881602439462</c:v>
                </c:pt>
                <c:pt idx="25">
                  <c:v>0.79587603601576462</c:v>
                </c:pt>
                <c:pt idx="26">
                  <c:v>0.31345423832215447</c:v>
                </c:pt>
                <c:pt idx="27">
                  <c:v>7.1322982247029834E-2</c:v>
                </c:pt>
                <c:pt idx="28">
                  <c:v>0.26141690332029544</c:v>
                </c:pt>
                <c:pt idx="29">
                  <c:v>0.21976140840423877</c:v>
                </c:pt>
              </c:numCache>
            </c:numRef>
          </c:val>
          <c:extLst>
            <c:ext xmlns:c16="http://schemas.microsoft.com/office/drawing/2014/chart" uri="{C3380CC4-5D6E-409C-BE32-E72D297353CC}">
              <c16:uniqueId val="{00000005-C3CE-485F-BBE2-753D2017FE75}"/>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IPP'!$R$33:$AU$33</c:f>
              <c:numCache>
                <c:formatCode>0.0</c:formatCode>
                <c:ptCount val="30"/>
                <c:pt idx="0">
                  <c:v>0.9979019174510696</c:v>
                </c:pt>
                <c:pt idx="1">
                  <c:v>0.8986955192478514</c:v>
                </c:pt>
                <c:pt idx="2">
                  <c:v>1.0140985408551135</c:v>
                </c:pt>
                <c:pt idx="3">
                  <c:v>-0.231445364208962</c:v>
                </c:pt>
                <c:pt idx="4">
                  <c:v>0.26284587339298554</c:v>
                </c:pt>
                <c:pt idx="5">
                  <c:v>-0.36379862472242158</c:v>
                </c:pt>
                <c:pt idx="6">
                  <c:v>6.0778320295188731E-2</c:v>
                </c:pt>
                <c:pt idx="7">
                  <c:v>0.57462664260793761</c:v>
                </c:pt>
                <c:pt idx="8">
                  <c:v>7.0021742223497815E-2</c:v>
                </c:pt>
                <c:pt idx="9">
                  <c:v>1.4968765381346332</c:v>
                </c:pt>
                <c:pt idx="10">
                  <c:v>0.75563441850938939</c:v>
                </c:pt>
                <c:pt idx="11">
                  <c:v>0.97414760712501991</c:v>
                </c:pt>
                <c:pt idx="12">
                  <c:v>1.1572391799219801</c:v>
                </c:pt>
                <c:pt idx="13">
                  <c:v>0.67250577019133762</c:v>
                </c:pt>
                <c:pt idx="14">
                  <c:v>1.1043020585420495</c:v>
                </c:pt>
                <c:pt idx="15">
                  <c:v>0.49003903449396963</c:v>
                </c:pt>
                <c:pt idx="16">
                  <c:v>-4.5073361183030389E-2</c:v>
                </c:pt>
                <c:pt idx="17">
                  <c:v>4.2642071767505327E-2</c:v>
                </c:pt>
                <c:pt idx="18">
                  <c:v>-0.66202289851528118</c:v>
                </c:pt>
                <c:pt idx="19">
                  <c:v>-0.22564017800563618</c:v>
                </c:pt>
                <c:pt idx="20">
                  <c:v>7.6609618916825523E-2</c:v>
                </c:pt>
                <c:pt idx="21">
                  <c:v>-2.8303696478855001</c:v>
                </c:pt>
                <c:pt idx="22">
                  <c:v>8.2080517943730641E-2</c:v>
                </c:pt>
                <c:pt idx="23">
                  <c:v>9.7914848543596583E-2</c:v>
                </c:pt>
                <c:pt idx="24">
                  <c:v>0.23842276191980138</c:v>
                </c:pt>
                <c:pt idx="25">
                  <c:v>5.20561809434684</c:v>
                </c:pt>
                <c:pt idx="26">
                  <c:v>1.0250381880628026</c:v>
                </c:pt>
                <c:pt idx="27">
                  <c:v>0.88803923654215933</c:v>
                </c:pt>
                <c:pt idx="28">
                  <c:v>1.0961632273711253</c:v>
                </c:pt>
                <c:pt idx="29">
                  <c:v>-1.3435453646883267E-2</c:v>
                </c:pt>
              </c:numCache>
            </c:numRef>
          </c:val>
          <c:extLst>
            <c:ext xmlns:c16="http://schemas.microsoft.com/office/drawing/2014/chart" uri="{C3380CC4-5D6E-409C-BE32-E72D297353CC}">
              <c16:uniqueId val="{00000006-C3CE-485F-BBE2-753D2017FE75}"/>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IPP'!$R$34:$AU$34</c:f>
              <c:numCache>
                <c:formatCode>0.0</c:formatCode>
                <c:ptCount val="30"/>
                <c:pt idx="0">
                  <c:v>0.14536369337262128</c:v>
                </c:pt>
                <c:pt idx="1">
                  <c:v>-0.33984851886778433</c:v>
                </c:pt>
                <c:pt idx="2">
                  <c:v>-0.39719330301482192</c:v>
                </c:pt>
                <c:pt idx="3">
                  <c:v>-1.1146161627338664</c:v>
                </c:pt>
                <c:pt idx="4">
                  <c:v>-0.64581780602362948</c:v>
                </c:pt>
                <c:pt idx="5">
                  <c:v>9.8757674154637154E-2</c:v>
                </c:pt>
                <c:pt idx="6">
                  <c:v>-0.47678822664722548</c:v>
                </c:pt>
                <c:pt idx="7">
                  <c:v>0.50380613092702076</c:v>
                </c:pt>
                <c:pt idx="8">
                  <c:v>0.66217224583389889</c:v>
                </c:pt>
                <c:pt idx="9">
                  <c:v>-0.18248944438855813</c:v>
                </c:pt>
                <c:pt idx="10">
                  <c:v>0.77178193644183513</c:v>
                </c:pt>
                <c:pt idx="11">
                  <c:v>0.73275070181120461</c:v>
                </c:pt>
                <c:pt idx="12">
                  <c:v>-0.53887865891214681</c:v>
                </c:pt>
                <c:pt idx="13">
                  <c:v>4.2205690381435122E-3</c:v>
                </c:pt>
                <c:pt idx="14">
                  <c:v>0.78780707738879618</c:v>
                </c:pt>
                <c:pt idx="15">
                  <c:v>0.33124326032333185</c:v>
                </c:pt>
                <c:pt idx="16">
                  <c:v>0.21326016962669464</c:v>
                </c:pt>
                <c:pt idx="17">
                  <c:v>4.5933110188250956E-2</c:v>
                </c:pt>
                <c:pt idx="18">
                  <c:v>-0.66562135602659311</c:v>
                </c:pt>
                <c:pt idx="19">
                  <c:v>-0.33090067760840663</c:v>
                </c:pt>
                <c:pt idx="20">
                  <c:v>-0.97349792913183164</c:v>
                </c:pt>
                <c:pt idx="21">
                  <c:v>-1.5874257911073812</c:v>
                </c:pt>
                <c:pt idx="22">
                  <c:v>-0.71569130332110875</c:v>
                </c:pt>
                <c:pt idx="23">
                  <c:v>-0.6950943577314973</c:v>
                </c:pt>
                <c:pt idx="24">
                  <c:v>0.48072783684602372</c:v>
                </c:pt>
                <c:pt idx="25">
                  <c:v>0.46348041122155154</c:v>
                </c:pt>
                <c:pt idx="26">
                  <c:v>0.22194542102983097</c:v>
                </c:pt>
                <c:pt idx="27">
                  <c:v>0.81362518103598569</c:v>
                </c:pt>
                <c:pt idx="28">
                  <c:v>-0.23977798403102227</c:v>
                </c:pt>
                <c:pt idx="29">
                  <c:v>0.2111056521692089</c:v>
                </c:pt>
              </c:numCache>
            </c:numRef>
          </c:val>
          <c:extLst>
            <c:ext xmlns:c16="http://schemas.microsoft.com/office/drawing/2014/chart" uri="{C3380CC4-5D6E-409C-BE32-E72D297353CC}">
              <c16:uniqueId val="{00000007-C3CE-485F-BBE2-753D2017FE75}"/>
            </c:ext>
          </c:extLst>
        </c:ser>
        <c:dLbls>
          <c:showLegendKey val="0"/>
          <c:showVal val="0"/>
          <c:showCatName val="0"/>
          <c:showSerName val="0"/>
          <c:showPercent val="0"/>
          <c:showBubbleSize val="0"/>
        </c:dLbls>
        <c:gapWidth val="15"/>
        <c:overlap val="100"/>
        <c:axId val="111838720"/>
        <c:axId val="111853952"/>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IPP'!$R$35:$AU$35</c:f>
              <c:numCache>
                <c:formatCode>0.0</c:formatCode>
                <c:ptCount val="30"/>
                <c:pt idx="0">
                  <c:v>4.8680422143000044</c:v>
                </c:pt>
                <c:pt idx="1">
                  <c:v>5.3061961757999967</c:v>
                </c:pt>
                <c:pt idx="2">
                  <c:v>5.6206823339000067</c:v>
                </c:pt>
                <c:pt idx="3">
                  <c:v>2.3853754886000047</c:v>
                </c:pt>
                <c:pt idx="4">
                  <c:v>4.4725174610999945</c:v>
                </c:pt>
                <c:pt idx="5">
                  <c:v>2.6060872329999989</c:v>
                </c:pt>
                <c:pt idx="6">
                  <c:v>1.6853621782999966</c:v>
                </c:pt>
                <c:pt idx="7">
                  <c:v>3.5082011612000059</c:v>
                </c:pt>
                <c:pt idx="8">
                  <c:v>4.7795069544999915</c:v>
                </c:pt>
                <c:pt idx="9">
                  <c:v>8.0197279076000001</c:v>
                </c:pt>
                <c:pt idx="10">
                  <c:v>6.5554667266000015</c:v>
                </c:pt>
                <c:pt idx="11">
                  <c:v>7.5425890917999965</c:v>
                </c:pt>
                <c:pt idx="12">
                  <c:v>4.2592401255000061</c:v>
                </c:pt>
                <c:pt idx="13">
                  <c:v>2.4107410409999952</c:v>
                </c:pt>
                <c:pt idx="14">
                  <c:v>3.7310032274999982</c:v>
                </c:pt>
                <c:pt idx="15">
                  <c:v>1.9649246320000051</c:v>
                </c:pt>
                <c:pt idx="16">
                  <c:v>0.85617431119999354</c:v>
                </c:pt>
                <c:pt idx="17">
                  <c:v>0.96967285750000176</c:v>
                </c:pt>
                <c:pt idx="18">
                  <c:v>-1.1387464505999958</c:v>
                </c:pt>
                <c:pt idx="19">
                  <c:v>-2.0704594092999979</c:v>
                </c:pt>
                <c:pt idx="20">
                  <c:v>-4.3895227027000097</c:v>
                </c:pt>
                <c:pt idx="21">
                  <c:v>-22.944354622899994</c:v>
                </c:pt>
                <c:pt idx="22">
                  <c:v>-2.8132525742999928</c:v>
                </c:pt>
                <c:pt idx="23">
                  <c:v>2.0498311354999998</c:v>
                </c:pt>
                <c:pt idx="24">
                  <c:v>4.3072188157999953</c:v>
                </c:pt>
                <c:pt idx="25">
                  <c:v>28.285538922799972</c:v>
                </c:pt>
                <c:pt idx="26">
                  <c:v>-0.10536309270000309</c:v>
                </c:pt>
                <c:pt idx="27">
                  <c:v>-1.8755248590999944</c:v>
                </c:pt>
                <c:pt idx="28">
                  <c:v>-0.40249589949999631</c:v>
                </c:pt>
                <c:pt idx="29">
                  <c:v>-0.13354783990000391</c:v>
                </c:pt>
              </c:numCache>
            </c:numRef>
          </c:val>
          <c:smooth val="0"/>
          <c:extLst>
            <c:ext xmlns:c16="http://schemas.microsoft.com/office/drawing/2014/chart" uri="{C3380CC4-5D6E-409C-BE32-E72D297353CC}">
              <c16:uniqueId val="{00000008-C3CE-485F-BBE2-753D2017FE75}"/>
            </c:ext>
          </c:extLst>
        </c:ser>
        <c:dLbls>
          <c:showLegendKey val="0"/>
          <c:showVal val="0"/>
          <c:showCatName val="0"/>
          <c:showSerName val="0"/>
          <c:showPercent val="0"/>
          <c:showBubbleSize val="0"/>
        </c:dLbls>
        <c:marker val="1"/>
        <c:smooth val="0"/>
        <c:axId val="111838720"/>
        <c:axId val="111853952"/>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IPP'!$R$36:$AU$36</c:f>
              <c:numCache>
                <c:formatCode>General</c:formatCode>
                <c:ptCount val="30"/>
              </c:numCache>
            </c:numRef>
          </c:val>
          <c:smooth val="0"/>
          <c:extLst>
            <c:ext xmlns:c16="http://schemas.microsoft.com/office/drawing/2014/chart" uri="{C3380CC4-5D6E-409C-BE32-E72D297353CC}">
              <c16:uniqueId val="{00000009-C3CE-485F-BBE2-753D2017FE75}"/>
            </c:ext>
          </c:extLst>
        </c:ser>
        <c:ser>
          <c:idx val="10"/>
          <c:order val="10"/>
          <c:tx>
            <c:strRef>
              <c:f>'GRAF příspěvky IPP'!$A$37</c:f>
              <c:strCache>
                <c:ptCount val="1"/>
                <c:pt idx="0">
                  <c:v>Produkce, prům. celkem (báze 2015=100)</c:v>
                </c:pt>
              </c:strCache>
            </c:strRef>
          </c:tx>
          <c:spPr>
            <a:ln w="15875">
              <a:solidFill>
                <a:schemeClr val="tx1">
                  <a:lumMod val="95000"/>
                  <a:lumOff val="5000"/>
                </a:schemeClr>
              </a:solidFill>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IPP'!$R$37:$AU$37</c:f>
              <c:numCache>
                <c:formatCode>##0.0</c:formatCode>
                <c:ptCount val="30"/>
                <c:pt idx="0">
                  <c:v>98.574612999999999</c:v>
                </c:pt>
                <c:pt idx="1">
                  <c:v>100.2847516667</c:v>
                </c:pt>
                <c:pt idx="2">
                  <c:v>101.35576500000001</c:v>
                </c:pt>
                <c:pt idx="3">
                  <c:v>100.49027700000002</c:v>
                </c:pt>
                <c:pt idx="4">
                  <c:v>102.93201833329989</c:v>
                </c:pt>
                <c:pt idx="5">
                  <c:v>102.69766266670005</c:v>
                </c:pt>
                <c:pt idx="6">
                  <c:v>102.97356966670006</c:v>
                </c:pt>
                <c:pt idx="7">
                  <c:v>104.036576</c:v>
                </c:pt>
                <c:pt idx="8">
                  <c:v>107.47989200000001</c:v>
                </c:pt>
                <c:pt idx="9">
                  <c:v>110.71636599999999</c:v>
                </c:pt>
                <c:pt idx="10">
                  <c:v>110.16904433329989</c:v>
                </c:pt>
                <c:pt idx="11">
                  <c:v>112.05495966670006</c:v>
                </c:pt>
                <c:pt idx="12">
                  <c:v>112.30386300000002</c:v>
                </c:pt>
                <c:pt idx="13">
                  <c:v>113.5290806667</c:v>
                </c:pt>
                <c:pt idx="14">
                  <c:v>114.54486533330002</c:v>
                </c:pt>
                <c:pt idx="15">
                  <c:v>113.75430799999998</c:v>
                </c:pt>
                <c:pt idx="16">
                  <c:v>113.2837286667</c:v>
                </c:pt>
                <c:pt idx="17">
                  <c:v>115.0417716667</c:v>
                </c:pt>
                <c:pt idx="18">
                  <c:v>112.92627733330001</c:v>
                </c:pt>
                <c:pt idx="19">
                  <c:v>111.23180666670002</c:v>
                </c:pt>
                <c:pt idx="20">
                  <c:v>108.62233999999992</c:v>
                </c:pt>
                <c:pt idx="21">
                  <c:v>89.012085333299908</c:v>
                </c:pt>
                <c:pt idx="22">
                  <c:v>109.83611233329992</c:v>
                </c:pt>
                <c:pt idx="23">
                  <c:v>113.58640990329998</c:v>
                </c:pt>
                <c:pt idx="24">
                  <c:v>112.38678738669985</c:v>
                </c:pt>
                <c:pt idx="25">
                  <c:v>113.21881470330005</c:v>
                </c:pt>
                <c:pt idx="26">
                  <c:v>110.50113561329998</c:v>
                </c:pt>
                <c:pt idx="27">
                  <c:v>111.05576473000001</c:v>
                </c:pt>
                <c:pt idx="28">
                  <c:v>112.41407472669998</c:v>
                </c:pt>
                <c:pt idx="29">
                  <c:v>113.36403852999995</c:v>
                </c:pt>
              </c:numCache>
            </c:numRef>
          </c:val>
          <c:smooth val="0"/>
          <c:extLst>
            <c:ext xmlns:c16="http://schemas.microsoft.com/office/drawing/2014/chart" uri="{C3380CC4-5D6E-409C-BE32-E72D297353CC}">
              <c16:uniqueId val="{0000000A-C3CE-485F-BBE2-753D2017FE75}"/>
            </c:ext>
          </c:extLst>
        </c:ser>
        <c:ser>
          <c:idx val="11"/>
          <c:order val="11"/>
          <c:tx>
            <c:strRef>
              <c:f>'GRAF příspěvky IPP'!$A$38</c:f>
              <c:strCache>
                <c:ptCount val="1"/>
                <c:pt idx="0">
                  <c:v>Tržby, prům. celkem (báze 2015=100)</c:v>
                </c:pt>
              </c:strCache>
            </c:strRef>
          </c:tx>
          <c:spPr>
            <a:ln w="15875">
              <a:solidFill>
                <a:schemeClr val="tx1">
                  <a:lumMod val="50000"/>
                  <a:lumOff val="50000"/>
                </a:schemeClr>
              </a:solidFill>
              <a:prstDash val="sysDash"/>
            </a:ln>
          </c:spPr>
          <c:marker>
            <c:symbol val="none"/>
          </c:marker>
          <c:cat>
            <c:multiLvlStrRef>
              <c:f>'GRAF příspěvky IPP'!$R$25:$AU$26</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IPP'!$R$38:$AU$38</c:f>
              <c:numCache>
                <c:formatCode>##0.0</c:formatCode>
                <c:ptCount val="30"/>
                <c:pt idx="0">
                  <c:v>98.907044000000027</c:v>
                </c:pt>
                <c:pt idx="1">
                  <c:v>100.54670466669998</c:v>
                </c:pt>
                <c:pt idx="2">
                  <c:v>100.773518</c:v>
                </c:pt>
                <c:pt idx="3">
                  <c:v>99.772733333299854</c:v>
                </c:pt>
                <c:pt idx="4">
                  <c:v>100.10357233329985</c:v>
                </c:pt>
                <c:pt idx="5">
                  <c:v>99.118572666699905</c:v>
                </c:pt>
                <c:pt idx="6">
                  <c:v>100.72800933329992</c:v>
                </c:pt>
                <c:pt idx="7">
                  <c:v>103.33460500000002</c:v>
                </c:pt>
                <c:pt idx="8">
                  <c:v>106.6903113332999</c:v>
                </c:pt>
                <c:pt idx="9">
                  <c:v>109.48761200000006</c:v>
                </c:pt>
                <c:pt idx="10">
                  <c:v>107.757486</c:v>
                </c:pt>
                <c:pt idx="11">
                  <c:v>109.0894736667</c:v>
                </c:pt>
                <c:pt idx="12">
                  <c:v>109.80780633329989</c:v>
                </c:pt>
                <c:pt idx="13">
                  <c:v>110.94641900000011</c:v>
                </c:pt>
                <c:pt idx="14">
                  <c:v>113.397482</c:v>
                </c:pt>
                <c:pt idx="15">
                  <c:v>114.44440033330002</c:v>
                </c:pt>
                <c:pt idx="16">
                  <c:v>113.07990866670001</c:v>
                </c:pt>
                <c:pt idx="17">
                  <c:v>115.1605773332999</c:v>
                </c:pt>
                <c:pt idx="18">
                  <c:v>112.71459033329998</c:v>
                </c:pt>
                <c:pt idx="19">
                  <c:v>111.6593636667</c:v>
                </c:pt>
                <c:pt idx="20">
                  <c:v>108.87008233329988</c:v>
                </c:pt>
                <c:pt idx="21">
                  <c:v>88.635897666699918</c:v>
                </c:pt>
                <c:pt idx="22">
                  <c:v>111.65176</c:v>
                </c:pt>
                <c:pt idx="23">
                  <c:v>116.71428941000011</c:v>
                </c:pt>
                <c:pt idx="24">
                  <c:v>115.62027858999994</c:v>
                </c:pt>
                <c:pt idx="25">
                  <c:v>117.77609879000001</c:v>
                </c:pt>
                <c:pt idx="26">
                  <c:v>116.1443720132999</c:v>
                </c:pt>
                <c:pt idx="27">
                  <c:v>120.65376183329988</c:v>
                </c:pt>
                <c:pt idx="28">
                  <c:v>126.51249093</c:v>
                </c:pt>
                <c:pt idx="29">
                  <c:v>132.41450436329995</c:v>
                </c:pt>
              </c:numCache>
            </c:numRef>
          </c:val>
          <c:smooth val="0"/>
          <c:extLst>
            <c:ext xmlns:c16="http://schemas.microsoft.com/office/drawing/2014/chart" uri="{C3380CC4-5D6E-409C-BE32-E72D297353CC}">
              <c16:uniqueId val="{0000000B-C3CE-485F-BBE2-753D2017FE75}"/>
            </c:ext>
          </c:extLst>
        </c:ser>
        <c:dLbls>
          <c:showLegendKey val="0"/>
          <c:showVal val="0"/>
          <c:showCatName val="0"/>
          <c:showSerName val="0"/>
          <c:showPercent val="0"/>
          <c:showBubbleSize val="0"/>
        </c:dLbls>
        <c:marker val="1"/>
        <c:smooth val="0"/>
        <c:axId val="112094208"/>
        <c:axId val="112092288"/>
      </c:lineChart>
      <c:catAx>
        <c:axId val="111838720"/>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1853952"/>
        <c:crosses val="autoZero"/>
        <c:auto val="1"/>
        <c:lblAlgn val="ctr"/>
        <c:lblOffset val="0"/>
        <c:noMultiLvlLbl val="0"/>
      </c:catAx>
      <c:valAx>
        <c:axId val="111853952"/>
        <c:scaling>
          <c:orientation val="minMax"/>
          <c:max val="35"/>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a:t>
                </a:r>
                <a:r>
                  <a:rPr lang="cs-CZ" sz="700" b="0" i="1" baseline="0">
                    <a:latin typeface="Arial" panose="020B0604020202020204" pitchFamily="34" charset="0"/>
                    <a:cs typeface="Arial" panose="020B0604020202020204" pitchFamily="34" charset="0"/>
                  </a:rPr>
                  <a:t> produkce v dílčích odvětvích</a:t>
                </a:r>
                <a:endParaRPr lang="cs-CZ" sz="700" b="0" i="1">
                  <a:latin typeface="Arial" panose="020B0604020202020204" pitchFamily="34" charset="0"/>
                  <a:cs typeface="Arial" panose="020B0604020202020204" pitchFamily="34" charset="0"/>
                </a:endParaRPr>
              </a:p>
            </c:rich>
          </c:tx>
          <c:layout>
            <c:manualLayout>
              <c:xMode val="edge"/>
              <c:yMode val="edge"/>
              <c:x val="0"/>
              <c:y val="0.1849332635421318"/>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1838720"/>
        <c:crosses val="autoZero"/>
        <c:crossBetween val="between"/>
        <c:majorUnit val="5"/>
      </c:valAx>
      <c:valAx>
        <c:axId val="112092288"/>
        <c:scaling>
          <c:orientation val="minMax"/>
          <c:max val="135"/>
          <c:min val="75"/>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tržby v celém průmyslu (báze 2015=100)</a:t>
                </a:r>
                <a:endParaRPr lang="cs-CZ" sz="700" b="0" i="1">
                  <a:latin typeface="Arial" panose="020B0604020202020204" pitchFamily="34" charset="0"/>
                  <a:cs typeface="Arial" panose="020B0604020202020204" pitchFamily="34" charset="0"/>
                </a:endParaRPr>
              </a:p>
            </c:rich>
          </c:tx>
          <c:layout>
            <c:manualLayout>
              <c:xMode val="edge"/>
              <c:yMode val="edge"/>
              <c:x val="0.97073906692287315"/>
              <c:y val="0.10785719131595946"/>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2094208"/>
        <c:crosses val="max"/>
        <c:crossBetween val="between"/>
        <c:majorUnit val="5"/>
      </c:valAx>
      <c:catAx>
        <c:axId val="112094208"/>
        <c:scaling>
          <c:orientation val="minMax"/>
        </c:scaling>
        <c:delete val="1"/>
        <c:axPos val="b"/>
        <c:numFmt formatCode="General" sourceLinked="1"/>
        <c:majorTickMark val="out"/>
        <c:minorTickMark val="none"/>
        <c:tickLblPos val="none"/>
        <c:crossAx val="112092288"/>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79966237038131E-3"/>
          <c:y val="0.80683051052190613"/>
          <c:w val="0.98595611758534796"/>
          <c:h val="0.18616462964975139"/>
        </c:manualLayout>
      </c:layout>
      <c:overlay val="0"/>
      <c:spPr>
        <a:ln w="6350">
          <a:solidFill>
            <a:prstClr val="black">
              <a:lumMod val="95000"/>
              <a:lumOff val="5000"/>
            </a:prstClr>
          </a:solidFill>
        </a:ln>
      </c:spPr>
      <c:txPr>
        <a:bodyPr/>
        <a:lstStyle/>
        <a:p>
          <a:pPr>
            <a:defRPr sz="78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46"/>
          <c:h val="0.75063602214308589"/>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2'!$R$36:$AV$36</c:f>
              <c:numCache>
                <c:formatCode>##0.0</c:formatCode>
                <c:ptCount val="31"/>
                <c:pt idx="0">
                  <c:v>8.5341066790000042</c:v>
                </c:pt>
                <c:pt idx="1">
                  <c:v>6.3751337507000017</c:v>
                </c:pt>
                <c:pt idx="2">
                  <c:v>6.03891525209999</c:v>
                </c:pt>
                <c:pt idx="3">
                  <c:v>5.2688806407000008</c:v>
                </c:pt>
                <c:pt idx="4">
                  <c:v>2.6303368083000032</c:v>
                </c:pt>
                <c:pt idx="5">
                  <c:v>7.5468571480000008</c:v>
                </c:pt>
                <c:pt idx="6">
                  <c:v>2.358256229499998</c:v>
                </c:pt>
                <c:pt idx="7">
                  <c:v>6.6387502374</c:v>
                </c:pt>
                <c:pt idx="8">
                  <c:v>7.2930461770999955</c:v>
                </c:pt>
                <c:pt idx="9">
                  <c:v>8.1858416140000028</c:v>
                </c:pt>
                <c:pt idx="10">
                  <c:v>7.9475457356000021</c:v>
                </c:pt>
                <c:pt idx="11">
                  <c:v>7.3525292791999908</c:v>
                </c:pt>
                <c:pt idx="12">
                  <c:v>3.4332835439000036</c:v>
                </c:pt>
                <c:pt idx="13">
                  <c:v>3.7186041536999994</c:v>
                </c:pt>
                <c:pt idx="14">
                  <c:v>3.8026421203999918</c:v>
                </c:pt>
                <c:pt idx="15">
                  <c:v>3.1064592295000022</c:v>
                </c:pt>
                <c:pt idx="16">
                  <c:v>3.2183595436000019</c:v>
                </c:pt>
                <c:pt idx="17">
                  <c:v>1.4149495925999942</c:v>
                </c:pt>
                <c:pt idx="18">
                  <c:v>-0.22815532609999423</c:v>
                </c:pt>
                <c:pt idx="19">
                  <c:v>-3.810834207100001</c:v>
                </c:pt>
                <c:pt idx="20">
                  <c:v>-2.0840873764000083</c:v>
                </c:pt>
                <c:pt idx="21">
                  <c:v>-27.668452791999989</c:v>
                </c:pt>
                <c:pt idx="22">
                  <c:v>-1.319216639900006</c:v>
                </c:pt>
                <c:pt idx="23">
                  <c:v>7.153462935099995</c:v>
                </c:pt>
                <c:pt idx="24">
                  <c:v>8.3618521875999967</c:v>
                </c:pt>
                <c:pt idx="25">
                  <c:v>47.915211444400001</c:v>
                </c:pt>
                <c:pt idx="26">
                  <c:v>7.3046118512999882</c:v>
                </c:pt>
                <c:pt idx="27">
                  <c:v>3.5894517538000059</c:v>
                </c:pt>
                <c:pt idx="28">
                  <c:v>5.6042060614000055</c:v>
                </c:pt>
                <c:pt idx="29">
                  <c:v>9.2735155486000025</c:v>
                </c:pt>
              </c:numCache>
            </c:numRef>
          </c:val>
          <c:extLst>
            <c:ext xmlns:c16="http://schemas.microsoft.com/office/drawing/2014/chart" uri="{C3380CC4-5D6E-409C-BE32-E72D297353CC}">
              <c16:uniqueId val="{00000000-3BF0-4EC5-A9DE-511ADA8ED033}"/>
            </c:ext>
          </c:extLst>
        </c:ser>
        <c:dLbls>
          <c:showLegendKey val="0"/>
          <c:showVal val="0"/>
          <c:showCatName val="0"/>
          <c:showSerName val="0"/>
          <c:showPercent val="0"/>
          <c:showBubbleSize val="0"/>
        </c:dLbls>
        <c:gapWidth val="30"/>
        <c:axId val="46999040"/>
        <c:axId val="47000960"/>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2'!$R$37:$AV$37</c:f>
              <c:numCache>
                <c:formatCode>##0.0</c:formatCode>
                <c:ptCount val="31"/>
                <c:pt idx="0">
                  <c:v>4.3678555677999977</c:v>
                </c:pt>
                <c:pt idx="1">
                  <c:v>9.9380074582000049</c:v>
                </c:pt>
                <c:pt idx="2">
                  <c:v>-2.8625917786000086</c:v>
                </c:pt>
                <c:pt idx="3">
                  <c:v>-0.24449638430000697</c:v>
                </c:pt>
                <c:pt idx="4">
                  <c:v>1.560855605599996</c:v>
                </c:pt>
                <c:pt idx="5">
                  <c:v>1.4530189575000059</c:v>
                </c:pt>
                <c:pt idx="6">
                  <c:v>0.19507191760000342</c:v>
                </c:pt>
                <c:pt idx="7">
                  <c:v>2.810568046100002</c:v>
                </c:pt>
                <c:pt idx="8">
                  <c:v>12.6195755233</c:v>
                </c:pt>
                <c:pt idx="9">
                  <c:v>15.740843176199999</c:v>
                </c:pt>
                <c:pt idx="10">
                  <c:v>15.881411785300003</c:v>
                </c:pt>
                <c:pt idx="11">
                  <c:v>15.4396235432</c:v>
                </c:pt>
                <c:pt idx="12">
                  <c:v>1.4059943362999952</c:v>
                </c:pt>
                <c:pt idx="13">
                  <c:v>2.5119296337000043</c:v>
                </c:pt>
                <c:pt idx="14">
                  <c:v>4.7248831052000071</c:v>
                </c:pt>
                <c:pt idx="15">
                  <c:v>3.527328847899998</c:v>
                </c:pt>
                <c:pt idx="16">
                  <c:v>8.0476176921000029</c:v>
                </c:pt>
                <c:pt idx="17">
                  <c:v>5.2936390825999986</c:v>
                </c:pt>
                <c:pt idx="18">
                  <c:v>0.41940306940000482</c:v>
                </c:pt>
                <c:pt idx="19">
                  <c:v>-1.3456257084999934</c:v>
                </c:pt>
                <c:pt idx="20">
                  <c:v>5.5521264895999956</c:v>
                </c:pt>
                <c:pt idx="21">
                  <c:v>-25.896794335699987</c:v>
                </c:pt>
                <c:pt idx="22">
                  <c:v>-3.0500801793999983</c:v>
                </c:pt>
                <c:pt idx="23">
                  <c:v>6.9104797819999995</c:v>
                </c:pt>
                <c:pt idx="24">
                  <c:v>-2.8581604621000025</c:v>
                </c:pt>
                <c:pt idx="25">
                  <c:v>43.489576627600002</c:v>
                </c:pt>
                <c:pt idx="26">
                  <c:v>9.2735181054000009</c:v>
                </c:pt>
                <c:pt idx="27">
                  <c:v>5.408635117299994</c:v>
                </c:pt>
                <c:pt idx="28">
                  <c:v>7.1754980175000043</c:v>
                </c:pt>
                <c:pt idx="29">
                  <c:v>14.123119904199996</c:v>
                </c:pt>
              </c:numCache>
            </c:numRef>
          </c:val>
          <c:smooth val="0"/>
          <c:extLst>
            <c:ext xmlns:c16="http://schemas.microsoft.com/office/drawing/2014/chart" uri="{C3380CC4-5D6E-409C-BE32-E72D297353CC}">
              <c16:uniqueId val="{00000001-3BF0-4EC5-A9DE-511ADA8ED033}"/>
            </c:ext>
          </c:extLst>
        </c:ser>
        <c:dLbls>
          <c:showLegendKey val="0"/>
          <c:showVal val="0"/>
          <c:showCatName val="0"/>
          <c:showSerName val="0"/>
          <c:showPercent val="0"/>
          <c:showBubbleSize val="0"/>
        </c:dLbls>
        <c:marker val="1"/>
        <c:smooth val="0"/>
        <c:axId val="46999040"/>
        <c:axId val="47000960"/>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2'!$R$38:$AV$38</c:f>
              <c:numCache>
                <c:formatCode>##0.0</c:formatCode>
                <c:ptCount val="31"/>
                <c:pt idx="0">
                  <c:v>85.4</c:v>
                </c:pt>
                <c:pt idx="1">
                  <c:v>85.1</c:v>
                </c:pt>
                <c:pt idx="2">
                  <c:v>85</c:v>
                </c:pt>
                <c:pt idx="3">
                  <c:v>84.1</c:v>
                </c:pt>
                <c:pt idx="4">
                  <c:v>83.7</c:v>
                </c:pt>
                <c:pt idx="5">
                  <c:v>85.2</c:v>
                </c:pt>
                <c:pt idx="6">
                  <c:v>84.4</c:v>
                </c:pt>
                <c:pt idx="7">
                  <c:v>84.7</c:v>
                </c:pt>
                <c:pt idx="8">
                  <c:v>84.4</c:v>
                </c:pt>
                <c:pt idx="9">
                  <c:v>83.4</c:v>
                </c:pt>
                <c:pt idx="10">
                  <c:v>84.2</c:v>
                </c:pt>
                <c:pt idx="11">
                  <c:v>84.7</c:v>
                </c:pt>
                <c:pt idx="12">
                  <c:v>85.8</c:v>
                </c:pt>
                <c:pt idx="13">
                  <c:v>85.4</c:v>
                </c:pt>
                <c:pt idx="14">
                  <c:v>86.2</c:v>
                </c:pt>
                <c:pt idx="15">
                  <c:v>85.7</c:v>
                </c:pt>
                <c:pt idx="16">
                  <c:v>85.7</c:v>
                </c:pt>
                <c:pt idx="17">
                  <c:v>85.7</c:v>
                </c:pt>
                <c:pt idx="18">
                  <c:v>84.8</c:v>
                </c:pt>
                <c:pt idx="19">
                  <c:v>84</c:v>
                </c:pt>
                <c:pt idx="20">
                  <c:v>84.3</c:v>
                </c:pt>
                <c:pt idx="21">
                  <c:v>69.400000000000006</c:v>
                </c:pt>
                <c:pt idx="22">
                  <c:v>76.2</c:v>
                </c:pt>
                <c:pt idx="23">
                  <c:v>83</c:v>
                </c:pt>
                <c:pt idx="24">
                  <c:v>85.7</c:v>
                </c:pt>
                <c:pt idx="25">
                  <c:v>85</c:v>
                </c:pt>
                <c:pt idx="26">
                  <c:v>88.1</c:v>
                </c:pt>
                <c:pt idx="27">
                  <c:v>76.5</c:v>
                </c:pt>
                <c:pt idx="28">
                  <c:v>83.3</c:v>
                </c:pt>
                <c:pt idx="29">
                  <c:v>81.599999999999994</c:v>
                </c:pt>
                <c:pt idx="30">
                  <c:v>83.2</c:v>
                </c:pt>
              </c:numCache>
            </c:numRef>
          </c:val>
          <c:smooth val="0"/>
          <c:extLst>
            <c:ext xmlns:c16="http://schemas.microsoft.com/office/drawing/2014/chart" uri="{C3380CC4-5D6E-409C-BE32-E72D297353CC}">
              <c16:uniqueId val="{00000002-3BF0-4EC5-A9DE-511ADA8ED033}"/>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2'!$R$39:$AV$39</c:f>
              <c:numCache>
                <c:formatCode>##0.0</c:formatCode>
                <c:ptCount val="31"/>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numCache>
            </c:numRef>
          </c:val>
          <c:smooth val="0"/>
          <c:extLst>
            <c:ext xmlns:c16="http://schemas.microsoft.com/office/drawing/2014/chart" uri="{C3380CC4-5D6E-409C-BE32-E72D297353CC}">
              <c16:uniqueId val="{00000003-3BF0-4EC5-A9DE-511ADA8ED033}"/>
            </c:ext>
          </c:extLst>
        </c:ser>
        <c:ser>
          <c:idx val="4"/>
          <c:order val="4"/>
          <c:tx>
            <c:strRef>
              <c:f>'výkonnost odvětví 2'!$A$40</c:f>
              <c:strCache>
                <c:ptCount val="1"/>
                <c:pt idx="0">
                  <c:v>Bariéra růstu: nedostatečná poptávka</c:v>
                </c:pt>
              </c:strCache>
            </c:strRef>
          </c:tx>
          <c:spPr>
            <a:ln w="15875">
              <a:solidFill>
                <a:srgbClr val="00B050"/>
              </a:solidFill>
              <a:prstDash val="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2'!$R$40:$AV$40</c:f>
              <c:numCache>
                <c:formatCode>#\ ##0.0</c:formatCode>
                <c:ptCount val="31"/>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numCache>
            </c:numRef>
          </c:val>
          <c:smooth val="0"/>
          <c:extLst>
            <c:ext xmlns:c16="http://schemas.microsoft.com/office/drawing/2014/chart" uri="{C3380CC4-5D6E-409C-BE32-E72D297353CC}">
              <c16:uniqueId val="{00000004-3BF0-4EC5-A9DE-511ADA8ED033}"/>
            </c:ext>
          </c:extLst>
        </c:ser>
        <c:ser>
          <c:idx val="5"/>
          <c:order val="5"/>
          <c:tx>
            <c:strRef>
              <c:f>'výkonnost odvětví 2'!$A$41</c:f>
              <c:strCache>
                <c:ptCount val="1"/>
                <c:pt idx="0">
                  <c:v>Bariéra růstu: nedostatek pracovníků</c:v>
                </c:pt>
              </c:strCache>
            </c:strRef>
          </c:tx>
          <c:spPr>
            <a:ln w="15875">
              <a:solidFill>
                <a:srgbClr val="92D050"/>
              </a:solidFill>
              <a:prstDash val="sysDash"/>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2'!$R$41:$AV$41</c:f>
              <c:numCache>
                <c:formatCode>#\ ##0.0</c:formatCode>
                <c:ptCount val="31"/>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numCache>
            </c:numRef>
          </c:val>
          <c:smooth val="0"/>
          <c:extLst>
            <c:ext xmlns:c16="http://schemas.microsoft.com/office/drawing/2014/chart" uri="{C3380CC4-5D6E-409C-BE32-E72D297353CC}">
              <c16:uniqueId val="{00000005-3BF0-4EC5-A9DE-511ADA8ED033}"/>
            </c:ext>
          </c:extLst>
        </c:ser>
        <c:ser>
          <c:idx val="6"/>
          <c:order val="6"/>
          <c:tx>
            <c:strRef>
              <c:f>'výkonnost odvětví 2'!$A$42</c:f>
              <c:strCache>
                <c:ptCount val="1"/>
                <c:pt idx="0">
                  <c:v>Bariéra růstu: nedost. materiálu a zařízení</c:v>
                </c:pt>
              </c:strCache>
            </c:strRef>
          </c:tx>
          <c:spPr>
            <a:ln w="15875">
              <a:solidFill>
                <a:srgbClr val="00B050"/>
              </a:solidFill>
              <a:prstDash val="solid"/>
            </a:ln>
          </c:spPr>
          <c:marker>
            <c:symbol val="none"/>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2'!$R$42:$AV$42</c:f>
              <c:numCache>
                <c:formatCode>#\ ##0.0</c:formatCode>
                <c:ptCount val="31"/>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numCache>
            </c:numRef>
          </c:val>
          <c:smooth val="0"/>
          <c:extLst>
            <c:ext xmlns:c16="http://schemas.microsoft.com/office/drawing/2014/chart" uri="{C3380CC4-5D6E-409C-BE32-E72D297353CC}">
              <c16:uniqueId val="{00000006-3BF0-4EC5-A9DE-511ADA8ED033}"/>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2'!$R$34:$AV$35</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2'!$R$43:$AV$43</c:f>
              <c:numCache>
                <c:formatCode>#\ ##0.0</c:formatCode>
                <c:ptCount val="31"/>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0.30000000000000021</c:v>
                </c:pt>
                <c:pt idx="17">
                  <c:v>-2</c:v>
                </c:pt>
                <c:pt idx="18">
                  <c:v>-3</c:v>
                </c:pt>
                <c:pt idx="19">
                  <c:v>-6.7</c:v>
                </c:pt>
                <c:pt idx="20">
                  <c:v>-5</c:v>
                </c:pt>
                <c:pt idx="21">
                  <c:v>-25</c:v>
                </c:pt>
                <c:pt idx="22">
                  <c:v>-6.3</c:v>
                </c:pt>
                <c:pt idx="23">
                  <c:v>-10</c:v>
                </c:pt>
                <c:pt idx="24">
                  <c:v>-1.3</c:v>
                </c:pt>
                <c:pt idx="25">
                  <c:v>5.3</c:v>
                </c:pt>
                <c:pt idx="26">
                  <c:v>-1.3</c:v>
                </c:pt>
                <c:pt idx="27">
                  <c:v>-5.3</c:v>
                </c:pt>
                <c:pt idx="28">
                  <c:v>-0.30000000000000021</c:v>
                </c:pt>
                <c:pt idx="29">
                  <c:v>8.3000000000000007</c:v>
                </c:pt>
                <c:pt idx="30">
                  <c:v>-1.7</c:v>
                </c:pt>
              </c:numCache>
            </c:numRef>
          </c:val>
          <c:smooth val="0"/>
          <c:extLst>
            <c:ext xmlns:c16="http://schemas.microsoft.com/office/drawing/2014/chart" uri="{C3380CC4-5D6E-409C-BE32-E72D297353CC}">
              <c16:uniqueId val="{00000007-3BF0-4EC5-A9DE-511ADA8ED033}"/>
            </c:ext>
          </c:extLst>
        </c:ser>
        <c:dLbls>
          <c:showLegendKey val="0"/>
          <c:showVal val="0"/>
          <c:showCatName val="0"/>
          <c:showSerName val="0"/>
          <c:showPercent val="0"/>
          <c:showBubbleSize val="0"/>
        </c:dLbls>
        <c:marker val="1"/>
        <c:smooth val="0"/>
        <c:axId val="47009152"/>
        <c:axId val="47007232"/>
      </c:lineChart>
      <c:catAx>
        <c:axId val="46999040"/>
        <c:scaling>
          <c:orientation val="minMax"/>
        </c:scaling>
        <c:delete val="0"/>
        <c:axPos val="b"/>
        <c:numFmt formatCode="General" sourceLinked="1"/>
        <c:majorTickMark val="out"/>
        <c:minorTickMark val="none"/>
        <c:tickLblPos val="low"/>
        <c:crossAx val="47000960"/>
        <c:crosses val="autoZero"/>
        <c:auto val="1"/>
        <c:lblAlgn val="ctr"/>
        <c:lblOffset val="0"/>
        <c:noMultiLvlLbl val="0"/>
      </c:catAx>
      <c:valAx>
        <c:axId val="47000960"/>
        <c:scaling>
          <c:orientation val="minMax"/>
          <c:max val="60"/>
          <c:min val="-40"/>
        </c:scaling>
        <c:delete val="0"/>
        <c:axPos val="l"/>
        <c:majorGridlines>
          <c:spPr>
            <a:ln>
              <a:solidFill>
                <a:srgbClr val="BEBEBE"/>
              </a:solidFill>
            </a:ln>
          </c:spPr>
        </c:majorGridlines>
        <c:title>
          <c:tx>
            <c:rich>
              <a:bodyPr/>
              <a:lstStyle/>
              <a:p>
                <a:pPr>
                  <a:defRPr sz="700" b="0" i="1"/>
                </a:pPr>
                <a:r>
                  <a:rPr lang="cs-CZ" sz="700" b="0" i="1"/>
                  <a:t>Zakázky</a:t>
                </a:r>
              </a:p>
            </c:rich>
          </c:tx>
          <c:overlay val="0"/>
        </c:title>
        <c:numFmt formatCode="0" sourceLinked="0"/>
        <c:majorTickMark val="out"/>
        <c:minorTickMark val="none"/>
        <c:tickLblPos val="nextTo"/>
        <c:crossAx val="46999040"/>
        <c:crosses val="autoZero"/>
        <c:crossBetween val="between"/>
        <c:majorUnit val="10"/>
      </c:valAx>
      <c:valAx>
        <c:axId val="47007232"/>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overlay val="0"/>
        </c:title>
        <c:numFmt formatCode="#,##0" sourceLinked="0"/>
        <c:majorTickMark val="out"/>
        <c:minorTickMark val="none"/>
        <c:tickLblPos val="nextTo"/>
        <c:crossAx val="47009152"/>
        <c:crosses val="max"/>
        <c:crossBetween val="between"/>
        <c:majorUnit val="10"/>
      </c:valAx>
      <c:catAx>
        <c:axId val="47009152"/>
        <c:scaling>
          <c:orientation val="minMax"/>
        </c:scaling>
        <c:delete val="1"/>
        <c:axPos val="b"/>
        <c:numFmt formatCode="General" sourceLinked="1"/>
        <c:majorTickMark val="out"/>
        <c:minorTickMark val="none"/>
        <c:tickLblPos val="none"/>
        <c:crossAx val="4700723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62395230772256E-2"/>
          <c:y val="0.85586448957034"/>
          <c:w val="0.98342327494608206"/>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293E-2"/>
          <c:w val="0.85237839893753009"/>
          <c:h val="0.75413191483370401"/>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a:noFill/>
            </a:ln>
          </c:spPr>
          <c:invertIfNegative val="0"/>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3'!$Y$31:$Y$61</c:f>
              <c:numCache>
                <c:formatCode>0.0</c:formatCode>
                <c:ptCount val="31"/>
                <c:pt idx="0">
                  <c:v>6.1308568518511448</c:v>
                </c:pt>
                <c:pt idx="1">
                  <c:v>5.1607018747060733</c:v>
                </c:pt>
                <c:pt idx="2">
                  <c:v>0.83732221166829879</c:v>
                </c:pt>
                <c:pt idx="3">
                  <c:v>-1.7965809449797605</c:v>
                </c:pt>
                <c:pt idx="4">
                  <c:v>-5.0554353718563947</c:v>
                </c:pt>
                <c:pt idx="5">
                  <c:v>-5.0997154609815611</c:v>
                </c:pt>
                <c:pt idx="6">
                  <c:v>0.80416326897207957</c:v>
                </c:pt>
                <c:pt idx="7">
                  <c:v>4.0227938260413465</c:v>
                </c:pt>
                <c:pt idx="8">
                  <c:v>2.3492102404454349</c:v>
                </c:pt>
                <c:pt idx="9">
                  <c:v>10.148433192468758</c:v>
                </c:pt>
                <c:pt idx="10">
                  <c:v>3.5041123802431988</c:v>
                </c:pt>
                <c:pt idx="11">
                  <c:v>2.7003043634714778</c:v>
                </c:pt>
                <c:pt idx="12">
                  <c:v>13.605896032750326</c:v>
                </c:pt>
                <c:pt idx="13">
                  <c:v>6.2914622667002371</c:v>
                </c:pt>
                <c:pt idx="14">
                  <c:v>7.7044737794970466</c:v>
                </c:pt>
                <c:pt idx="15">
                  <c:v>2.5958937852329349</c:v>
                </c:pt>
                <c:pt idx="16">
                  <c:v>2.9033079599696401</c:v>
                </c:pt>
                <c:pt idx="17">
                  <c:v>2.4302292749395131</c:v>
                </c:pt>
                <c:pt idx="18">
                  <c:v>-0.70910271480086551</c:v>
                </c:pt>
                <c:pt idx="19">
                  <c:v>2.4323426907841759</c:v>
                </c:pt>
                <c:pt idx="20">
                  <c:v>-0.35805378459096432</c:v>
                </c:pt>
                <c:pt idx="21">
                  <c:v>-7.4199834128867339</c:v>
                </c:pt>
                <c:pt idx="22">
                  <c:v>-7.1641797842898178</c:v>
                </c:pt>
                <c:pt idx="23">
                  <c:v>-8.6176211223370984</c:v>
                </c:pt>
                <c:pt idx="24">
                  <c:v>-5.1389920833934823</c:v>
                </c:pt>
                <c:pt idx="25">
                  <c:v>3.2580268805464589</c:v>
                </c:pt>
                <c:pt idx="26">
                  <c:v>2.986661113555916</c:v>
                </c:pt>
                <c:pt idx="27">
                  <c:v>6.057583029951866</c:v>
                </c:pt>
                <c:pt idx="28">
                  <c:v>6.6222201648172856</c:v>
                </c:pt>
                <c:pt idx="29">
                  <c:v>3.1159656867405996</c:v>
                </c:pt>
              </c:numCache>
            </c:numRef>
          </c:val>
          <c:extLst>
            <c:ext xmlns:c16="http://schemas.microsoft.com/office/drawing/2014/chart" uri="{C3380CC4-5D6E-409C-BE32-E72D297353CC}">
              <c16:uniqueId val="{00000000-F59A-4791-A568-A734A6E4AF23}"/>
            </c:ext>
          </c:extLst>
        </c:ser>
        <c:ser>
          <c:idx val="2"/>
          <c:order val="2"/>
          <c:tx>
            <c:strRef>
              <c:f>'výkonnost odvětví 3'!$Z$10</c:f>
              <c:strCache>
                <c:ptCount val="1"/>
                <c:pt idx="0">
                  <c:v>Inženýrské stavitelství (příspěvek v p. b.)</c:v>
                </c:pt>
              </c:strCache>
            </c:strRef>
          </c:tx>
          <c:spPr>
            <a:solidFill>
              <a:srgbClr val="E8AFB2"/>
            </a:solidFill>
            <a:ln>
              <a:noFill/>
            </a:ln>
          </c:spPr>
          <c:invertIfNegative val="0"/>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3'!$Z$31:$Z$61</c:f>
              <c:numCache>
                <c:formatCode>0.0</c:formatCode>
                <c:ptCount val="31"/>
                <c:pt idx="0">
                  <c:v>3.0630580809132377</c:v>
                </c:pt>
                <c:pt idx="1">
                  <c:v>6.8176109939388274</c:v>
                </c:pt>
                <c:pt idx="2">
                  <c:v>7.0251452781808066</c:v>
                </c:pt>
                <c:pt idx="3">
                  <c:v>2.7276419848972755</c:v>
                </c:pt>
                <c:pt idx="4">
                  <c:v>-1.205227141283097</c:v>
                </c:pt>
                <c:pt idx="5">
                  <c:v>-5.1481596916982086</c:v>
                </c:pt>
                <c:pt idx="6">
                  <c:v>-6.7102047822986561</c:v>
                </c:pt>
                <c:pt idx="7">
                  <c:v>-5.6729778140324045</c:v>
                </c:pt>
                <c:pt idx="8">
                  <c:v>-3.2133606526027201</c:v>
                </c:pt>
                <c:pt idx="9">
                  <c:v>-1.1291534248956667</c:v>
                </c:pt>
                <c:pt idx="10">
                  <c:v>-1.4416251874947308</c:v>
                </c:pt>
                <c:pt idx="11">
                  <c:v>0.23547548081532121</c:v>
                </c:pt>
                <c:pt idx="12">
                  <c:v>1.7597078207679104</c:v>
                </c:pt>
                <c:pt idx="13">
                  <c:v>1.202711522238572</c:v>
                </c:pt>
                <c:pt idx="14">
                  <c:v>4.704234258693389</c:v>
                </c:pt>
                <c:pt idx="15">
                  <c:v>1.7013650015145458</c:v>
                </c:pt>
                <c:pt idx="16">
                  <c:v>0.73361885474343336</c:v>
                </c:pt>
                <c:pt idx="17">
                  <c:v>1.8774662818610086</c:v>
                </c:pt>
                <c:pt idx="18">
                  <c:v>0.74664987633445601</c:v>
                </c:pt>
                <c:pt idx="19">
                  <c:v>0.84906917828074113</c:v>
                </c:pt>
                <c:pt idx="20">
                  <c:v>3.2008253112792797</c:v>
                </c:pt>
                <c:pt idx="21">
                  <c:v>1.2154449034817973</c:v>
                </c:pt>
                <c:pt idx="22">
                  <c:v>-1.867194166230262</c:v>
                </c:pt>
                <c:pt idx="23">
                  <c:v>0.3466952468171916</c:v>
                </c:pt>
                <c:pt idx="24">
                  <c:v>-4.1024810773948261E-2</c:v>
                </c:pt>
                <c:pt idx="25">
                  <c:v>1.0222923467595346</c:v>
                </c:pt>
                <c:pt idx="26">
                  <c:v>-0.24106264769568905</c:v>
                </c:pt>
                <c:pt idx="27">
                  <c:v>-0.88541356545604843</c:v>
                </c:pt>
                <c:pt idx="28">
                  <c:v>3.229730662105831</c:v>
                </c:pt>
                <c:pt idx="29">
                  <c:v>-0.12179549668834966</c:v>
                </c:pt>
              </c:numCache>
            </c:numRef>
          </c:val>
          <c:extLst>
            <c:ext xmlns:c16="http://schemas.microsoft.com/office/drawing/2014/chart" uri="{C3380CC4-5D6E-409C-BE32-E72D297353CC}">
              <c16:uniqueId val="{00000001-F59A-4791-A568-A734A6E4AF23}"/>
            </c:ext>
          </c:extLst>
        </c:ser>
        <c:dLbls>
          <c:showLegendKey val="0"/>
          <c:showVal val="0"/>
          <c:showCatName val="0"/>
          <c:showSerName val="0"/>
          <c:showPercent val="0"/>
          <c:showBubbleSize val="0"/>
        </c:dLbls>
        <c:gapWidth val="30"/>
        <c:overlap val="100"/>
        <c:axId val="47096576"/>
        <c:axId val="47098496"/>
      </c:barChart>
      <c:lineChart>
        <c:grouping val="standard"/>
        <c:varyColors val="0"/>
        <c:ser>
          <c:idx val="0"/>
          <c:order val="0"/>
          <c:tx>
            <c:strRef>
              <c:f>'výkonnost odvětví 3'!$X$10</c:f>
              <c:strCache>
                <c:ptCount val="1"/>
                <c:pt idx="0">
                  <c:v>Celková stavební produkce</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3'!$X$31:$X$61</c:f>
              <c:numCache>
                <c:formatCode>0.0</c:formatCode>
                <c:ptCount val="31"/>
                <c:pt idx="0">
                  <c:v>9.1939149327643861</c:v>
                </c:pt>
                <c:pt idx="1">
                  <c:v>11.978312868644906</c:v>
                </c:pt>
                <c:pt idx="2">
                  <c:v>7.8624674898491094</c:v>
                </c:pt>
                <c:pt idx="3">
                  <c:v>0.93106103991749478</c:v>
                </c:pt>
                <c:pt idx="4">
                  <c:v>-6.2606625131395104</c:v>
                </c:pt>
                <c:pt idx="5">
                  <c:v>-10.247875152679759</c:v>
                </c:pt>
                <c:pt idx="6">
                  <c:v>-5.9060415133265733</c:v>
                </c:pt>
                <c:pt idx="7">
                  <c:v>-1.6501839879910571</c:v>
                </c:pt>
                <c:pt idx="8">
                  <c:v>-0.86415041215724431</c:v>
                </c:pt>
                <c:pt idx="9">
                  <c:v>9.0192797675730692</c:v>
                </c:pt>
                <c:pt idx="10">
                  <c:v>2.0624871927484918</c:v>
                </c:pt>
                <c:pt idx="11">
                  <c:v>2.9357798442867837</c:v>
                </c:pt>
                <c:pt idx="12">
                  <c:v>15.365603853518257</c:v>
                </c:pt>
                <c:pt idx="13">
                  <c:v>7.494173788938828</c:v>
                </c:pt>
                <c:pt idx="14">
                  <c:v>12.408708038190419</c:v>
                </c:pt>
                <c:pt idx="15">
                  <c:v>4.2972587867474905</c:v>
                </c:pt>
                <c:pt idx="16">
                  <c:v>3.6369268147130347</c:v>
                </c:pt>
                <c:pt idx="17">
                  <c:v>4.307695556800506</c:v>
                </c:pt>
                <c:pt idx="18">
                  <c:v>3.7547161533595406E-2</c:v>
                </c:pt>
                <c:pt idx="19">
                  <c:v>3.2814118690648972</c:v>
                </c:pt>
                <c:pt idx="20">
                  <c:v>2.8427715266883542</c:v>
                </c:pt>
                <c:pt idx="21">
                  <c:v>-6.2045385094049266</c:v>
                </c:pt>
                <c:pt idx="22">
                  <c:v>-9.031373950520063</c:v>
                </c:pt>
                <c:pt idx="23">
                  <c:v>-8.2709258755199357</c:v>
                </c:pt>
                <c:pt idx="24">
                  <c:v>-5.1800168941674469</c:v>
                </c:pt>
                <c:pt idx="25">
                  <c:v>4.2803192273059665</c:v>
                </c:pt>
                <c:pt idx="26">
                  <c:v>2.7455984658602404</c:v>
                </c:pt>
                <c:pt idx="27">
                  <c:v>5.1721694644958092</c:v>
                </c:pt>
                <c:pt idx="28">
                  <c:v>9.8519508269231508</c:v>
                </c:pt>
                <c:pt idx="29">
                  <c:v>2.9941701900522304</c:v>
                </c:pt>
              </c:numCache>
            </c:numRef>
          </c:val>
          <c:smooth val="0"/>
          <c:extLst>
            <c:ext xmlns:c16="http://schemas.microsoft.com/office/drawing/2014/chart" uri="{C3380CC4-5D6E-409C-BE32-E72D297353CC}">
              <c16:uniqueId val="{00000002-F59A-4791-A568-A734A6E4AF23}"/>
            </c:ext>
          </c:extLst>
        </c:ser>
        <c:ser>
          <c:idx val="3"/>
          <c:order val="3"/>
          <c:tx>
            <c:strRef>
              <c:f>'výkonnost odvětví 3'!$AA$10</c:f>
              <c:strCache>
                <c:ptCount val="1"/>
                <c:pt idx="0">
                  <c:v>Nové stavební zakázky v tuzemsku</c:v>
                </c:pt>
              </c:strCache>
            </c:strRef>
          </c:tx>
          <c:spPr>
            <a:ln w="15875">
              <a:solidFill>
                <a:srgbClr val="984807"/>
              </a:solidFill>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3'!$AA$31:$AA$61</c:f>
              <c:numCache>
                <c:formatCode>0.0</c:formatCode>
                <c:ptCount val="31"/>
                <c:pt idx="0">
                  <c:v>-3.1547956675580053</c:v>
                </c:pt>
                <c:pt idx="1">
                  <c:v>9.7504961091663276</c:v>
                </c:pt>
                <c:pt idx="2">
                  <c:v>-1.0976060227612559</c:v>
                </c:pt>
                <c:pt idx="3">
                  <c:v>-2.3987783410040464</c:v>
                </c:pt>
                <c:pt idx="4">
                  <c:v>-6.6406358945753805</c:v>
                </c:pt>
                <c:pt idx="5">
                  <c:v>-0.49977652269311085</c:v>
                </c:pt>
                <c:pt idx="6">
                  <c:v>-7.0322087253454839</c:v>
                </c:pt>
                <c:pt idx="7">
                  <c:v>10.122126124559955</c:v>
                </c:pt>
                <c:pt idx="8">
                  <c:v>16.177217458847451</c:v>
                </c:pt>
                <c:pt idx="9">
                  <c:v>9.5350878984013079</c:v>
                </c:pt>
                <c:pt idx="10">
                  <c:v>-1.2817324431350698</c:v>
                </c:pt>
                <c:pt idx="11">
                  <c:v>15.620806693503823</c:v>
                </c:pt>
                <c:pt idx="12">
                  <c:v>30.106973873688574</c:v>
                </c:pt>
                <c:pt idx="13">
                  <c:v>32.836878110611956</c:v>
                </c:pt>
                <c:pt idx="14">
                  <c:v>5.2768249907951237</c:v>
                </c:pt>
                <c:pt idx="15">
                  <c:v>1.894456581103229</c:v>
                </c:pt>
                <c:pt idx="16">
                  <c:v>14.157245632065782</c:v>
                </c:pt>
                <c:pt idx="17">
                  <c:v>-9.3849543241233224</c:v>
                </c:pt>
                <c:pt idx="18">
                  <c:v>17.407871000993993</c:v>
                </c:pt>
                <c:pt idx="19">
                  <c:v>5.8323004254463804</c:v>
                </c:pt>
                <c:pt idx="20">
                  <c:v>-12.441635069859252</c:v>
                </c:pt>
                <c:pt idx="21">
                  <c:v>7.4973457220286726</c:v>
                </c:pt>
                <c:pt idx="22">
                  <c:v>2.0599736606932861</c:v>
                </c:pt>
                <c:pt idx="23">
                  <c:v>7.5507850088630155</c:v>
                </c:pt>
                <c:pt idx="24">
                  <c:v>28.856340981154403</c:v>
                </c:pt>
                <c:pt idx="25">
                  <c:v>22.047871359987191</c:v>
                </c:pt>
                <c:pt idx="26">
                  <c:v>10.015015612184266</c:v>
                </c:pt>
                <c:pt idx="27">
                  <c:v>1.0053213537781134</c:v>
                </c:pt>
                <c:pt idx="28">
                  <c:v>13.060554636931549</c:v>
                </c:pt>
                <c:pt idx="29">
                  <c:v>16.270833674648699</c:v>
                </c:pt>
              </c:numCache>
            </c:numRef>
          </c:val>
          <c:smooth val="0"/>
          <c:extLst>
            <c:ext xmlns:c16="http://schemas.microsoft.com/office/drawing/2014/chart" uri="{C3380CC4-5D6E-409C-BE32-E72D297353CC}">
              <c16:uniqueId val="{00000003-F59A-4791-A568-A734A6E4AF23}"/>
            </c:ext>
          </c:extLst>
        </c:ser>
        <c:dLbls>
          <c:showLegendKey val="0"/>
          <c:showVal val="0"/>
          <c:showCatName val="0"/>
          <c:showSerName val="0"/>
          <c:showPercent val="0"/>
          <c:showBubbleSize val="0"/>
        </c:dLbls>
        <c:marker val="1"/>
        <c:smooth val="0"/>
        <c:axId val="47096576"/>
        <c:axId val="47098496"/>
      </c:lineChart>
      <c:lineChart>
        <c:grouping val="standard"/>
        <c:varyColors val="0"/>
        <c:ser>
          <c:idx val="4"/>
          <c:order val="4"/>
          <c:tx>
            <c:strRef>
              <c:f>'výkonnost odvětví 3'!$AB$10</c:f>
              <c:strCache>
                <c:ptCount val="1"/>
                <c:pt idx="0">
                  <c:v>Bariéra růstu: nedostatečná poptávka</c:v>
                </c:pt>
              </c:strCache>
            </c:strRef>
          </c:tx>
          <c:spPr>
            <a:ln w="15875">
              <a:solidFill>
                <a:srgbClr val="92D050"/>
              </a:solidFill>
              <a:prstDash val="dash"/>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3'!$AB$31:$AB$61</c:f>
              <c:numCache>
                <c:formatCode>#\ ##0.0</c:formatCode>
                <c:ptCount val="31"/>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numCache>
            </c:numRef>
          </c:val>
          <c:smooth val="0"/>
          <c:extLst>
            <c:ext xmlns:c16="http://schemas.microsoft.com/office/drawing/2014/chart" uri="{C3380CC4-5D6E-409C-BE32-E72D297353CC}">
              <c16:uniqueId val="{00000004-F59A-4791-A568-A734A6E4AF23}"/>
            </c:ext>
          </c:extLst>
        </c:ser>
        <c:ser>
          <c:idx val="5"/>
          <c:order val="5"/>
          <c:tx>
            <c:strRef>
              <c:f>'výkonnost odvětví 3'!$AC$10</c:f>
              <c:strCache>
                <c:ptCount val="1"/>
                <c:pt idx="0">
                  <c:v>Bariéra růstu: nedostatek pracovníků</c:v>
                </c:pt>
              </c:strCache>
            </c:strRef>
          </c:tx>
          <c:spPr>
            <a:ln w="15875">
              <a:solidFill>
                <a:srgbClr val="00B050"/>
              </a:solidFill>
              <a:prstDash val="solid"/>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3'!$AC$31:$AC$61</c:f>
              <c:numCache>
                <c:formatCode>#\ ##0.0</c:formatCode>
                <c:ptCount val="31"/>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35.300000000000004</c:v>
                </c:pt>
                <c:pt idx="23" formatCode="0.0">
                  <c:v>31.9</c:v>
                </c:pt>
                <c:pt idx="24">
                  <c:v>48.6</c:v>
                </c:pt>
                <c:pt idx="25">
                  <c:v>31.6</c:v>
                </c:pt>
                <c:pt idx="26">
                  <c:v>40.700000000000003</c:v>
                </c:pt>
                <c:pt idx="27">
                  <c:v>42.2</c:v>
                </c:pt>
                <c:pt idx="28">
                  <c:v>57.8</c:v>
                </c:pt>
                <c:pt idx="29">
                  <c:v>44.3</c:v>
                </c:pt>
                <c:pt idx="30">
                  <c:v>39</c:v>
                </c:pt>
              </c:numCache>
            </c:numRef>
          </c:val>
          <c:smooth val="0"/>
          <c:extLst>
            <c:ext xmlns:c16="http://schemas.microsoft.com/office/drawing/2014/chart" uri="{C3380CC4-5D6E-409C-BE32-E72D297353CC}">
              <c16:uniqueId val="{00000005-F59A-4791-A568-A734A6E4AF23}"/>
            </c:ext>
          </c:extLst>
        </c:ser>
        <c:ser>
          <c:idx val="6"/>
          <c:order val="6"/>
          <c:tx>
            <c:strRef>
              <c:f>'výkonnost odvětví 3'!$AD$10</c:f>
              <c:strCache>
                <c:ptCount val="1"/>
                <c:pt idx="0">
                  <c:v>Bariéra růstu: nedost. materiálu a vybavení</c:v>
                </c:pt>
              </c:strCache>
            </c:strRef>
          </c:tx>
          <c:spPr>
            <a:ln w="15875">
              <a:solidFill>
                <a:srgbClr val="00B050"/>
              </a:solidFill>
              <a:prstDash val="sysDash"/>
            </a:ln>
          </c:spPr>
          <c:marker>
            <c:symbol val="none"/>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3'!$AD$31:$AD$61</c:f>
              <c:numCache>
                <c:formatCode>#\ ##0.0</c:formatCode>
                <c:ptCount val="31"/>
                <c:pt idx="0">
                  <c:v>0.1</c:v>
                </c:pt>
                <c:pt idx="1">
                  <c:v>0.4</c:v>
                </c:pt>
                <c:pt idx="2">
                  <c:v>4</c:v>
                </c:pt>
                <c:pt idx="3">
                  <c:v>0.5</c:v>
                </c:pt>
                <c:pt idx="4">
                  <c:v>0.4</c:v>
                </c:pt>
                <c:pt idx="5">
                  <c:v>0.5</c:v>
                </c:pt>
                <c:pt idx="6">
                  <c:v>0.5</c:v>
                </c:pt>
                <c:pt idx="7">
                  <c:v>1.5</c:v>
                </c:pt>
                <c:pt idx="8">
                  <c:v>0.30000000000000021</c:v>
                </c:pt>
                <c:pt idx="9">
                  <c:v>0.30000000000000021</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numCache>
            </c:numRef>
          </c:val>
          <c:smooth val="0"/>
          <c:extLst>
            <c:ext xmlns:c16="http://schemas.microsoft.com/office/drawing/2014/chart" uri="{C3380CC4-5D6E-409C-BE32-E72D297353CC}">
              <c16:uniqueId val="{00000006-F59A-4791-A568-A734A6E4AF23}"/>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3'!$V$31:$W$61</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3'!$AE$31:$AE$61</c:f>
              <c:numCache>
                <c:formatCode>0.0</c:formatCode>
                <c:ptCount val="31"/>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numCache>
            </c:numRef>
          </c:val>
          <c:smooth val="0"/>
          <c:extLst>
            <c:ext xmlns:c16="http://schemas.microsoft.com/office/drawing/2014/chart" uri="{C3380CC4-5D6E-409C-BE32-E72D297353CC}">
              <c16:uniqueId val="{00000007-F59A-4791-A568-A734A6E4AF23}"/>
            </c:ext>
          </c:extLst>
        </c:ser>
        <c:dLbls>
          <c:showLegendKey val="0"/>
          <c:showVal val="0"/>
          <c:showCatName val="0"/>
          <c:showSerName val="0"/>
          <c:showPercent val="0"/>
          <c:showBubbleSize val="0"/>
        </c:dLbls>
        <c:marker val="1"/>
        <c:smooth val="0"/>
        <c:axId val="47110784"/>
        <c:axId val="47108864"/>
      </c:lineChart>
      <c:catAx>
        <c:axId val="47096576"/>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47098496"/>
        <c:crosses val="autoZero"/>
        <c:auto val="1"/>
        <c:lblAlgn val="ctr"/>
        <c:lblOffset val="0"/>
        <c:noMultiLvlLbl val="0"/>
      </c:catAx>
      <c:valAx>
        <c:axId val="47098496"/>
        <c:scaling>
          <c:orientation val="minMax"/>
          <c:max val="70"/>
          <c:min val="-3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47096576"/>
        <c:crosses val="autoZero"/>
        <c:crossBetween val="between"/>
        <c:majorUnit val="10"/>
      </c:valAx>
      <c:valAx>
        <c:axId val="47108864"/>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47110784"/>
        <c:crosses val="max"/>
        <c:crossBetween val="between"/>
        <c:majorUnit val="20"/>
      </c:valAx>
      <c:catAx>
        <c:axId val="47110784"/>
        <c:scaling>
          <c:orientation val="minMax"/>
        </c:scaling>
        <c:delete val="1"/>
        <c:axPos val="b"/>
        <c:numFmt formatCode="General" sourceLinked="1"/>
        <c:majorTickMark val="out"/>
        <c:minorTickMark val="none"/>
        <c:tickLblPos val="none"/>
        <c:crossAx val="4710886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52"/>
          <c:w val="0.96925714241885441"/>
          <c:h val="0.13362821778942569"/>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157E-2"/>
          <c:y val="1.5803328678987472E-2"/>
          <c:w val="0.86647319020345381"/>
          <c:h val="0.7103501120970378"/>
        </c:manualLayout>
      </c:layout>
      <c:barChart>
        <c:barDir val="col"/>
        <c:grouping val="stacked"/>
        <c:varyColors val="0"/>
        <c:ser>
          <c:idx val="0"/>
          <c:order val="1"/>
          <c:tx>
            <c:strRef>
              <c:f>'Služby-příspěvkyk růstu-4'!$D$33</c:f>
              <c:strCache>
                <c:ptCount val="1"/>
                <c:pt idx="0">
                  <c:v>Doprava a skladování</c:v>
                </c:pt>
              </c:strCache>
            </c:strRef>
          </c:tx>
          <c:spPr>
            <a:solidFill>
              <a:srgbClr val="92D05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růstu-4'!$D$46:$D$76</c:f>
              <c:numCache>
                <c:formatCode>0.0</c:formatCode>
                <c:ptCount val="31"/>
                <c:pt idx="0">
                  <c:v>0.17627373165999941</c:v>
                </c:pt>
                <c:pt idx="1">
                  <c:v>-4.1398260783598463E-2</c:v>
                </c:pt>
                <c:pt idx="2">
                  <c:v>0.20127676583260184</c:v>
                </c:pt>
                <c:pt idx="3">
                  <c:v>4.2331882175001882E-2</c:v>
                </c:pt>
                <c:pt idx="4">
                  <c:v>0.2604828945619988</c:v>
                </c:pt>
                <c:pt idx="5">
                  <c:v>0.20044719477909842</c:v>
                </c:pt>
                <c:pt idx="6">
                  <c:v>0.14004615678000049</c:v>
                </c:pt>
                <c:pt idx="7">
                  <c:v>0.86059283114800145</c:v>
                </c:pt>
                <c:pt idx="8">
                  <c:v>1.6559965627289979</c:v>
                </c:pt>
                <c:pt idx="9">
                  <c:v>1.0934548874629979</c:v>
                </c:pt>
                <c:pt idx="10">
                  <c:v>1.1374484601479997</c:v>
                </c:pt>
                <c:pt idx="11">
                  <c:v>0.6047080971790002</c:v>
                </c:pt>
                <c:pt idx="12">
                  <c:v>1.7518533558900002</c:v>
                </c:pt>
                <c:pt idx="13">
                  <c:v>1.9191714775479998</c:v>
                </c:pt>
                <c:pt idx="14">
                  <c:v>1.4689069805629977</c:v>
                </c:pt>
                <c:pt idx="15">
                  <c:v>0.49822211685500067</c:v>
                </c:pt>
                <c:pt idx="16">
                  <c:v>0.75210969494300184</c:v>
                </c:pt>
                <c:pt idx="17">
                  <c:v>-7.8943058121998602E-2</c:v>
                </c:pt>
                <c:pt idx="18">
                  <c:v>-0.6761559609970017</c:v>
                </c:pt>
                <c:pt idx="19">
                  <c:v>-0.53883087511919914</c:v>
                </c:pt>
                <c:pt idx="20">
                  <c:v>-1.7873099078691983</c:v>
                </c:pt>
                <c:pt idx="21">
                  <c:v>-6.8790162520431002</c:v>
                </c:pt>
                <c:pt idx="22">
                  <c:v>-4.215675848624997</c:v>
                </c:pt>
                <c:pt idx="23">
                  <c:v>-1.7596921701599983</c:v>
                </c:pt>
                <c:pt idx="24">
                  <c:v>-0.15694169525370011</c:v>
                </c:pt>
                <c:pt idx="25">
                  <c:v>6.9452061820128037</c:v>
                </c:pt>
                <c:pt idx="26">
                  <c:v>4.1021141164383907</c:v>
                </c:pt>
                <c:pt idx="27">
                  <c:v>4.5411081672439781</c:v>
                </c:pt>
                <c:pt idx="28">
                  <c:v>4.7644195859015754</c:v>
                </c:pt>
                <c:pt idx="29">
                  <c:v>4.8807410884687696</c:v>
                </c:pt>
              </c:numCache>
            </c:numRef>
          </c:val>
          <c:extLst>
            <c:ext xmlns:c16="http://schemas.microsoft.com/office/drawing/2014/chart" uri="{C3380CC4-5D6E-409C-BE32-E72D297353CC}">
              <c16:uniqueId val="{00000000-560A-4555-990A-73723CFEBBC9}"/>
            </c:ext>
          </c:extLst>
        </c:ser>
        <c:ser>
          <c:idx val="1"/>
          <c:order val="2"/>
          <c:tx>
            <c:strRef>
              <c:f>'Služby-příspěvkyk růstu-4'!$E$33</c:f>
              <c:strCache>
                <c:ptCount val="1"/>
                <c:pt idx="0">
                  <c:v>Ubytování, stravování a pohostinství</c:v>
                </c:pt>
              </c:strCache>
            </c:strRef>
          </c:tx>
          <c:spPr>
            <a:solidFill>
              <a:srgbClr val="00B0F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růstu-4'!$E$46:$E$76</c:f>
              <c:numCache>
                <c:formatCode>0.0</c:formatCode>
                <c:ptCount val="31"/>
                <c:pt idx="0">
                  <c:v>0.23064326026020021</c:v>
                </c:pt>
                <c:pt idx="1">
                  <c:v>0.65490030172000013</c:v>
                </c:pt>
                <c:pt idx="2">
                  <c:v>0.65615704203699965</c:v>
                </c:pt>
                <c:pt idx="3">
                  <c:v>0.40198126828160052</c:v>
                </c:pt>
                <c:pt idx="4">
                  <c:v>0.47264498177679992</c:v>
                </c:pt>
                <c:pt idx="5">
                  <c:v>0.16809598308499987</c:v>
                </c:pt>
                <c:pt idx="6">
                  <c:v>0.5678502803826001</c:v>
                </c:pt>
                <c:pt idx="7">
                  <c:v>0.60026021753880121</c:v>
                </c:pt>
                <c:pt idx="8">
                  <c:v>0.90716175756749962</c:v>
                </c:pt>
                <c:pt idx="9">
                  <c:v>1.2351843183735998</c:v>
                </c:pt>
                <c:pt idx="10">
                  <c:v>0.55372633890920031</c:v>
                </c:pt>
                <c:pt idx="11">
                  <c:v>0.45414701226059939</c:v>
                </c:pt>
                <c:pt idx="12">
                  <c:v>0.20562277238639989</c:v>
                </c:pt>
                <c:pt idx="13">
                  <c:v>4.6481198053399876E-2</c:v>
                </c:pt>
                <c:pt idx="14">
                  <c:v>5.8790755202600173E-2</c:v>
                </c:pt>
                <c:pt idx="15">
                  <c:v>-3.8611122396599751E-2</c:v>
                </c:pt>
                <c:pt idx="16">
                  <c:v>0.19877668230760023</c:v>
                </c:pt>
                <c:pt idx="17">
                  <c:v>0.19106550885020049</c:v>
                </c:pt>
                <c:pt idx="18">
                  <c:v>-2.1031638824599935E-2</c:v>
                </c:pt>
                <c:pt idx="19">
                  <c:v>-1.8881872245599843E-2</c:v>
                </c:pt>
                <c:pt idx="20">
                  <c:v>-1.1578648579121602</c:v>
                </c:pt>
                <c:pt idx="21">
                  <c:v>-4.9674966649835008</c:v>
                </c:pt>
                <c:pt idx="22">
                  <c:v>-1.9520417393251039</c:v>
                </c:pt>
                <c:pt idx="23">
                  <c:v>-4.5017067627894276</c:v>
                </c:pt>
                <c:pt idx="24">
                  <c:v>-3.693892332418748</c:v>
                </c:pt>
                <c:pt idx="25">
                  <c:v>1.3740162264831821</c:v>
                </c:pt>
                <c:pt idx="26">
                  <c:v>0.63496524511920005</c:v>
                </c:pt>
                <c:pt idx="27">
                  <c:v>2.8400409946004497</c:v>
                </c:pt>
                <c:pt idx="28">
                  <c:v>2.9304756297654841</c:v>
                </c:pt>
                <c:pt idx="29">
                  <c:v>2.6719167515898272</c:v>
                </c:pt>
              </c:numCache>
            </c:numRef>
          </c:val>
          <c:extLst>
            <c:ext xmlns:c16="http://schemas.microsoft.com/office/drawing/2014/chart" uri="{C3380CC4-5D6E-409C-BE32-E72D297353CC}">
              <c16:uniqueId val="{00000001-560A-4555-990A-73723CFEBBC9}"/>
            </c:ext>
          </c:extLst>
        </c:ser>
        <c:ser>
          <c:idx val="2"/>
          <c:order val="3"/>
          <c:tx>
            <c:strRef>
              <c:f>'Služby-příspěvkyk růstu-4'!$F$33</c:f>
              <c:strCache>
                <c:ptCount val="1"/>
                <c:pt idx="0">
                  <c:v>Informační a komunikační činnosti</c:v>
                </c:pt>
              </c:strCache>
            </c:strRef>
          </c:tx>
          <c:spPr>
            <a:solidFill>
              <a:srgbClr val="E6E100"/>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růstu-4'!$F$46:$F$76</c:f>
              <c:numCache>
                <c:formatCode>0.0</c:formatCode>
                <c:ptCount val="31"/>
                <c:pt idx="0">
                  <c:v>1.4083798915137009</c:v>
                </c:pt>
                <c:pt idx="1">
                  <c:v>0.82540650715499952</c:v>
                </c:pt>
                <c:pt idx="2">
                  <c:v>0.80424272675400077</c:v>
                </c:pt>
                <c:pt idx="3">
                  <c:v>1.3174140502479983</c:v>
                </c:pt>
                <c:pt idx="4">
                  <c:v>0.35985664064800132</c:v>
                </c:pt>
                <c:pt idx="5">
                  <c:v>0.15751383681999892</c:v>
                </c:pt>
                <c:pt idx="6">
                  <c:v>0.32598498922400015</c:v>
                </c:pt>
                <c:pt idx="7">
                  <c:v>0.17761340848900078</c:v>
                </c:pt>
                <c:pt idx="8">
                  <c:v>0.76438636704000096</c:v>
                </c:pt>
                <c:pt idx="9">
                  <c:v>0.98207704425299891</c:v>
                </c:pt>
                <c:pt idx="10">
                  <c:v>0.77093881661000241</c:v>
                </c:pt>
                <c:pt idx="11">
                  <c:v>0.58294315828299859</c:v>
                </c:pt>
                <c:pt idx="12">
                  <c:v>1.4398200028309982</c:v>
                </c:pt>
                <c:pt idx="13">
                  <c:v>0.76531943813199965</c:v>
                </c:pt>
                <c:pt idx="14">
                  <c:v>1.415831001736001</c:v>
                </c:pt>
                <c:pt idx="15">
                  <c:v>0.98684323348800185</c:v>
                </c:pt>
                <c:pt idx="16">
                  <c:v>1.2348474246799996</c:v>
                </c:pt>
                <c:pt idx="17">
                  <c:v>1.1603884990620001</c:v>
                </c:pt>
                <c:pt idx="18">
                  <c:v>0.91591834325400012</c:v>
                </c:pt>
                <c:pt idx="19">
                  <c:v>1.1621880049516025</c:v>
                </c:pt>
                <c:pt idx="20">
                  <c:v>0.8191341781949999</c:v>
                </c:pt>
                <c:pt idx="21">
                  <c:v>1.3223529237600385E-2</c:v>
                </c:pt>
                <c:pt idx="22">
                  <c:v>-0.20840783961800002</c:v>
                </c:pt>
                <c:pt idx="23">
                  <c:v>-0.54142483054800206</c:v>
                </c:pt>
                <c:pt idx="24">
                  <c:v>0.71345327861799968</c:v>
                </c:pt>
                <c:pt idx="25">
                  <c:v>1.5468236089918046</c:v>
                </c:pt>
                <c:pt idx="26">
                  <c:v>1.4415115757943977</c:v>
                </c:pt>
                <c:pt idx="27">
                  <c:v>1.9056402188684918</c:v>
                </c:pt>
                <c:pt idx="28">
                  <c:v>1.016112021399731</c:v>
                </c:pt>
                <c:pt idx="29">
                  <c:v>0.61657254430834951</c:v>
                </c:pt>
              </c:numCache>
            </c:numRef>
          </c:val>
          <c:extLst>
            <c:ext xmlns:c16="http://schemas.microsoft.com/office/drawing/2014/chart" uri="{C3380CC4-5D6E-409C-BE32-E72D297353CC}">
              <c16:uniqueId val="{00000002-560A-4555-990A-73723CFEBBC9}"/>
            </c:ext>
          </c:extLst>
        </c:ser>
        <c:ser>
          <c:idx val="4"/>
          <c:order val="4"/>
          <c:tx>
            <c:strRef>
              <c:f>'Služby-příspěvkyk růstu-4'!$G$33</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růstu-4'!$G$46:$G$76</c:f>
              <c:numCache>
                <c:formatCode>0.0</c:formatCode>
                <c:ptCount val="31"/>
                <c:pt idx="0">
                  <c:v>4.7588818498199952E-2</c:v>
                </c:pt>
                <c:pt idx="1">
                  <c:v>-7.3007550905993838E-3</c:v>
                </c:pt>
                <c:pt idx="2">
                  <c:v>0.12810762983039936</c:v>
                </c:pt>
                <c:pt idx="3">
                  <c:v>2.4617916117599486E-2</c:v>
                </c:pt>
                <c:pt idx="4">
                  <c:v>0.25752090895740026</c:v>
                </c:pt>
                <c:pt idx="5">
                  <c:v>-4.2228184845005514E-3</c:v>
                </c:pt>
                <c:pt idx="6">
                  <c:v>0.14993183101380081</c:v>
                </c:pt>
                <c:pt idx="7">
                  <c:v>-6.6530028186599505E-2</c:v>
                </c:pt>
                <c:pt idx="8">
                  <c:v>0.20977398058900038</c:v>
                </c:pt>
                <c:pt idx="9">
                  <c:v>0.44953617213779962</c:v>
                </c:pt>
                <c:pt idx="10">
                  <c:v>-2.2338348474500516E-2</c:v>
                </c:pt>
                <c:pt idx="11">
                  <c:v>0.13984723093740006</c:v>
                </c:pt>
                <c:pt idx="12">
                  <c:v>2.6966101253399585E-2</c:v>
                </c:pt>
                <c:pt idx="13">
                  <c:v>-0.24884766500039987</c:v>
                </c:pt>
                <c:pt idx="14">
                  <c:v>-0.12645184379759991</c:v>
                </c:pt>
                <c:pt idx="15">
                  <c:v>-0.22378801642200064</c:v>
                </c:pt>
                <c:pt idx="16">
                  <c:v>0.14753986907940037</c:v>
                </c:pt>
                <c:pt idx="17">
                  <c:v>-7.3797086292003737E-3</c:v>
                </c:pt>
                <c:pt idx="18">
                  <c:v>-0.23287434101939941</c:v>
                </c:pt>
                <c:pt idx="19">
                  <c:v>-0.1014703732620004</c:v>
                </c:pt>
                <c:pt idx="20">
                  <c:v>0.42431890762080116</c:v>
                </c:pt>
                <c:pt idx="21">
                  <c:v>-0.29919163957060046</c:v>
                </c:pt>
                <c:pt idx="22">
                  <c:v>-0.26426338474666694</c:v>
                </c:pt>
                <c:pt idx="23">
                  <c:v>-0.23118426949069976</c:v>
                </c:pt>
                <c:pt idx="24">
                  <c:v>-0.20088632198500025</c:v>
                </c:pt>
                <c:pt idx="25">
                  <c:v>0.43472502460904971</c:v>
                </c:pt>
                <c:pt idx="26">
                  <c:v>2.7135230949999608E-3</c:v>
                </c:pt>
                <c:pt idx="27">
                  <c:v>0.23850631303800002</c:v>
                </c:pt>
                <c:pt idx="28">
                  <c:v>0.31632818692015258</c:v>
                </c:pt>
                <c:pt idx="29">
                  <c:v>0.20658249210979582</c:v>
                </c:pt>
              </c:numCache>
            </c:numRef>
          </c:val>
          <c:extLst>
            <c:ext xmlns:c16="http://schemas.microsoft.com/office/drawing/2014/chart" uri="{C3380CC4-5D6E-409C-BE32-E72D297353CC}">
              <c16:uniqueId val="{00000003-560A-4555-990A-73723CFEBBC9}"/>
            </c:ext>
          </c:extLst>
        </c:ser>
        <c:ser>
          <c:idx val="5"/>
          <c:order val="5"/>
          <c:tx>
            <c:strRef>
              <c:f>'Služby-příspěvkyk růstu-4'!$H$33</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růstu-4'!$H$46:$H$76</c:f>
              <c:numCache>
                <c:formatCode>0.0</c:formatCode>
                <c:ptCount val="31"/>
                <c:pt idx="0">
                  <c:v>1.0468505532869989</c:v>
                </c:pt>
                <c:pt idx="1">
                  <c:v>0.72007462620000018</c:v>
                </c:pt>
                <c:pt idx="2">
                  <c:v>1.0906393004399992</c:v>
                </c:pt>
                <c:pt idx="3">
                  <c:v>-4.2990021238901457E-2</c:v>
                </c:pt>
                <c:pt idx="4">
                  <c:v>-0.43098075353700138</c:v>
                </c:pt>
                <c:pt idx="5">
                  <c:v>-1.3389465804999978</c:v>
                </c:pt>
                <c:pt idx="6">
                  <c:v>3.0728374200130306E-4</c:v>
                </c:pt>
                <c:pt idx="7">
                  <c:v>-0.31210716654949933</c:v>
                </c:pt>
                <c:pt idx="8">
                  <c:v>0.95807798756000062</c:v>
                </c:pt>
                <c:pt idx="9">
                  <c:v>0.5944783948877993</c:v>
                </c:pt>
                <c:pt idx="10">
                  <c:v>0.30863690562090024</c:v>
                </c:pt>
                <c:pt idx="11">
                  <c:v>0.42814590144940107</c:v>
                </c:pt>
                <c:pt idx="12">
                  <c:v>1.0521629274264996</c:v>
                </c:pt>
                <c:pt idx="13">
                  <c:v>0.5501113250554992</c:v>
                </c:pt>
                <c:pt idx="14">
                  <c:v>0.3596254694963989</c:v>
                </c:pt>
                <c:pt idx="15">
                  <c:v>-0.26680052765060164</c:v>
                </c:pt>
                <c:pt idx="16">
                  <c:v>0.7098884861869007</c:v>
                </c:pt>
                <c:pt idx="17">
                  <c:v>0.5915662586714</c:v>
                </c:pt>
                <c:pt idx="18">
                  <c:v>-0.7775404471821008</c:v>
                </c:pt>
                <c:pt idx="19">
                  <c:v>-0.56889162352000056</c:v>
                </c:pt>
                <c:pt idx="20">
                  <c:v>-0.86298756252779962</c:v>
                </c:pt>
                <c:pt idx="21">
                  <c:v>-3.1826786933129987</c:v>
                </c:pt>
                <c:pt idx="22">
                  <c:v>-1.4951268594295071</c:v>
                </c:pt>
                <c:pt idx="23">
                  <c:v>-1.5495215129057986</c:v>
                </c:pt>
                <c:pt idx="24">
                  <c:v>-1.5895367811931036</c:v>
                </c:pt>
                <c:pt idx="25">
                  <c:v>2.7169285281228999</c:v>
                </c:pt>
                <c:pt idx="26">
                  <c:v>1.7632854739205996</c:v>
                </c:pt>
                <c:pt idx="27">
                  <c:v>2.0934710358268047</c:v>
                </c:pt>
                <c:pt idx="28">
                  <c:v>2.4156122741333577</c:v>
                </c:pt>
                <c:pt idx="29">
                  <c:v>1.559342152977379</c:v>
                </c:pt>
              </c:numCache>
            </c:numRef>
          </c:val>
          <c:extLst>
            <c:ext xmlns:c16="http://schemas.microsoft.com/office/drawing/2014/chart" uri="{C3380CC4-5D6E-409C-BE32-E72D297353CC}">
              <c16:uniqueId val="{00000004-560A-4555-990A-73723CFEBBC9}"/>
            </c:ext>
          </c:extLst>
        </c:ser>
        <c:ser>
          <c:idx val="6"/>
          <c:order val="6"/>
          <c:tx>
            <c:strRef>
              <c:f>'Služby-příspěvkyk růstu-4'!$I$33</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růstu-4'!$I$46:$I$76</c:f>
              <c:numCache>
                <c:formatCode>0.0</c:formatCode>
                <c:ptCount val="31"/>
                <c:pt idx="0">
                  <c:v>0.5155037038964998</c:v>
                </c:pt>
                <c:pt idx="1">
                  <c:v>0.62101310773750029</c:v>
                </c:pt>
                <c:pt idx="2">
                  <c:v>0.43506961802500066</c:v>
                </c:pt>
                <c:pt idx="3">
                  <c:v>0.50168865387909989</c:v>
                </c:pt>
                <c:pt idx="4">
                  <c:v>0.4550707532813994</c:v>
                </c:pt>
                <c:pt idx="5">
                  <c:v>0.16398578688570084</c:v>
                </c:pt>
                <c:pt idx="6">
                  <c:v>0.26977885261849965</c:v>
                </c:pt>
                <c:pt idx="7">
                  <c:v>0.51378188366290034</c:v>
                </c:pt>
                <c:pt idx="8">
                  <c:v>1.320133173034</c:v>
                </c:pt>
                <c:pt idx="9">
                  <c:v>1.0879288678140997</c:v>
                </c:pt>
                <c:pt idx="10">
                  <c:v>0.64134107873250035</c:v>
                </c:pt>
                <c:pt idx="11">
                  <c:v>0.30531118010650082</c:v>
                </c:pt>
                <c:pt idx="12">
                  <c:v>0.53332072309840062</c:v>
                </c:pt>
                <c:pt idx="13">
                  <c:v>0.37840292387820096</c:v>
                </c:pt>
                <c:pt idx="14">
                  <c:v>0.43569101400389965</c:v>
                </c:pt>
                <c:pt idx="15">
                  <c:v>-1.3079338160200678E-2</c:v>
                </c:pt>
                <c:pt idx="16">
                  <c:v>0.47288540072630031</c:v>
                </c:pt>
                <c:pt idx="17">
                  <c:v>0.12968213694649988</c:v>
                </c:pt>
                <c:pt idx="18">
                  <c:v>-0.12322397481159982</c:v>
                </c:pt>
                <c:pt idx="19">
                  <c:v>-0.21537552647130034</c:v>
                </c:pt>
                <c:pt idx="20">
                  <c:v>-1.1051686942919998</c:v>
                </c:pt>
                <c:pt idx="21">
                  <c:v>-4.3129281059486004</c:v>
                </c:pt>
                <c:pt idx="22">
                  <c:v>-4.4460675231578985</c:v>
                </c:pt>
                <c:pt idx="23">
                  <c:v>-2.3716048373777987</c:v>
                </c:pt>
                <c:pt idx="24">
                  <c:v>-1.4736020338189999</c:v>
                </c:pt>
                <c:pt idx="25">
                  <c:v>1.7704532307217189</c:v>
                </c:pt>
                <c:pt idx="26">
                  <c:v>1.8501751321200013</c:v>
                </c:pt>
                <c:pt idx="27">
                  <c:v>1.0500907454198474</c:v>
                </c:pt>
                <c:pt idx="28">
                  <c:v>1.6931114455002161</c:v>
                </c:pt>
                <c:pt idx="29">
                  <c:v>2.10365801020086</c:v>
                </c:pt>
              </c:numCache>
            </c:numRef>
          </c:val>
          <c:extLst>
            <c:ext xmlns:c16="http://schemas.microsoft.com/office/drawing/2014/chart" uri="{C3380CC4-5D6E-409C-BE32-E72D297353CC}">
              <c16:uniqueId val="{00000005-560A-4555-990A-73723CFEBBC9}"/>
            </c:ext>
          </c:extLst>
        </c:ser>
        <c:dLbls>
          <c:showLegendKey val="0"/>
          <c:showVal val="0"/>
          <c:showCatName val="0"/>
          <c:showSerName val="0"/>
          <c:showPercent val="0"/>
          <c:showBubbleSize val="0"/>
        </c:dLbls>
        <c:gapWidth val="20"/>
        <c:overlap val="100"/>
        <c:axId val="47188608"/>
        <c:axId val="47198592"/>
      </c:barChart>
      <c:lineChart>
        <c:grouping val="standard"/>
        <c:varyColors val="0"/>
        <c:ser>
          <c:idx val="3"/>
          <c:order val="0"/>
          <c:tx>
            <c:strRef>
              <c:f>'Služby-příspěvkyk růstu-4'!$C$33</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růstu-4'!$C$46:$C$76</c:f>
              <c:numCache>
                <c:formatCode>0.0</c:formatCode>
                <c:ptCount val="31"/>
                <c:pt idx="0">
                  <c:v>3.3387856580999942</c:v>
                </c:pt>
                <c:pt idx="1">
                  <c:v>2.7067375338999984</c:v>
                </c:pt>
                <c:pt idx="2">
                  <c:v>3.2734904207</c:v>
                </c:pt>
                <c:pt idx="3">
                  <c:v>2.2083913160000059</c:v>
                </c:pt>
                <c:pt idx="4">
                  <c:v>1.3295921479000015</c:v>
                </c:pt>
                <c:pt idx="5">
                  <c:v>-0.87633228709999855</c:v>
                </c:pt>
                <c:pt idx="6">
                  <c:v>1.4335470749000061</c:v>
                </c:pt>
                <c:pt idx="7">
                  <c:v>1.6242102724999938</c:v>
                </c:pt>
                <c:pt idx="8">
                  <c:v>5.6462151451000011</c:v>
                </c:pt>
                <c:pt idx="9">
                  <c:v>5.4476828922000093</c:v>
                </c:pt>
                <c:pt idx="10">
                  <c:v>3.4016118395999939</c:v>
                </c:pt>
                <c:pt idx="11">
                  <c:v>2.5063195031000021</c:v>
                </c:pt>
                <c:pt idx="12">
                  <c:v>5.0712886034999975</c:v>
                </c:pt>
                <c:pt idx="13">
                  <c:v>3.4823349595999975</c:v>
                </c:pt>
                <c:pt idx="14">
                  <c:v>3.6926675579999984</c:v>
                </c:pt>
                <c:pt idx="15">
                  <c:v>1.067151455499995</c:v>
                </c:pt>
                <c:pt idx="16">
                  <c:v>3.5777212416000062</c:v>
                </c:pt>
                <c:pt idx="17">
                  <c:v>1.9765133558999959</c:v>
                </c:pt>
                <c:pt idx="18">
                  <c:v>-0.81695782319999966</c:v>
                </c:pt>
                <c:pt idx="19">
                  <c:v>-0.15568719549999357</c:v>
                </c:pt>
                <c:pt idx="20">
                  <c:v>-3.6980250129000041</c:v>
                </c:pt>
                <c:pt idx="21">
                  <c:v>-19.645345248799977</c:v>
                </c:pt>
                <c:pt idx="22">
                  <c:v>-12.600965308100001</c:v>
                </c:pt>
                <c:pt idx="23">
                  <c:v>-10.912584080000009</c:v>
                </c:pt>
                <c:pt idx="24">
                  <c:v>-6.4084553469999959</c:v>
                </c:pt>
                <c:pt idx="25">
                  <c:v>14.780549300900006</c:v>
                </c:pt>
                <c:pt idx="26">
                  <c:v>9.8381160276999964</c:v>
                </c:pt>
                <c:pt idx="27">
                  <c:v>12.662339231000015</c:v>
                </c:pt>
                <c:pt idx="28">
                  <c:v>13.140737031900002</c:v>
                </c:pt>
                <c:pt idx="29">
                  <c:v>12.0633438658</c:v>
                </c:pt>
              </c:numCache>
            </c:numRef>
          </c:val>
          <c:smooth val="0"/>
          <c:extLst>
            <c:ext xmlns:c16="http://schemas.microsoft.com/office/drawing/2014/chart" uri="{C3380CC4-5D6E-409C-BE32-E72D297353CC}">
              <c16:uniqueId val="{00000006-560A-4555-990A-73723CFEBBC9}"/>
            </c:ext>
          </c:extLst>
        </c:ser>
        <c:dLbls>
          <c:showLegendKey val="0"/>
          <c:showVal val="0"/>
          <c:showCatName val="0"/>
          <c:showSerName val="0"/>
          <c:showPercent val="0"/>
          <c:showBubbleSize val="0"/>
        </c:dLbls>
        <c:marker val="1"/>
        <c:smooth val="0"/>
        <c:axId val="47188608"/>
        <c:axId val="47198592"/>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růstu-4'!$J$46:$J$76</c:f>
              <c:numCache>
                <c:formatCode>0.0</c:formatCode>
                <c:ptCount val="31"/>
                <c:pt idx="0">
                  <c:v>29.7</c:v>
                </c:pt>
                <c:pt idx="1">
                  <c:v>28.7</c:v>
                </c:pt>
                <c:pt idx="2">
                  <c:v>31.3</c:v>
                </c:pt>
                <c:pt idx="3">
                  <c:v>32.700000000000003</c:v>
                </c:pt>
                <c:pt idx="4">
                  <c:v>32.300000000000004</c:v>
                </c:pt>
                <c:pt idx="5">
                  <c:v>33</c:v>
                </c:pt>
                <c:pt idx="6">
                  <c:v>33</c:v>
                </c:pt>
                <c:pt idx="7">
                  <c:v>37.700000000000003</c:v>
                </c:pt>
                <c:pt idx="8">
                  <c:v>35.300000000000004</c:v>
                </c:pt>
                <c:pt idx="9">
                  <c:v>37.700000000000003</c:v>
                </c:pt>
                <c:pt idx="10">
                  <c:v>37.300000000000004</c:v>
                </c:pt>
                <c:pt idx="11">
                  <c:v>35.700000000000003</c:v>
                </c:pt>
                <c:pt idx="12">
                  <c:v>38.300000000000004</c:v>
                </c:pt>
                <c:pt idx="13">
                  <c:v>37</c:v>
                </c:pt>
                <c:pt idx="14">
                  <c:v>38.300000000000004</c:v>
                </c:pt>
                <c:pt idx="15">
                  <c:v>40.700000000000003</c:v>
                </c:pt>
                <c:pt idx="16">
                  <c:v>39.300000000000004</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numCache>
            </c:numRef>
          </c:val>
          <c:smooth val="0"/>
          <c:extLst>
            <c:ext xmlns:c16="http://schemas.microsoft.com/office/drawing/2014/chart" uri="{C3380CC4-5D6E-409C-BE32-E72D297353CC}">
              <c16:uniqueId val="{00000007-560A-4555-990A-73723CFEBBC9}"/>
            </c:ext>
          </c:extLst>
        </c:ser>
        <c:ser>
          <c:idx val="8"/>
          <c:order val="8"/>
          <c:tx>
            <c:strRef>
              <c:f>'Služby-příspěvkyk růstu-4'!$K$33</c:f>
              <c:strCache>
                <c:ptCount val="1"/>
                <c:pt idx="0">
                  <c:v>Bariéra růstu: nedostatečná poptávka</c:v>
                </c:pt>
              </c:strCache>
            </c:strRef>
          </c:tx>
          <c:spPr>
            <a:ln w="15875">
              <a:solidFill>
                <a:srgbClr val="984807"/>
              </a:solidFill>
            </a:ln>
          </c:spPr>
          <c:marker>
            <c:symbol val="none"/>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růstu-4'!$K$46:$K$76</c:f>
              <c:numCache>
                <c:formatCode>#\ ##0.0</c:formatCode>
                <c:ptCount val="31"/>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34.800000000000004</c:v>
                </c:pt>
                <c:pt idx="25">
                  <c:v>36.800000000000004</c:v>
                </c:pt>
                <c:pt idx="26">
                  <c:v>28.9</c:v>
                </c:pt>
                <c:pt idx="27">
                  <c:v>26.3</c:v>
                </c:pt>
                <c:pt idx="28">
                  <c:v>31.6</c:v>
                </c:pt>
                <c:pt idx="29">
                  <c:v>15</c:v>
                </c:pt>
                <c:pt idx="30">
                  <c:v>30.2</c:v>
                </c:pt>
              </c:numCache>
            </c:numRef>
          </c:val>
          <c:smooth val="0"/>
          <c:extLst>
            <c:ext xmlns:c16="http://schemas.microsoft.com/office/drawing/2014/chart" uri="{C3380CC4-5D6E-409C-BE32-E72D297353CC}">
              <c16:uniqueId val="{00000008-560A-4555-990A-73723CFEBBC9}"/>
            </c:ext>
          </c:extLst>
        </c:ser>
        <c:ser>
          <c:idx val="9"/>
          <c:order val="9"/>
          <c:tx>
            <c:strRef>
              <c:f>'Služby-příspěvkyk růstu-4'!$L$33</c:f>
              <c:strCache>
                <c:ptCount val="1"/>
                <c:pt idx="0">
                  <c:v>Bariéra růstu: nedostatek pracovníků</c:v>
                </c:pt>
              </c:strCache>
            </c:strRef>
          </c:tx>
          <c:spPr>
            <a:ln w="15875">
              <a:solidFill>
                <a:srgbClr val="984807"/>
              </a:solidFill>
              <a:prstDash val="sysDash"/>
            </a:ln>
          </c:spPr>
          <c:marker>
            <c:symbol val="none"/>
          </c:marker>
          <c:cat>
            <c:multiLvlStrRef>
              <c:f>'Služby-příspěvkyk růstu-4'!$A$46:$B$76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růstu-4'!$L$46:$L$76</c:f>
              <c:numCache>
                <c:formatCode>#\ ##0.0</c:formatCode>
                <c:ptCount val="31"/>
                <c:pt idx="0">
                  <c:v>1.3</c:v>
                </c:pt>
                <c:pt idx="1">
                  <c:v>6</c:v>
                </c:pt>
                <c:pt idx="2">
                  <c:v>7.2</c:v>
                </c:pt>
                <c:pt idx="3">
                  <c:v>5.6</c:v>
                </c:pt>
                <c:pt idx="4">
                  <c:v>7.5</c:v>
                </c:pt>
                <c:pt idx="5">
                  <c:v>4.5</c:v>
                </c:pt>
                <c:pt idx="6">
                  <c:v>7.9</c:v>
                </c:pt>
                <c:pt idx="7">
                  <c:v>9.5</c:v>
                </c:pt>
                <c:pt idx="8">
                  <c:v>9.4</c:v>
                </c:pt>
                <c:pt idx="9">
                  <c:v>9.7000000000000011</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numCache>
            </c:numRef>
          </c:val>
          <c:smooth val="0"/>
          <c:extLst>
            <c:ext xmlns:c16="http://schemas.microsoft.com/office/drawing/2014/chart" uri="{C3380CC4-5D6E-409C-BE32-E72D297353CC}">
              <c16:uniqueId val="{00000009-560A-4555-990A-73723CFEBBC9}"/>
            </c:ext>
          </c:extLst>
        </c:ser>
        <c:dLbls>
          <c:showLegendKey val="0"/>
          <c:showVal val="0"/>
          <c:showCatName val="0"/>
          <c:showSerName val="0"/>
          <c:showPercent val="0"/>
          <c:showBubbleSize val="0"/>
        </c:dLbls>
        <c:marker val="1"/>
        <c:smooth val="0"/>
        <c:axId val="47206784"/>
        <c:axId val="47200512"/>
      </c:lineChart>
      <c:catAx>
        <c:axId val="47188608"/>
        <c:scaling>
          <c:orientation val="minMax"/>
        </c:scaling>
        <c:delete val="0"/>
        <c:axPos val="b"/>
        <c:numFmt formatCode="General" sourceLinked="0"/>
        <c:majorTickMark val="out"/>
        <c:minorTickMark val="none"/>
        <c:tickLblPos val="low"/>
        <c:txPr>
          <a:bodyPr/>
          <a:lstStyle/>
          <a:p>
            <a:pPr>
              <a:defRPr sz="800"/>
            </a:pPr>
            <a:endParaRPr lang="cs-CZ"/>
          </a:p>
        </c:txPr>
        <c:crossAx val="47198592"/>
        <c:crosses val="autoZero"/>
        <c:auto val="1"/>
        <c:lblAlgn val="ctr"/>
        <c:lblOffset val="0"/>
        <c:noMultiLvlLbl val="0"/>
      </c:catAx>
      <c:valAx>
        <c:axId val="47198592"/>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Příspěvky ke změně tržeb ve službách</a:t>
                </a:r>
              </a:p>
            </c:rich>
          </c:tx>
          <c:overlay val="0"/>
        </c:title>
        <c:numFmt formatCode="0" sourceLinked="0"/>
        <c:majorTickMark val="out"/>
        <c:minorTickMark val="none"/>
        <c:tickLblPos val="nextTo"/>
        <c:txPr>
          <a:bodyPr/>
          <a:lstStyle/>
          <a:p>
            <a:pPr>
              <a:defRPr sz="800"/>
            </a:pPr>
            <a:endParaRPr lang="cs-CZ"/>
          </a:p>
        </c:txPr>
        <c:crossAx val="47188608"/>
        <c:crosses val="autoZero"/>
        <c:crossBetween val="between"/>
        <c:majorUnit val="3"/>
      </c:valAx>
      <c:valAx>
        <c:axId val="47200512"/>
        <c:scaling>
          <c:orientation val="minMax"/>
          <c:max val="100"/>
          <c:min val="-20"/>
        </c:scaling>
        <c:delete val="0"/>
        <c:axPos val="r"/>
        <c:title>
          <c:tx>
            <c:rich>
              <a:bodyPr/>
              <a:lstStyle/>
              <a:p>
                <a:pPr>
                  <a:defRPr sz="700" b="0" i="1"/>
                </a:pPr>
                <a:r>
                  <a:rPr lang="cs-CZ" sz="700" b="0" i="1"/>
                  <a:t>Saldo důvěry, bariéry růstu</a:t>
                </a:r>
              </a:p>
            </c:rich>
          </c:tx>
          <c:layout>
            <c:manualLayout>
              <c:xMode val="edge"/>
              <c:yMode val="edge"/>
              <c:x val="0.97060568193100361"/>
              <c:y val="0.20830133644625801"/>
            </c:manualLayout>
          </c:layout>
          <c:overlay val="0"/>
        </c:title>
        <c:numFmt formatCode="0" sourceLinked="0"/>
        <c:majorTickMark val="out"/>
        <c:minorTickMark val="none"/>
        <c:tickLblPos val="nextTo"/>
        <c:txPr>
          <a:bodyPr/>
          <a:lstStyle/>
          <a:p>
            <a:pPr>
              <a:defRPr sz="800"/>
            </a:pPr>
            <a:endParaRPr lang="cs-CZ"/>
          </a:p>
        </c:txPr>
        <c:crossAx val="47206784"/>
        <c:crosses val="max"/>
        <c:crossBetween val="between"/>
        <c:majorUnit val="10"/>
      </c:valAx>
      <c:catAx>
        <c:axId val="47206784"/>
        <c:scaling>
          <c:orientation val="minMax"/>
        </c:scaling>
        <c:delete val="1"/>
        <c:axPos val="b"/>
        <c:numFmt formatCode="General" sourceLinked="1"/>
        <c:majorTickMark val="out"/>
        <c:minorTickMark val="none"/>
        <c:tickLblPos val="none"/>
        <c:crossAx val="47200512"/>
        <c:crosses val="autoZero"/>
        <c:auto val="1"/>
        <c:lblAlgn val="ctr"/>
        <c:lblOffset val="100"/>
        <c:noMultiLvlLbl val="0"/>
      </c:catAx>
      <c:spPr>
        <a:ln>
          <a:solidFill>
            <a:schemeClr val="tx1"/>
          </a:solidFill>
        </a:ln>
      </c:spPr>
    </c:plotArea>
    <c:legend>
      <c:legendPos val="r"/>
      <c:layout>
        <c:manualLayout>
          <c:xMode val="edge"/>
          <c:yMode val="edge"/>
          <c:x val="6.4054887921738827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157E-2"/>
          <c:y val="1.5803328678987472E-2"/>
          <c:w val="0.85082101335719484"/>
          <c:h val="0.74167997750452386"/>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5a'!$E$67:$E$97</c:f>
              <c:numCache>
                <c:formatCode>#\ ##0.0</c:formatCode>
                <c:ptCount val="31"/>
                <c:pt idx="0">
                  <c:v>1.7954327905527792</c:v>
                </c:pt>
                <c:pt idx="1">
                  <c:v>1.1808546019719857</c:v>
                </c:pt>
                <c:pt idx="2">
                  <c:v>1.8980626361950701</c:v>
                </c:pt>
                <c:pt idx="3">
                  <c:v>1.45126392469867</c:v>
                </c:pt>
                <c:pt idx="4">
                  <c:v>1.7579883859404457</c:v>
                </c:pt>
                <c:pt idx="5">
                  <c:v>1.4597731408051358</c:v>
                </c:pt>
                <c:pt idx="6">
                  <c:v>0.98265625342777962</c:v>
                </c:pt>
                <c:pt idx="7">
                  <c:v>-8.365647432698825E-2</c:v>
                </c:pt>
                <c:pt idx="8">
                  <c:v>0.720624419136359</c:v>
                </c:pt>
                <c:pt idx="9">
                  <c:v>1.331624668965157</c:v>
                </c:pt>
                <c:pt idx="10">
                  <c:v>1.1433353439469673</c:v>
                </c:pt>
                <c:pt idx="11">
                  <c:v>0.89977373461403165</c:v>
                </c:pt>
                <c:pt idx="12">
                  <c:v>1.5115509798562705</c:v>
                </c:pt>
                <c:pt idx="13">
                  <c:v>0.54228532610479852</c:v>
                </c:pt>
                <c:pt idx="14">
                  <c:v>0.98484864986744458</c:v>
                </c:pt>
                <c:pt idx="15">
                  <c:v>0.4620082520491276</c:v>
                </c:pt>
                <c:pt idx="16">
                  <c:v>0.67301078642127365</c:v>
                </c:pt>
                <c:pt idx="17">
                  <c:v>1.1975749453062758</c:v>
                </c:pt>
                <c:pt idx="18">
                  <c:v>0.63652202044636153</c:v>
                </c:pt>
                <c:pt idx="19">
                  <c:v>0.62331153305833653</c:v>
                </c:pt>
                <c:pt idx="20">
                  <c:v>0.96372431228354627</c:v>
                </c:pt>
                <c:pt idx="21">
                  <c:v>-1.1892501717063577</c:v>
                </c:pt>
                <c:pt idx="22">
                  <c:v>-0.41434295303021224</c:v>
                </c:pt>
                <c:pt idx="23">
                  <c:v>0.25231590998316555</c:v>
                </c:pt>
                <c:pt idx="24">
                  <c:v>-0.46029259261204281</c:v>
                </c:pt>
                <c:pt idx="25">
                  <c:v>0.43815667431682592</c:v>
                </c:pt>
                <c:pt idx="26">
                  <c:v>-0.29857278249894165</c:v>
                </c:pt>
                <c:pt idx="27">
                  <c:v>-0.18898421559510281</c:v>
                </c:pt>
                <c:pt idx="28">
                  <c:v>-0.51702427462715062</c:v>
                </c:pt>
                <c:pt idx="29">
                  <c:v>-1.4589117343544658</c:v>
                </c:pt>
              </c:numCache>
            </c:numRef>
          </c:val>
          <c:extLst>
            <c:ext xmlns:c16="http://schemas.microsoft.com/office/drawing/2014/chart" uri="{C3380CC4-5D6E-409C-BE32-E72D297353CC}">
              <c16:uniqueId val="{00000000-960C-450C-88BE-BCDC90719F14}"/>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5a'!$F$67:$F$97</c:f>
              <c:numCache>
                <c:formatCode>#\ ##0.0</c:formatCode>
                <c:ptCount val="31"/>
                <c:pt idx="0">
                  <c:v>3.5348176440085197</c:v>
                </c:pt>
                <c:pt idx="1">
                  <c:v>4.0403927957890939</c:v>
                </c:pt>
                <c:pt idx="2">
                  <c:v>2.8491583908636717</c:v>
                </c:pt>
                <c:pt idx="3">
                  <c:v>3.7649034189564605</c:v>
                </c:pt>
                <c:pt idx="4">
                  <c:v>2.9159862756005075</c:v>
                </c:pt>
                <c:pt idx="5">
                  <c:v>2.6692840179601989</c:v>
                </c:pt>
                <c:pt idx="6">
                  <c:v>3.3517584585588138</c:v>
                </c:pt>
                <c:pt idx="7">
                  <c:v>3.6403131961317072</c:v>
                </c:pt>
                <c:pt idx="8">
                  <c:v>4.2755993300345985</c:v>
                </c:pt>
                <c:pt idx="9">
                  <c:v>4.6181656067499901</c:v>
                </c:pt>
                <c:pt idx="10">
                  <c:v>4.1974804776960726</c:v>
                </c:pt>
                <c:pt idx="11">
                  <c:v>4.8260964478037458</c:v>
                </c:pt>
                <c:pt idx="12">
                  <c:v>4.1871547212749967</c:v>
                </c:pt>
                <c:pt idx="13">
                  <c:v>3.5059801620938762</c:v>
                </c:pt>
                <c:pt idx="14">
                  <c:v>2.8195561267975404</c:v>
                </c:pt>
                <c:pt idx="15">
                  <c:v>3.9521324238296986</c:v>
                </c:pt>
                <c:pt idx="16">
                  <c:v>4.4423302425101463</c:v>
                </c:pt>
                <c:pt idx="17">
                  <c:v>3.3722130230140639</c:v>
                </c:pt>
                <c:pt idx="18">
                  <c:v>3.7144530757170515</c:v>
                </c:pt>
                <c:pt idx="19">
                  <c:v>3.4471029244431404</c:v>
                </c:pt>
                <c:pt idx="20">
                  <c:v>4.0056202134999983E-2</c:v>
                </c:pt>
                <c:pt idx="21">
                  <c:v>0.37119654560078302</c:v>
                </c:pt>
                <c:pt idx="22">
                  <c:v>1.7563841704982461</c:v>
                </c:pt>
                <c:pt idx="23">
                  <c:v>-1.0635995156211038</c:v>
                </c:pt>
                <c:pt idx="24">
                  <c:v>1.0548245743778293</c:v>
                </c:pt>
                <c:pt idx="25">
                  <c:v>5.7172797743838553</c:v>
                </c:pt>
                <c:pt idx="26">
                  <c:v>3.8090295600505146</c:v>
                </c:pt>
                <c:pt idx="27">
                  <c:v>5.2450081246721822</c:v>
                </c:pt>
                <c:pt idx="28">
                  <c:v>5.4624396036347154</c:v>
                </c:pt>
                <c:pt idx="29">
                  <c:v>-1.0831146813176318</c:v>
                </c:pt>
              </c:numCache>
            </c:numRef>
          </c:val>
          <c:extLst>
            <c:ext xmlns:c16="http://schemas.microsoft.com/office/drawing/2014/chart" uri="{C3380CC4-5D6E-409C-BE32-E72D297353CC}">
              <c16:uniqueId val="{00000001-960C-450C-88BE-BCDC90719F14}"/>
            </c:ext>
          </c:extLst>
        </c:ser>
        <c:ser>
          <c:idx val="4"/>
          <c:order val="3"/>
          <c:tx>
            <c:strRef>
              <c:f>'výkonnost odvětví 5a'!$G$66</c:f>
              <c:strCache>
                <c:ptCount val="1"/>
                <c:pt idx="0">
                  <c:v>Maloobchodní prodej PHM (příspěvek)</c:v>
                </c:pt>
              </c:strCache>
            </c:strRef>
          </c:tx>
          <c:spPr>
            <a:solidFill>
              <a:srgbClr val="FFFF00"/>
            </a:solidFill>
            <a:ln w="15875">
              <a:noFill/>
            </a:ln>
          </c:spPr>
          <c:invertIfNegative val="0"/>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5a'!$G$67:$G$97</c:f>
              <c:numCache>
                <c:formatCode>#\ ##0.0</c:formatCode>
                <c:ptCount val="31"/>
                <c:pt idx="0">
                  <c:v>0.75373799686577803</c:v>
                </c:pt>
                <c:pt idx="1">
                  <c:v>0.58821059894444716</c:v>
                </c:pt>
                <c:pt idx="2">
                  <c:v>0.79387895299348599</c:v>
                </c:pt>
                <c:pt idx="3">
                  <c:v>0.93965372963044991</c:v>
                </c:pt>
                <c:pt idx="4">
                  <c:v>0.67343888771248062</c:v>
                </c:pt>
                <c:pt idx="5">
                  <c:v>0.70462601902805855</c:v>
                </c:pt>
                <c:pt idx="6">
                  <c:v>0.62808372581017569</c:v>
                </c:pt>
                <c:pt idx="7">
                  <c:v>0.62560948668929295</c:v>
                </c:pt>
                <c:pt idx="8">
                  <c:v>0.53739987511050835</c:v>
                </c:pt>
                <c:pt idx="9">
                  <c:v>0.77313131276884284</c:v>
                </c:pt>
                <c:pt idx="10">
                  <c:v>0.84835732550660681</c:v>
                </c:pt>
                <c:pt idx="11">
                  <c:v>0.68455496519870951</c:v>
                </c:pt>
                <c:pt idx="12">
                  <c:v>0.67556451520783967</c:v>
                </c:pt>
                <c:pt idx="13">
                  <c:v>0.59080209268699768</c:v>
                </c:pt>
                <c:pt idx="14">
                  <c:v>0.37399638976140837</c:v>
                </c:pt>
                <c:pt idx="15">
                  <c:v>0.42680859486818884</c:v>
                </c:pt>
                <c:pt idx="16">
                  <c:v>0.55628133832534898</c:v>
                </c:pt>
                <c:pt idx="17">
                  <c:v>0.26290255761000081</c:v>
                </c:pt>
                <c:pt idx="18">
                  <c:v>0.19439517076933396</c:v>
                </c:pt>
                <c:pt idx="19">
                  <c:v>5.585559339908714E-2</c:v>
                </c:pt>
                <c:pt idx="20">
                  <c:v>-0.76759105911378112</c:v>
                </c:pt>
                <c:pt idx="21">
                  <c:v>-2.0525636658068467</c:v>
                </c:pt>
                <c:pt idx="22">
                  <c:v>-4.8190566908999963E-2</c:v>
                </c:pt>
                <c:pt idx="23">
                  <c:v>-1.2030433768320992</c:v>
                </c:pt>
                <c:pt idx="24">
                  <c:v>-0.80173294024312114</c:v>
                </c:pt>
                <c:pt idx="25">
                  <c:v>1.0365202081257159</c:v>
                </c:pt>
                <c:pt idx="26">
                  <c:v>0.38874836650999944</c:v>
                </c:pt>
                <c:pt idx="27">
                  <c:v>0.99453062190738439</c:v>
                </c:pt>
                <c:pt idx="28">
                  <c:v>1.425250887104091</c:v>
                </c:pt>
                <c:pt idx="29">
                  <c:v>-0.42459225653701277</c:v>
                </c:pt>
              </c:numCache>
            </c:numRef>
          </c:val>
          <c:extLst>
            <c:ext xmlns:c16="http://schemas.microsoft.com/office/drawing/2014/chart" uri="{C3380CC4-5D6E-409C-BE32-E72D297353CC}">
              <c16:uniqueId val="{00000002-960C-450C-88BE-BCDC90719F14}"/>
            </c:ext>
          </c:extLst>
        </c:ser>
        <c:dLbls>
          <c:showLegendKey val="0"/>
          <c:showVal val="0"/>
          <c:showCatName val="0"/>
          <c:showSerName val="0"/>
          <c:showPercent val="0"/>
          <c:showBubbleSize val="0"/>
        </c:dLbls>
        <c:gapWidth val="31"/>
        <c:overlap val="100"/>
        <c:axId val="47248896"/>
        <c:axId val="4725081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5a'!$D$67:$D$97</c:f>
              <c:numCache>
                <c:formatCode>#\ ##0.0</c:formatCode>
                <c:ptCount val="31"/>
                <c:pt idx="0">
                  <c:v>5.9629437730999904</c:v>
                </c:pt>
                <c:pt idx="1">
                  <c:v>5.5942049783999943</c:v>
                </c:pt>
                <c:pt idx="2">
                  <c:v>5.5012484798999992</c:v>
                </c:pt>
                <c:pt idx="3">
                  <c:v>6.0276233044999969</c:v>
                </c:pt>
                <c:pt idx="4">
                  <c:v>5.2867215003000076</c:v>
                </c:pt>
                <c:pt idx="5">
                  <c:v>4.7635779651999961</c:v>
                </c:pt>
                <c:pt idx="6">
                  <c:v>4.7795776032999981</c:v>
                </c:pt>
                <c:pt idx="7">
                  <c:v>3.896489932299998</c:v>
                </c:pt>
                <c:pt idx="8">
                  <c:v>5.2310555753000054</c:v>
                </c:pt>
                <c:pt idx="9">
                  <c:v>6.4725508764000033</c:v>
                </c:pt>
                <c:pt idx="10">
                  <c:v>5.9734111239999974</c:v>
                </c:pt>
                <c:pt idx="11">
                  <c:v>6.1682850682000021</c:v>
                </c:pt>
                <c:pt idx="12">
                  <c:v>6.34130978810001</c:v>
                </c:pt>
                <c:pt idx="13">
                  <c:v>4.6706928929999973</c:v>
                </c:pt>
                <c:pt idx="14">
                  <c:v>4.2011641704000064</c:v>
                </c:pt>
                <c:pt idx="15">
                  <c:v>4.8161828602999961</c:v>
                </c:pt>
                <c:pt idx="16">
                  <c:v>5.6584053785000021</c:v>
                </c:pt>
                <c:pt idx="17">
                  <c:v>4.8300705570999956</c:v>
                </c:pt>
                <c:pt idx="18">
                  <c:v>4.5406581594999977</c:v>
                </c:pt>
                <c:pt idx="19">
                  <c:v>4.196988668399988</c:v>
                </c:pt>
                <c:pt idx="20">
                  <c:v>0.12908217749999551</c:v>
                </c:pt>
                <c:pt idx="21">
                  <c:v>-2.8976566630000042</c:v>
                </c:pt>
                <c:pt idx="22">
                  <c:v>1.3167079119999983</c:v>
                </c:pt>
                <c:pt idx="23">
                  <c:v>-2.0203436960999994</c:v>
                </c:pt>
                <c:pt idx="24">
                  <c:v>-0.23059238930000003</c:v>
                </c:pt>
                <c:pt idx="25">
                  <c:v>7.2760971838000126</c:v>
                </c:pt>
                <c:pt idx="26">
                  <c:v>3.9161442860000037</c:v>
                </c:pt>
                <c:pt idx="27">
                  <c:v>6.1636950233999945</c:v>
                </c:pt>
                <c:pt idx="28">
                  <c:v>6.3636928732999927</c:v>
                </c:pt>
                <c:pt idx="29">
                  <c:v>-2.9653516660000041</c:v>
                </c:pt>
              </c:numCache>
            </c:numRef>
          </c:val>
          <c:smooth val="0"/>
          <c:extLst>
            <c:ext xmlns:c16="http://schemas.microsoft.com/office/drawing/2014/chart" uri="{C3380CC4-5D6E-409C-BE32-E72D297353CC}">
              <c16:uniqueId val="{00000003-960C-450C-88BE-BCDC90719F14}"/>
            </c:ext>
          </c:extLst>
        </c:ser>
        <c:dLbls>
          <c:showLegendKey val="0"/>
          <c:showVal val="0"/>
          <c:showCatName val="0"/>
          <c:showSerName val="0"/>
          <c:showPercent val="0"/>
          <c:showBubbleSize val="0"/>
        </c:dLbls>
        <c:marker val="1"/>
        <c:smooth val="0"/>
        <c:axId val="47248896"/>
        <c:axId val="47250816"/>
      </c:lineChart>
      <c:lineChart>
        <c:grouping val="standard"/>
        <c:varyColors val="0"/>
        <c:ser>
          <c:idx val="5"/>
          <c:order val="4"/>
          <c:tx>
            <c:strRef>
              <c:f>'výkonnost odvětví 5a'!$H$66</c:f>
              <c:strCache>
                <c:ptCount val="1"/>
                <c:pt idx="0">
                  <c:v>Maloobchod, bez motor. segm. (2015=100)</c:v>
                </c:pt>
              </c:strCache>
            </c:strRef>
          </c:tx>
          <c:spPr>
            <a:ln w="15875">
              <a:solidFill>
                <a:schemeClr val="tx1">
                  <a:lumMod val="95000"/>
                  <a:lumOff val="5000"/>
                </a:schemeClr>
              </a:solidFill>
              <a:prstDash val="solid"/>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5a'!$H$67:$H$97</c:f>
              <c:numCache>
                <c:formatCode>#\ ##0.0</c:formatCode>
                <c:ptCount val="31"/>
                <c:pt idx="0">
                  <c:v>98.182102983299941</c:v>
                </c:pt>
                <c:pt idx="1">
                  <c:v>99.137603143299998</c:v>
                </c:pt>
                <c:pt idx="2">
                  <c:v>100.1790029199999</c:v>
                </c:pt>
                <c:pt idx="3">
                  <c:v>102.50129096670005</c:v>
                </c:pt>
                <c:pt idx="4">
                  <c:v>103.13571403329991</c:v>
                </c:pt>
                <c:pt idx="5">
                  <c:v>103.9351803667</c:v>
                </c:pt>
                <c:pt idx="6">
                  <c:v>105.1890713999999</c:v>
                </c:pt>
                <c:pt idx="7">
                  <c:v>106.6400906667</c:v>
                </c:pt>
                <c:pt idx="8">
                  <c:v>108.29302090000006</c:v>
                </c:pt>
                <c:pt idx="9">
                  <c:v>110.5603038667</c:v>
                </c:pt>
                <c:pt idx="10">
                  <c:v>111.7185620333</c:v>
                </c:pt>
                <c:pt idx="11">
                  <c:v>113.10479650000001</c:v>
                </c:pt>
                <c:pt idx="12">
                  <c:v>114.79604070000002</c:v>
                </c:pt>
                <c:pt idx="13">
                  <c:v>115.93791803329998</c:v>
                </c:pt>
                <c:pt idx="14">
                  <c:v>116.7740435</c:v>
                </c:pt>
                <c:pt idx="15">
                  <c:v>118.44014076670005</c:v>
                </c:pt>
                <c:pt idx="16">
                  <c:v>120.8630658333</c:v>
                </c:pt>
                <c:pt idx="17">
                  <c:v>121.79026133000002</c:v>
                </c:pt>
                <c:pt idx="18">
                  <c:v>122.36688694670001</c:v>
                </c:pt>
                <c:pt idx="19">
                  <c:v>123.29103059329998</c:v>
                </c:pt>
                <c:pt idx="20">
                  <c:v>120.69862361000006</c:v>
                </c:pt>
                <c:pt idx="21">
                  <c:v>118.79257757000001</c:v>
                </c:pt>
                <c:pt idx="22">
                  <c:v>124.45742695000006</c:v>
                </c:pt>
                <c:pt idx="23">
                  <c:v>120.35418919999998</c:v>
                </c:pt>
                <c:pt idx="24">
                  <c:v>118.8138527566999</c:v>
                </c:pt>
                <c:pt idx="25" formatCode="##0.0">
                  <c:v>127.71864805669991</c:v>
                </c:pt>
                <c:pt idx="26" formatCode="##0.0">
                  <c:v>130.09234629670004</c:v>
                </c:pt>
                <c:pt idx="27" formatCode="##0.0">
                  <c:v>127.80719966670006</c:v>
                </c:pt>
                <c:pt idx="28" formatCode="##0.0">
                  <c:v>126.94350932670002</c:v>
                </c:pt>
                <c:pt idx="29" formatCode="##0.0">
                  <c:v>124.04372931</c:v>
                </c:pt>
              </c:numCache>
            </c:numRef>
          </c:val>
          <c:smooth val="0"/>
          <c:extLst>
            <c:ext xmlns:c16="http://schemas.microsoft.com/office/drawing/2014/chart" uri="{C3380CC4-5D6E-409C-BE32-E72D297353CC}">
              <c16:uniqueId val="{00000004-960C-450C-88BE-BCDC90719F14}"/>
            </c:ext>
          </c:extLst>
        </c:ser>
        <c:ser>
          <c:idx val="2"/>
          <c:order val="5"/>
          <c:tx>
            <c:strRef>
              <c:f>'výkonnost odvětví 5a'!$I$66</c:f>
              <c:strCache>
                <c:ptCount val="1"/>
                <c:pt idx="0">
                  <c:v>Maloobchodní prodej PHM (2015=100)</c:v>
                </c:pt>
              </c:strCache>
            </c:strRef>
          </c:tx>
          <c:spPr>
            <a:ln w="15875">
              <a:solidFill>
                <a:schemeClr val="bg2">
                  <a:lumMod val="50000"/>
                </a:schemeClr>
              </a:solidFill>
              <a:prstDash val="sysDash"/>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5a'!$I$67:$I$97</c:f>
              <c:numCache>
                <c:formatCode>#\ ##0.0</c:formatCode>
                <c:ptCount val="31"/>
                <c:pt idx="0">
                  <c:v>99.513139306699941</c:v>
                </c:pt>
                <c:pt idx="1">
                  <c:v>98.324028400000003</c:v>
                </c:pt>
                <c:pt idx="2">
                  <c:v>99.345746029999958</c:v>
                </c:pt>
                <c:pt idx="3">
                  <c:v>102.8170862667</c:v>
                </c:pt>
                <c:pt idx="4">
                  <c:v>104.40801960000007</c:v>
                </c:pt>
                <c:pt idx="5">
                  <c:v>103.76125656670006</c:v>
                </c:pt>
                <c:pt idx="6">
                  <c:v>103.8894186</c:v>
                </c:pt>
                <c:pt idx="7">
                  <c:v>108.06889986669992</c:v>
                </c:pt>
                <c:pt idx="8">
                  <c:v>108.91256546670006</c:v>
                </c:pt>
                <c:pt idx="9">
                  <c:v>110.0281492667</c:v>
                </c:pt>
                <c:pt idx="10">
                  <c:v>110.24816973330007</c:v>
                </c:pt>
                <c:pt idx="11">
                  <c:v>114.9077460667</c:v>
                </c:pt>
                <c:pt idx="12">
                  <c:v>115.15612109999998</c:v>
                </c:pt>
                <c:pt idx="13">
                  <c:v>115.32029416669992</c:v>
                </c:pt>
                <c:pt idx="14">
                  <c:v>113.3013183332999</c:v>
                </c:pt>
                <c:pt idx="15">
                  <c:v>118.5502795</c:v>
                </c:pt>
                <c:pt idx="16">
                  <c:v>120.6878189266999</c:v>
                </c:pt>
                <c:pt idx="17">
                  <c:v>117.99417203</c:v>
                </c:pt>
                <c:pt idx="18">
                  <c:v>114.4818178733</c:v>
                </c:pt>
                <c:pt idx="19">
                  <c:v>119.40882049330006</c:v>
                </c:pt>
                <c:pt idx="20">
                  <c:v>113.0155670067</c:v>
                </c:pt>
                <c:pt idx="21">
                  <c:v>97.645228860000003</c:v>
                </c:pt>
                <c:pt idx="22">
                  <c:v>113.35676879330001</c:v>
                </c:pt>
                <c:pt idx="23">
                  <c:v>105.9359390533</c:v>
                </c:pt>
                <c:pt idx="24">
                  <c:v>104.16116508670002</c:v>
                </c:pt>
                <c:pt idx="25" formatCode="##0.0">
                  <c:v>110.8272422733</c:v>
                </c:pt>
                <c:pt idx="26" formatCode="##0.0">
                  <c:v>117.33346090000002</c:v>
                </c:pt>
                <c:pt idx="27" formatCode="##0.0">
                  <c:v>114.97726953330007</c:v>
                </c:pt>
                <c:pt idx="28" formatCode="##0.0">
                  <c:v>116.0249363966999</c:v>
                </c:pt>
                <c:pt idx="29" formatCode="##0.0">
                  <c:v>106.64345805329992</c:v>
                </c:pt>
              </c:numCache>
            </c:numRef>
          </c:val>
          <c:smooth val="0"/>
          <c:extLst>
            <c:ext xmlns:c16="http://schemas.microsoft.com/office/drawing/2014/chart" uri="{C3380CC4-5D6E-409C-BE32-E72D297353CC}">
              <c16:uniqueId val="{00000005-960C-450C-88BE-BCDC90719F14}"/>
            </c:ext>
          </c:extLst>
        </c:ser>
        <c:ser>
          <c:idx val="6"/>
          <c:order val="6"/>
          <c:tx>
            <c:strRef>
              <c:f>'výkonnost odvětví 5a'!$J$66</c:f>
              <c:strCache>
                <c:ptCount val="1"/>
                <c:pt idx="0">
                  <c:v>Obchod a opravy motor. vozidel (2015=100)</c:v>
                </c:pt>
              </c:strCache>
            </c:strRef>
          </c:tx>
          <c:spPr>
            <a:ln w="15875">
              <a:solidFill>
                <a:srgbClr val="984807"/>
              </a:solidFill>
              <a:prstDash val="solid"/>
            </a:ln>
          </c:spPr>
          <c:marker>
            <c:symbol val="none"/>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5a'!$J$67:$J$97</c:f>
              <c:numCache>
                <c:formatCode>#\ ##0.0</c:formatCode>
                <c:ptCount val="31"/>
                <c:pt idx="0">
                  <c:v>95.697367796699893</c:v>
                </c:pt>
                <c:pt idx="1">
                  <c:v>98.531720309999983</c:v>
                </c:pt>
                <c:pt idx="2">
                  <c:v>101.3260702666999</c:v>
                </c:pt>
                <c:pt idx="3">
                  <c:v>104.44484163330006</c:v>
                </c:pt>
                <c:pt idx="4">
                  <c:v>105.1626406667</c:v>
                </c:pt>
                <c:pt idx="5">
                  <c:v>106.8068112</c:v>
                </c:pt>
                <c:pt idx="6">
                  <c:v>108.91789203330002</c:v>
                </c:pt>
                <c:pt idx="7">
                  <c:v>109.8263580332999</c:v>
                </c:pt>
                <c:pt idx="8">
                  <c:v>111.08373136669985</c:v>
                </c:pt>
                <c:pt idx="9">
                  <c:v>111.3580627666999</c:v>
                </c:pt>
                <c:pt idx="10">
                  <c:v>109.57350293330001</c:v>
                </c:pt>
                <c:pt idx="11">
                  <c:v>112.03916993330006</c:v>
                </c:pt>
                <c:pt idx="12">
                  <c:v>110.5959055333</c:v>
                </c:pt>
                <c:pt idx="13">
                  <c:v>109.9283487666999</c:v>
                </c:pt>
                <c:pt idx="14">
                  <c:v>108.91076590000006</c:v>
                </c:pt>
                <c:pt idx="15">
                  <c:v>106.41696350000009</c:v>
                </c:pt>
                <c:pt idx="16">
                  <c:v>109.54775435329998</c:v>
                </c:pt>
                <c:pt idx="17">
                  <c:v>110.8073262667</c:v>
                </c:pt>
                <c:pt idx="18">
                  <c:v>109.5778583732999</c:v>
                </c:pt>
                <c:pt idx="19">
                  <c:v>110.06150255670001</c:v>
                </c:pt>
                <c:pt idx="20">
                  <c:v>96.457729993300077</c:v>
                </c:pt>
                <c:pt idx="21">
                  <c:v>77.460500006700002</c:v>
                </c:pt>
                <c:pt idx="22">
                  <c:v>100.49268490000006</c:v>
                </c:pt>
                <c:pt idx="23">
                  <c:v>102.1841167867</c:v>
                </c:pt>
                <c:pt idx="24">
                  <c:v>102.6393273066999</c:v>
                </c:pt>
                <c:pt idx="25" formatCode="##0.0">
                  <c:v>105.26432622999999</c:v>
                </c:pt>
                <c:pt idx="26" formatCode="##0.0">
                  <c:v>99.32742159</c:v>
                </c:pt>
                <c:pt idx="27" formatCode="##0.0">
                  <c:v>97.737005273299999</c:v>
                </c:pt>
                <c:pt idx="28" formatCode="##0.0">
                  <c:v>98.482088253299906</c:v>
                </c:pt>
                <c:pt idx="29" formatCode="##0.0">
                  <c:v>97.105387289999896</c:v>
                </c:pt>
              </c:numCache>
            </c:numRef>
          </c:val>
          <c:smooth val="0"/>
          <c:extLst>
            <c:ext xmlns:c16="http://schemas.microsoft.com/office/drawing/2014/chart" uri="{C3380CC4-5D6E-409C-BE32-E72D297353CC}">
              <c16:uniqueId val="{00000006-960C-450C-88BE-BCDC90719F14}"/>
            </c:ext>
          </c:extLst>
        </c:ser>
        <c:ser>
          <c:idx val="7"/>
          <c:order val="7"/>
          <c:tx>
            <c:strRef>
              <c:f>'výkonnost odvětví 5a'!$K$66</c:f>
              <c:strCache>
                <c:ptCount val="1"/>
                <c:pt idx="0">
                  <c:v>Saldo indikátoru důvěry spotřebitelů</c:v>
                </c:pt>
              </c:strCache>
            </c:strRef>
          </c:tx>
          <c:spPr>
            <a:ln w="3175">
              <a:solidFill>
                <a:schemeClr val="bg1">
                  <a:lumMod val="50000"/>
                </a:schemeClr>
              </a:solidFill>
              <a:prstDash val="sysDash"/>
            </a:ln>
          </c:spPr>
          <c:marker>
            <c:symbol val="diamond"/>
            <c:size val="5"/>
            <c:spPr>
              <a:solidFill>
                <a:srgbClr val="FFFF00"/>
              </a:solidFill>
              <a:ln w="3175">
                <a:solidFill>
                  <a:schemeClr val="bg1">
                    <a:lumMod val="50000"/>
                  </a:schemeClr>
                </a:solidFill>
              </a:ln>
            </c:spPr>
          </c:marker>
          <c:cat>
            <c:multiLvlStrRef>
              <c:f>'výkonnost odvětví 5a'!$B$67:$C$97</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5a'!$K$67:$K$97</c:f>
              <c:numCache>
                <c:formatCode>0.0</c:formatCode>
                <c:ptCount val="31"/>
                <c:pt idx="0">
                  <c:v>-1.75</c:v>
                </c:pt>
                <c:pt idx="1">
                  <c:v>0.25</c:v>
                </c:pt>
                <c:pt idx="2">
                  <c:v>-3.75</c:v>
                </c:pt>
                <c:pt idx="3">
                  <c:v>-0.25</c:v>
                </c:pt>
                <c:pt idx="4">
                  <c:v>-1.5</c:v>
                </c:pt>
                <c:pt idx="5">
                  <c:v>0</c:v>
                </c:pt>
                <c:pt idx="6">
                  <c:v>-2.25</c:v>
                </c:pt>
                <c:pt idx="7">
                  <c:v>0.75000000000000044</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numCache>
            </c:numRef>
          </c:val>
          <c:smooth val="0"/>
          <c:extLst>
            <c:ext xmlns:c16="http://schemas.microsoft.com/office/drawing/2014/chart" uri="{C3380CC4-5D6E-409C-BE32-E72D297353CC}">
              <c16:uniqueId val="{00000007-960C-450C-88BE-BCDC90719F14}"/>
            </c:ext>
          </c:extLst>
        </c:ser>
        <c:dLbls>
          <c:showLegendKey val="0"/>
          <c:showVal val="0"/>
          <c:showCatName val="0"/>
          <c:showSerName val="0"/>
          <c:showPercent val="0"/>
          <c:showBubbleSize val="0"/>
        </c:dLbls>
        <c:marker val="1"/>
        <c:smooth val="0"/>
        <c:axId val="58207616"/>
        <c:axId val="58205696"/>
      </c:lineChart>
      <c:catAx>
        <c:axId val="47248896"/>
        <c:scaling>
          <c:orientation val="minMax"/>
        </c:scaling>
        <c:delete val="0"/>
        <c:axPos val="b"/>
        <c:numFmt formatCode="General" sourceLinked="0"/>
        <c:majorTickMark val="out"/>
        <c:minorTickMark val="none"/>
        <c:tickLblPos val="low"/>
        <c:txPr>
          <a:bodyPr/>
          <a:lstStyle/>
          <a:p>
            <a:pPr>
              <a:defRPr sz="800"/>
            </a:pPr>
            <a:endParaRPr lang="cs-CZ"/>
          </a:p>
        </c:txPr>
        <c:crossAx val="47250816"/>
        <c:crosses val="autoZero"/>
        <c:auto val="1"/>
        <c:lblAlgn val="ctr"/>
        <c:lblOffset val="0"/>
        <c:noMultiLvlLbl val="0"/>
      </c:catAx>
      <c:valAx>
        <c:axId val="47250816"/>
        <c:scaling>
          <c:orientation val="minMax"/>
          <c:max val="18"/>
          <c:min val="-9"/>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(příspěvěk k meziroč. růstu)</a:t>
                </a:r>
                <a:endParaRPr lang="cs-CZ" sz="750" b="0" i="1"/>
              </a:p>
            </c:rich>
          </c:tx>
          <c:layout>
            <c:manualLayout>
              <c:xMode val="edge"/>
              <c:yMode val="edge"/>
              <c:x val="2.6087065478328985E-3"/>
              <c:y val="0.18186950815930628"/>
            </c:manualLayout>
          </c:layout>
          <c:overlay val="0"/>
        </c:title>
        <c:numFmt formatCode="0" sourceLinked="0"/>
        <c:majorTickMark val="out"/>
        <c:minorTickMark val="none"/>
        <c:tickLblPos val="nextTo"/>
        <c:txPr>
          <a:bodyPr/>
          <a:lstStyle/>
          <a:p>
            <a:pPr>
              <a:defRPr sz="800"/>
            </a:pPr>
            <a:endParaRPr lang="cs-CZ"/>
          </a:p>
        </c:txPr>
        <c:crossAx val="47248896"/>
        <c:crosses val="autoZero"/>
        <c:crossBetween val="between"/>
        <c:majorUnit val="3"/>
      </c:valAx>
      <c:valAx>
        <c:axId val="58205696"/>
        <c:scaling>
          <c:orientation val="minMax"/>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důvěra domácností (p. b.)</a:t>
                </a:r>
                <a:endParaRPr lang="cs-CZ" sz="750" b="0" i="1">
                  <a:latin typeface="Arial" panose="020B0604020202020204" pitchFamily="34" charset="0"/>
                  <a:cs typeface="Arial" panose="020B0604020202020204" pitchFamily="34" charset="0"/>
                </a:endParaRPr>
              </a:p>
            </c:rich>
          </c:tx>
          <c:overlay val="0"/>
        </c:title>
        <c:numFmt formatCode="#,##0" sourceLinked="0"/>
        <c:majorTickMark val="out"/>
        <c:minorTickMark val="none"/>
        <c:tickLblPos val="nextTo"/>
        <c:txPr>
          <a:bodyPr/>
          <a:lstStyle/>
          <a:p>
            <a:pPr>
              <a:defRPr sz="800"/>
            </a:pPr>
            <a:endParaRPr lang="cs-CZ"/>
          </a:p>
        </c:txPr>
        <c:crossAx val="58207616"/>
        <c:crosses val="max"/>
        <c:crossBetween val="between"/>
      </c:valAx>
      <c:catAx>
        <c:axId val="58207616"/>
        <c:scaling>
          <c:orientation val="minMax"/>
        </c:scaling>
        <c:delete val="1"/>
        <c:axPos val="b"/>
        <c:numFmt formatCode="General" sourceLinked="1"/>
        <c:majorTickMark val="out"/>
        <c:minorTickMark val="none"/>
        <c:tickLblPos val="none"/>
        <c:crossAx val="58205696"/>
        <c:crosses val="autoZero"/>
        <c:auto val="1"/>
        <c:lblAlgn val="ctr"/>
        <c:lblOffset val="100"/>
        <c:noMultiLvlLbl val="0"/>
      </c:catAx>
      <c:spPr>
        <a:ln>
          <a:solidFill>
            <a:schemeClr val="tx1"/>
          </a:solidFill>
        </a:ln>
      </c:spPr>
    </c:plotArea>
    <c:legend>
      <c:legendPos val="r"/>
      <c:layout>
        <c:manualLayout>
          <c:xMode val="edge"/>
          <c:yMode val="edge"/>
          <c:x val="1.8412489557226401E-2"/>
          <c:y val="0.84434351832471777"/>
          <c:w val="0.968374269005848"/>
          <c:h val="0.1520333163105759"/>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5E74-04CC-4F8C-830F-0492B7B08745}">
  <ds:schemaRefs>
    <ds:schemaRef ds:uri="http://schemas.openxmlformats.org/officeDocument/2006/bibliography"/>
  </ds:schemaRefs>
</ds:datastoreItem>
</file>

<file path=customXml/itemProps2.xml><?xml version="1.0" encoding="utf-8"?>
<ds:datastoreItem xmlns:ds="http://schemas.openxmlformats.org/officeDocument/2006/customXml" ds:itemID="{2B876E94-7B19-4D96-99B6-B4ECA49A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35</TotalTime>
  <Pages>8</Pages>
  <Words>3565</Words>
  <Characters>21035</Characters>
  <Application>Microsoft Office Word</Application>
  <DocSecurity>0</DocSecurity>
  <Lines>175</Lines>
  <Paragraphs>49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24551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6</cp:revision>
  <cp:lastPrinted>2019-04-08T10:52:00Z</cp:lastPrinted>
  <dcterms:created xsi:type="dcterms:W3CDTF">2022-09-15T09:40:00Z</dcterms:created>
  <dcterms:modified xsi:type="dcterms:W3CDTF">2022-09-15T10:11:00Z</dcterms:modified>
</cp:coreProperties>
</file>