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1A" w:rsidRDefault="00935BD4" w:rsidP="000D3058">
      <w:pPr>
        <w:pStyle w:val="Nadpis11"/>
      </w:pPr>
      <w:bookmarkStart w:id="0" w:name="_Toc525046025"/>
      <w:r w:rsidRPr="009110F7">
        <w:t>6</w:t>
      </w:r>
      <w:r w:rsidR="000D3058" w:rsidRPr="009110F7">
        <w:t xml:space="preserve">. </w:t>
      </w:r>
      <w:r w:rsidRPr="009110F7">
        <w:t>Trh práce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78"/>
        <w:gridCol w:w="247"/>
        <w:gridCol w:w="7514"/>
      </w:tblGrid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Neuspokojená robustní poptávka po pracovní síle je v posledních čtvrtletích hlavním zdrojem sílícího napětí na pracovním trhu.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Navzdory tenčícím se rezervám potenciální pracovní síly tempo růstu zaměstnanosti nepolevovalo.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B4411A" w:rsidRDefault="00B4411A" w:rsidP="00B4411A">
            <w:pPr>
              <w:spacing w:after="220"/>
              <w:rPr>
                <w:spacing w:val="-4"/>
              </w:rPr>
            </w:pPr>
            <w:r w:rsidRPr="00B4411A">
              <w:rPr>
                <w:spacing w:val="-4"/>
              </w:rPr>
              <w:t>Trh práce v Česku se v první půli roku 2018 vyznačoval sílícím napětím pramenícím z neuspokojené robustní poptávky po pracovní síle. Podíl podniků pociťujících současný nedostatek volné pracovní síly jako bariéru svého růstu se ve všech hlavních odvětvích ekonomiky zvyšoval. V případě průmyslu šlo o hlavní růstovou bariéru (již od poloviny loňského roku), v jiných odvětvích (např. stavebnictví) se situace na počátku letního období tomuto stavu již silně přibližovala. Navzdory tenčícím se rezervám disponibilní pracovní síly (primárně z řad nezaměstnaných) tempo růstu zaměstnanosti stále neochabovalo. Počet pracovníků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1"/>
            </w:r>
            <w:r w:rsidRPr="00B4411A">
              <w:rPr>
                <w:spacing w:val="-4"/>
              </w:rPr>
              <w:t xml:space="preserve"> se ve 2. čtvrtletí </w:t>
            </w:r>
            <w:proofErr w:type="spellStart"/>
            <w:r w:rsidRPr="00B4411A">
              <w:rPr>
                <w:spacing w:val="-4"/>
              </w:rPr>
              <w:t>mezikvartálně</w:t>
            </w:r>
            <w:proofErr w:type="spellEnd"/>
            <w:r w:rsidRPr="00B4411A">
              <w:rPr>
                <w:spacing w:val="-4"/>
              </w:rPr>
              <w:t xml:space="preserve"> zvýšil o 0,6</w:t>
            </w:r>
            <w:r w:rsidR="007B0E83">
              <w:rPr>
                <w:spacing w:val="-4"/>
              </w:rPr>
              <w:t> %</w:t>
            </w:r>
            <w:r w:rsidRPr="00B4411A">
              <w:rPr>
                <w:spacing w:val="-4"/>
              </w:rPr>
              <w:t xml:space="preserve"> a</w:t>
            </w:r>
            <w:r w:rsidR="00247E60">
              <w:rPr>
                <w:spacing w:val="-4"/>
              </w:rPr>
              <w:t> </w:t>
            </w:r>
            <w:r w:rsidRPr="00B4411A">
              <w:rPr>
                <w:spacing w:val="-4"/>
              </w:rPr>
              <w:t xml:space="preserve">zopakoval tak výsledek první čtvrtiny roku. Růstové tempo bylo v obou případech mírně vyšší než v EU. V meziročním srovnání se růst zaměstnanosti přiblížil 2% hranici. Fyzický </w:t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>počet pracovníků v tuzemsku ustanovil nové maximum v historii ČR (5,44 mil.). Stály za tím z velké míry osoby na sklonku produktivního věku, na jejichž pracovní aktivitu působila prodlužující se věková hranice odchodu do důchodu. Pracovní trh také pomocí zvýšené nabídky kratších úvazků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2"/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 xml:space="preserve"> více absorboval </w:t>
            </w:r>
            <w:r>
              <w:rPr>
                <w:rFonts w:cs="Arial"/>
                <w:color w:val="0D0D0D" w:themeColor="text1" w:themeTint="F2"/>
                <w:spacing w:val="-4"/>
              </w:rPr>
              <w:t>i</w:t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 xml:space="preserve"> početně silné ročníky ekonomicky neaktivních osob. Stále významně působil i pokles nezaměstnanosti, byť role tohoto faktoru slábla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>. Naopak dále rostl význam pracovní síly ze zahraničí</w:t>
            </w:r>
            <w:r w:rsidRPr="00B4411A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 w:rsidRPr="00B4411A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B4411A" w:rsidTr="00B4411A">
        <w:trPr>
          <w:trHeight w:val="170"/>
        </w:trPr>
        <w:tc>
          <w:tcPr>
            <w:tcW w:w="1878" w:type="dxa"/>
            <w:vMerge w:val="restart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vMerge w:val="restart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F704D2" w:rsidRDefault="00B4411A" w:rsidP="00B4411A">
            <w:pPr>
              <w:spacing w:after="0" w:line="240" w:lineRule="auto"/>
              <w:jc w:val="left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Cs w:val="20"/>
              </w:rPr>
              <w:t>14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lang w:eastAsia="en-US"/>
              </w:rPr>
              <w:t>Počet</w:t>
            </w:r>
            <w:proofErr w:type="gramEnd"/>
            <w:r>
              <w:rPr>
                <w:b/>
                <w:lang w:eastAsia="en-US"/>
              </w:rPr>
              <w:t xml:space="preserve"> zaměstnaných ve vybraných odvětvích </w:t>
            </w:r>
            <w:r w:rsidRPr="00886A8F">
              <w:rPr>
                <w:b/>
                <w:lang w:eastAsia="en-US"/>
              </w:rPr>
              <w:t xml:space="preserve">a </w:t>
            </w:r>
            <w:r>
              <w:rPr>
                <w:b/>
                <w:lang w:eastAsia="en-US"/>
              </w:rPr>
              <w:t xml:space="preserve">celkový počet </w:t>
            </w:r>
            <w:r w:rsidRPr="00886A8F">
              <w:rPr>
                <w:b/>
                <w:lang w:eastAsia="en-US"/>
              </w:rPr>
              <w:t xml:space="preserve">zaměstnanců </w:t>
            </w:r>
            <w:r>
              <w:rPr>
                <w:spacing w:val="-4"/>
                <w:lang w:eastAsia="en-US"/>
              </w:rPr>
              <w:t>(</w:t>
            </w:r>
            <w:r w:rsidRPr="00582DA0">
              <w:rPr>
                <w:spacing w:val="-4"/>
                <w:lang w:eastAsia="en-US"/>
              </w:rPr>
              <w:t>dle</w:t>
            </w:r>
            <w:r>
              <w:rPr>
                <w:spacing w:val="-4"/>
                <w:lang w:eastAsia="en-US"/>
              </w:rPr>
              <w:t xml:space="preserve"> národních účtů</w:t>
            </w:r>
            <w:r w:rsidRPr="00582DA0">
              <w:rPr>
                <w:spacing w:val="-4"/>
                <w:lang w:eastAsia="en-US"/>
              </w:rPr>
              <w:t xml:space="preserve">, </w:t>
            </w:r>
            <w:r>
              <w:rPr>
                <w:spacing w:val="-4"/>
                <w:lang w:eastAsia="en-US"/>
              </w:rPr>
              <w:t xml:space="preserve">sezónně očištěno, 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 w:rsidR="007B0E83"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</w:tc>
      </w:tr>
      <w:tr w:rsidR="00B4411A" w:rsidTr="00B4411A">
        <w:trPr>
          <w:trHeight w:val="170"/>
        </w:trPr>
        <w:tc>
          <w:tcPr>
            <w:tcW w:w="1878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0"/>
            </w:pPr>
            <w:r w:rsidRPr="00D03FF0">
              <w:rPr>
                <w:noProof/>
              </w:rPr>
              <w:drawing>
                <wp:inline distT="0" distB="0" distL="0" distR="0">
                  <wp:extent cx="4733925" cy="3409950"/>
                  <wp:effectExtent l="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B4411A" w:rsidTr="00B4411A">
        <w:trPr>
          <w:trHeight w:val="170"/>
        </w:trPr>
        <w:tc>
          <w:tcPr>
            <w:tcW w:w="1878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vMerge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7B3A78" w:rsidRDefault="00B4411A" w:rsidP="00B4411A">
            <w:pPr>
              <w:spacing w:after="220" w:line="240" w:lineRule="auto"/>
              <w:jc w:val="left"/>
              <w:rPr>
                <w:rFonts w:cs="Arial"/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 (národní účty)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Míra zaměstnanosti ve věku 15 až 64 let se již blížila hranici 75</w:t>
            </w:r>
            <w:r w:rsidR="007B0E83">
              <w:t> %</w:t>
            </w:r>
            <w:r>
              <w:t xml:space="preserve">. 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D95458" w:rsidRDefault="00B4411A" w:rsidP="00B4411A">
            <w:pPr>
              <w:spacing w:after="220"/>
              <w:rPr>
                <w:spacing w:val="-3"/>
              </w:rPr>
            </w:pPr>
            <w:r>
              <w:rPr>
                <w:spacing w:val="-3"/>
              </w:rPr>
              <w:t>Vzhledem k tomu,</w:t>
            </w:r>
            <w:r w:rsidRPr="00D95458">
              <w:rPr>
                <w:spacing w:val="-3"/>
              </w:rPr>
              <w:t xml:space="preserve"> ž</w:t>
            </w:r>
            <w:r>
              <w:rPr>
                <w:spacing w:val="-3"/>
              </w:rPr>
              <w:t xml:space="preserve">e četnost obyvatel ve věku 15 až </w:t>
            </w:r>
            <w:r w:rsidRPr="00D95458">
              <w:rPr>
                <w:spacing w:val="-3"/>
              </w:rPr>
              <w:t>64 let po roce 2008 v </w:t>
            </w:r>
            <w:r>
              <w:rPr>
                <w:spacing w:val="-3"/>
              </w:rPr>
              <w:t>ČR</w:t>
            </w:r>
            <w:r w:rsidRPr="00D95458">
              <w:rPr>
                <w:spacing w:val="-3"/>
              </w:rPr>
              <w:t xml:space="preserve"> setrvale klesá, byl rostoucí počet zaměstnaných tažen efektem sílící participace. Míra zaměstnanosti 15</w:t>
            </w:r>
            <w:r w:rsidR="00247E60">
              <w:rPr>
                <w:spacing w:val="-3"/>
              </w:rPr>
              <w:t>-</w:t>
            </w:r>
            <w:r w:rsidRPr="00D95458">
              <w:rPr>
                <w:spacing w:val="-3"/>
              </w:rPr>
              <w:t xml:space="preserve"> až 64letých se meziročně zvýšila o 1,4</w:t>
            </w:r>
            <w:r w:rsidR="00EA4402">
              <w:rPr>
                <w:spacing w:val="-3"/>
              </w:rPr>
              <w:t> </w:t>
            </w:r>
            <w:proofErr w:type="gramStart"/>
            <w:r w:rsidR="00EA4402">
              <w:rPr>
                <w:spacing w:val="-3"/>
              </w:rPr>
              <w:t>p. b.</w:t>
            </w:r>
            <w:r w:rsidRPr="00D95458">
              <w:rPr>
                <w:spacing w:val="-3"/>
              </w:rPr>
              <w:t xml:space="preserve"> a ve</w:t>
            </w:r>
            <w:proofErr w:type="gramEnd"/>
            <w:r w:rsidRPr="00D95458">
              <w:rPr>
                <w:spacing w:val="-3"/>
              </w:rPr>
              <w:t xml:space="preserve"> 2. čtvrtletí již </w:t>
            </w:r>
            <w:r w:rsidRPr="00D95458">
              <w:rPr>
                <w:spacing w:val="-3"/>
              </w:rPr>
              <w:lastRenderedPageBreak/>
              <w:t>atakovala 75% hranici, čímž přiblížila ČR k první pětici zemí EU s nejvyšší zaměstnaností.</w:t>
            </w:r>
            <w:r>
              <w:rPr>
                <w:spacing w:val="-3"/>
              </w:rPr>
              <w:t xml:space="preserve"> Pokračoval svižnější</w:t>
            </w:r>
            <w:r w:rsidRPr="00D95458">
              <w:rPr>
                <w:spacing w:val="-3"/>
              </w:rPr>
              <w:t xml:space="preserve"> růs</w:t>
            </w:r>
            <w:r>
              <w:rPr>
                <w:spacing w:val="-3"/>
              </w:rPr>
              <w:t>t</w:t>
            </w:r>
            <w:r w:rsidRPr="00D95458">
              <w:rPr>
                <w:spacing w:val="-3"/>
              </w:rPr>
              <w:t xml:space="preserve"> zaměstnanosti žen než mužů</w:t>
            </w:r>
            <w:r>
              <w:rPr>
                <w:rStyle w:val="Znakapoznpodarou"/>
                <w:spacing w:val="-3"/>
              </w:rPr>
              <w:footnoteReference w:id="5"/>
            </w:r>
            <w:r w:rsidRPr="00D95458">
              <w:rPr>
                <w:spacing w:val="-3"/>
              </w:rPr>
              <w:t xml:space="preserve">. </w:t>
            </w:r>
            <w:r>
              <w:rPr>
                <w:spacing w:val="-3"/>
              </w:rPr>
              <w:t xml:space="preserve">Míra </w:t>
            </w:r>
            <w:r w:rsidRPr="004C2C3B">
              <w:rPr>
                <w:spacing w:val="-4"/>
              </w:rPr>
              <w:t>zaměstnanosti meziročně vzrostla ve všech věkových skupinách (vyjma osob do 25 let).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lastRenderedPageBreak/>
              <w:t>K meziročnímu růstu zaměstnanosti letos přispěli téměř výhradně jen zaměstnanci. Ze všech odvětví zajistily více než dvě třetiny přírůstku služby.</w:t>
            </w:r>
          </w:p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Na rozdíl od první poloviny loňského roku byl letošní růst zaměstnanosti v ekonomice tažen téměř výhradně lidmi v zaměstnaneckém postavení. Počet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stagnoval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>
              <w:rPr>
                <w:rFonts w:cs="Arial"/>
                <w:color w:val="0D0D0D" w:themeColor="text1" w:themeTint="F2"/>
                <w:spacing w:val="-4"/>
              </w:rPr>
              <w:t>, neboť jejich mírný růst ve zpracovatelském průmyslu, nemovitostech či uskupení obchod,</w:t>
            </w:r>
            <w:r>
              <w:t xml:space="preserve"> </w:t>
            </w:r>
            <w:r w:rsidRPr="006266B2">
              <w:rPr>
                <w:rFonts w:cs="Arial"/>
                <w:color w:val="0D0D0D" w:themeColor="text1" w:themeTint="F2"/>
                <w:spacing w:val="-4"/>
              </w:rPr>
              <w:t>doprava, ubytování a pohostinství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byl kompenzován meziročním poklesem v ostatních odvětvích služeb, ve stavebnictví a v primárním sektoru. Z pohledu odvětví přispěl v 1. pololetí 2018 k růstu celkové zaměstnanosti (+96 tis. meziročně) nejvíce terciární sektor (+67 tis.), tedy obdobně jako v předchozích dvou letech. Stavy pracovníků rozšiřovala všechna odvětví služeb, jen v peněžnictví a pojišťovnictví stagnovaly (zaměstnanost v tomto odvětví mírně oscilovala již šest let v řadě). Nejvíce se dařilo informačním a komunikačním činnostem (+4,4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a činnostem</w:t>
            </w:r>
            <w:r w:rsidRPr="003A106B">
              <w:rPr>
                <w:rFonts w:cs="Arial"/>
                <w:color w:val="0D0D0D" w:themeColor="text1" w:themeTint="F2"/>
                <w:spacing w:val="-4"/>
              </w:rPr>
              <w:t xml:space="preserve"> v oblasti nemovitostí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(+3,3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Pracovníky nabíralo i váhově významné odvětví obchod,</w:t>
            </w:r>
            <w:r>
              <w:t xml:space="preserve"> </w:t>
            </w:r>
            <w:r w:rsidRPr="006266B2">
              <w:rPr>
                <w:rFonts w:cs="Arial"/>
                <w:color w:val="0D0D0D" w:themeColor="text1" w:themeTint="F2"/>
                <w:spacing w:val="-4"/>
              </w:rPr>
              <w:t>doprava, ubytování a pohostinství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(+1,7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K růstu sektoru služeb nejvíce př</w:t>
            </w:r>
            <w:r w:rsidR="00F03F8D">
              <w:rPr>
                <w:rFonts w:cs="Arial"/>
                <w:color w:val="0D0D0D" w:themeColor="text1" w:themeTint="F2"/>
                <w:spacing w:val="-4"/>
              </w:rPr>
              <w:t xml:space="preserve">ispěla odvětví s dominancí </w:t>
            </w:r>
            <w:r w:rsidR="00F03F8D" w:rsidRPr="00F03F8D">
              <w:rPr>
                <w:spacing w:val="-2"/>
              </w:rPr>
              <w:t>veřejných institucí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(+2,6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), v nichž síli</w:t>
            </w:r>
            <w:r w:rsidR="00F03F8D">
              <w:rPr>
                <w:rFonts w:cs="Arial"/>
                <w:color w:val="0D0D0D" w:themeColor="text1" w:themeTint="F2"/>
                <w:spacing w:val="-4"/>
              </w:rPr>
              <w:t>la zaměstnanost ve vzdělávání i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 oblastech souvisejících s bezpečností státu. 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 xml:space="preserve">Navzdory obtížím při </w:t>
            </w:r>
            <w:r w:rsidR="00472AF6">
              <w:t xml:space="preserve">náboru </w:t>
            </w:r>
            <w:r>
              <w:t>pracovníků zaměstnanost ve zpracovatelském průmyslu rostla. Míst nadále ubývalo ve stavebnictví i těžebním průmyslu.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Mimo oblast služeb přetrvávala silná poptávka po lidských zdrojích i ve zpracovatelském průmyslu. Navzdory potížím s obsazováním pracovních pozic zde zaměstnanost vzrostla o 2,3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Redukce zaměstnanosti v nezpracovatelských oborech průmyslu se letos zastavila. Přispělo k tomu zmírnění úbytku míst v těžbě a dobývání při současném zrychlení růstu zaměstnanosti v energetice i v oblasti vodního hospodářství a nakládání s odpady. Naopak v odvětví zemědělství, lesnictví a rybářství, podobně jako ve stavebnictví, pracovníků mírně ubylo. Při minimálním pohybu v zaměstnaneckém segmentu o tom v obou případech rozhodl meziročně nižší počet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</w:p>
        </w:tc>
      </w:tr>
      <w:tr w:rsidR="00B4411A" w:rsidRPr="00A85DE1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25211" w:rsidRDefault="00B4411A" w:rsidP="00B4411A">
            <w:pPr>
              <w:pStyle w:val="Textpoznpodarou"/>
              <w:rPr>
                <w:spacing w:val="-2"/>
              </w:rPr>
            </w:pPr>
            <w:r w:rsidRPr="00425211">
              <w:rPr>
                <w:b/>
                <w:spacing w:val="-2"/>
              </w:rPr>
              <w:t xml:space="preserve">Graf č. </w:t>
            </w:r>
            <w:proofErr w:type="gramStart"/>
            <w:r w:rsidRPr="00425211">
              <w:rPr>
                <w:b/>
                <w:spacing w:val="-2"/>
              </w:rPr>
              <w:t xml:space="preserve">15  </w:t>
            </w:r>
            <w:r w:rsidRPr="00425211">
              <w:rPr>
                <w:rFonts w:cs="Arial"/>
                <w:b/>
                <w:bCs/>
                <w:spacing w:val="-2"/>
              </w:rPr>
              <w:t>Obecná</w:t>
            </w:r>
            <w:proofErr w:type="gramEnd"/>
            <w:r w:rsidRPr="00425211">
              <w:rPr>
                <w:rFonts w:cs="Arial"/>
                <w:b/>
                <w:bCs/>
                <w:spacing w:val="-2"/>
              </w:rPr>
              <w:t xml:space="preserve"> míra nezaměstnanosti mužů a žen</w:t>
            </w:r>
            <w:r>
              <w:rPr>
                <w:rFonts w:cs="Arial"/>
                <w:b/>
                <w:bCs/>
                <w:spacing w:val="-2"/>
              </w:rPr>
              <w:t xml:space="preserve">, podíl </w:t>
            </w:r>
            <w:proofErr w:type="spellStart"/>
            <w:r>
              <w:rPr>
                <w:rFonts w:cs="Arial"/>
                <w:b/>
                <w:bCs/>
                <w:spacing w:val="-2"/>
              </w:rPr>
              <w:t>vybr</w:t>
            </w:r>
            <w:proofErr w:type="spellEnd"/>
            <w:r>
              <w:rPr>
                <w:rFonts w:cs="Arial"/>
                <w:b/>
                <w:bCs/>
                <w:spacing w:val="-2"/>
              </w:rPr>
              <w:t>.</w:t>
            </w:r>
            <w:r w:rsidRPr="00425211">
              <w:rPr>
                <w:rFonts w:cs="Arial"/>
                <w:b/>
                <w:bCs/>
                <w:spacing w:val="-2"/>
              </w:rPr>
              <w:t xml:space="preserve"> skupin osob na </w:t>
            </w:r>
            <w:r>
              <w:rPr>
                <w:rFonts w:cs="Arial"/>
                <w:b/>
                <w:bCs/>
                <w:spacing w:val="-2"/>
              </w:rPr>
              <w:t>všech</w:t>
            </w:r>
            <w:r w:rsidRPr="00425211">
              <w:rPr>
                <w:rFonts w:cs="Arial"/>
                <w:b/>
                <w:bCs/>
                <w:spacing w:val="-2"/>
              </w:rPr>
              <w:t xml:space="preserve"> nezaměstnaných </w:t>
            </w:r>
            <w:r w:rsidRPr="00425211">
              <w:rPr>
                <w:rFonts w:cs="Arial"/>
                <w:bCs/>
                <w:spacing w:val="-2"/>
              </w:rPr>
              <w:t>(v</w:t>
            </w:r>
            <w:r w:rsidR="007B0E83">
              <w:rPr>
                <w:rFonts w:cs="Arial"/>
                <w:bCs/>
                <w:spacing w:val="-2"/>
              </w:rPr>
              <w:t> %</w:t>
            </w:r>
            <w:r w:rsidRPr="00425211">
              <w:rPr>
                <w:rFonts w:cs="Arial"/>
                <w:bCs/>
                <w:spacing w:val="-2"/>
              </w:rPr>
              <w:t xml:space="preserve">) </w:t>
            </w:r>
            <w:r w:rsidRPr="00425211">
              <w:rPr>
                <w:rFonts w:cs="Arial"/>
                <w:b/>
                <w:bCs/>
                <w:spacing w:val="-2"/>
              </w:rPr>
              <w:t xml:space="preserve">a ekonomicky neaktivní chtějící pracovat </w:t>
            </w:r>
            <w:r w:rsidRPr="00425211">
              <w:rPr>
                <w:rFonts w:cs="Arial"/>
                <w:bCs/>
                <w:spacing w:val="-2"/>
              </w:rPr>
              <w:t>(v tis.)</w:t>
            </w:r>
            <w:r>
              <w:rPr>
                <w:rFonts w:cs="Arial"/>
                <w:bCs/>
                <w:spacing w:val="-2"/>
              </w:rPr>
              <w:t>*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970E6F" w:rsidRDefault="00ED0EF0" w:rsidP="00B4411A">
            <w:pPr>
              <w:spacing w:after="0" w:line="240" w:lineRule="auto"/>
              <w:rPr>
                <w:spacing w:val="-2"/>
                <w:szCs w:val="20"/>
              </w:rPr>
            </w:pPr>
            <w:r w:rsidRPr="00ED0EF0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49800" cy="3257550"/>
                  <wp:effectExtent l="19050" t="0" r="0" b="0"/>
                  <wp:docPr id="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FF12EF" w:rsidRDefault="00B4411A" w:rsidP="00B4411A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Poznámka: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všechny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údaje týkající se nezaměstnanosti jsou sezónně očištěny.</w:t>
            </w:r>
          </w:p>
          <w:p w:rsidR="00B4411A" w:rsidRPr="00343AC1" w:rsidRDefault="00B4411A" w:rsidP="00B4411A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*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Jde o osoby, které nepracují, aktivně práci nehledají (a nesplňují tak podmínky ILO pro nezaměstnané),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ale přitom uvádějí, že by chtěly pracovat.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                                                         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Zdroj: ČSÚ (VŠPS</w:t>
            </w:r>
            <w:r w:rsidR="00472AF6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– 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>výběrové šetření pracovních sil)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lastRenderedPageBreak/>
              <w:t>Obecná míra nezaměstnanosti se v průběhu první poloviny roku snižovala jen nepatrně. Nadále však ubývalo dlouhodobě nezaměstnaných.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Počet ekonomicky neaktivních chtějících pracovat dosáhl minima za dobu sledování.</w:t>
            </w:r>
          </w:p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621FE" w:rsidRDefault="00B4411A" w:rsidP="00B62316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Data z VŠPS naznačují, že obecná míra nezaměstnanosti (nejnižší v historii samostatné ČR) se v 1. polovině roku 2018 pohybovala již blízko svého dna. Dle sezónně očištěných údajů se počet nezaměstnaných mezi 1. a 2. čtvrtletím snížil jen o 3 tis (obdobného výsledku bylo dosaženo i v prvních třech měsících roku). V červnu bylo bez práce 2,9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ekonomicky aktivních žen, resp. 2,0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mužů ve věku 15 až 64 let. Meziročně se míra nezaměstnanosti snižovala u žen dvakrát vyšším tempem než u mužů (u nichž je potenciál další redukce nezaměstnanosti patrně již výrazně omezený). Nižší počet nezaměstnaných byl ve 2. čtvrtletí z drtivé většiny výsledkem menší četnosti osob, jež byly bez práce déle než rok (</w:t>
            </w:r>
            <w:r w:rsidR="00644137">
              <w:rPr>
                <w:rFonts w:cs="Arial"/>
                <w:color w:val="0D0D0D" w:themeColor="text1" w:themeTint="F2"/>
                <w:spacing w:val="-4"/>
              </w:rPr>
              <w:t xml:space="preserve">ta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se </w:t>
            </w:r>
            <w:r w:rsidR="00644137">
              <w:rPr>
                <w:rFonts w:cs="Arial"/>
                <w:color w:val="0D0D0D" w:themeColor="text1" w:themeTint="F2"/>
                <w:spacing w:val="-4"/>
              </w:rPr>
              <w:t xml:space="preserve">snížila </w:t>
            </w:r>
            <w:r>
              <w:rPr>
                <w:rFonts w:cs="Arial"/>
                <w:color w:val="0D0D0D" w:themeColor="text1" w:themeTint="F2"/>
                <w:spacing w:val="-4"/>
              </w:rPr>
              <w:t>o 24 tis na 36 tis). Jejich podíl na celkovém počtu nezaměstnaných klesl na 30 % (nejníže od roku 2009) a byl bezmála o třetinu slabší než v celé EU. Tento vývoj v ČR ale vede také k tomu, že se mezi dlouhodobě nezaměstnanými stále výrazněji prosazují osoby s minimálními či obsoletními pracovními zkušenostmi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Silnou absorpční schopnost pracovního trhu dokládá i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pokles</w:t>
            </w:r>
            <w:r w:rsidRPr="006E0E03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ekonomicky neaktivních </w:t>
            </w:r>
            <w:r w:rsidRPr="006E0E03">
              <w:rPr>
                <w:rFonts w:cs="Arial"/>
                <w:bCs/>
                <w:color w:val="0D0D0D" w:themeColor="text1" w:themeTint="F2"/>
                <w:szCs w:val="20"/>
              </w:rPr>
              <w:t>osob, které nepracují, aktivně</w:t>
            </w:r>
            <w:r>
              <w:rPr>
                <w:rFonts w:cs="Arial"/>
                <w:bCs/>
                <w:color w:val="0D0D0D" w:themeColor="text1" w:themeTint="F2"/>
                <w:szCs w:val="20"/>
              </w:rPr>
              <w:t xml:space="preserve"> práci nehledají</w:t>
            </w:r>
            <w:r w:rsidRPr="006E0E03">
              <w:rPr>
                <w:rFonts w:cs="Arial"/>
                <w:color w:val="0D0D0D" w:themeColor="text1" w:themeTint="F2"/>
                <w:szCs w:val="20"/>
              </w:rPr>
              <w:t>, ale přitom uvádějí, že by chtěly pracovat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. Ve 2. čtvrtletí jich bylo 108 tis., nejméně v historii sledování. Jen necelá třetina z nich ale byla schopna rychle nastoupit do zaměstnání, často jde přitom o lidi se specifickými nároky na pracovní úvazky. 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Nabídka volných míst prostřednictví</w:t>
            </w:r>
            <w:r w:rsidR="006A6565">
              <w:t>m</w:t>
            </w:r>
            <w:r>
              <w:t xml:space="preserve"> ÚP ustavila z pohledu absolutní výše i dynamiky nové rekordy.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Přibývala hlavně místa s nízkými nároky na kvalifikaci. Disproporce mezi volnými místy a uchazeči o práci se tak prohloubila.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621FE" w:rsidRDefault="00B4411A" w:rsidP="00B62316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V průběhu června překonala nabídka volných pracovních pozic prostřednictvím úřadů práce (ÚP) poprvé v historii jejich fungování 300tis. hranici. Rekordní byl i meziměsíční přírůstek (18,3 tis.), částečně ovlivněný i příznivým počasím. Navzdory sezónním vlivům se nabídka míst meziměsíčně rozšiřuje nepřetržitě od konce roku 2016. Přírůstek volných míst byl však z pohledu kvalifikačních nároků i regionů značně nerovnoměrný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>
              <w:rPr>
                <w:rFonts w:cs="Arial"/>
                <w:color w:val="0D0D0D" w:themeColor="text1" w:themeTint="F2"/>
                <w:spacing w:val="-4"/>
              </w:rPr>
              <w:t>. Prohloubila se tak disproporce mezi skladbou nabízených míst a registrovanými uchazeči o práci. Z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makropohledu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však přetrvával příznivý vývoj, neboť počínaje letošním dubnem celkový počet volných míst již převýšil četnost uchazečů. Obdobná situace panovala na konci června téměř ve dvou třetinách okresů ČR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Největší šanci na nalezení místa měli bez ohledu na kvalifikaci manuální pracovníci (obsluha strojů, řemeslníci a opraváři či pomocní pracovníci), resp. lidé se základním vzděláním a vyučení. Naopak u maturantů a vysokoškoláků registrovaných na ÚP stavy nezaměstnaných nadále počty pro ně nabízených míst převyšovaly. </w:t>
            </w:r>
          </w:p>
        </w:tc>
      </w:tr>
      <w:tr w:rsidR="00B4411A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Česko si nadále udržovalo výsadní pozici mezi státy EU v míře nezaměstnanosti i míře volných pracovních míst.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Nezaměstnanost meziročně klesla ve všech státech Unie, v mnohých z nich však přetrvávají strukturální problémy.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4621FE" w:rsidRDefault="00B4411A" w:rsidP="00B4411A">
            <w:pPr>
              <w:spacing w:after="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Míra volných pracovních míst vzrostla meziročně o polovinu a ve 2. čtvrtletí se rovnala 5,4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>
              <w:rPr>
                <w:rFonts w:cs="Arial"/>
                <w:color w:val="0D0D0D" w:themeColor="text1" w:themeTint="F2"/>
                <w:spacing w:val="-4"/>
              </w:rPr>
              <w:t>. Česko s výrazným odstupem (před Belgií a Německem) vévodilo všem státům EU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rFonts w:cs="Arial"/>
                <w:color w:val="0D0D0D" w:themeColor="text1" w:themeTint="F2"/>
                <w:spacing w:val="-4"/>
              </w:rPr>
              <w:t>. Čelní pozici si ČR udržuje i v míře nezaměstnanosti – a to již bezmála tři roky. Nezaměstnanost se snižovala napříč všemi státy Unie. Oproti 2. čtvrtletí 2017 klesla nejvíce na Kypru (o 3,3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meziročně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) a 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v </w:t>
            </w:r>
            <w:r>
              <w:rPr>
                <w:rFonts w:cs="Arial"/>
                <w:color w:val="0D0D0D" w:themeColor="text1" w:themeTint="F2"/>
                <w:spacing w:val="-4"/>
              </w:rPr>
              <w:t>Chorvatsku (2,4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>), i tak šlo stále o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nejvíce zasažené ekonomiky (v rámci států, které vstoupily do EU po roce 2000). Z větších států zaznamenalo výraznější posun Španělsko (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ze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17,2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 15,3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), naopak v Itálii a Francii klesla nezaměstnanost jen mírně (o 0,4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>). Z největších ekonomik držely příznivé postavení Německo (3,5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 i Velká Británie (4,0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Míra nezaměstnanosti v celé EU byla (shodně jako v ČR) meziročně o 0,8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nižší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a činila 6,8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Poprvé se tak vyrovnala svému minimu z roku 2008. V zemích současné </w:t>
            </w:r>
            <w:proofErr w:type="spellStart"/>
            <w:r w:rsidR="00E76B9B">
              <w:rPr>
                <w:rFonts w:cs="Arial"/>
                <w:color w:val="0D0D0D" w:themeColor="text1" w:themeTint="F2"/>
                <w:spacing w:val="-4"/>
              </w:rPr>
              <w:t>eurozóny</w:t>
            </w:r>
            <w:proofErr w:type="spellEnd"/>
            <w:r w:rsidR="00E76B9B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se ale stále držela o celý 1</w:t>
            </w:r>
            <w:r w:rsidR="00EA4402">
              <w:rPr>
                <w:rFonts w:cs="Arial"/>
                <w:color w:val="0D0D0D" w:themeColor="text1" w:themeTint="F2"/>
                <w:spacing w:val="-4"/>
              </w:rPr>
              <w:t> p. b.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nad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 xml:space="preserve"> minimem předchozího 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 xml:space="preserve">období </w:t>
            </w:r>
            <w:r>
              <w:rPr>
                <w:rFonts w:cs="Arial"/>
                <w:color w:val="0D0D0D" w:themeColor="text1" w:themeTint="F2"/>
                <w:spacing w:val="-4"/>
              </w:rPr>
              <w:t>konjunktury (7,2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). V některých zemích s příznivým stavem či vývojem celkové nezaměstnanosti přetrvávají strukturální problémy, např. s dlouhodobou nezaměstnaností (Slovensko, Bulharsko, Belgie) či zapojením mladých na pracovní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m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trh</w:t>
            </w:r>
            <w:r w:rsidR="00E76B9B">
              <w:rPr>
                <w:rFonts w:cs="Arial"/>
                <w:color w:val="0D0D0D" w:themeColor="text1" w:themeTint="F2"/>
                <w:spacing w:val="-4"/>
              </w:rPr>
              <w:t>u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(Chorvatsko, Portugalsko).</w:t>
            </w:r>
          </w:p>
        </w:tc>
      </w:tr>
      <w:tr w:rsidR="00B4411A" w:rsidRPr="00F704D2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F704D2" w:rsidRDefault="00B4411A" w:rsidP="00B4411A">
            <w:pPr>
              <w:pStyle w:val="Textpoznpodarou"/>
            </w:pPr>
            <w:r>
              <w:rPr>
                <w:b/>
              </w:rPr>
              <w:t xml:space="preserve">Graf č. </w:t>
            </w:r>
            <w:proofErr w:type="gramStart"/>
            <w:r>
              <w:rPr>
                <w:b/>
              </w:rPr>
              <w:t xml:space="preserve">16  </w:t>
            </w:r>
            <w:r>
              <w:rPr>
                <w:rFonts w:cs="Arial"/>
                <w:b/>
                <w:bCs/>
                <w:spacing w:val="-2"/>
              </w:rPr>
              <w:t>Průměrná</w:t>
            </w:r>
            <w:proofErr w:type="gramEnd"/>
            <w:r>
              <w:rPr>
                <w:rFonts w:cs="Arial"/>
                <w:b/>
                <w:bCs/>
                <w:spacing w:val="-2"/>
              </w:rPr>
              <w:t xml:space="preserve"> hrubá měsíční mzda, rozpětí jejího tempa mezi odvětvími*, mzdový medián </w:t>
            </w:r>
            <w:r>
              <w:rPr>
                <w:rFonts w:cs="Arial"/>
                <w:bCs/>
                <w:spacing w:val="-2"/>
              </w:rPr>
              <w:t>(meziročně</w:t>
            </w:r>
            <w:r w:rsidRPr="0006150D">
              <w:rPr>
                <w:rFonts w:cs="Arial"/>
                <w:bCs/>
                <w:spacing w:val="-2"/>
              </w:rPr>
              <w:t>, v</w:t>
            </w:r>
            <w:r w:rsidR="007B0E83">
              <w:rPr>
                <w:rFonts w:cs="Arial"/>
                <w:bCs/>
                <w:spacing w:val="-2"/>
              </w:rPr>
              <w:t> %</w:t>
            </w:r>
            <w:r w:rsidRPr="0006150D">
              <w:rPr>
                <w:rFonts w:cs="Arial"/>
                <w:bCs/>
                <w:spacing w:val="-2"/>
              </w:rPr>
              <w:t>)</w:t>
            </w:r>
            <w:r>
              <w:rPr>
                <w:rFonts w:cs="Arial"/>
                <w:bCs/>
                <w:spacing w:val="-2"/>
              </w:rPr>
              <w:t xml:space="preserve"> </w:t>
            </w:r>
            <w:r w:rsidRPr="00560905">
              <w:rPr>
                <w:rFonts w:cs="Arial"/>
                <w:b/>
                <w:bCs/>
                <w:spacing w:val="-2"/>
              </w:rPr>
              <w:t>a produktivita práce</w:t>
            </w:r>
            <w:r>
              <w:rPr>
                <w:rFonts w:cs="Arial"/>
                <w:b/>
                <w:bCs/>
                <w:spacing w:val="-2"/>
              </w:rPr>
              <w:t>**</w:t>
            </w:r>
          </w:p>
        </w:tc>
      </w:tr>
      <w:tr w:rsidR="00B4411A" w:rsidRPr="00970E6F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970E6F" w:rsidRDefault="00B4411A" w:rsidP="00B4411A">
            <w:pPr>
              <w:spacing w:after="0" w:line="240" w:lineRule="auto"/>
              <w:rPr>
                <w:spacing w:val="-2"/>
                <w:szCs w:val="20"/>
              </w:rPr>
            </w:pPr>
            <w:r w:rsidRPr="009A3389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35773" cy="3248167"/>
                  <wp:effectExtent l="19050" t="0" r="0" b="0"/>
                  <wp:docPr id="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B4411A" w:rsidRPr="00970E6F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*Odvětví s relativně nejvyšším, resp. nejnižším meziročním tempem průměrné mzdy. Na přelomu let 2012 a 2013, resp. 2013 a 2014 nebyly vzhledem k nestandardnímu průběhu zahrnuta odvětví energetiky a peněžnictví i pojišťovnictví.</w:t>
            </w:r>
          </w:p>
          <w:p w:rsidR="00B4411A" w:rsidRPr="00970E6F" w:rsidRDefault="00B4411A" w:rsidP="00B4411A">
            <w:pPr>
              <w:spacing w:after="200"/>
              <w:rPr>
                <w:spacing w:val="-2"/>
                <w:szCs w:val="20"/>
              </w:rPr>
            </w:pPr>
            <w:r>
              <w:rPr>
                <w:rFonts w:cs="Arial"/>
                <w:sz w:val="14"/>
                <w:szCs w:val="14"/>
              </w:rPr>
              <w:t>**Podíl sez</w:t>
            </w:r>
            <w:r w:rsidR="005E24F0">
              <w:rPr>
                <w:rFonts w:cs="Arial"/>
                <w:sz w:val="14"/>
                <w:szCs w:val="14"/>
              </w:rPr>
              <w:t>ó</w:t>
            </w:r>
            <w:r>
              <w:rPr>
                <w:rFonts w:cs="Arial"/>
                <w:sz w:val="14"/>
                <w:szCs w:val="14"/>
              </w:rPr>
              <w:t xml:space="preserve">nně neočištěného HDP a zaměstnanosti (v pojetí národních účtů).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</w:t>
            </w:r>
          </w:p>
        </w:tc>
      </w:tr>
      <w:tr w:rsidR="00B4411A" w:rsidRPr="00B80CE7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Tempo růstu průměrných nominálních mezd nadále rostlo a dosáhlo desetiletého maxima.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Tempo růstu průměrné nominální mzdy se nadále zvyšovalo. V 1. i 2. čtvrtletí činilo dle podnikových statistik shodně 8,6 % a bylo nejvyšší za posledních deset let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Faktory stojící za mzdovou dynamizací zůstávají v posledních čtvrtletích shodné (dobré hospodářské výsledky firem, převažující pozitivní očekávání v klíčových odvětvích ekonomiky, sílící nedostatek disponibilních zaměstnanců a z něj plynoucí konkurenční tlak, pravidelné navyšování minimální mzdy s dopadem i na výši zaručené mzdy). Zatímco v předchozích třech letech byl typickým rysem vývoje silný růst průměrných výdělků v odvětvích s velmi nízkou mzdovou úrovní, letos se jako zásadní ukázala silná mzdová dynamika mezd v odvětvích s dominancí </w:t>
            </w:r>
            <w:r w:rsidR="00F03F8D" w:rsidRPr="00F03F8D">
              <w:rPr>
                <w:spacing w:val="-2"/>
              </w:rPr>
              <w:t>veřejných institucí.</w:t>
            </w:r>
          </w:p>
        </w:tc>
      </w:tr>
      <w:tr w:rsidR="00B4411A" w:rsidRPr="00B80CE7" w:rsidTr="00B4411A">
        <w:trPr>
          <w:trHeight w:val="145"/>
        </w:trPr>
        <w:tc>
          <w:tcPr>
            <w:tcW w:w="1878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Marginlie"/>
            </w:pPr>
            <w:r>
              <w:t>Mzdový růst akceleroval ve všech odvětvích s domina</w:t>
            </w:r>
            <w:r w:rsidR="001D556E">
              <w:t>n</w:t>
            </w:r>
            <w:r w:rsidR="00F03F8D">
              <w:t>cí veřejných institucí</w:t>
            </w:r>
            <w:r>
              <w:t>. Naopak ve zpracovatelském průmyslu rostl jen mírně vyšším tempem než vloni.</w:t>
            </w: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</w:p>
          <w:p w:rsidR="00B4411A" w:rsidRDefault="00B4411A" w:rsidP="00B4411A">
            <w:pPr>
              <w:pStyle w:val="Marginlie"/>
            </w:pPr>
            <w:r>
              <w:t>Relativní mzdové rozdíly mezi odvětvími či regiony se mírně snížily.</w:t>
            </w:r>
          </w:p>
        </w:tc>
        <w:tc>
          <w:tcPr>
            <w:tcW w:w="247" w:type="dxa"/>
            <w:shd w:val="clear" w:color="auto" w:fill="auto"/>
            <w:tcMar>
              <w:left w:w="0" w:type="dxa"/>
            </w:tcMar>
          </w:tcPr>
          <w:p w:rsidR="00B4411A" w:rsidRDefault="00B4411A" w:rsidP="00B4411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4" w:type="dxa"/>
            <w:shd w:val="clear" w:color="auto" w:fill="auto"/>
            <w:tcMar>
              <w:left w:w="0" w:type="dxa"/>
            </w:tcMar>
          </w:tcPr>
          <w:p w:rsidR="00B4411A" w:rsidRPr="003607F1" w:rsidRDefault="00B4411A" w:rsidP="00B4411A">
            <w:pPr>
              <w:spacing w:after="0"/>
              <w:rPr>
                <w:color w:val="0D0D0D" w:themeColor="text1" w:themeTint="F2"/>
                <w:spacing w:val="-4"/>
              </w:rPr>
            </w:pPr>
            <w:r w:rsidRPr="003607F1">
              <w:rPr>
                <w:rFonts w:cs="Arial"/>
                <w:color w:val="0D0D0D" w:themeColor="text1" w:themeTint="F2"/>
                <w:spacing w:val="-4"/>
              </w:rPr>
              <w:t>Že se obě tendence zčásti prolínají, dokládá odvětví kulturní, zábavní a rekreační činnosti (s růstem mezd v 1. pololetí o 13,2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). Nejvýrazněji zrychlilo růstové tempo mezd ve vzdělávání (12,4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, o rok dříve 4,9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). </w:t>
            </w:r>
            <w:r w:rsidR="00A00E71">
              <w:rPr>
                <w:rFonts w:cs="Arial"/>
                <w:color w:val="0D0D0D" w:themeColor="text1" w:themeTint="F2"/>
                <w:spacing w:val="-4"/>
              </w:rPr>
              <w:t>Mimo veřejné služby následovaly s výraznějším odstupem</w:t>
            </w:r>
            <w:r w:rsidR="007B1396" w:rsidRPr="003607F1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ostatní odvětví služeb, kde byl relativně slabší růst prů</w:t>
            </w:r>
            <w:r>
              <w:rPr>
                <w:rFonts w:cs="Arial"/>
                <w:color w:val="0D0D0D" w:themeColor="text1" w:themeTint="F2"/>
                <w:spacing w:val="-4"/>
              </w:rPr>
              <w:t>měrných výdělků (typicky mezi 6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 až 8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) většinou doprovázen svižným růstem zaměstnanosti</w:t>
            </w:r>
            <w:r>
              <w:rPr>
                <w:rFonts w:cs="Arial"/>
                <w:color w:val="0D0D0D" w:themeColor="text1" w:themeTint="F2"/>
                <w:spacing w:val="-4"/>
              </w:rPr>
              <w:t>. Ve zpracovatelském průmyslu růst průměrných mezd zrychlil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 jen mírně (na 7,8 % z loňských 6,5 %), poprvé za posledních šest let zde objem vyplacených mezd zaostal za tempem v celé ekonomice. Ten naopak v nejmenší odvětvové sekci – těžbě a dobývání – poprvé po pěti letech vzrostl (zásluhou vysokého tempa průměrných mezd: 9,4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).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Přestože růst výdělků v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 peněžnictví a pojišťovnictví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zaostal 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za tempem v celé ekonomice již čtvrtým rokem v řadě, stále šlo o odvětví s nejvyšší úrovní průměrných hrubých měsíčních mezd (</w:t>
            </w:r>
            <w:r>
              <w:rPr>
                <w:rFonts w:cs="Arial"/>
                <w:color w:val="0D0D0D" w:themeColor="text1" w:themeTint="F2"/>
                <w:spacing w:val="-4"/>
              </w:rPr>
              <w:t>57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> tis., 3,1krát vyšší než v ubytování, stravování a pohostinství). Mzdová diferenciace mezi odvětvími či regiony se mírně snižovala. Mediánová mzda se ve 2. čtvrtletí meziročně zvýšila o 9,6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 (u žen dokonce o 10,1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 w:rsidRPr="003607F1">
              <w:rPr>
                <w:rFonts w:cs="Arial"/>
                <w:color w:val="0D0D0D" w:themeColor="text1" w:themeTint="F2"/>
                <w:spacing w:val="-4"/>
              </w:rPr>
              <w:t xml:space="preserve">). </w:t>
            </w:r>
            <w:r w:rsidRPr="003607F1">
              <w:rPr>
                <w:color w:val="0D0D0D" w:themeColor="text1" w:themeTint="F2"/>
                <w:spacing w:val="-4"/>
              </w:rPr>
              <w:t>Předstih růstu mediánové mzdy nad tempem průměrné mzdy přetrvává s drobnými výkyvy již tř</w:t>
            </w:r>
            <w:r>
              <w:rPr>
                <w:color w:val="0D0D0D" w:themeColor="text1" w:themeTint="F2"/>
                <w:spacing w:val="-4"/>
              </w:rPr>
              <w:t>i roky. Pozitivní také bylo, že</w:t>
            </w:r>
            <w:r w:rsidRPr="003607F1">
              <w:rPr>
                <w:color w:val="0D0D0D" w:themeColor="text1" w:themeTint="F2"/>
                <w:spacing w:val="-4"/>
              </w:rPr>
              <w:t xml:space="preserve"> ku</w:t>
            </w:r>
            <w:r w:rsidR="00F03F8D">
              <w:rPr>
                <w:color w:val="0D0D0D" w:themeColor="text1" w:themeTint="F2"/>
                <w:spacing w:val="-4"/>
              </w:rPr>
              <w:t>pní síla mezd</w:t>
            </w:r>
            <w:r w:rsidRPr="003607F1">
              <w:rPr>
                <w:color w:val="0D0D0D" w:themeColor="text1" w:themeTint="F2"/>
                <w:spacing w:val="-4"/>
              </w:rPr>
              <w:t xml:space="preserve"> silně rostla. </w:t>
            </w:r>
            <w:r w:rsidRPr="00F03F8D">
              <w:rPr>
                <w:color w:val="0D0D0D" w:themeColor="text1" w:themeTint="F2"/>
                <w:spacing w:val="-2"/>
              </w:rPr>
              <w:t>Za celé pololetí byla meziročně vyšší o 6,4</w:t>
            </w:r>
            <w:r w:rsidR="007B0E83" w:rsidRPr="00F03F8D">
              <w:rPr>
                <w:color w:val="0D0D0D" w:themeColor="text1" w:themeTint="F2"/>
                <w:spacing w:val="-2"/>
              </w:rPr>
              <w:t> %</w:t>
            </w:r>
            <w:r w:rsidRPr="00F03F8D">
              <w:rPr>
                <w:color w:val="0D0D0D" w:themeColor="text1" w:themeTint="F2"/>
                <w:spacing w:val="-2"/>
              </w:rPr>
              <w:t xml:space="preserve"> a dosáhla nejlepšího výsledku za posledních 15 let.</w:t>
            </w:r>
            <w:r w:rsidRPr="003607F1">
              <w:rPr>
                <w:color w:val="0D0D0D" w:themeColor="text1" w:themeTint="F2"/>
                <w:spacing w:val="-4"/>
              </w:rPr>
              <w:t xml:space="preserve"> </w:t>
            </w:r>
          </w:p>
        </w:tc>
      </w:tr>
    </w:tbl>
    <w:p w:rsidR="00935BD4" w:rsidRPr="009110F7" w:rsidRDefault="00935BD4" w:rsidP="00935BD4">
      <w:pPr>
        <w:rPr>
          <w:sz w:val="2"/>
          <w:szCs w:val="2"/>
        </w:rPr>
      </w:pPr>
    </w:p>
    <w:sectPr w:rsidR="00935BD4" w:rsidRPr="009110F7" w:rsidSect="00F10240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CC0" w:rsidRDefault="001F1CC0" w:rsidP="00E71A58">
      <w:r>
        <w:separator/>
      </w:r>
    </w:p>
  </w:endnote>
  <w:endnote w:type="continuationSeparator" w:id="0">
    <w:p w:rsidR="001F1CC0" w:rsidRDefault="001F1CC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4A17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174A17" w:rsidRPr="00932443">
      <w:rPr>
        <w:szCs w:val="16"/>
      </w:rPr>
      <w:fldChar w:fldCharType="separate"/>
    </w:r>
    <w:r w:rsidR="00F10240">
      <w:rPr>
        <w:szCs w:val="16"/>
      </w:rPr>
      <w:t>24</w:t>
    </w:r>
    <w:r w:rsidR="00174A17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174A17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174A17" w:rsidRPr="00932443">
      <w:rPr>
        <w:rStyle w:val="ZpatChar"/>
        <w:szCs w:val="16"/>
      </w:rPr>
      <w:fldChar w:fldCharType="separate"/>
    </w:r>
    <w:r w:rsidR="00F10240">
      <w:rPr>
        <w:rStyle w:val="ZpatChar"/>
        <w:szCs w:val="16"/>
      </w:rPr>
      <w:t>23</w:t>
    </w:r>
    <w:r w:rsidR="00174A17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CC0" w:rsidRDefault="001F1CC0" w:rsidP="00E71A58">
      <w:r>
        <w:separator/>
      </w:r>
    </w:p>
  </w:footnote>
  <w:footnote w:type="continuationSeparator" w:id="0">
    <w:p w:rsidR="001F1CC0" w:rsidRDefault="001F1CC0" w:rsidP="00E71A58">
      <w:r>
        <w:continuationSeparator/>
      </w:r>
    </w:p>
  </w:footnote>
  <w:footnote w:id="1">
    <w:p w:rsidR="00077FF0" w:rsidRPr="00B4223A" w:rsidRDefault="00077FF0" w:rsidP="00B4411A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Pok</w:t>
      </w:r>
      <w:r>
        <w:rPr>
          <w:sz w:val="16"/>
          <w:szCs w:val="16"/>
        </w:rPr>
        <w:t xml:space="preserve">ud není uvedeno jinak, jsou </w:t>
      </w:r>
      <w:r w:rsidRPr="00B4223A">
        <w:rPr>
          <w:sz w:val="16"/>
          <w:szCs w:val="16"/>
        </w:rPr>
        <w:t xml:space="preserve">v této kapitole </w:t>
      </w:r>
      <w:r>
        <w:rPr>
          <w:sz w:val="16"/>
          <w:szCs w:val="16"/>
        </w:rPr>
        <w:t>údaje o 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uvedeny </w:t>
      </w:r>
      <w:r w:rsidRPr="00B4223A">
        <w:rPr>
          <w:sz w:val="16"/>
          <w:szCs w:val="16"/>
        </w:rPr>
        <w:t>v pojetí národních účtů v očištění o sezónní vlivy.</w:t>
      </w:r>
    </w:p>
  </w:footnote>
  <w:footnote w:id="2">
    <w:p w:rsidR="00077FF0" w:rsidRPr="00AC0F50" w:rsidRDefault="00077FF0" w:rsidP="00B4411A">
      <w:pPr>
        <w:pStyle w:val="Textpoznpodarou"/>
        <w:jc w:val="both"/>
        <w:rPr>
          <w:sz w:val="16"/>
          <w:szCs w:val="16"/>
        </w:rPr>
      </w:pPr>
      <w:r w:rsidRPr="00AC0F50">
        <w:rPr>
          <w:rStyle w:val="Znakapoznpodarou"/>
          <w:sz w:val="16"/>
          <w:szCs w:val="16"/>
        </w:rPr>
        <w:footnoteRef/>
      </w:r>
      <w:r w:rsidRPr="00AC0F50">
        <w:rPr>
          <w:sz w:val="16"/>
          <w:szCs w:val="16"/>
        </w:rPr>
        <w:t xml:space="preserve"> Ve 2. čtvrtletí 2018 se počet zaměstnaných pracujících na kratší </w:t>
      </w:r>
      <w:r>
        <w:rPr>
          <w:sz w:val="16"/>
          <w:szCs w:val="16"/>
        </w:rPr>
        <w:t>úvazek</w:t>
      </w:r>
      <w:r w:rsidRPr="00AC0F50">
        <w:rPr>
          <w:sz w:val="16"/>
          <w:szCs w:val="16"/>
        </w:rPr>
        <w:t xml:space="preserve"> meziročně zvýšil o 20 tis. V drtiv</w:t>
      </w:r>
      <w:r>
        <w:rPr>
          <w:sz w:val="16"/>
          <w:szCs w:val="16"/>
        </w:rPr>
        <w:t>é</w:t>
      </w:r>
      <w:r w:rsidRPr="00AC0F50">
        <w:rPr>
          <w:sz w:val="16"/>
          <w:szCs w:val="16"/>
        </w:rPr>
        <w:t xml:space="preserve"> většině k tomu </w:t>
      </w:r>
      <w:r>
        <w:rPr>
          <w:sz w:val="16"/>
          <w:szCs w:val="16"/>
        </w:rPr>
        <w:t>přispěli</w:t>
      </w:r>
      <w:r w:rsidRPr="00AC0F50">
        <w:rPr>
          <w:sz w:val="16"/>
          <w:szCs w:val="16"/>
        </w:rPr>
        <w:t xml:space="preserve"> lidé ve věk</w:t>
      </w:r>
      <w:r>
        <w:rPr>
          <w:sz w:val="16"/>
          <w:szCs w:val="16"/>
        </w:rPr>
        <w:t>u 65 a více let a také osoby ve</w:t>
      </w:r>
      <w:r w:rsidRPr="00AC0F50">
        <w:rPr>
          <w:sz w:val="16"/>
          <w:szCs w:val="16"/>
        </w:rPr>
        <w:t xml:space="preserve"> skupině 25</w:t>
      </w:r>
      <w:r>
        <w:rPr>
          <w:sz w:val="16"/>
          <w:szCs w:val="16"/>
        </w:rPr>
        <w:t>–</w:t>
      </w:r>
      <w:r w:rsidRPr="00AC0F50">
        <w:rPr>
          <w:sz w:val="16"/>
          <w:szCs w:val="16"/>
        </w:rPr>
        <w:t xml:space="preserve">29 let. </w:t>
      </w:r>
      <w:r>
        <w:rPr>
          <w:sz w:val="16"/>
          <w:szCs w:val="16"/>
        </w:rPr>
        <w:t>I přesto patřilo Česko nadále v rámci EU mezi čtvrtinu států s nejnižším podílem osob v produktivním věku pracujících na zkrácené úvazky.</w:t>
      </w:r>
    </w:p>
  </w:footnote>
  <w:footnote w:id="3">
    <w:p w:rsidR="00077FF0" w:rsidRPr="00733707" w:rsidRDefault="00077FF0" w:rsidP="00B4411A">
      <w:pPr>
        <w:pStyle w:val="Textpoznpodarou"/>
        <w:jc w:val="both"/>
        <w:rPr>
          <w:sz w:val="16"/>
          <w:szCs w:val="16"/>
        </w:rPr>
      </w:pPr>
      <w:r w:rsidRPr="00733707">
        <w:rPr>
          <w:rStyle w:val="Znakapoznpodarou"/>
          <w:sz w:val="16"/>
          <w:szCs w:val="16"/>
        </w:rPr>
        <w:footnoteRef/>
      </w:r>
      <w:r w:rsidRPr="00733707">
        <w:rPr>
          <w:sz w:val="16"/>
          <w:szCs w:val="16"/>
        </w:rPr>
        <w:t xml:space="preserve"> Dle dosu</w:t>
      </w:r>
      <w:r>
        <w:rPr>
          <w:sz w:val="16"/>
          <w:szCs w:val="16"/>
        </w:rPr>
        <w:t>d</w:t>
      </w:r>
      <w:r w:rsidRPr="00733707">
        <w:rPr>
          <w:sz w:val="16"/>
          <w:szCs w:val="16"/>
        </w:rPr>
        <w:t xml:space="preserve"> nejaktuálnějších </w:t>
      </w:r>
      <w:r>
        <w:rPr>
          <w:sz w:val="16"/>
          <w:szCs w:val="16"/>
        </w:rPr>
        <w:t xml:space="preserve">sezónně neočištěných </w:t>
      </w:r>
      <w:r w:rsidRPr="00733707">
        <w:rPr>
          <w:sz w:val="16"/>
          <w:szCs w:val="16"/>
        </w:rPr>
        <w:t xml:space="preserve">údajů </w:t>
      </w:r>
      <w:r>
        <w:rPr>
          <w:sz w:val="16"/>
          <w:szCs w:val="16"/>
        </w:rPr>
        <w:t xml:space="preserve">z výběrového šetření pracovních sil (VŠPS) </w:t>
      </w:r>
      <w:r w:rsidRPr="00733707">
        <w:rPr>
          <w:sz w:val="16"/>
          <w:szCs w:val="16"/>
        </w:rPr>
        <w:t>o tocích na pracovním trhu přešlo mezi 4. čtvrtletí</w:t>
      </w:r>
      <w:r>
        <w:rPr>
          <w:sz w:val="16"/>
          <w:szCs w:val="16"/>
        </w:rPr>
        <w:t>m</w:t>
      </w:r>
      <w:r w:rsidRPr="00733707">
        <w:rPr>
          <w:sz w:val="16"/>
          <w:szCs w:val="16"/>
        </w:rPr>
        <w:t xml:space="preserve"> 2017 a 1. čtvrtletím 2018</w:t>
      </w:r>
      <w:r>
        <w:rPr>
          <w:sz w:val="16"/>
          <w:szCs w:val="16"/>
        </w:rPr>
        <w:t xml:space="preserve"> ze stavu nezaměstnaných do zaměstnaných 31 tis. osob (o rok dříve téměř 40 tis.). Naopak ze stavu ekonomicky neaktivních směrem k zaměstnaným zamířilo 44 tis. osob (obdobně jako na počátku roku 2017).</w:t>
      </w:r>
    </w:p>
  </w:footnote>
  <w:footnote w:id="4">
    <w:p w:rsidR="00077FF0" w:rsidRPr="0061214C" w:rsidRDefault="00077FF0" w:rsidP="00B4411A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61214C">
        <w:rPr>
          <w:rStyle w:val="Znakapoznpodarou"/>
          <w:color w:val="0D0D0D" w:themeColor="text1" w:themeTint="F2"/>
          <w:sz w:val="16"/>
          <w:szCs w:val="16"/>
        </w:rPr>
        <w:footnoteRef/>
      </w:r>
      <w:r w:rsidRPr="0061214C">
        <w:rPr>
          <w:color w:val="0D0D0D" w:themeColor="text1" w:themeTint="F2"/>
          <w:sz w:val="16"/>
          <w:szCs w:val="16"/>
        </w:rPr>
        <w:t xml:space="preserve"> Dle </w:t>
      </w:r>
      <w:r>
        <w:rPr>
          <w:color w:val="0D0D0D" w:themeColor="text1" w:themeTint="F2"/>
          <w:sz w:val="16"/>
          <w:szCs w:val="16"/>
        </w:rPr>
        <w:t xml:space="preserve">předběžných </w:t>
      </w:r>
      <w:r w:rsidRPr="0061214C">
        <w:rPr>
          <w:color w:val="0D0D0D" w:themeColor="text1" w:themeTint="F2"/>
          <w:sz w:val="16"/>
          <w:szCs w:val="16"/>
        </w:rPr>
        <w:t xml:space="preserve">údajů demografické statistiky </w:t>
      </w:r>
      <w:r>
        <w:rPr>
          <w:color w:val="0D0D0D" w:themeColor="text1" w:themeTint="F2"/>
          <w:sz w:val="16"/>
          <w:szCs w:val="16"/>
        </w:rPr>
        <w:t>se v 1. pololetí 2018 počet přistěhovalých do ČR meziročně navýšil o více než třetinu. Kladné saldo zahraničního stěhování (17,7 tis.) bylo v tomto období roku nejvyšší za posledních devět let.</w:t>
      </w:r>
    </w:p>
  </w:footnote>
  <w:footnote w:id="5">
    <w:p w:rsidR="00077FF0" w:rsidRPr="00A00E71" w:rsidRDefault="00077FF0" w:rsidP="00A03B10">
      <w:pPr>
        <w:pStyle w:val="Textpoznpodarou"/>
        <w:rPr>
          <w:spacing w:val="-3"/>
          <w:sz w:val="16"/>
          <w:szCs w:val="16"/>
        </w:rPr>
      </w:pPr>
      <w:r w:rsidRPr="00A00E71">
        <w:rPr>
          <w:rStyle w:val="Znakapoznpodarou"/>
          <w:spacing w:val="-3"/>
          <w:sz w:val="16"/>
          <w:szCs w:val="16"/>
        </w:rPr>
        <w:footnoteRef/>
      </w:r>
      <w:r w:rsidRPr="00A00E71">
        <w:rPr>
          <w:spacing w:val="-3"/>
          <w:sz w:val="16"/>
          <w:szCs w:val="16"/>
        </w:rPr>
        <w:t xml:space="preserve"> Ve 2. čtvrtletí 2018 činila dle údajů VŠPS míra zaměstnanosti u mužů 81,8 % (meziročně byla vyšší o 1,1 p. b.), u žen 67,6 % (o 1,7 p. </w:t>
      </w:r>
      <w:proofErr w:type="spellStart"/>
      <w:r w:rsidRPr="00A00E71">
        <w:rPr>
          <w:spacing w:val="-3"/>
          <w:sz w:val="16"/>
          <w:szCs w:val="16"/>
        </w:rPr>
        <w:t>b</w:t>
      </w:r>
      <w:proofErr w:type="spellEnd"/>
      <w:r w:rsidRPr="00A00E71">
        <w:rPr>
          <w:spacing w:val="-3"/>
          <w:sz w:val="16"/>
          <w:szCs w:val="16"/>
        </w:rPr>
        <w:t>.).</w:t>
      </w:r>
    </w:p>
  </w:footnote>
  <w:footnote w:id="6">
    <w:p w:rsidR="00077FF0" w:rsidRPr="00912E7F" w:rsidRDefault="00077FF0" w:rsidP="00B4411A">
      <w:pPr>
        <w:pStyle w:val="Textpoznpodarou"/>
        <w:jc w:val="both"/>
        <w:rPr>
          <w:spacing w:val="-2"/>
          <w:sz w:val="16"/>
          <w:szCs w:val="16"/>
        </w:rPr>
      </w:pPr>
      <w:r w:rsidRPr="00912E7F">
        <w:rPr>
          <w:rStyle w:val="Znakapoznpodarou"/>
          <w:spacing w:val="-2"/>
          <w:sz w:val="16"/>
          <w:szCs w:val="16"/>
        </w:rPr>
        <w:footnoteRef/>
      </w:r>
      <w:r w:rsidRPr="00912E7F">
        <w:rPr>
          <w:spacing w:val="-2"/>
          <w:sz w:val="16"/>
          <w:szCs w:val="16"/>
        </w:rPr>
        <w:t xml:space="preserve"> Údaje VŠPS indikují, že letos stagnoval počet podnikatelů se zaměstnanci i početně významnější skupina podnikatelů bez zaměstnanců.</w:t>
      </w:r>
    </w:p>
  </w:footnote>
  <w:footnote w:id="7">
    <w:p w:rsidR="00077FF0" w:rsidRPr="00005745" w:rsidRDefault="00077FF0" w:rsidP="00B4411A">
      <w:pPr>
        <w:pStyle w:val="Textpoznpodarou"/>
        <w:jc w:val="both"/>
        <w:rPr>
          <w:sz w:val="16"/>
          <w:szCs w:val="16"/>
        </w:rPr>
      </w:pPr>
      <w:r w:rsidRPr="00005745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1. čtvrtletí 2018</w:t>
      </w:r>
      <w:r w:rsidRPr="0000574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bylo téměř 30 % </w:t>
      </w:r>
      <w:r w:rsidRPr="00005745">
        <w:rPr>
          <w:sz w:val="16"/>
          <w:szCs w:val="16"/>
        </w:rPr>
        <w:t>všech</w:t>
      </w:r>
      <w:r>
        <w:rPr>
          <w:sz w:val="16"/>
          <w:szCs w:val="16"/>
        </w:rPr>
        <w:t xml:space="preserve"> dlouhodobě nezaměstnaných bez práce déle</w:t>
      </w:r>
      <w:r w:rsidRPr="00005745">
        <w:rPr>
          <w:sz w:val="16"/>
          <w:szCs w:val="16"/>
        </w:rPr>
        <w:t xml:space="preserve"> </w:t>
      </w:r>
      <w:r>
        <w:rPr>
          <w:sz w:val="16"/>
          <w:szCs w:val="16"/>
        </w:rPr>
        <w:t>než čtyři roky.</w:t>
      </w:r>
    </w:p>
  </w:footnote>
  <w:footnote w:id="8">
    <w:p w:rsidR="00077FF0" w:rsidRPr="006939A4" w:rsidRDefault="00077FF0" w:rsidP="00B4411A">
      <w:pPr>
        <w:pStyle w:val="Textpoznpodarou"/>
        <w:jc w:val="both"/>
        <w:rPr>
          <w:spacing w:val="-4"/>
          <w:sz w:val="16"/>
          <w:szCs w:val="16"/>
        </w:rPr>
      </w:pPr>
      <w:r w:rsidRPr="006939A4">
        <w:rPr>
          <w:rStyle w:val="Znakapoznpodarou"/>
          <w:spacing w:val="-4"/>
          <w:sz w:val="16"/>
          <w:szCs w:val="16"/>
        </w:rPr>
        <w:footnoteRef/>
      </w:r>
      <w:r w:rsidRPr="006939A4">
        <w:rPr>
          <w:spacing w:val="-4"/>
          <w:sz w:val="16"/>
          <w:szCs w:val="16"/>
        </w:rPr>
        <w:t xml:space="preserve"> Z celkového přírůstku míst mezi letošním a loňským červnem (118 tis.) jich 81</w:t>
      </w:r>
      <w:r>
        <w:rPr>
          <w:spacing w:val="-4"/>
          <w:sz w:val="16"/>
          <w:szCs w:val="16"/>
        </w:rPr>
        <w:t> %</w:t>
      </w:r>
      <w:r w:rsidRPr="006939A4">
        <w:rPr>
          <w:spacing w:val="-4"/>
          <w:sz w:val="16"/>
          <w:szCs w:val="16"/>
        </w:rPr>
        <w:t xml:space="preserve"> připadalo na pozice, na které postačovalo maximálně základní vzdělání, naopak jen 2,5</w:t>
      </w:r>
      <w:r>
        <w:rPr>
          <w:spacing w:val="-4"/>
          <w:sz w:val="16"/>
          <w:szCs w:val="16"/>
        </w:rPr>
        <w:t> %</w:t>
      </w:r>
      <w:r w:rsidRPr="006939A4">
        <w:rPr>
          <w:spacing w:val="-4"/>
          <w:sz w:val="16"/>
          <w:szCs w:val="16"/>
        </w:rPr>
        <w:t xml:space="preserve"> míst vyžadovalo terciární vzdělání. Celková nabídka míst se nejvíce rozšiřovala v krajích s podprůměrnou nezaměstnaností – jen na Prahu, Středočeský, Plzeňský a Pardubický kraj připadaly skoro dvě třetiny celorepublikového nárůstu míst. </w:t>
      </w:r>
    </w:p>
  </w:footnote>
  <w:footnote w:id="9">
    <w:p w:rsidR="00077FF0" w:rsidRPr="00A615C3" w:rsidRDefault="00077FF0" w:rsidP="00B4411A">
      <w:pPr>
        <w:pStyle w:val="Textpoznpodarou"/>
        <w:rPr>
          <w:sz w:val="16"/>
          <w:szCs w:val="16"/>
        </w:rPr>
      </w:pPr>
      <w:r w:rsidRPr="00A615C3">
        <w:rPr>
          <w:rStyle w:val="Znakapoznpodarou"/>
          <w:sz w:val="16"/>
          <w:szCs w:val="16"/>
        </w:rPr>
        <w:footnoteRef/>
      </w:r>
      <w:r w:rsidRPr="00A615C3">
        <w:rPr>
          <w:sz w:val="16"/>
          <w:szCs w:val="16"/>
        </w:rPr>
        <w:t xml:space="preserve"> </w:t>
      </w:r>
      <w:r>
        <w:rPr>
          <w:sz w:val="16"/>
          <w:szCs w:val="16"/>
        </w:rPr>
        <w:t>Více než 2,5 uchazeče</w:t>
      </w:r>
      <w:r w:rsidRPr="00A615C3">
        <w:rPr>
          <w:sz w:val="16"/>
          <w:szCs w:val="16"/>
        </w:rPr>
        <w:t xml:space="preserve"> na volné míst</w:t>
      </w:r>
      <w:r>
        <w:rPr>
          <w:sz w:val="16"/>
          <w:szCs w:val="16"/>
        </w:rPr>
        <w:t>o registrovaly ÚP na konci letošního června již jen ve čtyřech okresech – Karviná (5,8</w:t>
      </w:r>
      <w:r w:rsidRPr="00A615C3">
        <w:rPr>
          <w:sz w:val="16"/>
          <w:szCs w:val="16"/>
        </w:rPr>
        <w:t xml:space="preserve">), </w:t>
      </w:r>
      <w:r>
        <w:rPr>
          <w:sz w:val="16"/>
          <w:szCs w:val="16"/>
        </w:rPr>
        <w:t>Most (4,1), Ústí nad Labem (4,0) a Jeseník (3,4).</w:t>
      </w:r>
      <w:r w:rsidRPr="00A615C3">
        <w:rPr>
          <w:sz w:val="16"/>
          <w:szCs w:val="16"/>
        </w:rPr>
        <w:t xml:space="preserve"> </w:t>
      </w:r>
    </w:p>
  </w:footnote>
  <w:footnote w:id="10">
    <w:p w:rsidR="00077FF0" w:rsidRPr="00A00E71" w:rsidRDefault="00077FF0" w:rsidP="00B4411A">
      <w:pPr>
        <w:pStyle w:val="Textpoznpodarou"/>
        <w:jc w:val="both"/>
        <w:rPr>
          <w:spacing w:val="-4"/>
          <w:sz w:val="16"/>
          <w:szCs w:val="16"/>
        </w:rPr>
      </w:pPr>
      <w:r w:rsidRPr="00A00E71">
        <w:rPr>
          <w:rStyle w:val="Znakapoznpodarou"/>
          <w:spacing w:val="-4"/>
          <w:sz w:val="16"/>
          <w:szCs w:val="16"/>
        </w:rPr>
        <w:footnoteRef/>
      </w:r>
      <w:r w:rsidRPr="00A00E71">
        <w:rPr>
          <w:spacing w:val="-4"/>
          <w:sz w:val="16"/>
          <w:szCs w:val="16"/>
        </w:rPr>
        <w:t xml:space="preserve"> </w:t>
      </w:r>
      <w:r w:rsidRPr="00A00E71">
        <w:rPr>
          <w:rFonts w:cs="Arial"/>
          <w:color w:val="000000"/>
          <w:spacing w:val="-4"/>
          <w:sz w:val="16"/>
          <w:szCs w:val="16"/>
        </w:rPr>
        <w:t>Jde o podíl volných pracovních míst na celkovém počtu míst (volných i obsazených). Není zahrnuto odvětví zemědělství, lesnictví a rybářství.</w:t>
      </w:r>
    </w:p>
  </w:footnote>
  <w:footnote w:id="11">
    <w:p w:rsidR="00077FF0" w:rsidRPr="001763DD" w:rsidRDefault="00077FF0" w:rsidP="00B4411A">
      <w:pPr>
        <w:pStyle w:val="Textpoznpodarou"/>
        <w:rPr>
          <w:sz w:val="16"/>
          <w:szCs w:val="16"/>
        </w:rPr>
      </w:pPr>
      <w:r w:rsidRPr="001763DD">
        <w:rPr>
          <w:rStyle w:val="Znakapoznpodarou"/>
          <w:sz w:val="16"/>
          <w:szCs w:val="16"/>
        </w:rPr>
        <w:footnoteRef/>
      </w:r>
      <w:r w:rsidRPr="001763DD">
        <w:rPr>
          <w:sz w:val="16"/>
          <w:szCs w:val="16"/>
        </w:rPr>
        <w:t xml:space="preserve"> Srovnání nezahrnuje Dánsko, Francii, </w:t>
      </w:r>
      <w:r>
        <w:rPr>
          <w:sz w:val="16"/>
          <w:szCs w:val="16"/>
        </w:rPr>
        <w:t>Itálii a Maltu,</w:t>
      </w:r>
      <w:r w:rsidRPr="001763DD">
        <w:rPr>
          <w:sz w:val="16"/>
          <w:szCs w:val="16"/>
        </w:rPr>
        <w:t xml:space="preserve"> za něž nejsou údaje dlouhodobě dostupné.</w:t>
      </w:r>
    </w:p>
  </w:footnote>
  <w:footnote w:id="12">
    <w:p w:rsidR="00077FF0" w:rsidRPr="00435D59" w:rsidRDefault="00077FF0" w:rsidP="00B4411A">
      <w:pPr>
        <w:pStyle w:val="Textpoznpodarou"/>
        <w:rPr>
          <w:sz w:val="16"/>
          <w:szCs w:val="16"/>
        </w:rPr>
      </w:pPr>
      <w:r w:rsidRPr="00435D59">
        <w:rPr>
          <w:rStyle w:val="Znakapoznpodarou"/>
          <w:sz w:val="16"/>
          <w:szCs w:val="16"/>
        </w:rPr>
        <w:footnoteRef/>
      </w:r>
      <w:r w:rsidRPr="00435D59">
        <w:rPr>
          <w:sz w:val="16"/>
          <w:szCs w:val="16"/>
        </w:rPr>
        <w:t xml:space="preserve"> Objem vyplacených mezd (zohled</w:t>
      </w:r>
      <w:r>
        <w:rPr>
          <w:sz w:val="16"/>
          <w:szCs w:val="16"/>
        </w:rPr>
        <w:t>ňující</w:t>
      </w:r>
      <w:r w:rsidRPr="00435D59">
        <w:rPr>
          <w:sz w:val="16"/>
          <w:szCs w:val="16"/>
        </w:rPr>
        <w:t xml:space="preserve"> i vývoj počtu zaměstnanců) byl letos oproti 1. pololetí 2017 vyšší o 10,8</w:t>
      </w:r>
      <w:r>
        <w:rPr>
          <w:sz w:val="16"/>
          <w:szCs w:val="16"/>
        </w:rPr>
        <w:t> %</w:t>
      </w:r>
      <w:r w:rsidRPr="00435D59">
        <w:rPr>
          <w:sz w:val="16"/>
          <w:szCs w:val="16"/>
        </w:rPr>
        <w:t xml:space="preserve">. V rámci 1. pololetí šlo o nejvyšší nominální růst v celé srovnatelné časové řadě (počínaje rokem 2000).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4A17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1CC0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240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Trh%20pr&#225;ce\Grafy-trh%20pr&#225;ce-2018-2q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Trh%20pr&#225;ce\Grafy-trh%20pr&#225;ce-2018-2q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Trh%20pr&#225;ce\Grafy-trh%20pr&#225;ce-2018-2q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306663279993914E-2"/>
          <c:y val="1.6549886621315478E-2"/>
          <c:w val="0.92698007507126057"/>
          <c:h val="0.73872874149660062"/>
        </c:manualLayout>
      </c:layout>
      <c:barChart>
        <c:barDir val="col"/>
        <c:grouping val="clustered"/>
        <c:ser>
          <c:idx val="0"/>
          <c:order val="0"/>
          <c:tx>
            <c:strRef>
              <c:f>'Trh práce 1'!$C$7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1'!$C$8:$C$41</c:f>
              <c:numCache>
                <c:formatCode>#,##0.0</c:formatCode>
                <c:ptCount val="34"/>
                <c:pt idx="0" formatCode="0.0">
                  <c:v>-2.7381041866623677</c:v>
                </c:pt>
                <c:pt idx="1">
                  <c:v>-1.2505567915665665</c:v>
                </c:pt>
                <c:pt idx="2">
                  <c:v>-0.17427926968461802</c:v>
                </c:pt>
                <c:pt idx="3">
                  <c:v>6.0614151097240734E-2</c:v>
                </c:pt>
                <c:pt idx="4" formatCode="0.0">
                  <c:v>0.11145596456296385</c:v>
                </c:pt>
                <c:pt idx="5">
                  <c:v>-4.6137088139772704E-3</c:v>
                </c:pt>
                <c:pt idx="6">
                  <c:v>-0.42422240518249493</c:v>
                </c:pt>
                <c:pt idx="7">
                  <c:v>-0.77006647161284969</c:v>
                </c:pt>
                <c:pt idx="8" formatCode="0.0">
                  <c:v>-5.1815959871305502E-2</c:v>
                </c:pt>
                <c:pt idx="9">
                  <c:v>0.17631913605207464</c:v>
                </c:pt>
                <c:pt idx="10">
                  <c:v>0.66708744164916411</c:v>
                </c:pt>
                <c:pt idx="11">
                  <c:v>0.88890301106959313</c:v>
                </c:pt>
                <c:pt idx="12" formatCode="0.0">
                  <c:v>0.45616124448188777</c:v>
                </c:pt>
                <c:pt idx="13">
                  <c:v>0.71087471075373065</c:v>
                </c:pt>
                <c:pt idx="14">
                  <c:v>0.10068664831696612</c:v>
                </c:pt>
                <c:pt idx="15">
                  <c:v>2.3089733040947628E-2</c:v>
                </c:pt>
                <c:pt idx="16" formatCode="0.0">
                  <c:v>0.57169387931378102</c:v>
                </c:pt>
                <c:pt idx="17">
                  <c:v>8.8541257752993527E-2</c:v>
                </c:pt>
                <c:pt idx="18">
                  <c:v>0.60803248290413592</c:v>
                </c:pt>
                <c:pt idx="19">
                  <c:v>0.94037946192678135</c:v>
                </c:pt>
                <c:pt idx="20" formatCode="0.0">
                  <c:v>1.2799033071128996</c:v>
                </c:pt>
                <c:pt idx="21">
                  <c:v>1.7553744025418319</c:v>
                </c:pt>
                <c:pt idx="22">
                  <c:v>1.3207067653574698</c:v>
                </c:pt>
                <c:pt idx="23">
                  <c:v>1.3555691727477779</c:v>
                </c:pt>
                <c:pt idx="24" formatCode="0.0">
                  <c:v>1.5606007684247203</c:v>
                </c:pt>
                <c:pt idx="25">
                  <c:v>1.4363180243380891</c:v>
                </c:pt>
                <c:pt idx="26">
                  <c:v>1.5066818180591253</c:v>
                </c:pt>
                <c:pt idx="27">
                  <c:v>1.8553413510311998</c:v>
                </c:pt>
                <c:pt idx="28" formatCode="0.0">
                  <c:v>1.4581308045513321</c:v>
                </c:pt>
                <c:pt idx="29">
                  <c:v>1.3544793041543386</c:v>
                </c:pt>
                <c:pt idx="30">
                  <c:v>1.971163799571116</c:v>
                </c:pt>
                <c:pt idx="31">
                  <c:v>1.4311104245249311</c:v>
                </c:pt>
                <c:pt idx="32" formatCode="0.0">
                  <c:v>1.7244931395405707</c:v>
                </c:pt>
                <c:pt idx="33">
                  <c:v>1.8987362225993958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D68-4662-A163-8E7CFEDEBE91}"/>
            </c:ext>
          </c:extLst>
        </c:ser>
        <c:ser>
          <c:idx val="1"/>
          <c:order val="1"/>
          <c:tx>
            <c:strRef>
              <c:f>'Trh práce 1'!$D$7</c:f>
              <c:strCache>
                <c:ptCount val="1"/>
                <c:pt idx="0">
                  <c:v>z toho zaměstnanci</c:v>
                </c:pt>
              </c:strCache>
            </c:strRef>
          </c:tx>
          <c:spPr>
            <a:solidFill>
              <a:srgbClr val="B4B4B4"/>
            </a:solidFill>
          </c:spP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1'!$D$8:$D$41</c:f>
              <c:numCache>
                <c:formatCode>#,##0.0</c:formatCode>
                <c:ptCount val="34"/>
                <c:pt idx="0" formatCode="0.0">
                  <c:v>-3.7238599978920952</c:v>
                </c:pt>
                <c:pt idx="1">
                  <c:v>-2.2250199470258591</c:v>
                </c:pt>
                <c:pt idx="2">
                  <c:v>-0.93022834124350595</c:v>
                </c:pt>
                <c:pt idx="3">
                  <c:v>-0.89032927193725642</c:v>
                </c:pt>
                <c:pt idx="4" formatCode="0.0">
                  <c:v>-0.12341609911226215</c:v>
                </c:pt>
                <c:pt idx="5">
                  <c:v>-0.18672815126416401</c:v>
                </c:pt>
                <c:pt idx="6">
                  <c:v>-0.66709420391368857</c:v>
                </c:pt>
                <c:pt idx="7">
                  <c:v>-1.0192253136113998</c:v>
                </c:pt>
                <c:pt idx="8" formatCode="0.0">
                  <c:v>-0.29166536743647958</c:v>
                </c:pt>
                <c:pt idx="9">
                  <c:v>9.4588410678824245E-2</c:v>
                </c:pt>
                <c:pt idx="10">
                  <c:v>1.1245661662085633</c:v>
                </c:pt>
                <c:pt idx="11">
                  <c:v>1.4587153264166661</c:v>
                </c:pt>
                <c:pt idx="12" formatCode="0.0">
                  <c:v>1.3720202353557625</c:v>
                </c:pt>
                <c:pt idx="13">
                  <c:v>1.637001199501342</c:v>
                </c:pt>
                <c:pt idx="14">
                  <c:v>0.33183104158505017</c:v>
                </c:pt>
                <c:pt idx="15">
                  <c:v>0.47892798705023137</c:v>
                </c:pt>
                <c:pt idx="16" formatCode="0.0">
                  <c:v>0.6628196747670646</c:v>
                </c:pt>
                <c:pt idx="17">
                  <c:v>0.1890145714189515</c:v>
                </c:pt>
                <c:pt idx="18">
                  <c:v>1.256531434938978</c:v>
                </c:pt>
                <c:pt idx="19">
                  <c:v>1.433287010929547</c:v>
                </c:pt>
                <c:pt idx="20" formatCode="0.0">
                  <c:v>1.7993583769695369</c:v>
                </c:pt>
                <c:pt idx="21">
                  <c:v>2.2053914248097755</c:v>
                </c:pt>
                <c:pt idx="22">
                  <c:v>1.7713405899241372</c:v>
                </c:pt>
                <c:pt idx="23">
                  <c:v>2.0227470417809212</c:v>
                </c:pt>
                <c:pt idx="24" formatCode="0.0">
                  <c:v>2.355940104508734</c:v>
                </c:pt>
                <c:pt idx="25">
                  <c:v>1.8360439848082741</c:v>
                </c:pt>
                <c:pt idx="26">
                  <c:v>1.6567099736308348</c:v>
                </c:pt>
                <c:pt idx="27">
                  <c:v>1.5009092671482298</c:v>
                </c:pt>
                <c:pt idx="28" formatCode="0.0">
                  <c:v>1.1774496686166742</c:v>
                </c:pt>
                <c:pt idx="29">
                  <c:v>1.57939124775508</c:v>
                </c:pt>
                <c:pt idx="30">
                  <c:v>2.2718731045776366</c:v>
                </c:pt>
                <c:pt idx="31">
                  <c:v>2.2289851379571992</c:v>
                </c:pt>
                <c:pt idx="32" formatCode="0.0">
                  <c:v>2.1005323013383492</c:v>
                </c:pt>
                <c:pt idx="33">
                  <c:v>2.2242234310416791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D68-4662-A163-8E7CFEDEBE91}"/>
            </c:ext>
          </c:extLst>
        </c:ser>
        <c:gapWidth val="39"/>
        <c:axId val="129437056"/>
        <c:axId val="130269568"/>
      </c:barChart>
      <c:lineChart>
        <c:grouping val="standard"/>
        <c:ser>
          <c:idx val="2"/>
          <c:order val="2"/>
          <c:tx>
            <c:strRef>
              <c:f>'Trh práce 1'!$E$7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1'!$E$8:$E$41</c:f>
              <c:numCache>
                <c:formatCode>#,##0.0</c:formatCode>
                <c:ptCount val="34"/>
                <c:pt idx="0" formatCode="0.0">
                  <c:v>-7.1332078462748711</c:v>
                </c:pt>
                <c:pt idx="1">
                  <c:v>-3.3482411734364477</c:v>
                </c:pt>
                <c:pt idx="2">
                  <c:v>-1.2052631661814672</c:v>
                </c:pt>
                <c:pt idx="3">
                  <c:v>-0.57107831908665219</c:v>
                </c:pt>
                <c:pt idx="4" formatCode="0.0">
                  <c:v>3.9580574022400277</c:v>
                </c:pt>
                <c:pt idx="5">
                  <c:v>4.2919823025534782</c:v>
                </c:pt>
                <c:pt idx="6">
                  <c:v>3.8646896455003912</c:v>
                </c:pt>
                <c:pt idx="7">
                  <c:v>2.3288126114159979</c:v>
                </c:pt>
                <c:pt idx="8" formatCode="0.0">
                  <c:v>0.6016137349142241</c:v>
                </c:pt>
                <c:pt idx="9">
                  <c:v>0.50971749516826037</c:v>
                </c:pt>
                <c:pt idx="10">
                  <c:v>1.203496561438385</c:v>
                </c:pt>
                <c:pt idx="11">
                  <c:v>1.6445011338308673</c:v>
                </c:pt>
                <c:pt idx="12" formatCode="0.0">
                  <c:v>-0.18120299422963626</c:v>
                </c:pt>
                <c:pt idx="13">
                  <c:v>0.16218486178085767</c:v>
                </c:pt>
                <c:pt idx="14">
                  <c:v>-0.4013981847250393</c:v>
                </c:pt>
                <c:pt idx="15">
                  <c:v>-0.21393208859125259</c:v>
                </c:pt>
                <c:pt idx="16" formatCode="0.0">
                  <c:v>0.79071862165065454</c:v>
                </c:pt>
                <c:pt idx="17">
                  <c:v>0.76464129428228156</c:v>
                </c:pt>
                <c:pt idx="18">
                  <c:v>1.5390716097192718</c:v>
                </c:pt>
                <c:pt idx="19">
                  <c:v>2.0806847032475781</c:v>
                </c:pt>
                <c:pt idx="20" formatCode="0.0">
                  <c:v>3.4865140664336582</c:v>
                </c:pt>
                <c:pt idx="21">
                  <c:v>3.6924773080814952</c:v>
                </c:pt>
                <c:pt idx="22">
                  <c:v>3.1131166772233891</c:v>
                </c:pt>
                <c:pt idx="23">
                  <c:v>3.7778262652801202</c:v>
                </c:pt>
                <c:pt idx="24" formatCode="0.0">
                  <c:v>3.3181239122508397</c:v>
                </c:pt>
                <c:pt idx="25">
                  <c:v>2.4934494064047632</c:v>
                </c:pt>
                <c:pt idx="26">
                  <c:v>2.752988522793018</c:v>
                </c:pt>
                <c:pt idx="27">
                  <c:v>2.2496840818432142</c:v>
                </c:pt>
                <c:pt idx="28" formatCode="0.0">
                  <c:v>0.71909348215268665</c:v>
                </c:pt>
                <c:pt idx="29">
                  <c:v>1.1727323562576828</c:v>
                </c:pt>
                <c:pt idx="30">
                  <c:v>1.6495621401575846</c:v>
                </c:pt>
                <c:pt idx="31">
                  <c:v>1.6025319425267821</c:v>
                </c:pt>
                <c:pt idx="32" formatCode="0.0">
                  <c:v>2.4397042593575202</c:v>
                </c:pt>
                <c:pt idx="33">
                  <c:v>2.0667152655168772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D68-4662-A163-8E7CFEDEBE91}"/>
            </c:ext>
          </c:extLst>
        </c:ser>
        <c:ser>
          <c:idx val="3"/>
          <c:order val="3"/>
          <c:tx>
            <c:strRef>
              <c:f>'Trh práce 1'!$F$7</c:f>
              <c:strCache>
                <c:ptCount val="1"/>
                <c:pt idx="0">
                  <c:v>Stavebnictví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1'!$F$8:$F$41</c:f>
              <c:numCache>
                <c:formatCode>#,##0.0</c:formatCode>
                <c:ptCount val="34"/>
                <c:pt idx="0" formatCode="0.0">
                  <c:v>1.017150907000584</c:v>
                </c:pt>
                <c:pt idx="1">
                  <c:v>1.5693791045548409</c:v>
                </c:pt>
                <c:pt idx="2">
                  <c:v>2.0348623615295187</c:v>
                </c:pt>
                <c:pt idx="3">
                  <c:v>2.0719031464400643</c:v>
                </c:pt>
                <c:pt idx="4" formatCode="0.0">
                  <c:v>-4.9720244150559552</c:v>
                </c:pt>
                <c:pt idx="5">
                  <c:v>-4.9425484989163522</c:v>
                </c:pt>
                <c:pt idx="6">
                  <c:v>-5.3929895160436265</c:v>
                </c:pt>
                <c:pt idx="7">
                  <c:v>-5.2321963671733158</c:v>
                </c:pt>
                <c:pt idx="8" formatCode="0.0">
                  <c:v>-0.97885721932289615</c:v>
                </c:pt>
                <c:pt idx="9">
                  <c:v>-0.65027723873348886</c:v>
                </c:pt>
                <c:pt idx="10">
                  <c:v>-1.6611184117737976</c:v>
                </c:pt>
                <c:pt idx="11">
                  <c:v>-1.8463324339587268</c:v>
                </c:pt>
                <c:pt idx="12" formatCode="0.0">
                  <c:v>-2.4007243390068709</c:v>
                </c:pt>
                <c:pt idx="13">
                  <c:v>-3.6830996837470402</c:v>
                </c:pt>
                <c:pt idx="14">
                  <c:v>-2.2125495427610202</c:v>
                </c:pt>
                <c:pt idx="15">
                  <c:v>-1.1077701445443751</c:v>
                </c:pt>
                <c:pt idx="16" formatCode="0.0">
                  <c:v>-5.0446309065566295</c:v>
                </c:pt>
                <c:pt idx="17">
                  <c:v>-3.6409800448530012</c:v>
                </c:pt>
                <c:pt idx="18">
                  <c:v>-4.2835724994646096</c:v>
                </c:pt>
                <c:pt idx="19">
                  <c:v>-5.2633644622470541</c:v>
                </c:pt>
                <c:pt idx="20" formatCode="0.0">
                  <c:v>-0.14824824046351784</c:v>
                </c:pt>
                <c:pt idx="21">
                  <c:v>-6.0303844188425333E-2</c:v>
                </c:pt>
                <c:pt idx="22">
                  <c:v>-0.63237568953272261</c:v>
                </c:pt>
                <c:pt idx="23">
                  <c:v>-1.0159694112543587</c:v>
                </c:pt>
                <c:pt idx="24" formatCode="0.0">
                  <c:v>-2.1868656629233243</c:v>
                </c:pt>
                <c:pt idx="25">
                  <c:v>-2.5342897300441067</c:v>
                </c:pt>
                <c:pt idx="26">
                  <c:v>-1.1176165346544309</c:v>
                </c:pt>
                <c:pt idx="27">
                  <c:v>-0.83584044433720861</c:v>
                </c:pt>
                <c:pt idx="28" formatCode="0.0">
                  <c:v>-2.8864553084645195E-2</c:v>
                </c:pt>
                <c:pt idx="29">
                  <c:v>-9.1247681513266329E-2</c:v>
                </c:pt>
                <c:pt idx="30">
                  <c:v>0.82503675906350793</c:v>
                </c:pt>
                <c:pt idx="31">
                  <c:v>-1.0750205445612233</c:v>
                </c:pt>
                <c:pt idx="32" formatCode="0.0">
                  <c:v>-0.5702395205109525</c:v>
                </c:pt>
                <c:pt idx="33">
                  <c:v>-0.71770751676683664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D68-4662-A163-8E7CFEDEBE91}"/>
            </c:ext>
          </c:extLst>
        </c:ser>
        <c:ser>
          <c:idx val="4"/>
          <c:order val="4"/>
          <c:tx>
            <c:strRef>
              <c:f>'Trh práce 1'!$G$7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1'!$G$8:$G$41</c:f>
              <c:numCache>
                <c:formatCode>#,##0.0</c:formatCode>
                <c:ptCount val="34"/>
                <c:pt idx="0" formatCode="0.0">
                  <c:v>-1.3633198763318581</c:v>
                </c:pt>
                <c:pt idx="1">
                  <c:v>-0.54035622593067956</c:v>
                </c:pt>
                <c:pt idx="2">
                  <c:v>0.559306872822257</c:v>
                </c:pt>
                <c:pt idx="3">
                  <c:v>1.0934620603885901</c:v>
                </c:pt>
                <c:pt idx="4" formatCode="0.0">
                  <c:v>-0.18173575863548341</c:v>
                </c:pt>
                <c:pt idx="5">
                  <c:v>-0.33952721098038152</c:v>
                </c:pt>
                <c:pt idx="6">
                  <c:v>-0.36432124495425916</c:v>
                </c:pt>
                <c:pt idx="7">
                  <c:v>-0.69391217013343043</c:v>
                </c:pt>
                <c:pt idx="8" formatCode="0.0">
                  <c:v>-0.53508939107021547</c:v>
                </c:pt>
                <c:pt idx="9">
                  <c:v>-0.40325191670119098</c:v>
                </c:pt>
                <c:pt idx="10">
                  <c:v>-0.34067487144116682</c:v>
                </c:pt>
                <c:pt idx="11">
                  <c:v>-0.81199507383202274</c:v>
                </c:pt>
                <c:pt idx="12" formatCode="0.0">
                  <c:v>0.85701449774025207</c:v>
                </c:pt>
                <c:pt idx="13">
                  <c:v>0.65405689189694249</c:v>
                </c:pt>
                <c:pt idx="14">
                  <c:v>5.1664001267752696E-2</c:v>
                </c:pt>
                <c:pt idx="15">
                  <c:v>6.9114625386519024E-2</c:v>
                </c:pt>
                <c:pt idx="16" formatCode="0.0">
                  <c:v>-0.19402123562424842</c:v>
                </c:pt>
                <c:pt idx="17">
                  <c:v>-0.97995836973424322</c:v>
                </c:pt>
                <c:pt idx="18">
                  <c:v>-0.44655375413037729</c:v>
                </c:pt>
                <c:pt idx="19">
                  <c:v>0.53620283239253363</c:v>
                </c:pt>
                <c:pt idx="20" formatCode="0.0">
                  <c:v>0.53896959122874932</c:v>
                </c:pt>
                <c:pt idx="21">
                  <c:v>1.5878374246260432</c:v>
                </c:pt>
                <c:pt idx="22">
                  <c:v>0.90466260427565659</c:v>
                </c:pt>
                <c:pt idx="23">
                  <c:v>0.3413912663967128</c:v>
                </c:pt>
                <c:pt idx="24" formatCode="0.0">
                  <c:v>0.34699395439371034</c:v>
                </c:pt>
                <c:pt idx="25">
                  <c:v>0.95789407781626323</c:v>
                </c:pt>
                <c:pt idx="26">
                  <c:v>-2.509862472408031E-2</c:v>
                </c:pt>
                <c:pt idx="27">
                  <c:v>0.50768658267243438</c:v>
                </c:pt>
                <c:pt idx="28" formatCode="0.0">
                  <c:v>1.3004811571536408</c:v>
                </c:pt>
                <c:pt idx="29">
                  <c:v>0.66243067216200846</c:v>
                </c:pt>
                <c:pt idx="30">
                  <c:v>2.1398730591961197</c:v>
                </c:pt>
                <c:pt idx="31">
                  <c:v>1.5755515432150702</c:v>
                </c:pt>
                <c:pt idx="32" formatCode="0.0">
                  <c:v>1.0968212868450278</c:v>
                </c:pt>
                <c:pt idx="33">
                  <c:v>2.2350891381886777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D68-4662-A163-8E7CFEDEBE91}"/>
            </c:ext>
          </c:extLst>
        </c:ser>
        <c:ser>
          <c:idx val="5"/>
          <c:order val="5"/>
          <c:tx>
            <c:strRef>
              <c:f>'Trh práce 1'!$H$7</c:f>
              <c:strCache>
                <c:ptCount val="1"/>
                <c:pt idx="0">
                  <c:v>Veř.spr.,obrana,vzděl.,zdrav.a soc.péče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1'!$H$8:$H$41</c:f>
              <c:numCache>
                <c:formatCode>#,##0.0</c:formatCode>
                <c:ptCount val="34"/>
                <c:pt idx="0" formatCode="0.0">
                  <c:v>-0.11963560895299107</c:v>
                </c:pt>
                <c:pt idx="1">
                  <c:v>-0.35742551507569353</c:v>
                </c:pt>
                <c:pt idx="2">
                  <c:v>-0.16003073304796236</c:v>
                </c:pt>
                <c:pt idx="3">
                  <c:v>-0.12721260673563961</c:v>
                </c:pt>
                <c:pt idx="4" formatCode="0.0">
                  <c:v>-0.52992756807859165</c:v>
                </c:pt>
                <c:pt idx="5">
                  <c:v>-0.82580734281198431</c:v>
                </c:pt>
                <c:pt idx="6">
                  <c:v>-0.94975503903715763</c:v>
                </c:pt>
                <c:pt idx="7">
                  <c:v>-0.73535528868961864</c:v>
                </c:pt>
                <c:pt idx="8" formatCode="0.0">
                  <c:v>-2.4491844584127422</c:v>
                </c:pt>
                <c:pt idx="9">
                  <c:v>-1.8478995882073992</c:v>
                </c:pt>
                <c:pt idx="10">
                  <c:v>-0.33618323058873045</c:v>
                </c:pt>
                <c:pt idx="11">
                  <c:v>0.22730335767944623</c:v>
                </c:pt>
                <c:pt idx="12" formatCode="0.0">
                  <c:v>0.87138363811224906</c:v>
                </c:pt>
                <c:pt idx="13">
                  <c:v>2.1694821372780777</c:v>
                </c:pt>
                <c:pt idx="14">
                  <c:v>1.0800496741268601</c:v>
                </c:pt>
                <c:pt idx="15">
                  <c:v>0.87924083130690722</c:v>
                </c:pt>
                <c:pt idx="16" formatCode="0.0">
                  <c:v>1.5182514773659079</c:v>
                </c:pt>
                <c:pt idx="17">
                  <c:v>0.94515883328105665</c:v>
                </c:pt>
                <c:pt idx="18">
                  <c:v>1.97223579842256</c:v>
                </c:pt>
                <c:pt idx="19">
                  <c:v>2.0265494556700627</c:v>
                </c:pt>
                <c:pt idx="20" formatCode="0.0">
                  <c:v>1.4780542313438341</c:v>
                </c:pt>
                <c:pt idx="21">
                  <c:v>1.3509794739890708</c:v>
                </c:pt>
                <c:pt idx="22">
                  <c:v>0.56162730108894721</c:v>
                </c:pt>
                <c:pt idx="23">
                  <c:v>0.55520118220412962</c:v>
                </c:pt>
                <c:pt idx="24" formatCode="0.0">
                  <c:v>2.1251204897317422</c:v>
                </c:pt>
                <c:pt idx="25">
                  <c:v>2.0754938015465711</c:v>
                </c:pt>
                <c:pt idx="26">
                  <c:v>2.5441988134942761</c:v>
                </c:pt>
                <c:pt idx="27">
                  <c:v>3.0951044766993618</c:v>
                </c:pt>
                <c:pt idx="28" formatCode="0.0">
                  <c:v>2.9285450908007977</c:v>
                </c:pt>
                <c:pt idx="29">
                  <c:v>3.2432722319350402</c:v>
                </c:pt>
                <c:pt idx="30">
                  <c:v>3.7142573883787833</c:v>
                </c:pt>
                <c:pt idx="31">
                  <c:v>3.7314428655244427</c:v>
                </c:pt>
                <c:pt idx="32" formatCode="0.0">
                  <c:v>2.5560203245027227</c:v>
                </c:pt>
                <c:pt idx="33">
                  <c:v>2.7095228596836876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D68-4662-A163-8E7CFEDEBE91}"/>
            </c:ext>
          </c:extLst>
        </c:ser>
        <c:ser>
          <c:idx val="6"/>
          <c:order val="6"/>
          <c:tx>
            <c:strRef>
              <c:f>'Trh práce 1'!$I$7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1'!$A$8:$B$41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1'!$I$8:$I$41</c:f>
              <c:numCache>
                <c:formatCode>#,##0.0</c:formatCode>
                <c:ptCount val="34"/>
                <c:pt idx="0" formatCode="0.0">
                  <c:v>-2.5937084219058177</c:v>
                </c:pt>
                <c:pt idx="1">
                  <c:v>-2.9463679565512582</c:v>
                </c:pt>
                <c:pt idx="2">
                  <c:v>-2.5515796380664</c:v>
                </c:pt>
                <c:pt idx="3">
                  <c:v>-3.0104778941988046</c:v>
                </c:pt>
                <c:pt idx="4" formatCode="0.0">
                  <c:v>-1.6893536181370052</c:v>
                </c:pt>
                <c:pt idx="5">
                  <c:v>-3.3194988497170925</c:v>
                </c:pt>
                <c:pt idx="6">
                  <c:v>-5.1648545041356266</c:v>
                </c:pt>
                <c:pt idx="7">
                  <c:v>-6.2259094194170075</c:v>
                </c:pt>
                <c:pt idx="8" formatCode="0.0">
                  <c:v>0.82405736461343793</c:v>
                </c:pt>
                <c:pt idx="9">
                  <c:v>1.4526540882525438</c:v>
                </c:pt>
                <c:pt idx="10">
                  <c:v>2.1800695492210052</c:v>
                </c:pt>
                <c:pt idx="11">
                  <c:v>2.9005635747659841</c:v>
                </c:pt>
                <c:pt idx="12" formatCode="0.0">
                  <c:v>1.6322683857887341</c:v>
                </c:pt>
                <c:pt idx="13">
                  <c:v>2.9881141045958799</c:v>
                </c:pt>
                <c:pt idx="14">
                  <c:v>1.2531288740791098</c:v>
                </c:pt>
                <c:pt idx="15">
                  <c:v>1.245172615564643</c:v>
                </c:pt>
                <c:pt idx="16" formatCode="0.0">
                  <c:v>4.0069509923866384</c:v>
                </c:pt>
                <c:pt idx="17">
                  <c:v>2.5959637149825596</c:v>
                </c:pt>
                <c:pt idx="18">
                  <c:v>3.3759650627778228</c:v>
                </c:pt>
                <c:pt idx="19">
                  <c:v>3.2279939277650946</c:v>
                </c:pt>
                <c:pt idx="20" formatCode="0.0">
                  <c:v>0.31018438738583837</c:v>
                </c:pt>
                <c:pt idx="21">
                  <c:v>1.9873261089654612</c:v>
                </c:pt>
                <c:pt idx="22">
                  <c:v>2.9232266387042785</c:v>
                </c:pt>
                <c:pt idx="23">
                  <c:v>3.7802329053448878</c:v>
                </c:pt>
                <c:pt idx="24" formatCode="0.0">
                  <c:v>5.2179888410029251</c:v>
                </c:pt>
                <c:pt idx="25">
                  <c:v>4.5192837971984403</c:v>
                </c:pt>
                <c:pt idx="26">
                  <c:v>5.4004133866924633</c:v>
                </c:pt>
                <c:pt idx="27">
                  <c:v>6.4449303717343716</c:v>
                </c:pt>
                <c:pt idx="28" formatCode="0.0">
                  <c:v>2.939610560165832</c:v>
                </c:pt>
                <c:pt idx="29">
                  <c:v>2.3835487297823912</c:v>
                </c:pt>
                <c:pt idx="30">
                  <c:v>2.9213780058691725</c:v>
                </c:pt>
                <c:pt idx="31">
                  <c:v>1.9637258081954754</c:v>
                </c:pt>
                <c:pt idx="32" formatCode="0.0">
                  <c:v>4.1617819460726775</c:v>
                </c:pt>
                <c:pt idx="33">
                  <c:v>4.5544187069243947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D68-4662-A163-8E7CFEDEBE91}"/>
            </c:ext>
          </c:extLst>
        </c:ser>
        <c:marker val="1"/>
        <c:axId val="129437056"/>
        <c:axId val="130269568"/>
      </c:lineChart>
      <c:catAx>
        <c:axId val="12943705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30269568"/>
        <c:crosses val="autoZero"/>
        <c:auto val="1"/>
        <c:lblAlgn val="ctr"/>
        <c:lblOffset val="10"/>
      </c:catAx>
      <c:valAx>
        <c:axId val="130269568"/>
        <c:scaling>
          <c:orientation val="minMax"/>
          <c:max val="7"/>
          <c:min val="-7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943705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714541748739532E-2"/>
          <c:y val="0.85976117037112165"/>
          <c:w val="0.92581744326929161"/>
          <c:h val="0.1330439716295985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183922558922563E-2"/>
          <c:y val="1.643251153889452E-2"/>
          <c:w val="0.8957392676767677"/>
          <c:h val="0.75762726757370635"/>
        </c:manualLayout>
      </c:layout>
      <c:barChart>
        <c:barDir val="col"/>
        <c:grouping val="clustered"/>
        <c:ser>
          <c:idx val="0"/>
          <c:order val="0"/>
          <c:tx>
            <c:strRef>
              <c:f>'Trh práce-2'!$A$27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práce-2'!$B$27:$AI$27</c:f>
              <c:numCache>
                <c:formatCode>0.0</c:formatCode>
                <c:ptCount val="34"/>
                <c:pt idx="0">
                  <c:v>7.0991999943529533</c:v>
                </c:pt>
                <c:pt idx="1">
                  <c:v>6.5181875413127752</c:v>
                </c:pt>
                <c:pt idx="2">
                  <c:v>6.1900830830529721</c:v>
                </c:pt>
                <c:pt idx="3">
                  <c:v>6.0725496361374045</c:v>
                </c:pt>
                <c:pt idx="4">
                  <c:v>6.0591763240098082</c:v>
                </c:pt>
                <c:pt idx="5">
                  <c:v>6.0082218062227826</c:v>
                </c:pt>
                <c:pt idx="6">
                  <c:v>5.7746741047553716</c:v>
                </c:pt>
                <c:pt idx="7">
                  <c:v>5.6892744872329422</c:v>
                </c:pt>
                <c:pt idx="8">
                  <c:v>5.9999548563426295</c:v>
                </c:pt>
                <c:pt idx="9">
                  <c:v>5.9978622628146034</c:v>
                </c:pt>
                <c:pt idx="10">
                  <c:v>6.0638627970186034</c:v>
                </c:pt>
                <c:pt idx="11">
                  <c:v>6.2503970785916634</c:v>
                </c:pt>
                <c:pt idx="12">
                  <c:v>6.2704649366933634</c:v>
                </c:pt>
                <c:pt idx="13">
                  <c:v>5.9104384361987075</c:v>
                </c:pt>
                <c:pt idx="14">
                  <c:v>5.9339093715123594</c:v>
                </c:pt>
                <c:pt idx="15">
                  <c:v>5.7556577193635574</c:v>
                </c:pt>
                <c:pt idx="16">
                  <c:v>5.5339368397780957</c:v>
                </c:pt>
                <c:pt idx="17">
                  <c:v>5.2325922105119327</c:v>
                </c:pt>
                <c:pt idx="18">
                  <c:v>4.9439375292286636</c:v>
                </c:pt>
                <c:pt idx="19">
                  <c:v>5.0231445532307299</c:v>
                </c:pt>
                <c:pt idx="20">
                  <c:v>4.9894559304797879</c:v>
                </c:pt>
                <c:pt idx="21">
                  <c:v>4.3866323546022592</c:v>
                </c:pt>
                <c:pt idx="22">
                  <c:v>4.0765187947766446</c:v>
                </c:pt>
                <c:pt idx="23">
                  <c:v>3.7639647303636492</c:v>
                </c:pt>
                <c:pt idx="24">
                  <c:v>3.6132541353027907</c:v>
                </c:pt>
                <c:pt idx="25">
                  <c:v>3.6072501778867041</c:v>
                </c:pt>
                <c:pt idx="26">
                  <c:v>3.3868876577507354</c:v>
                </c:pt>
                <c:pt idx="27">
                  <c:v>3.1343986856554302</c:v>
                </c:pt>
                <c:pt idx="28">
                  <c:v>2.6711986511419092</c:v>
                </c:pt>
                <c:pt idx="29">
                  <c:v>2.5275060396849192</c:v>
                </c:pt>
                <c:pt idx="30">
                  <c:v>2.2614889609033075</c:v>
                </c:pt>
                <c:pt idx="31">
                  <c:v>2.0275475644002752</c:v>
                </c:pt>
                <c:pt idx="32">
                  <c:v>1.8778423523256036</c:v>
                </c:pt>
                <c:pt idx="33">
                  <c:v>1.8965238219376124</c:v>
                </c:pt>
              </c:numCache>
            </c:numRef>
          </c:val>
        </c:ser>
        <c:ser>
          <c:idx val="1"/>
          <c:order val="1"/>
          <c:tx>
            <c:strRef>
              <c:f>'Trh práce-2'!$A$28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rgbClr val="DBDBDB"/>
            </a:solidFill>
          </c:spP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práce-2'!$B$28:$AI$28</c:f>
              <c:numCache>
                <c:formatCode>0.0</c:formatCode>
                <c:ptCount val="34"/>
                <c:pt idx="0">
                  <c:v>8.7581257623575546</c:v>
                </c:pt>
                <c:pt idx="1">
                  <c:v>8.6259517423982537</c:v>
                </c:pt>
                <c:pt idx="2">
                  <c:v>8.4755253706591223</c:v>
                </c:pt>
                <c:pt idx="3">
                  <c:v>8.2958991962505539</c:v>
                </c:pt>
                <c:pt idx="4">
                  <c:v>8.1711805552480641</c:v>
                </c:pt>
                <c:pt idx="5">
                  <c:v>8.1818254825190131</c:v>
                </c:pt>
                <c:pt idx="6">
                  <c:v>7.7663119722887295</c:v>
                </c:pt>
                <c:pt idx="7">
                  <c:v>7.7236412157605514</c:v>
                </c:pt>
                <c:pt idx="8">
                  <c:v>8.027940066088501</c:v>
                </c:pt>
                <c:pt idx="9">
                  <c:v>8.2369249350269076</c:v>
                </c:pt>
                <c:pt idx="10">
                  <c:v>8.2935014210714417</c:v>
                </c:pt>
                <c:pt idx="11">
                  <c:v>8.5419989173412816</c:v>
                </c:pt>
                <c:pt idx="12">
                  <c:v>8.4720928288102861</c:v>
                </c:pt>
                <c:pt idx="13">
                  <c:v>8.4544922056213085</c:v>
                </c:pt>
                <c:pt idx="14">
                  <c:v>8.3473187285272079</c:v>
                </c:pt>
                <c:pt idx="15">
                  <c:v>8.2453624583825711</c:v>
                </c:pt>
                <c:pt idx="16">
                  <c:v>8.0211752164076788</c:v>
                </c:pt>
                <c:pt idx="17">
                  <c:v>7.6965014076384275</c:v>
                </c:pt>
                <c:pt idx="18">
                  <c:v>7.2646943276337241</c:v>
                </c:pt>
                <c:pt idx="19">
                  <c:v>7.0032040771272968</c:v>
                </c:pt>
                <c:pt idx="20">
                  <c:v>6.9027541533858328</c:v>
                </c:pt>
                <c:pt idx="21">
                  <c:v>6.2589605262453354</c:v>
                </c:pt>
                <c:pt idx="22">
                  <c:v>5.9235753210160498</c:v>
                </c:pt>
                <c:pt idx="23">
                  <c:v>5.6153092773914901</c:v>
                </c:pt>
                <c:pt idx="24">
                  <c:v>5.1185198953901985</c:v>
                </c:pt>
                <c:pt idx="25">
                  <c:v>4.8467772089654035</c:v>
                </c:pt>
                <c:pt idx="26">
                  <c:v>4.7763142805498537</c:v>
                </c:pt>
                <c:pt idx="27">
                  <c:v>4.317890401388162</c:v>
                </c:pt>
                <c:pt idx="28">
                  <c:v>4.3367136535478474</c:v>
                </c:pt>
                <c:pt idx="29">
                  <c:v>3.9266906515174202</c:v>
                </c:pt>
                <c:pt idx="30">
                  <c:v>3.3735196857800314</c:v>
                </c:pt>
                <c:pt idx="31">
                  <c:v>2.9621046568625058</c:v>
                </c:pt>
                <c:pt idx="32">
                  <c:v>3.0230157883650652</c:v>
                </c:pt>
                <c:pt idx="33">
                  <c:v>2.9143558133229988</c:v>
                </c:pt>
              </c:numCache>
            </c:numRef>
          </c:val>
        </c:ser>
        <c:gapWidth val="68"/>
        <c:axId val="127852544"/>
        <c:axId val="127854080"/>
      </c:barChart>
      <c:lineChart>
        <c:grouping val="standard"/>
        <c:ser>
          <c:idx val="2"/>
          <c:order val="2"/>
          <c:tx>
            <c:strRef>
              <c:f>'Trh práce-2'!$A$29</c:f>
              <c:strCache>
                <c:ptCount val="1"/>
                <c:pt idx="0">
                  <c:v>% podíl nezam. &gt; 1 rok (pravá osa)</c:v>
                </c:pt>
              </c:strCache>
            </c:strRef>
          </c:tx>
          <c:spPr>
            <a:ln w="19050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práce-2'!$B$29:$AI$29</c:f>
              <c:numCache>
                <c:formatCode>#,##0.0</c:formatCode>
                <c:ptCount val="34"/>
                <c:pt idx="0">
                  <c:v>35.700000000000003</c:v>
                </c:pt>
                <c:pt idx="1">
                  <c:v>41.3</c:v>
                </c:pt>
                <c:pt idx="2">
                  <c:v>43.4</c:v>
                </c:pt>
                <c:pt idx="3">
                  <c:v>43.9</c:v>
                </c:pt>
                <c:pt idx="4">
                  <c:v>40.1</c:v>
                </c:pt>
                <c:pt idx="5">
                  <c:v>39</c:v>
                </c:pt>
                <c:pt idx="6">
                  <c:v>40.800000000000004</c:v>
                </c:pt>
                <c:pt idx="7">
                  <c:v>42.6</c:v>
                </c:pt>
                <c:pt idx="8">
                  <c:v>43.3</c:v>
                </c:pt>
                <c:pt idx="9">
                  <c:v>44.1</c:v>
                </c:pt>
                <c:pt idx="10">
                  <c:v>43.6</c:v>
                </c:pt>
                <c:pt idx="11">
                  <c:v>42.6</c:v>
                </c:pt>
                <c:pt idx="12">
                  <c:v>43.4</c:v>
                </c:pt>
                <c:pt idx="13">
                  <c:v>44.1</c:v>
                </c:pt>
                <c:pt idx="14">
                  <c:v>44</c:v>
                </c:pt>
                <c:pt idx="15">
                  <c:v>42.1</c:v>
                </c:pt>
                <c:pt idx="16">
                  <c:v>41.2</c:v>
                </c:pt>
                <c:pt idx="17">
                  <c:v>43</c:v>
                </c:pt>
                <c:pt idx="18">
                  <c:v>44.3</c:v>
                </c:pt>
                <c:pt idx="19">
                  <c:v>45.9</c:v>
                </c:pt>
                <c:pt idx="20">
                  <c:v>45.9</c:v>
                </c:pt>
                <c:pt idx="21">
                  <c:v>46.4</c:v>
                </c:pt>
                <c:pt idx="22">
                  <c:v>49</c:v>
                </c:pt>
                <c:pt idx="23">
                  <c:v>48.1</c:v>
                </c:pt>
                <c:pt idx="24">
                  <c:v>46</c:v>
                </c:pt>
                <c:pt idx="25">
                  <c:v>43.2</c:v>
                </c:pt>
                <c:pt idx="26">
                  <c:v>39.9</c:v>
                </c:pt>
                <c:pt idx="27">
                  <c:v>38.800000000000004</c:v>
                </c:pt>
                <c:pt idx="28">
                  <c:v>36.800000000000004</c:v>
                </c:pt>
                <c:pt idx="29">
                  <c:v>37.5</c:v>
                </c:pt>
                <c:pt idx="30">
                  <c:v>33.9</c:v>
                </c:pt>
                <c:pt idx="31">
                  <c:v>31.3</c:v>
                </c:pt>
                <c:pt idx="32">
                  <c:v>30.6</c:v>
                </c:pt>
                <c:pt idx="33">
                  <c:v>30.5</c:v>
                </c:pt>
              </c:numCache>
            </c:numRef>
          </c:val>
        </c:ser>
        <c:ser>
          <c:idx val="3"/>
          <c:order val="3"/>
          <c:tx>
            <c:strRef>
              <c:f>'Trh práce-2'!$A$30</c:f>
              <c:strCache>
                <c:ptCount val="1"/>
                <c:pt idx="0">
                  <c:v>% podíl nezam. &gt; 2 roky (pravá osa)</c:v>
                </c:pt>
              </c:strCache>
            </c:strRef>
          </c:tx>
          <c:spPr>
            <a:ln w="19050">
              <a:solidFill>
                <a:srgbClr val="F6882E"/>
              </a:solidFill>
              <a:prstDash val="solid"/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práce-2'!$B$30:$AI$30</c:f>
              <c:numCache>
                <c:formatCode>#,##0.0</c:formatCode>
                <c:ptCount val="34"/>
                <c:pt idx="0">
                  <c:v>15</c:v>
                </c:pt>
                <c:pt idx="1">
                  <c:v>18</c:v>
                </c:pt>
                <c:pt idx="2">
                  <c:v>18.899999999999999</c:v>
                </c:pt>
                <c:pt idx="3">
                  <c:v>20</c:v>
                </c:pt>
                <c:pt idx="4">
                  <c:v>19</c:v>
                </c:pt>
                <c:pt idx="5">
                  <c:v>18.899999999999999</c:v>
                </c:pt>
                <c:pt idx="6">
                  <c:v>20.8</c:v>
                </c:pt>
                <c:pt idx="7">
                  <c:v>22.3</c:v>
                </c:pt>
                <c:pt idx="8">
                  <c:v>24.1</c:v>
                </c:pt>
                <c:pt idx="9">
                  <c:v>24.8</c:v>
                </c:pt>
                <c:pt idx="10">
                  <c:v>25</c:v>
                </c:pt>
                <c:pt idx="11">
                  <c:v>23.5</c:v>
                </c:pt>
                <c:pt idx="12">
                  <c:v>24.2</c:v>
                </c:pt>
                <c:pt idx="13">
                  <c:v>24.1</c:v>
                </c:pt>
                <c:pt idx="14">
                  <c:v>23.9</c:v>
                </c:pt>
                <c:pt idx="15">
                  <c:v>23.4</c:v>
                </c:pt>
                <c:pt idx="16">
                  <c:v>23</c:v>
                </c:pt>
                <c:pt idx="17">
                  <c:v>24.1</c:v>
                </c:pt>
                <c:pt idx="18">
                  <c:v>26.2</c:v>
                </c:pt>
                <c:pt idx="19">
                  <c:v>26.4</c:v>
                </c:pt>
                <c:pt idx="20">
                  <c:v>27.2</c:v>
                </c:pt>
                <c:pt idx="21">
                  <c:v>27.7</c:v>
                </c:pt>
                <c:pt idx="22">
                  <c:v>29</c:v>
                </c:pt>
                <c:pt idx="23">
                  <c:v>30.2</c:v>
                </c:pt>
                <c:pt idx="24">
                  <c:v>30.4</c:v>
                </c:pt>
                <c:pt idx="25">
                  <c:v>27.8</c:v>
                </c:pt>
                <c:pt idx="26">
                  <c:v>24.1</c:v>
                </c:pt>
                <c:pt idx="27">
                  <c:v>23.2</c:v>
                </c:pt>
                <c:pt idx="28">
                  <c:v>21.6</c:v>
                </c:pt>
                <c:pt idx="29">
                  <c:v>21.9</c:v>
                </c:pt>
                <c:pt idx="30">
                  <c:v>17.899999999999999</c:v>
                </c:pt>
                <c:pt idx="31">
                  <c:v>17.2</c:v>
                </c:pt>
                <c:pt idx="32">
                  <c:v>17.600000000000001</c:v>
                </c:pt>
              </c:numCache>
            </c:numRef>
          </c:val>
        </c:ser>
        <c:ser>
          <c:idx val="4"/>
          <c:order val="4"/>
          <c:tx>
            <c:strRef>
              <c:f>'Trh práce-2'!$A$31</c:f>
              <c:strCache>
                <c:ptCount val="1"/>
                <c:pt idx="0">
                  <c:v>% podíl nezam. do 25 let  (pravá osa)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práce-2'!$B$31:$AI$31</c:f>
              <c:numCache>
                <c:formatCode>0.0</c:formatCode>
                <c:ptCount val="34"/>
                <c:pt idx="0">
                  <c:v>19.41031941031941</c:v>
                </c:pt>
                <c:pt idx="1">
                  <c:v>19.430051813471501</c:v>
                </c:pt>
                <c:pt idx="2">
                  <c:v>19.251336898395696</c:v>
                </c:pt>
                <c:pt idx="3">
                  <c:v>18.579234972677586</c:v>
                </c:pt>
                <c:pt idx="4">
                  <c:v>18.055555555555554</c:v>
                </c:pt>
                <c:pt idx="5">
                  <c:v>19.498607242339773</c:v>
                </c:pt>
                <c:pt idx="6">
                  <c:v>19.533527696792987</c:v>
                </c:pt>
                <c:pt idx="7">
                  <c:v>19.230769230769177</c:v>
                </c:pt>
                <c:pt idx="8">
                  <c:v>20.168067226890781</c:v>
                </c:pt>
                <c:pt idx="9">
                  <c:v>20.718232044198889</c:v>
                </c:pt>
                <c:pt idx="10">
                  <c:v>19.293478260869566</c:v>
                </c:pt>
                <c:pt idx="11">
                  <c:v>18.947368421052659</c:v>
                </c:pt>
                <c:pt idx="12">
                  <c:v>18.997361477572557</c:v>
                </c:pt>
                <c:pt idx="13">
                  <c:v>18.279569892473091</c:v>
                </c:pt>
                <c:pt idx="14">
                  <c:v>18.256130790190728</c:v>
                </c:pt>
                <c:pt idx="15">
                  <c:v>18.715083798882691</c:v>
                </c:pt>
                <c:pt idx="16">
                  <c:v>17.341040462427742</c:v>
                </c:pt>
                <c:pt idx="17">
                  <c:v>17.933130699088146</c:v>
                </c:pt>
                <c:pt idx="18">
                  <c:v>17.628205128205131</c:v>
                </c:pt>
                <c:pt idx="19">
                  <c:v>16.558441558441533</c:v>
                </c:pt>
                <c:pt idx="20">
                  <c:v>16.993464052287585</c:v>
                </c:pt>
                <c:pt idx="21">
                  <c:v>17.216117216117212</c:v>
                </c:pt>
                <c:pt idx="22">
                  <c:v>16.078431372548984</c:v>
                </c:pt>
                <c:pt idx="23">
                  <c:v>15.546218487394942</c:v>
                </c:pt>
                <c:pt idx="24">
                  <c:v>15.24663677130045</c:v>
                </c:pt>
                <c:pt idx="25">
                  <c:v>17.431192660550458</c:v>
                </c:pt>
                <c:pt idx="26">
                  <c:v>16.587677725118514</c:v>
                </c:pt>
                <c:pt idx="27">
                  <c:v>17.098445595854923</c:v>
                </c:pt>
                <c:pt idx="28">
                  <c:v>16.759776536312813</c:v>
                </c:pt>
                <c:pt idx="29">
                  <c:v>18.562874251497004</c:v>
                </c:pt>
                <c:pt idx="30">
                  <c:v>16.43835616438356</c:v>
                </c:pt>
                <c:pt idx="31">
                  <c:v>13.076923076923078</c:v>
                </c:pt>
                <c:pt idx="32">
                  <c:v>16.935483870967676</c:v>
                </c:pt>
                <c:pt idx="33">
                  <c:v>19.047619047619026</c:v>
                </c:pt>
              </c:numCache>
            </c:numRef>
          </c:val>
        </c:ser>
        <c:ser>
          <c:idx val="5"/>
          <c:order val="5"/>
          <c:tx>
            <c:strRef>
              <c:f>'Trh práce-2'!$A$32</c:f>
              <c:strCache>
                <c:ptCount val="1"/>
                <c:pt idx="0">
                  <c:v>Ekon.neaktiv.chtějící pracovat (pr. osa)*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práce-2'!$B$25:$AI$26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práce-2'!$B$32:$AI$32</c:f>
              <c:numCache>
                <c:formatCode>0.0</c:formatCode>
                <c:ptCount val="34"/>
                <c:pt idx="0">
                  <c:v>183.00000000000003</c:v>
                </c:pt>
                <c:pt idx="1">
                  <c:v>183.20000000000002</c:v>
                </c:pt>
                <c:pt idx="2">
                  <c:v>172.5</c:v>
                </c:pt>
                <c:pt idx="3">
                  <c:v>172.00000000000003</c:v>
                </c:pt>
                <c:pt idx="4">
                  <c:v>193.70000000000002</c:v>
                </c:pt>
                <c:pt idx="5">
                  <c:v>184.4</c:v>
                </c:pt>
                <c:pt idx="6">
                  <c:v>188.9</c:v>
                </c:pt>
                <c:pt idx="7">
                  <c:v>183.20000000000002</c:v>
                </c:pt>
                <c:pt idx="8">
                  <c:v>196.60000000000002</c:v>
                </c:pt>
                <c:pt idx="9">
                  <c:v>176.5</c:v>
                </c:pt>
                <c:pt idx="10">
                  <c:v>166.9</c:v>
                </c:pt>
                <c:pt idx="11">
                  <c:v>154.60000000000002</c:v>
                </c:pt>
                <c:pt idx="12">
                  <c:v>167.8</c:v>
                </c:pt>
                <c:pt idx="13">
                  <c:v>147.19999999999999</c:v>
                </c:pt>
                <c:pt idx="14">
                  <c:v>138.80000000000001</c:v>
                </c:pt>
                <c:pt idx="15">
                  <c:v>139.30000000000001</c:v>
                </c:pt>
                <c:pt idx="16">
                  <c:v>145.4</c:v>
                </c:pt>
                <c:pt idx="17">
                  <c:v>137.1</c:v>
                </c:pt>
                <c:pt idx="18">
                  <c:v>129</c:v>
                </c:pt>
                <c:pt idx="19">
                  <c:v>127.10000000000001</c:v>
                </c:pt>
                <c:pt idx="20" formatCode="General">
                  <c:v>138.5</c:v>
                </c:pt>
                <c:pt idx="21" formatCode="General">
                  <c:v>141.4</c:v>
                </c:pt>
                <c:pt idx="22" formatCode="General">
                  <c:v>137.1</c:v>
                </c:pt>
                <c:pt idx="23" formatCode="General">
                  <c:v>130.4</c:v>
                </c:pt>
                <c:pt idx="24" formatCode="General">
                  <c:v>141</c:v>
                </c:pt>
                <c:pt idx="25" formatCode="General">
                  <c:v>126.4</c:v>
                </c:pt>
                <c:pt idx="26" formatCode="General">
                  <c:v>129.69999999999999</c:v>
                </c:pt>
                <c:pt idx="27" formatCode="General">
                  <c:v>127.1</c:v>
                </c:pt>
                <c:pt idx="28">
                  <c:v>133.1</c:v>
                </c:pt>
                <c:pt idx="29">
                  <c:v>120.1</c:v>
                </c:pt>
                <c:pt idx="30">
                  <c:v>121.3</c:v>
                </c:pt>
                <c:pt idx="31">
                  <c:v>119.1</c:v>
                </c:pt>
                <c:pt idx="32">
                  <c:v>113.5</c:v>
                </c:pt>
                <c:pt idx="33">
                  <c:v>108.4</c:v>
                </c:pt>
              </c:numCache>
            </c:numRef>
          </c:val>
        </c:ser>
        <c:marker val="1"/>
        <c:axId val="127857408"/>
        <c:axId val="127855616"/>
      </c:lineChart>
      <c:catAx>
        <c:axId val="127852544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27854080"/>
        <c:crossesAt val="-50"/>
        <c:auto val="1"/>
        <c:lblAlgn val="ctr"/>
        <c:lblOffset val="0"/>
      </c:catAx>
      <c:valAx>
        <c:axId val="127854080"/>
        <c:scaling>
          <c:orientation val="minMax"/>
          <c:max val="1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852544"/>
        <c:crosses val="autoZero"/>
        <c:crossBetween val="between"/>
        <c:majorUnit val="1"/>
      </c:valAx>
      <c:valAx>
        <c:axId val="127855616"/>
        <c:scaling>
          <c:orientation val="minMax"/>
          <c:max val="200"/>
        </c:scaling>
        <c:axPos val="r"/>
        <c:numFmt formatCode="0" sourceLinked="0"/>
        <c:tickLblPos val="nextTo"/>
        <c:crossAx val="127857408"/>
        <c:crosses val="max"/>
        <c:crossBetween val="between"/>
        <c:majorUnit val="20"/>
      </c:valAx>
      <c:catAx>
        <c:axId val="127857408"/>
        <c:scaling>
          <c:orientation val="minMax"/>
        </c:scaling>
        <c:delete val="1"/>
        <c:axPos val="b"/>
        <c:tickLblPos val="none"/>
        <c:crossAx val="127855616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613215488215494E-2"/>
          <c:y val="0.87358815192743589"/>
          <c:w val="0.89434511784511783"/>
          <c:h val="0.10841298185941046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384E-2"/>
          <c:w val="0.94100987714832196"/>
          <c:h val="0.77115164399092972"/>
        </c:manualLayout>
      </c:layout>
      <c:barChart>
        <c:barDir val="col"/>
        <c:grouping val="clustered"/>
        <c:ser>
          <c:idx val="2"/>
          <c:order val="4"/>
          <c:tx>
            <c:strRef>
              <c:f>'Trh práce 3'!$E$8</c:f>
              <c:strCache>
                <c:ptCount val="1"/>
                <c:pt idx="0">
                  <c:v>Průměrná mzda (reálně)</c:v>
                </c:pt>
              </c:strCache>
            </c:strRef>
          </c:tx>
          <c:spPr>
            <a:solidFill>
              <a:srgbClr val="A6A6A6"/>
            </a:solidFill>
            <a:ln w="19050">
              <a:noFill/>
            </a:ln>
          </c:spP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3'!$E$9:$E$42</c:f>
              <c:numCache>
                <c:formatCode>#,##0.0</c:formatCode>
                <c:ptCount val="34"/>
                <c:pt idx="0">
                  <c:v>2.0999999999999943</c:v>
                </c:pt>
                <c:pt idx="1">
                  <c:v>1.9000000000000061</c:v>
                </c:pt>
                <c:pt idx="2">
                  <c:v>0.30000000000000032</c:v>
                </c:pt>
                <c:pt idx="3">
                  <c:v>-1.4000000000000057</c:v>
                </c:pt>
                <c:pt idx="4">
                  <c:v>1.0999999999999812</c:v>
                </c:pt>
                <c:pt idx="5">
                  <c:v>0.7999999999999976</c:v>
                </c:pt>
                <c:pt idx="6">
                  <c:v>0.30000000000000032</c:v>
                </c:pt>
                <c:pt idx="7">
                  <c:v>0</c:v>
                </c:pt>
                <c:pt idx="8">
                  <c:v>-0.5</c:v>
                </c:pt>
                <c:pt idx="9">
                  <c:v>-1.2999999999999816</c:v>
                </c:pt>
                <c:pt idx="10">
                  <c:v>-1.7999999999999816</c:v>
                </c:pt>
                <c:pt idx="11">
                  <c:v>0.40000000000000568</c:v>
                </c:pt>
                <c:pt idx="12">
                  <c:v>-2.4000000000000057</c:v>
                </c:pt>
                <c:pt idx="13">
                  <c:v>-0.5</c:v>
                </c:pt>
                <c:pt idx="14">
                  <c:v>0</c:v>
                </c:pt>
                <c:pt idx="15">
                  <c:v>-3.0999999999999943</c:v>
                </c:pt>
                <c:pt idx="16">
                  <c:v>3.7000000000000042</c:v>
                </c:pt>
                <c:pt idx="17">
                  <c:v>2.5999999999999943</c:v>
                </c:pt>
                <c:pt idx="18">
                  <c:v>1.5999999999999812</c:v>
                </c:pt>
                <c:pt idx="19">
                  <c:v>2.2999999999999972</c:v>
                </c:pt>
                <c:pt idx="20">
                  <c:v>2.2000000000000042</c:v>
                </c:pt>
                <c:pt idx="21">
                  <c:v>2.5999999999999943</c:v>
                </c:pt>
                <c:pt idx="22">
                  <c:v>3.0999999999999943</c:v>
                </c:pt>
                <c:pt idx="23">
                  <c:v>3.5999999999999943</c:v>
                </c:pt>
                <c:pt idx="24">
                  <c:v>4.2000000000000028</c:v>
                </c:pt>
                <c:pt idx="25">
                  <c:v>3.7999999999999972</c:v>
                </c:pt>
                <c:pt idx="26">
                  <c:v>4.2000000000000028</c:v>
                </c:pt>
                <c:pt idx="27">
                  <c:v>3</c:v>
                </c:pt>
                <c:pt idx="28">
                  <c:v>2.0999999999999943</c:v>
                </c:pt>
                <c:pt idx="29">
                  <c:v>4.5999999999999943</c:v>
                </c:pt>
                <c:pt idx="30">
                  <c:v>3.5</c:v>
                </c:pt>
                <c:pt idx="31">
                  <c:v>4.7000000000000028</c:v>
                </c:pt>
                <c:pt idx="32">
                  <c:v>6.5999999999999943</c:v>
                </c:pt>
                <c:pt idx="33">
                  <c:v>6.2000000000000028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5D5-46F0-90AD-BF040139C872}"/>
            </c:ext>
          </c:extLst>
        </c:ser>
        <c:gapWidth val="55"/>
        <c:axId val="128493824"/>
        <c:axId val="128528768"/>
      </c:barChart>
      <c:lineChart>
        <c:grouping val="standard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(nominálně)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3'!$C$9:$C$42</c:f>
              <c:numCache>
                <c:formatCode>0.0</c:formatCode>
                <c:ptCount val="34"/>
                <c:pt idx="0">
                  <c:v>2.7999999999999972</c:v>
                </c:pt>
                <c:pt idx="1">
                  <c:v>3.0999999999999943</c:v>
                </c:pt>
                <c:pt idx="2">
                  <c:v>2.2000000000000042</c:v>
                </c:pt>
                <c:pt idx="3">
                  <c:v>0.70000000000000284</c:v>
                </c:pt>
                <c:pt idx="4">
                  <c:v>2.7999999999999972</c:v>
                </c:pt>
                <c:pt idx="5">
                  <c:v>2.5999999999999943</c:v>
                </c:pt>
                <c:pt idx="6">
                  <c:v>2.0999999999999943</c:v>
                </c:pt>
                <c:pt idx="7">
                  <c:v>2.4000000000000057</c:v>
                </c:pt>
                <c:pt idx="8">
                  <c:v>3.2000000000000042</c:v>
                </c:pt>
                <c:pt idx="9">
                  <c:v>2.0999999999999943</c:v>
                </c:pt>
                <c:pt idx="10">
                  <c:v>1.4000000000000057</c:v>
                </c:pt>
                <c:pt idx="11">
                  <c:v>3.2000000000000042</c:v>
                </c:pt>
                <c:pt idx="12">
                  <c:v>-0.59999999999999432</c:v>
                </c:pt>
                <c:pt idx="13">
                  <c:v>1</c:v>
                </c:pt>
                <c:pt idx="14">
                  <c:v>1.2000000000000028</c:v>
                </c:pt>
                <c:pt idx="15">
                  <c:v>-2</c:v>
                </c:pt>
                <c:pt idx="16">
                  <c:v>3.9000000000000057</c:v>
                </c:pt>
                <c:pt idx="17">
                  <c:v>2.7999999999999972</c:v>
                </c:pt>
                <c:pt idx="18">
                  <c:v>2.2000000000000042</c:v>
                </c:pt>
                <c:pt idx="19">
                  <c:v>2.7999999999999972</c:v>
                </c:pt>
                <c:pt idx="20">
                  <c:v>2.2999999999999972</c:v>
                </c:pt>
                <c:pt idx="21">
                  <c:v>3.2999999999999972</c:v>
                </c:pt>
                <c:pt idx="22">
                  <c:v>3.5</c:v>
                </c:pt>
                <c:pt idx="23">
                  <c:v>3.7000000000000042</c:v>
                </c:pt>
                <c:pt idx="24">
                  <c:v>4.7000000000000028</c:v>
                </c:pt>
                <c:pt idx="25">
                  <c:v>4</c:v>
                </c:pt>
                <c:pt idx="26">
                  <c:v>4.7000000000000028</c:v>
                </c:pt>
                <c:pt idx="27">
                  <c:v>4.4000000000000083</c:v>
                </c:pt>
                <c:pt idx="28">
                  <c:v>4.5</c:v>
                </c:pt>
                <c:pt idx="29">
                  <c:v>6.9000000000000083</c:v>
                </c:pt>
                <c:pt idx="30">
                  <c:v>6.0999999999999943</c:v>
                </c:pt>
                <c:pt idx="31">
                  <c:v>7.4000000000000083</c:v>
                </c:pt>
                <c:pt idx="32">
                  <c:v>8.6000000000000014</c:v>
                </c:pt>
                <c:pt idx="33">
                  <c:v>8.6000000000000014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5D5-46F0-90AD-BF040139C872}"/>
            </c:ext>
          </c:extLst>
        </c:ser>
        <c:ser>
          <c:idx val="4"/>
          <c:order val="1"/>
          <c:tx>
            <c:strRef>
              <c:f>'Trh práce 3'!$G$8</c:f>
              <c:strCache>
                <c:ptCount val="1"/>
                <c:pt idx="0">
                  <c:v>Průměrná nominál.mzda v odvětví: max.*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6"/>
            <c:spPr>
              <a:solidFill>
                <a:srgbClr val="A6CDE8"/>
              </a:solidFill>
              <a:ln>
                <a:solidFill>
                  <a:srgbClr val="A6CDE8"/>
                </a:solidFill>
              </a:ln>
            </c:spPr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3'!$G$9:$G$42</c:f>
              <c:numCache>
                <c:formatCode>0.0</c:formatCode>
                <c:ptCount val="34"/>
                <c:pt idx="0">
                  <c:v>7.5413164871115184</c:v>
                </c:pt>
                <c:pt idx="1">
                  <c:v>13.293739728074101</c:v>
                </c:pt>
                <c:pt idx="2">
                  <c:v>7.8019930324880562</c:v>
                </c:pt>
                <c:pt idx="3">
                  <c:v>9.3197810789680666</c:v>
                </c:pt>
                <c:pt idx="4">
                  <c:v>6.5105063727178845</c:v>
                </c:pt>
                <c:pt idx="5">
                  <c:v>5.8652863407075255</c:v>
                </c:pt>
                <c:pt idx="6">
                  <c:v>4.8968853432911743</c:v>
                </c:pt>
                <c:pt idx="7">
                  <c:v>5.8113814598833784</c:v>
                </c:pt>
                <c:pt idx="8">
                  <c:v>6.2310842086523053</c:v>
                </c:pt>
                <c:pt idx="9">
                  <c:v>5.0630810092961545</c:v>
                </c:pt>
                <c:pt idx="10">
                  <c:v>4.3229152523962311</c:v>
                </c:pt>
                <c:pt idx="11" formatCode="General">
                  <c:v>10.8</c:v>
                </c:pt>
                <c:pt idx="12" formatCode="General">
                  <c:v>2.8</c:v>
                </c:pt>
                <c:pt idx="13">
                  <c:v>4.0436408026245934</c:v>
                </c:pt>
                <c:pt idx="14">
                  <c:v>4.459930313588842</c:v>
                </c:pt>
                <c:pt idx="15" formatCode="General">
                  <c:v>4.2</c:v>
                </c:pt>
                <c:pt idx="16" formatCode="General">
                  <c:v>5.7</c:v>
                </c:pt>
                <c:pt idx="17">
                  <c:v>4.1785416758012985</c:v>
                </c:pt>
                <c:pt idx="18">
                  <c:v>3.8621034224331767</c:v>
                </c:pt>
                <c:pt idx="19">
                  <c:v>4.8158042744656377</c:v>
                </c:pt>
                <c:pt idx="20">
                  <c:v>4.6398585947856814</c:v>
                </c:pt>
                <c:pt idx="21">
                  <c:v>5.8929213079410765</c:v>
                </c:pt>
                <c:pt idx="22">
                  <c:v>7.2759856630824205</c:v>
                </c:pt>
                <c:pt idx="23">
                  <c:v>7.1166239345852773</c:v>
                </c:pt>
                <c:pt idx="24">
                  <c:v>7.0606074965644723</c:v>
                </c:pt>
                <c:pt idx="25">
                  <c:v>6.6862453232489694</c:v>
                </c:pt>
                <c:pt idx="26">
                  <c:v>6.5027094622759565</c:v>
                </c:pt>
                <c:pt idx="27">
                  <c:v>6.9102462271644072</c:v>
                </c:pt>
                <c:pt idx="28">
                  <c:v>10.498549195462974</c:v>
                </c:pt>
                <c:pt idx="29">
                  <c:v>14.442649434571894</c:v>
                </c:pt>
                <c:pt idx="30">
                  <c:v>9.2175234236513912</c:v>
                </c:pt>
                <c:pt idx="31">
                  <c:v>12.963329245618894</c:v>
                </c:pt>
                <c:pt idx="32">
                  <c:v>13.299462044231916</c:v>
                </c:pt>
                <c:pt idx="33">
                  <c:v>13.079117611604454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5D5-46F0-90AD-BF040139C872}"/>
            </c:ext>
          </c:extLst>
        </c:ser>
        <c:ser>
          <c:idx val="5"/>
          <c:order val="2"/>
          <c:tx>
            <c:strRef>
              <c:f>'Trh práce 3'!$H$8</c:f>
              <c:strCache>
                <c:ptCount val="1"/>
                <c:pt idx="0">
                  <c:v>Průměrná nominál.mzda v odvětví: min.*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6"/>
            <c:spPr>
              <a:solidFill>
                <a:srgbClr val="48AEE7"/>
              </a:solidFill>
              <a:ln>
                <a:solidFill>
                  <a:srgbClr val="48AEE7"/>
                </a:solidFill>
              </a:ln>
            </c:spPr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3'!$H$9:$H$42</c:f>
              <c:numCache>
                <c:formatCode>0.0</c:formatCode>
                <c:ptCount val="34"/>
                <c:pt idx="0">
                  <c:v>-8.6123799023468131</c:v>
                </c:pt>
                <c:pt idx="1">
                  <c:v>-0.94530353532593359</c:v>
                </c:pt>
                <c:pt idx="2">
                  <c:v>-2.2820133878118742</c:v>
                </c:pt>
                <c:pt idx="3">
                  <c:v>-5.88170178222214</c:v>
                </c:pt>
                <c:pt idx="4">
                  <c:v>-4.1645837338973255</c:v>
                </c:pt>
                <c:pt idx="5">
                  <c:v>-3.1317980646613202</c:v>
                </c:pt>
                <c:pt idx="6">
                  <c:v>-1.7721281192272755</c:v>
                </c:pt>
                <c:pt idx="7">
                  <c:v>-3.6904591617794287</c:v>
                </c:pt>
                <c:pt idx="8">
                  <c:v>0.77949953870195543</c:v>
                </c:pt>
                <c:pt idx="9">
                  <c:v>-2.0921058463720641</c:v>
                </c:pt>
                <c:pt idx="10">
                  <c:v>-2.1834061135371172</c:v>
                </c:pt>
                <c:pt idx="11" formatCode="General">
                  <c:v>-1.5</c:v>
                </c:pt>
                <c:pt idx="12" formatCode="General">
                  <c:v>-3.6</c:v>
                </c:pt>
                <c:pt idx="13">
                  <c:v>-7.4553296364756525</c:v>
                </c:pt>
                <c:pt idx="14">
                  <c:v>-1.5668645251396638</c:v>
                </c:pt>
                <c:pt idx="15" formatCode="General">
                  <c:v>-6.5</c:v>
                </c:pt>
                <c:pt idx="16" formatCode="General">
                  <c:v>1.9000000000000001</c:v>
                </c:pt>
                <c:pt idx="17">
                  <c:v>0.53674544020756865</c:v>
                </c:pt>
                <c:pt idx="18">
                  <c:v>-1.9081035923141199</c:v>
                </c:pt>
                <c:pt idx="19">
                  <c:v>-4.7124364184406744</c:v>
                </c:pt>
                <c:pt idx="20">
                  <c:v>-1.8071028211270601</c:v>
                </c:pt>
                <c:pt idx="21">
                  <c:v>-2.4189059258134531</c:v>
                </c:pt>
                <c:pt idx="22">
                  <c:v>-1.5012815818381569</c:v>
                </c:pt>
                <c:pt idx="23">
                  <c:v>-0.5914446838751104</c:v>
                </c:pt>
                <c:pt idx="24">
                  <c:v>0.84669884771100223</c:v>
                </c:pt>
                <c:pt idx="25">
                  <c:v>1.0530408579852946</c:v>
                </c:pt>
                <c:pt idx="26">
                  <c:v>-0.26422697096807091</c:v>
                </c:pt>
                <c:pt idx="27">
                  <c:v>-4.8610348236844745</c:v>
                </c:pt>
                <c:pt idx="28">
                  <c:v>-0.92197650764485672</c:v>
                </c:pt>
                <c:pt idx="29">
                  <c:v>3.0504326544882328</c:v>
                </c:pt>
                <c:pt idx="30">
                  <c:v>2.6351878810895215</c:v>
                </c:pt>
                <c:pt idx="31">
                  <c:v>4.1497727829329332</c:v>
                </c:pt>
                <c:pt idx="32">
                  <c:v>3.3049180327868726</c:v>
                </c:pt>
                <c:pt idx="33">
                  <c:v>6.0981326666145845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5D5-46F0-90AD-BF040139C872}"/>
            </c:ext>
          </c:extLst>
        </c:ser>
        <c:ser>
          <c:idx val="1"/>
          <c:order val="3"/>
          <c:tx>
            <c:strRef>
              <c:f>'Trh práce 3'!$D$8</c:f>
              <c:strCache>
                <c:ptCount val="1"/>
                <c:pt idx="0">
                  <c:v>Mediánová mzda (nominálně)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3'!$D$9:$D$42</c:f>
              <c:numCache>
                <c:formatCode>0.0</c:formatCode>
                <c:ptCount val="34"/>
                <c:pt idx="0">
                  <c:v>3.2000000000000042</c:v>
                </c:pt>
                <c:pt idx="1">
                  <c:v>2.5999999999999943</c:v>
                </c:pt>
                <c:pt idx="2">
                  <c:v>2.7999999999999972</c:v>
                </c:pt>
                <c:pt idx="3">
                  <c:v>1.7999999999999816</c:v>
                </c:pt>
                <c:pt idx="4">
                  <c:v>2.7999999999999972</c:v>
                </c:pt>
                <c:pt idx="5">
                  <c:v>2.2000000000000042</c:v>
                </c:pt>
                <c:pt idx="6">
                  <c:v>1.7000000000000028</c:v>
                </c:pt>
                <c:pt idx="7">
                  <c:v>2.2000000000000042</c:v>
                </c:pt>
                <c:pt idx="8">
                  <c:v>1.4000000000000057</c:v>
                </c:pt>
                <c:pt idx="9">
                  <c:v>1.2999999999999816</c:v>
                </c:pt>
                <c:pt idx="10">
                  <c:v>-0.40000000000000568</c:v>
                </c:pt>
                <c:pt idx="11">
                  <c:v>-0.59999999999999432</c:v>
                </c:pt>
                <c:pt idx="12">
                  <c:v>0.59999999999999432</c:v>
                </c:pt>
                <c:pt idx="13">
                  <c:v>1.4000000000000057</c:v>
                </c:pt>
                <c:pt idx="14">
                  <c:v>2.2999999999999972</c:v>
                </c:pt>
                <c:pt idx="15">
                  <c:v>1.2000000000000028</c:v>
                </c:pt>
                <c:pt idx="16">
                  <c:v>4.7000000000000028</c:v>
                </c:pt>
                <c:pt idx="17">
                  <c:v>3.2999999999999972</c:v>
                </c:pt>
                <c:pt idx="18">
                  <c:v>2.5999999999999943</c:v>
                </c:pt>
                <c:pt idx="19">
                  <c:v>2.2999999999999972</c:v>
                </c:pt>
                <c:pt idx="20">
                  <c:v>0.70000000000000284</c:v>
                </c:pt>
                <c:pt idx="21">
                  <c:v>2.2999999999999972</c:v>
                </c:pt>
                <c:pt idx="22">
                  <c:v>3.7999999999999972</c:v>
                </c:pt>
                <c:pt idx="23">
                  <c:v>4.7000000000000028</c:v>
                </c:pt>
                <c:pt idx="24">
                  <c:v>6.7000000000000028</c:v>
                </c:pt>
                <c:pt idx="25">
                  <c:v>4.5999999999999943</c:v>
                </c:pt>
                <c:pt idx="26">
                  <c:v>5.2999999999999972</c:v>
                </c:pt>
                <c:pt idx="27">
                  <c:v>6.2000000000000028</c:v>
                </c:pt>
                <c:pt idx="28">
                  <c:v>4.4000000000000083</c:v>
                </c:pt>
                <c:pt idx="29">
                  <c:v>7.4000000000000083</c:v>
                </c:pt>
                <c:pt idx="30">
                  <c:v>6.4000000000000083</c:v>
                </c:pt>
                <c:pt idx="31">
                  <c:v>8.4000000000000057</c:v>
                </c:pt>
                <c:pt idx="32">
                  <c:v>8.3000000000000025</c:v>
                </c:pt>
                <c:pt idx="33">
                  <c:v>9.4000000000000057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5D5-46F0-90AD-BF040139C872}"/>
            </c:ext>
          </c:extLst>
        </c:ser>
        <c:ser>
          <c:idx val="3"/>
          <c:order val="5"/>
          <c:tx>
            <c:strRef>
              <c:f>'Trh práce 3'!$F$8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3'!$A$9:$B$42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</c:lvl>
              </c:multiLvlStrCache>
            </c:multiLvlStrRef>
          </c:cat>
          <c:val>
            <c:numRef>
              <c:f>'Trh práce 3'!$F$9:$F$42</c:f>
              <c:numCache>
                <c:formatCode>0.0</c:formatCode>
                <c:ptCount val="34"/>
                <c:pt idx="0">
                  <c:v>3.5332846838865208</c:v>
                </c:pt>
                <c:pt idx="1">
                  <c:v>4.425122650740704</c:v>
                </c:pt>
                <c:pt idx="2">
                  <c:v>2.3152819998793177</c:v>
                </c:pt>
                <c:pt idx="3">
                  <c:v>2.9717863026053952</c:v>
                </c:pt>
                <c:pt idx="4">
                  <c:v>2.9527260280244576</c:v>
                </c:pt>
                <c:pt idx="5">
                  <c:v>2.0923191727528945</c:v>
                </c:pt>
                <c:pt idx="6">
                  <c:v>1.8080251400873806</c:v>
                </c:pt>
                <c:pt idx="7">
                  <c:v>1.5019620723850398</c:v>
                </c:pt>
                <c:pt idx="8">
                  <c:v>0.41537995919813397</c:v>
                </c:pt>
                <c:pt idx="9">
                  <c:v>-1.2819231607881099</c:v>
                </c:pt>
                <c:pt idx="10">
                  <c:v>-1.8249350322319771</c:v>
                </c:pt>
                <c:pt idx="11">
                  <c:v>-2.0588258996494337</c:v>
                </c:pt>
                <c:pt idx="12">
                  <c:v>-2.8802810421720619</c:v>
                </c:pt>
                <c:pt idx="13">
                  <c:v>-1.827948004663384</c:v>
                </c:pt>
                <c:pt idx="14">
                  <c:v>0.40461936993752373</c:v>
                </c:pt>
                <c:pt idx="15">
                  <c:v>0.95515229453815265</c:v>
                </c:pt>
                <c:pt idx="16">
                  <c:v>1.7448585072078089</c:v>
                </c:pt>
                <c:pt idx="17">
                  <c:v>2.7515963261383551</c:v>
                </c:pt>
                <c:pt idx="18">
                  <c:v>3.0294730201186377</c:v>
                </c:pt>
                <c:pt idx="19">
                  <c:v>1.0840279704352838</c:v>
                </c:pt>
                <c:pt idx="20">
                  <c:v>3.7518410336967767</c:v>
                </c:pt>
                <c:pt idx="21">
                  <c:v>4.1202609165826694</c:v>
                </c:pt>
                <c:pt idx="22">
                  <c:v>3.76028698995718</c:v>
                </c:pt>
                <c:pt idx="23">
                  <c:v>3.6745015563025141</c:v>
                </c:pt>
                <c:pt idx="24">
                  <c:v>1.4752745888902719</c:v>
                </c:pt>
                <c:pt idx="25">
                  <c:v>2.0687313721093368</c:v>
                </c:pt>
                <c:pt idx="26">
                  <c:v>6.7689948363209768E-2</c:v>
                </c:pt>
                <c:pt idx="27">
                  <c:v>-0.12588932224844027</c:v>
                </c:pt>
                <c:pt idx="28">
                  <c:v>2.0723573940323381</c:v>
                </c:pt>
                <c:pt idx="29">
                  <c:v>2.2918535909504807</c:v>
                </c:pt>
                <c:pt idx="30">
                  <c:v>2.8518670355446694</c:v>
                </c:pt>
                <c:pt idx="31">
                  <c:v>3.4817265702648825</c:v>
                </c:pt>
                <c:pt idx="32">
                  <c:v>1.5689331910996598</c:v>
                </c:pt>
                <c:pt idx="33">
                  <c:v>0.78667321908767462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5D5-46F0-90AD-BF040139C872}"/>
            </c:ext>
          </c:extLst>
        </c:ser>
        <c:marker val="1"/>
        <c:axId val="128493824"/>
        <c:axId val="128528768"/>
      </c:lineChart>
      <c:catAx>
        <c:axId val="12849382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528768"/>
        <c:crosses val="autoZero"/>
        <c:auto val="1"/>
        <c:lblAlgn val="ctr"/>
        <c:lblOffset val="0"/>
        <c:tickMarkSkip val="4"/>
      </c:catAx>
      <c:valAx>
        <c:axId val="128528768"/>
        <c:scaling>
          <c:orientation val="minMax"/>
          <c:max val="15"/>
          <c:min val="-9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849382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672385016341923E-2"/>
          <c:y val="0.88298129251700685"/>
          <c:w val="0.94307265361592563"/>
          <c:h val="0.1062193877551020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71C58-8E26-43BB-A184-8B864F26E7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ACF1FD-FC77-4E2E-A2D8-5A4F9EED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1</Pages>
  <Words>1777</Words>
  <Characters>10488</Characters>
  <Application>Microsoft Office Word</Application>
  <DocSecurity>0</DocSecurity>
  <Lines>87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12241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2018-09-19T08:18:00Z</dcterms:modified>
</cp:coreProperties>
</file>