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3846" w14:textId="77777777" w:rsidR="00F72764" w:rsidRDefault="00F72764" w:rsidP="00FE69CF">
      <w:pPr>
        <w:keepNext/>
        <w:keepLines/>
        <w:spacing w:after="480"/>
        <w:contextualSpacing/>
        <w:outlineLvl w:val="0"/>
        <w:rPr>
          <w:rFonts w:eastAsia="MS Gothic"/>
          <w:b/>
          <w:bCs/>
          <w:color w:val="CC9610"/>
          <w:sz w:val="32"/>
          <w:szCs w:val="28"/>
        </w:rPr>
      </w:pPr>
    </w:p>
    <w:p w14:paraId="0817D1F7" w14:textId="77777777" w:rsidR="00FE69CF" w:rsidRPr="0088448E" w:rsidRDefault="00FE69CF" w:rsidP="00FE69CF">
      <w:pPr>
        <w:keepNext/>
        <w:keepLines/>
        <w:spacing w:after="480"/>
        <w:contextualSpacing/>
        <w:outlineLvl w:val="0"/>
        <w:rPr>
          <w:rFonts w:eastAsia="MS Gothic"/>
          <w:b/>
          <w:bCs/>
          <w:color w:val="CC9610"/>
          <w:sz w:val="40"/>
          <w:szCs w:val="40"/>
        </w:rPr>
      </w:pPr>
      <w:r w:rsidRPr="0088448E">
        <w:rPr>
          <w:rFonts w:eastAsia="MS Gothic"/>
          <w:b/>
          <w:bCs/>
          <w:color w:val="CC9610"/>
          <w:sz w:val="40"/>
          <w:szCs w:val="40"/>
        </w:rPr>
        <w:t>Úvod</w:t>
      </w:r>
    </w:p>
    <w:p w14:paraId="14DEA003" w14:textId="77777777" w:rsidR="00FE69CF" w:rsidRPr="00FE69CF" w:rsidRDefault="00FE69CF" w:rsidP="00FE69CF">
      <w:pPr>
        <w:keepNext/>
        <w:keepLines/>
        <w:spacing w:after="480"/>
        <w:contextualSpacing/>
        <w:outlineLvl w:val="0"/>
        <w:rPr>
          <w:rFonts w:eastAsia="MS Gothic"/>
          <w:b/>
          <w:bCs/>
          <w:color w:val="C00000"/>
          <w:sz w:val="32"/>
          <w:szCs w:val="28"/>
        </w:rPr>
      </w:pPr>
    </w:p>
    <w:p w14:paraId="3BAD5E2B" w14:textId="77777777" w:rsidR="00FE69CF" w:rsidRPr="001E0DF7" w:rsidRDefault="00FE69CF" w:rsidP="00FE69CF">
      <w:pPr>
        <w:jc w:val="both"/>
        <w:rPr>
          <w:rFonts w:cs="Arial"/>
          <w:szCs w:val="20"/>
        </w:rPr>
      </w:pPr>
      <w:r w:rsidRPr="00FE69CF">
        <w:rPr>
          <w:rFonts w:eastAsia="Times New Roman"/>
        </w:rPr>
        <w:t xml:space="preserve">Formální vzdělávací systém v České republice tvoří čtyři základní stupně vzdělávání. Prvním stupněm je </w:t>
      </w:r>
      <w:r w:rsidRPr="00FE69CF">
        <w:rPr>
          <w:rFonts w:eastAsia="Times New Roman"/>
          <w:b/>
        </w:rPr>
        <w:t>vzdělávání předškolní</w:t>
      </w:r>
      <w:r w:rsidRPr="00FE69CF">
        <w:rPr>
          <w:rFonts w:eastAsia="Times New Roman"/>
        </w:rPr>
        <w:t xml:space="preserve">, které jako doplněk výchovy v rodině mohou děti absolvovat ještě před započetím povinné školní docházky na základní škole. </w:t>
      </w:r>
      <w:r w:rsidRPr="00FE69CF">
        <w:rPr>
          <w:rFonts w:eastAsia="Times New Roman"/>
          <w:i/>
        </w:rPr>
        <w:t xml:space="preserve">S účinností od školního roku 2017/2018 je však i pro děti, které dosáhly pěti let věku do 31. 8., předškolní vzdělávání povinné. </w:t>
      </w:r>
      <w:r w:rsidRPr="00FE69CF">
        <w:rPr>
          <w:rFonts w:eastAsia="Times New Roman"/>
        </w:rPr>
        <w:t>Kromě mateřských škol jej zajišťují přípravné třídy z</w:t>
      </w:r>
      <w:r w:rsidR="002E146E">
        <w:rPr>
          <w:rFonts w:eastAsia="Times New Roman"/>
        </w:rPr>
        <w:t>ákladních škol a přípravný stupeň</w:t>
      </w:r>
      <w:r w:rsidRPr="00FE69CF">
        <w:rPr>
          <w:rFonts w:eastAsia="Times New Roman"/>
        </w:rPr>
        <w:t xml:space="preserve"> základních škol speciálních. Následuje </w:t>
      </w:r>
      <w:r w:rsidRPr="00FE69CF">
        <w:rPr>
          <w:rFonts w:eastAsia="Times New Roman"/>
          <w:b/>
        </w:rPr>
        <w:t>základní vzdělávání</w:t>
      </w:r>
      <w:r w:rsidRPr="00FE69CF">
        <w:rPr>
          <w:rFonts w:eastAsia="Times New Roman"/>
        </w:rPr>
        <w:t xml:space="preserve"> získávané nejčastěji na základních školách</w:t>
      </w:r>
      <w:r w:rsidR="00C12559">
        <w:rPr>
          <w:rFonts w:eastAsia="Times New Roman"/>
        </w:rPr>
        <w:t>, které je povinné a trvá devět let</w:t>
      </w:r>
      <w:r w:rsidRPr="00FE69CF">
        <w:rPr>
          <w:rFonts w:eastAsia="Times New Roman"/>
        </w:rPr>
        <w:t xml:space="preserve">. </w:t>
      </w:r>
      <w:r w:rsidR="00856BD6">
        <w:rPr>
          <w:rFonts w:eastAsia="Times New Roman"/>
        </w:rPr>
        <w:t>Na</w:t>
      </w:r>
      <w:r w:rsidRPr="00FE69CF">
        <w:rPr>
          <w:rFonts w:eastAsia="Times New Roman"/>
        </w:rPr>
        <w:t xml:space="preserve"> povinnou školní docházku na základn</w:t>
      </w:r>
      <w:r w:rsidR="00856BD6">
        <w:rPr>
          <w:rFonts w:eastAsia="Times New Roman"/>
        </w:rPr>
        <w:t xml:space="preserve">ích školách navazuje </w:t>
      </w:r>
      <w:r w:rsidR="00856BD6" w:rsidRPr="00CE7412">
        <w:rPr>
          <w:rFonts w:eastAsia="Times New Roman"/>
          <w:b/>
        </w:rPr>
        <w:t xml:space="preserve">středoškolské </w:t>
      </w:r>
      <w:r w:rsidRPr="00CE7412">
        <w:rPr>
          <w:rFonts w:eastAsia="Times New Roman"/>
          <w:b/>
        </w:rPr>
        <w:t>vzdělávání</w:t>
      </w:r>
      <w:r w:rsidRPr="00FE69CF">
        <w:rPr>
          <w:rFonts w:eastAsia="Times New Roman"/>
        </w:rPr>
        <w:t xml:space="preserve">. </w:t>
      </w:r>
      <w:r w:rsidR="00856BD6" w:rsidRPr="00856BD6">
        <w:rPr>
          <w:rFonts w:eastAsia="Times New Roman"/>
        </w:rPr>
        <w:t xml:space="preserve">Žáci, kteří úspěšně projdou přijímacím řízením, si </w:t>
      </w:r>
      <w:r w:rsidR="00856BD6">
        <w:rPr>
          <w:rFonts w:eastAsia="Times New Roman"/>
        </w:rPr>
        <w:t xml:space="preserve">však mohou na středních školách </w:t>
      </w:r>
      <w:r w:rsidR="00856BD6" w:rsidRPr="00856BD6">
        <w:rPr>
          <w:rFonts w:eastAsia="Times New Roman"/>
        </w:rPr>
        <w:t xml:space="preserve">plnit </w:t>
      </w:r>
      <w:r w:rsidR="00856BD6">
        <w:rPr>
          <w:rFonts w:eastAsia="Times New Roman"/>
        </w:rPr>
        <w:t xml:space="preserve">již </w:t>
      </w:r>
      <w:r w:rsidR="00856BD6" w:rsidRPr="00856BD6">
        <w:rPr>
          <w:rFonts w:eastAsia="Times New Roman"/>
        </w:rPr>
        <w:t>část povinné školní docházky</w:t>
      </w:r>
      <w:r w:rsidR="00856BD6">
        <w:rPr>
          <w:rFonts w:eastAsia="Times New Roman"/>
        </w:rPr>
        <w:t xml:space="preserve">. Jedná se </w:t>
      </w:r>
      <w:r w:rsidR="00CE7412">
        <w:rPr>
          <w:rFonts w:eastAsia="Times New Roman"/>
        </w:rPr>
        <w:t xml:space="preserve">konkrétně </w:t>
      </w:r>
      <w:r w:rsidR="00856BD6">
        <w:rPr>
          <w:rFonts w:eastAsia="Times New Roman"/>
        </w:rPr>
        <w:t>o nižší stupeň víceletých gymnázií a osmileté taneční konzervatoře.</w:t>
      </w:r>
      <w:r w:rsidR="00856BD6" w:rsidRPr="00856BD6">
        <w:rPr>
          <w:rFonts w:eastAsia="Times New Roman"/>
        </w:rPr>
        <w:t xml:space="preserve"> </w:t>
      </w:r>
      <w:r w:rsidR="00C12559">
        <w:rPr>
          <w:rFonts w:eastAsia="Times New Roman"/>
        </w:rPr>
        <w:t>V </w:t>
      </w:r>
      <w:r w:rsidRPr="00FE69CF">
        <w:rPr>
          <w:rFonts w:eastAsia="Times New Roman"/>
        </w:rPr>
        <w:t xml:space="preserve">České republice existují tři základní typy středních škol: střední všeobecné školy s maturitou (gymnázia), střední odborné školy s maturitou a střední odborná učiliště. </w:t>
      </w:r>
      <w:r w:rsidR="00CE7412">
        <w:rPr>
          <w:rFonts w:eastAsia="Times New Roman"/>
        </w:rPr>
        <w:t xml:space="preserve">Střední vzdělávání </w:t>
      </w:r>
      <w:r w:rsidR="000645ED">
        <w:rPr>
          <w:rFonts w:eastAsia="Times New Roman"/>
        </w:rPr>
        <w:t xml:space="preserve">s maturitou </w:t>
      </w:r>
      <w:r w:rsidR="00CE7412">
        <w:rPr>
          <w:rFonts w:eastAsia="Times New Roman"/>
        </w:rPr>
        <w:t>nabízejí též konzervatoře</w:t>
      </w:r>
      <w:r w:rsidR="000645ED">
        <w:rPr>
          <w:rFonts w:eastAsia="Times New Roman"/>
        </w:rPr>
        <w:t>; z</w:t>
      </w:r>
      <w:r w:rsidR="001E0DF7" w:rsidRPr="00B92396">
        <w:rPr>
          <w:rFonts w:cs="Arial"/>
          <w:szCs w:val="20"/>
        </w:rPr>
        <w:t xml:space="preserve">ávěrečným vykonáním absolutoria v konzervatoři </w:t>
      </w:r>
      <w:r w:rsidR="000645ED">
        <w:rPr>
          <w:rFonts w:cs="Arial"/>
          <w:szCs w:val="20"/>
        </w:rPr>
        <w:t>však</w:t>
      </w:r>
      <w:r w:rsidR="001E0DF7" w:rsidRPr="00B92396">
        <w:rPr>
          <w:rFonts w:cs="Arial"/>
          <w:szCs w:val="20"/>
        </w:rPr>
        <w:t xml:space="preserve"> získává </w:t>
      </w:r>
      <w:r w:rsidR="000645ED">
        <w:rPr>
          <w:rFonts w:cs="Arial"/>
          <w:szCs w:val="20"/>
        </w:rPr>
        <w:t xml:space="preserve">žák již </w:t>
      </w:r>
      <w:r w:rsidR="001E0DF7" w:rsidRPr="00B92396">
        <w:rPr>
          <w:rFonts w:cs="Arial"/>
          <w:szCs w:val="20"/>
        </w:rPr>
        <w:t>vyšší odborné vzdělání</w:t>
      </w:r>
      <w:r w:rsidR="001E0DF7">
        <w:rPr>
          <w:rFonts w:cs="Arial"/>
          <w:szCs w:val="20"/>
        </w:rPr>
        <w:t>.</w:t>
      </w:r>
      <w:r w:rsidR="00CE7412">
        <w:rPr>
          <w:rFonts w:eastAsia="Times New Roman"/>
        </w:rPr>
        <w:t xml:space="preserve"> </w:t>
      </w:r>
      <w:r w:rsidR="001E0DF7">
        <w:rPr>
          <w:rFonts w:eastAsia="Times New Roman"/>
        </w:rPr>
        <w:t>Nejvyšším</w:t>
      </w:r>
      <w:r w:rsidRPr="00FE69CF">
        <w:rPr>
          <w:rFonts w:eastAsia="Times New Roman"/>
        </w:rPr>
        <w:t xml:space="preserve"> stupněm ve vzdělávacím systému je </w:t>
      </w:r>
      <w:r w:rsidRPr="00FE69CF">
        <w:rPr>
          <w:rFonts w:eastAsia="Times New Roman"/>
          <w:b/>
        </w:rPr>
        <w:t>vzdělávání terciární</w:t>
      </w:r>
      <w:r w:rsidRPr="00FE69CF">
        <w:rPr>
          <w:rFonts w:eastAsia="Times New Roman"/>
        </w:rPr>
        <w:t>, které je zařazené jako studium navazující na úplné střední vzdělávání s maturitou. Do terciárního stupně patří vyšší odborné vzdělávání a vysokoškolské studium.</w:t>
      </w:r>
    </w:p>
    <w:p w14:paraId="0502719D" w14:textId="11B11050" w:rsidR="007252DF" w:rsidRDefault="00FE69CF" w:rsidP="00FE69CF">
      <w:pPr>
        <w:jc w:val="both"/>
        <w:rPr>
          <w:rFonts w:eastAsia="Times New Roman"/>
        </w:rPr>
      </w:pPr>
      <w:r w:rsidRPr="00FE69CF">
        <w:rPr>
          <w:rFonts w:eastAsia="Times New Roman"/>
        </w:rPr>
        <w:t xml:space="preserve">Publikace </w:t>
      </w:r>
      <w:r w:rsidRPr="00FE69CF">
        <w:rPr>
          <w:rFonts w:eastAsia="Times New Roman"/>
          <w:b/>
        </w:rPr>
        <w:t>Školy a školská zařízení</w:t>
      </w:r>
      <w:r w:rsidRPr="00FE69CF">
        <w:rPr>
          <w:rFonts w:eastAsia="Times New Roman"/>
        </w:rPr>
        <w:t xml:space="preserve"> představuje základní statistické ukazatele z oblasti </w:t>
      </w:r>
      <w:r w:rsidR="00D016CA">
        <w:rPr>
          <w:rFonts w:eastAsia="Times New Roman"/>
        </w:rPr>
        <w:t xml:space="preserve">předškolního až vyššího odborného </w:t>
      </w:r>
      <w:r w:rsidRPr="00FE69CF">
        <w:rPr>
          <w:rFonts w:eastAsia="Times New Roman"/>
        </w:rPr>
        <w:t>školství a školských zařízení v České republice. Nabízí vybrané ukazatele i v </w:t>
      </w:r>
      <w:r w:rsidRPr="00FE69CF">
        <w:rPr>
          <w:rFonts w:eastAsia="Times New Roman"/>
          <w:b/>
        </w:rPr>
        <w:t>krajském srovnání</w:t>
      </w:r>
      <w:r w:rsidRPr="00FE69CF">
        <w:rPr>
          <w:rFonts w:eastAsia="Times New Roman"/>
        </w:rPr>
        <w:t xml:space="preserve"> a v </w:t>
      </w:r>
      <w:r w:rsidRPr="00FE69CF">
        <w:rPr>
          <w:rFonts w:eastAsia="Times New Roman"/>
          <w:b/>
        </w:rPr>
        <w:t>časové řadě</w:t>
      </w:r>
      <w:r w:rsidR="0007571B">
        <w:rPr>
          <w:rFonts w:eastAsia="Times New Roman"/>
        </w:rPr>
        <w:t xml:space="preserve"> od roku 201</w:t>
      </w:r>
      <w:r w:rsidR="00560F12">
        <w:rPr>
          <w:rFonts w:eastAsia="Times New Roman"/>
        </w:rPr>
        <w:t>5</w:t>
      </w:r>
      <w:r w:rsidRPr="00FE69CF">
        <w:rPr>
          <w:rFonts w:eastAsia="Times New Roman"/>
        </w:rPr>
        <w:t xml:space="preserve"> (resp. školního roku 2</w:t>
      </w:r>
      <w:r w:rsidR="0007571B">
        <w:rPr>
          <w:rFonts w:eastAsia="Times New Roman"/>
        </w:rPr>
        <w:t>01</w:t>
      </w:r>
      <w:r w:rsidR="00560F12">
        <w:rPr>
          <w:rFonts w:eastAsia="Times New Roman"/>
        </w:rPr>
        <w:t>5</w:t>
      </w:r>
      <w:r w:rsidR="0007571B">
        <w:rPr>
          <w:rFonts w:eastAsia="Times New Roman"/>
        </w:rPr>
        <w:t>/1</w:t>
      </w:r>
      <w:r w:rsidR="00560F12">
        <w:rPr>
          <w:rFonts w:eastAsia="Times New Roman"/>
        </w:rPr>
        <w:t>6</w:t>
      </w:r>
      <w:r w:rsidRPr="00FE69CF">
        <w:rPr>
          <w:rFonts w:eastAsia="Times New Roman"/>
        </w:rPr>
        <w:t xml:space="preserve">) do současnosti. </w:t>
      </w:r>
      <w:r w:rsidR="007252DF" w:rsidRPr="007252DF">
        <w:rPr>
          <w:rFonts w:eastAsia="Times New Roman"/>
        </w:rPr>
        <w:t xml:space="preserve">Poskytuje základní informace o počtu škol, tříd, dětí, žáků, studentů a učitelů v mateřských až vyšších odborných školách v řadě věcných, územních a časových členění. </w:t>
      </w:r>
      <w:r w:rsidR="00CC5174">
        <w:rPr>
          <w:rFonts w:eastAsia="Times New Roman"/>
        </w:rPr>
        <w:t>Údaje za mateřské, základní, střední školy a konzervatoře jsou dle stavu k 30. 9. daného školního roku, údaje za vyšší odborné školy k 31.10. daného školního roku. Tato publikace s</w:t>
      </w:r>
      <w:r w:rsidR="007252DF" w:rsidRPr="007252DF">
        <w:rPr>
          <w:rFonts w:eastAsia="Times New Roman"/>
        </w:rPr>
        <w:t xml:space="preserve">polu s publikací </w:t>
      </w:r>
      <w:hyperlink r:id="rId6" w:history="1">
        <w:r w:rsidR="007252DF" w:rsidRPr="00856BD6">
          <w:rPr>
            <w:rStyle w:val="Hypertextovodkaz"/>
            <w:rFonts w:eastAsia="Times New Roman"/>
          </w:rPr>
          <w:t>Studenti a absolventi vysokých škol v České republice</w:t>
        </w:r>
      </w:hyperlink>
      <w:r w:rsidR="007252DF" w:rsidRPr="007252DF">
        <w:rPr>
          <w:rFonts w:eastAsia="Times New Roman"/>
        </w:rPr>
        <w:t xml:space="preserve"> podávají ucelený přehled st</w:t>
      </w:r>
      <w:r w:rsidR="007252DF">
        <w:rPr>
          <w:rFonts w:eastAsia="Times New Roman"/>
        </w:rPr>
        <w:t>atistik formálního vzdělávání v </w:t>
      </w:r>
      <w:r w:rsidR="007252DF" w:rsidRPr="007252DF">
        <w:rPr>
          <w:rFonts w:eastAsia="Times New Roman"/>
        </w:rPr>
        <w:t xml:space="preserve">České republice. </w:t>
      </w:r>
    </w:p>
    <w:p w14:paraId="49CD4D48" w14:textId="693B987C" w:rsidR="00FE69CF" w:rsidRPr="00FE69CF" w:rsidRDefault="007252DF" w:rsidP="00FE69CF">
      <w:pPr>
        <w:jc w:val="both"/>
        <w:rPr>
          <w:rFonts w:eastAsia="Times New Roman"/>
        </w:rPr>
      </w:pPr>
      <w:r w:rsidRPr="00FE69CF">
        <w:rPr>
          <w:rFonts w:eastAsia="Times New Roman"/>
        </w:rPr>
        <w:t xml:space="preserve">Je </w:t>
      </w:r>
      <w:r>
        <w:rPr>
          <w:rFonts w:eastAsia="Times New Roman"/>
        </w:rPr>
        <w:t>dobré</w:t>
      </w:r>
      <w:r w:rsidRPr="00FE69CF">
        <w:rPr>
          <w:rFonts w:eastAsia="Times New Roman"/>
        </w:rPr>
        <w:t xml:space="preserve"> upozornit, že podmínky, za nichž se uskutečňuje vzdělávání předškolní, základní, střední, </w:t>
      </w:r>
      <w:r w:rsidR="00F332B0">
        <w:rPr>
          <w:rFonts w:eastAsia="Times New Roman"/>
        </w:rPr>
        <w:t xml:space="preserve">a </w:t>
      </w:r>
      <w:r w:rsidRPr="00FE69CF">
        <w:rPr>
          <w:rFonts w:eastAsia="Times New Roman"/>
        </w:rPr>
        <w:t xml:space="preserve">vyšší odborné ve školách a školských zařízeních, vymezuje </w:t>
      </w:r>
      <w:hyperlink r:id="rId7" w:history="1">
        <w:r w:rsidRPr="00FE69CF">
          <w:rPr>
            <w:rFonts w:eastAsia="Times New Roman"/>
            <w:color w:val="0000FF"/>
            <w:u w:val="single"/>
          </w:rPr>
          <w:t>Školský zákon</w:t>
        </w:r>
      </w:hyperlink>
      <w:r w:rsidRPr="00FE69CF">
        <w:rPr>
          <w:rFonts w:eastAsia="Times New Roman"/>
        </w:rPr>
        <w:t xml:space="preserve"> (561/2004 Sb.), zatímco vysoké školy podléhají </w:t>
      </w:r>
      <w:hyperlink r:id="rId8" w:history="1">
        <w:r w:rsidRPr="00FE69CF">
          <w:rPr>
            <w:rFonts w:eastAsia="Times New Roman"/>
            <w:color w:val="0000FF"/>
            <w:u w:val="single"/>
          </w:rPr>
          <w:t>Zákonu o vysokých školách</w:t>
        </w:r>
      </w:hyperlink>
      <w:r w:rsidRPr="00FE69CF">
        <w:rPr>
          <w:rFonts w:eastAsia="Times New Roman"/>
        </w:rPr>
        <w:t xml:space="preserve"> </w:t>
      </w:r>
      <w:r w:rsidRPr="00FE69CF">
        <w:rPr>
          <w:rFonts w:eastAsia="Times New Roman"/>
          <w:bCs/>
        </w:rPr>
        <w:t xml:space="preserve">(111/1998 Sb.). V důsledku toho se liší i legislativa, která stanovuje statistické sběry dat </w:t>
      </w:r>
      <w:r w:rsidR="00CC5174">
        <w:rPr>
          <w:rFonts w:eastAsia="Times New Roman"/>
          <w:bCs/>
        </w:rPr>
        <w:t>a p</w:t>
      </w:r>
      <w:r w:rsidRPr="00FE69CF">
        <w:rPr>
          <w:rFonts w:eastAsia="Times New Roman"/>
          <w:bCs/>
        </w:rPr>
        <w:t>ojmy a metodika užívané pro tyto dvě sk</w:t>
      </w:r>
      <w:r>
        <w:rPr>
          <w:rFonts w:eastAsia="Times New Roman"/>
          <w:bCs/>
        </w:rPr>
        <w:t>upiny škol nejsou totožné.</w:t>
      </w:r>
      <w:r w:rsidR="002D52BC">
        <w:rPr>
          <w:rFonts w:eastAsia="Times New Roman"/>
          <w:bCs/>
        </w:rPr>
        <w:t xml:space="preserve"> I z tohoto důvodu je téma formálního vzdělávání rozděleno do dvou samostatných publikací. </w:t>
      </w:r>
    </w:p>
    <w:p w14:paraId="641A944D" w14:textId="5CF17207" w:rsidR="007A006C" w:rsidRPr="00F72764" w:rsidRDefault="00FE69CF" w:rsidP="00F72764">
      <w:pPr>
        <w:jc w:val="both"/>
        <w:rPr>
          <w:rFonts w:eastAsia="Times New Roman"/>
          <w:bCs/>
        </w:rPr>
      </w:pPr>
      <w:r w:rsidRPr="00FE69CF">
        <w:rPr>
          <w:rFonts w:eastAsia="Times New Roman"/>
        </w:rPr>
        <w:t xml:space="preserve">Publikace </w:t>
      </w:r>
      <w:r w:rsidR="007252DF" w:rsidRPr="00FE69CF">
        <w:rPr>
          <w:rFonts w:eastAsia="Times New Roman"/>
          <w:b/>
        </w:rPr>
        <w:t>Školy a školská zařízení</w:t>
      </w:r>
      <w:r w:rsidR="007252DF" w:rsidRPr="00FE69CF">
        <w:rPr>
          <w:rFonts w:eastAsia="Times New Roman"/>
        </w:rPr>
        <w:t xml:space="preserve"> </w:t>
      </w:r>
      <w:r w:rsidRPr="00FE69CF">
        <w:rPr>
          <w:rFonts w:eastAsia="Times New Roman"/>
        </w:rPr>
        <w:t xml:space="preserve">je členěna na </w:t>
      </w:r>
      <w:r w:rsidRPr="00FE69CF">
        <w:rPr>
          <w:rFonts w:eastAsia="Times New Roman"/>
          <w:b/>
        </w:rPr>
        <w:t>tabulkovou část</w:t>
      </w:r>
      <w:r w:rsidRPr="00FE69CF">
        <w:rPr>
          <w:rFonts w:eastAsia="Times New Roman"/>
        </w:rPr>
        <w:t>, která podává přehled klíčových statistik v časové řadě a v dílčích tříděních, </w:t>
      </w:r>
      <w:r w:rsidRPr="00FE69CF">
        <w:rPr>
          <w:rFonts w:eastAsia="Times New Roman"/>
          <w:b/>
        </w:rPr>
        <w:t>rejstříkový výklad používaných pojmů</w:t>
      </w:r>
      <w:r w:rsidR="00D07815">
        <w:rPr>
          <w:rFonts w:eastAsia="Times New Roman"/>
        </w:rPr>
        <w:t xml:space="preserve"> v abecedním řazení,</w:t>
      </w:r>
      <w:r w:rsidRPr="00FE69CF">
        <w:rPr>
          <w:rFonts w:eastAsia="Times New Roman"/>
        </w:rPr>
        <w:t xml:space="preserve"> </w:t>
      </w:r>
      <w:r w:rsidRPr="00FE69CF">
        <w:rPr>
          <w:rFonts w:eastAsia="Times New Roman"/>
          <w:b/>
        </w:rPr>
        <w:t>analytickou část</w:t>
      </w:r>
      <w:r w:rsidR="00D07815" w:rsidRPr="00D07815">
        <w:rPr>
          <w:rFonts w:eastAsia="Times New Roman"/>
        </w:rPr>
        <w:t>,</w:t>
      </w:r>
      <w:r w:rsidR="00D07815">
        <w:rPr>
          <w:rFonts w:eastAsia="Times New Roman"/>
          <w:b/>
        </w:rPr>
        <w:t xml:space="preserve"> kartogramy </w:t>
      </w:r>
      <w:r w:rsidR="00D07815" w:rsidRPr="00D07815">
        <w:rPr>
          <w:rFonts w:eastAsia="Times New Roman"/>
        </w:rPr>
        <w:t>a</w:t>
      </w:r>
      <w:r w:rsidR="00D07815">
        <w:rPr>
          <w:rFonts w:eastAsia="Times New Roman"/>
          <w:b/>
        </w:rPr>
        <w:t xml:space="preserve"> infografiku</w:t>
      </w:r>
      <w:r w:rsidRPr="00FE69CF">
        <w:rPr>
          <w:rFonts w:eastAsia="Times New Roman"/>
        </w:rPr>
        <w:t xml:space="preserve">. Jako v minulých letech, i letos publikace </w:t>
      </w:r>
      <w:r w:rsidRPr="00FE69CF">
        <w:rPr>
          <w:rFonts w:eastAsia="Times New Roman"/>
          <w:b/>
        </w:rPr>
        <w:t xml:space="preserve">vychází z dat Ministerstva školství, mládeže a tělovýchovy </w:t>
      </w:r>
      <w:r w:rsidRPr="00FE69CF">
        <w:rPr>
          <w:rFonts w:eastAsia="Times New Roman"/>
        </w:rPr>
        <w:t>(MŠMT), ze kterých Český statistický úřad (ČSÚ) čerpá i při přípravě tabulek s údaji o formálním vzdělávání publikovaných ve </w:t>
      </w:r>
      <w:hyperlink r:id="rId9" w:history="1">
        <w:r w:rsidRPr="00FE69CF">
          <w:rPr>
            <w:rFonts w:eastAsia="Times New Roman"/>
            <w:color w:val="0000FF"/>
            <w:u w:val="single"/>
          </w:rPr>
          <w:t>Statistické ročence České republiky</w:t>
        </w:r>
      </w:hyperlink>
      <w:r w:rsidRPr="00FE69CF">
        <w:rPr>
          <w:rFonts w:eastAsia="Times New Roman"/>
        </w:rPr>
        <w:t>, resp. v </w:t>
      </w:r>
      <w:hyperlink r:id="rId10" w:history="1">
        <w:r w:rsidRPr="00FE69CF">
          <w:rPr>
            <w:rFonts w:eastAsia="Times New Roman"/>
            <w:color w:val="0000FF"/>
            <w:u w:val="single"/>
          </w:rPr>
          <w:t>krajských ročenkách</w:t>
        </w:r>
      </w:hyperlink>
      <w:r w:rsidRPr="00FE69CF">
        <w:rPr>
          <w:rFonts w:eastAsia="Times New Roman"/>
        </w:rPr>
        <w:t>.</w:t>
      </w:r>
    </w:p>
    <w:sectPr w:rsidR="007A006C" w:rsidRPr="00F72764" w:rsidSect="007A00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E3C70" w14:textId="77777777" w:rsidR="009A35D0" w:rsidRDefault="009A35D0" w:rsidP="00FE69CF">
      <w:pPr>
        <w:spacing w:after="0" w:line="240" w:lineRule="auto"/>
      </w:pPr>
      <w:r>
        <w:separator/>
      </w:r>
    </w:p>
  </w:endnote>
  <w:endnote w:type="continuationSeparator" w:id="0">
    <w:p w14:paraId="4A363AF0" w14:textId="77777777" w:rsidR="009A35D0" w:rsidRDefault="009A35D0" w:rsidP="00FE6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B468C" w14:textId="77777777" w:rsidR="00F52EDF" w:rsidRDefault="00F52ED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7FC4" w14:textId="4673F34E" w:rsidR="00F52EDF" w:rsidRPr="008C07E0" w:rsidRDefault="008C07E0" w:rsidP="008C07E0">
    <w:pPr>
      <w:pStyle w:val="Zpat"/>
      <w:tabs>
        <w:tab w:val="clear" w:pos="4820"/>
        <w:tab w:val="clear" w:pos="9639"/>
        <w:tab w:val="left" w:pos="3990"/>
      </w:tabs>
      <w:rPr>
        <w:szCs w:val="16"/>
      </w:rPr>
    </w:pPr>
    <w:r w:rsidRPr="004C7A11">
      <w:rPr>
        <w:sz w:val="18"/>
        <w:szCs w:val="16"/>
        <w:lang w:eastAsia="cs-CZ"/>
      </w:rPr>
      <w:t>čsú</w:t>
    </w:r>
    <w:r w:rsidR="00F52EDF" w:rsidRPr="004C7A11">
      <w:rPr>
        <w:sz w:val="18"/>
      </w:rPr>
      <w:t xml:space="preserve"> </w:t>
    </w:r>
    <w:r w:rsidR="00F52EDF">
      <w:t xml:space="preserve">                                                                                    </w:t>
    </w:r>
    <w:r w:rsidR="0007571B">
      <w:rPr>
        <w:rStyle w:val="ZpatChar"/>
        <w:szCs w:val="16"/>
      </w:rPr>
      <w:t>Školní rok 202</w:t>
    </w:r>
    <w:r w:rsidR="00643FF6">
      <w:rPr>
        <w:rStyle w:val="ZpatChar"/>
        <w:szCs w:val="16"/>
      </w:rPr>
      <w:t>5</w:t>
    </w:r>
    <w:r w:rsidR="0007571B">
      <w:rPr>
        <w:rStyle w:val="ZpatChar"/>
        <w:szCs w:val="16"/>
      </w:rPr>
      <w:t>/202</w:t>
    </w:r>
    <w:r w:rsidR="00643FF6">
      <w:rPr>
        <w:rStyle w:val="ZpatChar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0E0A1" w14:textId="77777777" w:rsidR="00F52EDF" w:rsidRDefault="00F52E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570D5" w14:textId="77777777" w:rsidR="009A35D0" w:rsidRDefault="009A35D0" w:rsidP="00FE69CF">
      <w:pPr>
        <w:spacing w:after="0" w:line="240" w:lineRule="auto"/>
      </w:pPr>
      <w:r>
        <w:separator/>
      </w:r>
    </w:p>
  </w:footnote>
  <w:footnote w:type="continuationSeparator" w:id="0">
    <w:p w14:paraId="29B0E593" w14:textId="77777777" w:rsidR="009A35D0" w:rsidRDefault="009A35D0" w:rsidP="00FE6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DAA9F" w14:textId="77777777" w:rsidR="00F52EDF" w:rsidRDefault="00F52E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304C7" w14:textId="1FD79A7F" w:rsidR="00F52EDF" w:rsidRDefault="008C07E0">
    <w:pPr>
      <w:pStyle w:val="Zhlav"/>
    </w:pPr>
    <w:r>
      <w:t>ŠKOLY A ŠKOLSKÁ ZAŘÍZENÍ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26326" w14:textId="77777777" w:rsidR="00F52EDF" w:rsidRDefault="00F52ED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9CF"/>
    <w:rsid w:val="00044689"/>
    <w:rsid w:val="000645ED"/>
    <w:rsid w:val="0007571B"/>
    <w:rsid w:val="000D0D53"/>
    <w:rsid w:val="00110E59"/>
    <w:rsid w:val="0014144C"/>
    <w:rsid w:val="00175FE9"/>
    <w:rsid w:val="001E0DF7"/>
    <w:rsid w:val="001E55ED"/>
    <w:rsid w:val="001F6B22"/>
    <w:rsid w:val="00206B1F"/>
    <w:rsid w:val="002548CE"/>
    <w:rsid w:val="002D170D"/>
    <w:rsid w:val="002D52BC"/>
    <w:rsid w:val="002E146E"/>
    <w:rsid w:val="003C7001"/>
    <w:rsid w:val="0043128B"/>
    <w:rsid w:val="00485BCD"/>
    <w:rsid w:val="00490011"/>
    <w:rsid w:val="004C7A11"/>
    <w:rsid w:val="00560F12"/>
    <w:rsid w:val="006234C7"/>
    <w:rsid w:val="00643FF6"/>
    <w:rsid w:val="007252DF"/>
    <w:rsid w:val="00750FA0"/>
    <w:rsid w:val="00797122"/>
    <w:rsid w:val="007A006C"/>
    <w:rsid w:val="008063E0"/>
    <w:rsid w:val="008176DC"/>
    <w:rsid w:val="0085476F"/>
    <w:rsid w:val="00856BD6"/>
    <w:rsid w:val="008632A1"/>
    <w:rsid w:val="0088448E"/>
    <w:rsid w:val="008A1409"/>
    <w:rsid w:val="008B4DCF"/>
    <w:rsid w:val="008C07E0"/>
    <w:rsid w:val="008F2A4F"/>
    <w:rsid w:val="00957E13"/>
    <w:rsid w:val="00971631"/>
    <w:rsid w:val="009A35D0"/>
    <w:rsid w:val="00AD3ACD"/>
    <w:rsid w:val="00AD7552"/>
    <w:rsid w:val="00B143E4"/>
    <w:rsid w:val="00B57186"/>
    <w:rsid w:val="00C02F76"/>
    <w:rsid w:val="00C12559"/>
    <w:rsid w:val="00CA041C"/>
    <w:rsid w:val="00CC5174"/>
    <w:rsid w:val="00CE7412"/>
    <w:rsid w:val="00D016CA"/>
    <w:rsid w:val="00D07815"/>
    <w:rsid w:val="00E94545"/>
    <w:rsid w:val="00EB7868"/>
    <w:rsid w:val="00EE5AE7"/>
    <w:rsid w:val="00F02311"/>
    <w:rsid w:val="00F039E4"/>
    <w:rsid w:val="00F213F9"/>
    <w:rsid w:val="00F332B0"/>
    <w:rsid w:val="00F52EDF"/>
    <w:rsid w:val="00F72764"/>
    <w:rsid w:val="00FC235A"/>
    <w:rsid w:val="00FC4172"/>
    <w:rsid w:val="00FD3FC3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D300"/>
  <w15:docId w15:val="{B1526DB8-8C36-46E3-8958-1630C2F6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13F9"/>
    <w:pPr>
      <w:spacing w:after="240" w:line="288" w:lineRule="auto"/>
    </w:pPr>
    <w:rPr>
      <w:rFonts w:ascii="Arial" w:hAnsi="Arial"/>
      <w:szCs w:val="24"/>
    </w:rPr>
  </w:style>
  <w:style w:type="paragraph" w:styleId="Nadpis1">
    <w:name w:val="heading 1"/>
    <w:next w:val="Normln"/>
    <w:link w:val="Nadpis1Char"/>
    <w:uiPriority w:val="9"/>
    <w:qFormat/>
    <w:rsid w:val="00F213F9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olor w:val="C00000"/>
      <w:sz w:val="32"/>
      <w:szCs w:val="28"/>
    </w:rPr>
  </w:style>
  <w:style w:type="paragraph" w:styleId="Nadpis2">
    <w:name w:val="heading 2"/>
    <w:next w:val="Normln"/>
    <w:link w:val="Nadpis2Char"/>
    <w:uiPriority w:val="9"/>
    <w:qFormat/>
    <w:rsid w:val="00F213F9"/>
    <w:pPr>
      <w:keepNext/>
      <w:keepLines/>
      <w:spacing w:line="288" w:lineRule="auto"/>
      <w:outlineLvl w:val="1"/>
    </w:pPr>
    <w:rPr>
      <w:rFonts w:ascii="Arial" w:eastAsia="MS Gothic" w:hAnsi="Arial"/>
      <w:b/>
      <w:bCs/>
      <w:color w:val="BC091B"/>
      <w:sz w:val="28"/>
      <w:szCs w:val="26"/>
    </w:rPr>
  </w:style>
  <w:style w:type="paragraph" w:styleId="Nadpis3">
    <w:name w:val="heading 3"/>
    <w:next w:val="Normln"/>
    <w:link w:val="Nadpis3Char"/>
    <w:uiPriority w:val="9"/>
    <w:qFormat/>
    <w:rsid w:val="00F213F9"/>
    <w:pPr>
      <w:keepNext/>
      <w:keepLines/>
      <w:spacing w:line="288" w:lineRule="auto"/>
      <w:outlineLvl w:val="2"/>
    </w:pPr>
    <w:rPr>
      <w:rFonts w:ascii="Arial" w:eastAsia="MS Gothic" w:hAnsi="Arial"/>
      <w:b/>
      <w:bCs/>
      <w:color w:val="BC091B"/>
      <w:sz w:val="24"/>
      <w:szCs w:val="24"/>
    </w:rPr>
  </w:style>
  <w:style w:type="paragraph" w:styleId="Nadpis4">
    <w:name w:val="heading 4"/>
    <w:next w:val="Normln"/>
    <w:link w:val="Nadpis4Char"/>
    <w:uiPriority w:val="9"/>
    <w:qFormat/>
    <w:rsid w:val="00F213F9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color w:val="BC091B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13F9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13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F213F9"/>
    <w:rPr>
      <w:rFonts w:ascii="Arial" w:eastAsia="MS Gothic" w:hAnsi="Arial"/>
      <w:b/>
      <w:bCs/>
      <w:color w:val="C00000"/>
      <w:sz w:val="32"/>
      <w:szCs w:val="28"/>
      <w:lang w:bidi="ar-SA"/>
    </w:rPr>
  </w:style>
  <w:style w:type="character" w:customStyle="1" w:styleId="Nadpis2Char">
    <w:name w:val="Nadpis 2 Char"/>
    <w:link w:val="Nadpis2"/>
    <w:uiPriority w:val="9"/>
    <w:rsid w:val="00F213F9"/>
    <w:rPr>
      <w:rFonts w:ascii="Arial" w:eastAsia="MS Gothic" w:hAnsi="Arial"/>
      <w:b/>
      <w:bCs/>
      <w:color w:val="BC091B"/>
      <w:sz w:val="28"/>
      <w:szCs w:val="26"/>
      <w:lang w:bidi="ar-SA"/>
    </w:rPr>
  </w:style>
  <w:style w:type="character" w:customStyle="1" w:styleId="Nadpis3Char">
    <w:name w:val="Nadpis 3 Char"/>
    <w:link w:val="Nadpis3"/>
    <w:uiPriority w:val="9"/>
    <w:rsid w:val="00F213F9"/>
    <w:rPr>
      <w:rFonts w:ascii="Arial" w:eastAsia="MS Gothic" w:hAnsi="Arial"/>
      <w:b/>
      <w:bCs/>
      <w:color w:val="BC091B"/>
      <w:sz w:val="24"/>
      <w:szCs w:val="24"/>
      <w:lang w:bidi="ar-SA"/>
    </w:rPr>
  </w:style>
  <w:style w:type="character" w:customStyle="1" w:styleId="Nadpis4Char">
    <w:name w:val="Nadpis 4 Char"/>
    <w:link w:val="Nadpis4"/>
    <w:uiPriority w:val="9"/>
    <w:rsid w:val="00F213F9"/>
    <w:rPr>
      <w:rFonts w:ascii="Arial" w:eastAsia="MS Gothic" w:hAnsi="Arial"/>
      <w:b/>
      <w:bCs/>
      <w:iCs/>
      <w:color w:val="BC091B"/>
      <w:szCs w:val="24"/>
      <w:lang w:bidi="ar-SA"/>
    </w:rPr>
  </w:style>
  <w:style w:type="character" w:customStyle="1" w:styleId="Nadpis9Char">
    <w:name w:val="Nadpis 9 Char"/>
    <w:link w:val="Nadpis9"/>
    <w:uiPriority w:val="9"/>
    <w:semiHidden/>
    <w:rsid w:val="00F213F9"/>
    <w:rPr>
      <w:rFonts w:ascii="Cambria" w:eastAsia="Times New Roman" w:hAnsi="Cambria" w:cs="Times New Roman"/>
      <w:sz w:val="22"/>
      <w:szCs w:val="22"/>
    </w:rPr>
  </w:style>
  <w:style w:type="paragraph" w:styleId="Zhlav">
    <w:name w:val="header"/>
    <w:link w:val="ZhlavChar"/>
    <w:uiPriority w:val="99"/>
    <w:unhideWhenUsed/>
    <w:qFormat/>
    <w:rsid w:val="00F213F9"/>
    <w:pPr>
      <w:spacing w:line="288" w:lineRule="auto"/>
    </w:pPr>
    <w:rPr>
      <w:rFonts w:ascii="Arial" w:hAnsi="Arial"/>
      <w:sz w:val="16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F213F9"/>
    <w:rPr>
      <w:rFonts w:ascii="Arial" w:hAnsi="Arial"/>
      <w:sz w:val="16"/>
      <w:szCs w:val="22"/>
      <w:lang w:eastAsia="en-US" w:bidi="ar-SA"/>
    </w:rPr>
  </w:style>
  <w:style w:type="paragraph" w:styleId="Zpat">
    <w:name w:val="footer"/>
    <w:link w:val="ZpatChar"/>
    <w:uiPriority w:val="99"/>
    <w:unhideWhenUsed/>
    <w:qFormat/>
    <w:rsid w:val="00F213F9"/>
    <w:pPr>
      <w:tabs>
        <w:tab w:val="center" w:pos="4820"/>
        <w:tab w:val="right" w:pos="9639"/>
      </w:tabs>
    </w:pPr>
    <w:rPr>
      <w:rFonts w:ascii="Arial" w:hAnsi="Arial"/>
      <w:noProof/>
      <w:sz w:val="16"/>
      <w:lang w:eastAsia="en-US"/>
    </w:rPr>
  </w:style>
  <w:style w:type="character" w:customStyle="1" w:styleId="ZpatChar">
    <w:name w:val="Zápatí Char"/>
    <w:link w:val="Zpat"/>
    <w:uiPriority w:val="99"/>
    <w:rsid w:val="00F213F9"/>
    <w:rPr>
      <w:rFonts w:ascii="Arial" w:hAnsi="Arial"/>
      <w:noProof/>
      <w:sz w:val="16"/>
      <w:lang w:eastAsia="en-US" w:bidi="ar-SA"/>
    </w:rPr>
  </w:style>
  <w:style w:type="paragraph" w:styleId="Seznam">
    <w:name w:val="List"/>
    <w:basedOn w:val="Normln"/>
    <w:uiPriority w:val="99"/>
    <w:unhideWhenUsed/>
    <w:qFormat/>
    <w:rsid w:val="00F213F9"/>
    <w:pPr>
      <w:contextualSpacing/>
    </w:pPr>
    <w:rPr>
      <w:rFonts w:eastAsia="Times New Roman"/>
    </w:rPr>
  </w:style>
  <w:style w:type="paragraph" w:styleId="Nzev">
    <w:name w:val="Title"/>
    <w:link w:val="NzevChar"/>
    <w:uiPriority w:val="10"/>
    <w:qFormat/>
    <w:rsid w:val="00F213F9"/>
    <w:pPr>
      <w:spacing w:line="288" w:lineRule="auto"/>
    </w:pPr>
    <w:rPr>
      <w:rFonts w:ascii="Arial" w:eastAsia="Times New Roman" w:hAnsi="Arial"/>
      <w:b/>
      <w:bCs/>
      <w:caps/>
      <w:color w:val="BC091B"/>
      <w:kern w:val="28"/>
      <w:sz w:val="56"/>
      <w:szCs w:val="32"/>
    </w:rPr>
  </w:style>
  <w:style w:type="character" w:customStyle="1" w:styleId="NzevChar">
    <w:name w:val="Název Char"/>
    <w:link w:val="Nzev"/>
    <w:uiPriority w:val="10"/>
    <w:rsid w:val="00F213F9"/>
    <w:rPr>
      <w:rFonts w:ascii="Arial" w:eastAsia="Times New Roman" w:hAnsi="Arial"/>
      <w:b/>
      <w:bCs/>
      <w:caps/>
      <w:color w:val="BC091B"/>
      <w:kern w:val="28"/>
      <w:sz w:val="56"/>
      <w:szCs w:val="32"/>
      <w:lang w:bidi="ar-SA"/>
    </w:rPr>
  </w:style>
  <w:style w:type="paragraph" w:styleId="Podnadpis">
    <w:name w:val="Subtitle"/>
    <w:link w:val="PodnadpisChar"/>
    <w:uiPriority w:val="11"/>
    <w:qFormat/>
    <w:rsid w:val="00F213F9"/>
    <w:pPr>
      <w:spacing w:line="288" w:lineRule="auto"/>
    </w:pPr>
    <w:rPr>
      <w:rFonts w:ascii="Arial" w:eastAsia="Times New Roman" w:hAnsi="Arial"/>
      <w:b/>
      <w:color w:val="BC091B"/>
      <w:sz w:val="28"/>
      <w:szCs w:val="24"/>
    </w:rPr>
  </w:style>
  <w:style w:type="character" w:customStyle="1" w:styleId="PodnadpisChar">
    <w:name w:val="Podnadpis Char"/>
    <w:link w:val="Podnadpis"/>
    <w:uiPriority w:val="11"/>
    <w:rsid w:val="00F213F9"/>
    <w:rPr>
      <w:rFonts w:ascii="Arial" w:eastAsia="Times New Roman" w:hAnsi="Arial"/>
      <w:b/>
      <w:color w:val="BC091B"/>
      <w:sz w:val="28"/>
      <w:szCs w:val="24"/>
      <w:lang w:bidi="ar-SA"/>
    </w:rPr>
  </w:style>
  <w:style w:type="character" w:styleId="Siln">
    <w:name w:val="Strong"/>
    <w:aliases w:val="Tučné"/>
    <w:uiPriority w:val="22"/>
    <w:qFormat/>
    <w:rsid w:val="00F213F9"/>
    <w:rPr>
      <w:rFonts w:ascii="Arial" w:hAnsi="Arial"/>
      <w:b/>
      <w:bCs/>
      <w:sz w:val="20"/>
    </w:rPr>
  </w:style>
  <w:style w:type="character" w:styleId="Zdraznn">
    <w:name w:val="Emphasis"/>
    <w:basedOn w:val="Standardnpsmoodstavce"/>
    <w:uiPriority w:val="20"/>
    <w:qFormat/>
    <w:rsid w:val="00F213F9"/>
    <w:rPr>
      <w:i/>
      <w:i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213F9"/>
    <w:pPr>
      <w:spacing w:before="480" w:after="0" w:line="276" w:lineRule="auto"/>
      <w:contextualSpacing w:val="0"/>
      <w:outlineLvl w:val="9"/>
    </w:pPr>
    <w:rPr>
      <w:rFonts w:ascii="Cambria" w:eastAsia="Times New Roman" w:hAnsi="Cambria"/>
      <w:color w:val="365F91"/>
      <w:sz w:val="28"/>
      <w:lang w:eastAsia="en-US"/>
    </w:rPr>
  </w:style>
  <w:style w:type="paragraph" w:customStyle="1" w:styleId="TLIdentifikace-sted">
    <w:name w:val="TL Identifikace - střed"/>
    <w:qFormat/>
    <w:rsid w:val="00F213F9"/>
    <w:pPr>
      <w:spacing w:after="200" w:line="288" w:lineRule="auto"/>
    </w:pPr>
    <w:rPr>
      <w:rFonts w:ascii="Arial" w:eastAsia="Times New Roman" w:hAnsi="Arial"/>
      <w:sz w:val="24"/>
      <w:szCs w:val="24"/>
    </w:rPr>
  </w:style>
  <w:style w:type="paragraph" w:customStyle="1" w:styleId="Obsah">
    <w:name w:val="Obsah"/>
    <w:next w:val="Normln"/>
    <w:qFormat/>
    <w:rsid w:val="00F213F9"/>
    <w:pPr>
      <w:spacing w:after="80" w:line="288" w:lineRule="auto"/>
    </w:pPr>
    <w:rPr>
      <w:rFonts w:ascii="Arial" w:eastAsia="Times New Roman" w:hAnsi="Arial"/>
      <w:b/>
      <w:color w:val="BC091B"/>
      <w:sz w:val="32"/>
      <w:szCs w:val="24"/>
    </w:rPr>
  </w:style>
  <w:style w:type="paragraph" w:customStyle="1" w:styleId="Obsahpoloky">
    <w:name w:val="Obsah položky"/>
    <w:qFormat/>
    <w:rsid w:val="00F213F9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</w:rPr>
  </w:style>
  <w:style w:type="paragraph" w:customStyle="1" w:styleId="Box1">
    <w:name w:val="Box 1"/>
    <w:next w:val="Normln"/>
    <w:qFormat/>
    <w:rsid w:val="00F213F9"/>
    <w:pPr>
      <w:shd w:val="clear" w:color="auto" w:fill="F5DADD"/>
      <w:spacing w:before="240" w:after="240" w:line="288" w:lineRule="auto"/>
      <w:ind w:left="709"/>
      <w:contextualSpacing/>
    </w:pPr>
    <w:rPr>
      <w:rFonts w:ascii="Arial" w:hAnsi="Arial" w:cs="Arial"/>
    </w:rPr>
  </w:style>
  <w:style w:type="paragraph" w:customStyle="1" w:styleId="Box2">
    <w:name w:val="Box 2"/>
    <w:qFormat/>
    <w:rsid w:val="00F213F9"/>
    <w:pPr>
      <w:spacing w:before="240" w:after="240" w:line="288" w:lineRule="auto"/>
      <w:ind w:left="709"/>
      <w:contextualSpacing/>
    </w:pPr>
    <w:rPr>
      <w:rFonts w:ascii="Arial" w:hAnsi="Arial" w:cs="Arial"/>
      <w:color w:val="BC091B"/>
    </w:rPr>
  </w:style>
  <w:style w:type="paragraph" w:customStyle="1" w:styleId="TLKontaktyerven">
    <w:name w:val="TL Kontakty červené"/>
    <w:basedOn w:val="Normln"/>
    <w:qFormat/>
    <w:rsid w:val="00F213F9"/>
    <w:pPr>
      <w:spacing w:after="40"/>
      <w:contextualSpacing/>
    </w:pPr>
    <w:rPr>
      <w:rFonts w:eastAsia="Times New Roman"/>
      <w:b/>
      <w:caps/>
      <w:color w:val="BD1B21"/>
      <w:sz w:val="24"/>
    </w:rPr>
  </w:style>
  <w:style w:type="paragraph" w:customStyle="1" w:styleId="TLKontakty">
    <w:name w:val="TL Kontakty"/>
    <w:qFormat/>
    <w:rsid w:val="00F213F9"/>
    <w:pPr>
      <w:spacing w:after="160" w:line="259" w:lineRule="auto"/>
      <w:contextualSpacing/>
    </w:pPr>
    <w:rPr>
      <w:rFonts w:ascii="Arial" w:eastAsia="Times New Roman" w:hAnsi="Arial"/>
      <w:b/>
      <w:color w:val="0071BC"/>
    </w:rPr>
  </w:style>
  <w:style w:type="character" w:styleId="Hypertextovodkaz">
    <w:name w:val="Hyperlink"/>
    <w:uiPriority w:val="99"/>
    <w:rsid w:val="00FE69CF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rsid w:val="00FE69CF"/>
    <w:pPr>
      <w:spacing w:after="0" w:line="240" w:lineRule="auto"/>
    </w:pPr>
    <w:rPr>
      <w:rFonts w:ascii="Calibri" w:hAnsi="Calibri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FE69CF"/>
    <w:rPr>
      <w:lang w:eastAsia="en-US"/>
    </w:rPr>
  </w:style>
  <w:style w:type="character" w:styleId="Znakapoznpodarou">
    <w:name w:val="footnote reference"/>
    <w:semiHidden/>
    <w:unhideWhenUsed/>
    <w:rsid w:val="00FE69C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1F6B2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60F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0F12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0F1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0F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0F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birka.gov.cz/sb/1998/111/2024-08-01?zalozka=tex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-sbirka.gov.cz/sb/2004/561/2005-12-01?zalozka=tex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csu.gov.cz/produkty/studenti-a-absolventi-vysokych-skol-v-cesku-2001-2025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csu.gov.cz/produkty/srovnani-kraju-v-ceske-republice-20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su.gov.cz/produkty/statisticka-rocenka-ceske-republiky-202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ČSÚ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</dc:title>
  <dc:creator>Adriana Ondrušová</dc:creator>
  <cp:lastModifiedBy>Kašparová Vendula</cp:lastModifiedBy>
  <cp:revision>8</cp:revision>
  <cp:lastPrinted>2022-08-30T11:12:00Z</cp:lastPrinted>
  <dcterms:created xsi:type="dcterms:W3CDTF">2026-07-08T11:24:00Z</dcterms:created>
  <dcterms:modified xsi:type="dcterms:W3CDTF">2026-08-24T13:36:00Z</dcterms:modified>
</cp:coreProperties>
</file>