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BD4" w:rsidRPr="00A17559" w:rsidRDefault="004A5D4E" w:rsidP="001554C2">
      <w:pPr>
        <w:pStyle w:val="Nadpis11"/>
        <w:rPr>
          <w:lang w:val="en-GB"/>
        </w:rPr>
      </w:pPr>
      <w:bookmarkStart w:id="0" w:name="_Toc19179082"/>
      <w:r w:rsidRPr="00A17559">
        <w:rPr>
          <w:lang w:val="en-GB"/>
        </w:rPr>
        <w:t>3. </w:t>
      </w:r>
      <w:bookmarkStart w:id="1" w:name="_Toc454185150"/>
      <w:bookmarkStart w:id="2" w:name="_Toc493683635"/>
      <w:r w:rsidR="003C71B9" w:rsidRPr="00A17559">
        <w:rPr>
          <w:lang w:val="en-GB"/>
        </w:rPr>
        <w:t>Branches Performance</w:t>
      </w:r>
      <w:bookmarkEnd w:id="0"/>
      <w:bookmarkEnd w:id="1"/>
      <w:bookmarkEnd w:id="2"/>
    </w:p>
    <w:tbl>
      <w:tblPr>
        <w:tblW w:w="9639" w:type="dxa"/>
        <w:tblInd w:w="-15" w:type="dxa"/>
        <w:tblCellMar>
          <w:left w:w="0" w:type="dxa"/>
          <w:right w:w="0" w:type="dxa"/>
        </w:tblCellMar>
        <w:tblLook w:val="00A0" w:firstRow="1" w:lastRow="0" w:firstColumn="1" w:lastColumn="0" w:noHBand="0" w:noVBand="0"/>
      </w:tblPr>
      <w:tblGrid>
        <w:gridCol w:w="1669"/>
        <w:gridCol w:w="180"/>
        <w:gridCol w:w="7790"/>
      </w:tblGrid>
      <w:tr w:rsidR="00340FD2" w:rsidRPr="00A17559" w:rsidTr="006B5BE0">
        <w:trPr>
          <w:trHeight w:val="145"/>
        </w:trPr>
        <w:tc>
          <w:tcPr>
            <w:tcW w:w="1669" w:type="dxa"/>
            <w:shd w:val="clear" w:color="auto" w:fill="auto"/>
            <w:tcMar>
              <w:left w:w="0" w:type="dxa"/>
            </w:tcMar>
          </w:tcPr>
          <w:p w:rsidR="00513E9D" w:rsidRPr="00A17559" w:rsidRDefault="003C71B9" w:rsidP="003C71B9">
            <w:pPr>
              <w:pStyle w:val="Marginlie"/>
              <w:rPr>
                <w:lang w:val="en-GB"/>
              </w:rPr>
            </w:pPr>
            <w:r w:rsidRPr="00A17559">
              <w:rPr>
                <w:lang w:val="en-GB"/>
              </w:rPr>
              <w:t>Year-on-year growth of the gross value added stayed mildly below the 3% level during H1</w:t>
            </w:r>
            <w:r w:rsidR="00513E9D" w:rsidRPr="00A17559">
              <w:rPr>
                <w:lang w:val="en-GB"/>
              </w:rPr>
              <w:t>.</w:t>
            </w:r>
            <w:r w:rsidRPr="00A17559">
              <w:rPr>
                <w:lang w:val="en-GB"/>
              </w:rPr>
              <w:t xml:space="preserve"> The economy has not slowed down also in the quarter-on-quarter expression so far. </w:t>
            </w:r>
          </w:p>
        </w:tc>
        <w:tc>
          <w:tcPr>
            <w:tcW w:w="180" w:type="dxa"/>
            <w:shd w:val="clear" w:color="auto" w:fill="auto"/>
            <w:tcMar>
              <w:left w:w="0" w:type="dxa"/>
            </w:tcMar>
          </w:tcPr>
          <w:p w:rsidR="00513E9D" w:rsidRPr="00A17559" w:rsidRDefault="00513E9D" w:rsidP="00513E9D">
            <w:pPr>
              <w:pStyle w:val="Textpoznpodarou"/>
              <w:jc w:val="both"/>
              <w:rPr>
                <w:spacing w:val="-4"/>
                <w:lang w:val="en-GB"/>
              </w:rPr>
            </w:pPr>
          </w:p>
        </w:tc>
        <w:tc>
          <w:tcPr>
            <w:tcW w:w="7790" w:type="dxa"/>
            <w:shd w:val="clear" w:color="auto" w:fill="auto"/>
            <w:tcMar>
              <w:left w:w="0" w:type="dxa"/>
            </w:tcMar>
          </w:tcPr>
          <w:p w:rsidR="00513E9D" w:rsidRPr="00A17559" w:rsidRDefault="003C71B9" w:rsidP="003C71B9">
            <w:pPr>
              <w:spacing w:after="220"/>
              <w:rPr>
                <w:spacing w:val="-7"/>
                <w:lang w:val="en-GB"/>
              </w:rPr>
            </w:pPr>
            <w:r w:rsidRPr="00A17559">
              <w:rPr>
                <w:spacing w:val="-7"/>
                <w:lang w:val="en-GB"/>
              </w:rPr>
              <w:t>Performance of all branches of the economy captured via the created gross value added (GVA)</w:t>
            </w:r>
            <w:r w:rsidR="00513E9D" w:rsidRPr="00A17559">
              <w:rPr>
                <w:rStyle w:val="Znakapoznpodarou"/>
                <w:spacing w:val="-7"/>
                <w:lang w:val="en-GB"/>
              </w:rPr>
              <w:footnoteReference w:id="1"/>
            </w:r>
            <w:r w:rsidR="00513E9D" w:rsidRPr="00A17559">
              <w:rPr>
                <w:spacing w:val="-7"/>
                <w:lang w:val="en-GB"/>
              </w:rPr>
              <w:t xml:space="preserve"> </w:t>
            </w:r>
            <w:r w:rsidRPr="00A17559">
              <w:rPr>
                <w:spacing w:val="-7"/>
                <w:lang w:val="en-GB"/>
              </w:rPr>
              <w:t>rose by 2.8% year-on-year in H</w:t>
            </w:r>
            <w:r w:rsidR="00513E9D" w:rsidRPr="00A17559">
              <w:rPr>
                <w:spacing w:val="-7"/>
                <w:lang w:val="en-GB"/>
              </w:rPr>
              <w:t>1</w:t>
            </w:r>
            <w:r w:rsidRPr="00A17559">
              <w:rPr>
                <w:spacing w:val="-7"/>
                <w:lang w:val="en-GB"/>
              </w:rPr>
              <w:t xml:space="preserve"> </w:t>
            </w:r>
            <w:r w:rsidR="00513E9D" w:rsidRPr="00A17559">
              <w:rPr>
                <w:spacing w:val="-7"/>
                <w:lang w:val="en-GB"/>
              </w:rPr>
              <w:t>a</w:t>
            </w:r>
            <w:r w:rsidRPr="00A17559">
              <w:rPr>
                <w:spacing w:val="-7"/>
                <w:lang w:val="en-GB"/>
              </w:rPr>
              <w:t xml:space="preserve">nd thus repeated the result from the second half of the last year. </w:t>
            </w:r>
            <w:r w:rsidR="00513E9D" w:rsidRPr="00A17559">
              <w:rPr>
                <w:spacing w:val="-7"/>
                <w:lang w:val="en-GB"/>
              </w:rPr>
              <w:t>R</w:t>
            </w:r>
            <w:r w:rsidR="00105F9B" w:rsidRPr="00A17559">
              <w:rPr>
                <w:spacing w:val="-7"/>
                <w:lang w:val="en-GB"/>
              </w:rPr>
              <w:t>ate of growth was practically the same in this year´s Q1 and Q2. The quarter-on-quarter dynamics of GVA also remains stable, specifically already since the half of year 20</w:t>
            </w:r>
            <w:r w:rsidR="00513E9D" w:rsidRPr="00A17559">
              <w:rPr>
                <w:spacing w:val="-7"/>
                <w:lang w:val="en-GB"/>
              </w:rPr>
              <w:t>17 (</w:t>
            </w:r>
            <w:r w:rsidR="00105F9B" w:rsidRPr="00A17559">
              <w:rPr>
                <w:spacing w:val="-7"/>
                <w:lang w:val="en-GB"/>
              </w:rPr>
              <w:t xml:space="preserve">on average it was </w:t>
            </w:r>
            <w:r w:rsidR="00513E9D" w:rsidRPr="00A17559">
              <w:rPr>
                <w:spacing w:val="-7"/>
                <w:lang w:val="en-GB"/>
              </w:rPr>
              <w:t>0</w:t>
            </w:r>
            <w:r w:rsidR="00105F9B" w:rsidRPr="00A17559">
              <w:rPr>
                <w:spacing w:val="-7"/>
                <w:lang w:val="en-GB"/>
              </w:rPr>
              <w:t>.</w:t>
            </w:r>
            <w:r w:rsidR="00513E9D" w:rsidRPr="00A17559">
              <w:rPr>
                <w:spacing w:val="-7"/>
                <w:lang w:val="en-GB"/>
              </w:rPr>
              <w:t>7%,</w:t>
            </w:r>
            <w:r w:rsidR="00105F9B" w:rsidRPr="00A17559">
              <w:rPr>
                <w:spacing w:val="-7"/>
                <w:lang w:val="en-GB"/>
              </w:rPr>
              <w:t xml:space="preserve"> similarly to Q</w:t>
            </w:r>
            <w:r w:rsidR="00513E9D" w:rsidRPr="00A17559">
              <w:rPr>
                <w:spacing w:val="-7"/>
                <w:lang w:val="en-GB"/>
              </w:rPr>
              <w:t>2</w:t>
            </w:r>
            <w:r w:rsidR="00105F9B" w:rsidRPr="00A17559">
              <w:rPr>
                <w:spacing w:val="-7"/>
                <w:lang w:val="en-GB"/>
              </w:rPr>
              <w:t xml:space="preserve"> </w:t>
            </w:r>
            <w:r w:rsidR="00513E9D" w:rsidRPr="00A17559">
              <w:rPr>
                <w:spacing w:val="-7"/>
                <w:lang w:val="en-GB"/>
              </w:rPr>
              <w:t xml:space="preserve">2019). </w:t>
            </w:r>
            <w:r w:rsidRPr="00A17559">
              <w:rPr>
                <w:spacing w:val="-7"/>
                <w:lang w:val="en-GB"/>
              </w:rPr>
              <w:t>Mainly this year´s result sounded positive for the domestic economy</w:t>
            </w:r>
            <w:r w:rsidR="003E2840" w:rsidRPr="00A17559">
              <w:rPr>
                <w:spacing w:val="-7"/>
                <w:lang w:val="en-GB"/>
              </w:rPr>
              <w:t>,</w:t>
            </w:r>
            <w:r w:rsidRPr="00A17559">
              <w:rPr>
                <w:spacing w:val="-7"/>
                <w:lang w:val="en-GB"/>
              </w:rPr>
              <w:t xml:space="preserve"> especially in the context of less favourable external factors (notable slowdown of the economic growth in key export territories, further strengthened by the growing regulative measures in the international trade a</w:t>
            </w:r>
            <w:r w:rsidR="00105F9B" w:rsidRPr="00A17559">
              <w:rPr>
                <w:spacing w:val="-7"/>
                <w:lang w:val="en-GB"/>
              </w:rPr>
              <w:t>s well as the</w:t>
            </w:r>
            <w:r w:rsidRPr="00A17559">
              <w:rPr>
                <w:spacing w:val="-7"/>
                <w:lang w:val="en-GB"/>
              </w:rPr>
              <w:t xml:space="preserve"> persisting </w:t>
            </w:r>
            <w:r w:rsidR="00105F9B" w:rsidRPr="00A17559">
              <w:rPr>
                <w:spacing w:val="-7"/>
                <w:lang w:val="en-GB"/>
              </w:rPr>
              <w:t>uncertainty regarding the future</w:t>
            </w:r>
            <w:r w:rsidRPr="00A17559">
              <w:rPr>
                <w:spacing w:val="-7"/>
                <w:lang w:val="en-GB"/>
              </w:rPr>
              <w:t xml:space="preserve"> organisation </w:t>
            </w:r>
            <w:r w:rsidR="00105F9B" w:rsidRPr="00A17559">
              <w:rPr>
                <w:spacing w:val="-7"/>
                <w:lang w:val="en-GB"/>
              </w:rPr>
              <w:t>of relations between the Great Britain and the EU</w:t>
            </w:r>
            <w:r w:rsidR="00513E9D" w:rsidRPr="00A17559">
              <w:rPr>
                <w:spacing w:val="-7"/>
                <w:lang w:val="en-GB"/>
              </w:rPr>
              <w:t>).</w:t>
            </w:r>
          </w:p>
        </w:tc>
      </w:tr>
      <w:tr w:rsidR="00340FD2" w:rsidRPr="00A17559" w:rsidTr="006B5BE0">
        <w:trPr>
          <w:trHeight w:val="145"/>
        </w:trPr>
        <w:tc>
          <w:tcPr>
            <w:tcW w:w="1669" w:type="dxa"/>
            <w:shd w:val="clear" w:color="auto" w:fill="auto"/>
            <w:tcMar>
              <w:left w:w="0" w:type="dxa"/>
            </w:tcMar>
          </w:tcPr>
          <w:p w:rsidR="00513E9D" w:rsidRPr="00A17559" w:rsidRDefault="00386127" w:rsidP="00386127">
            <w:pPr>
              <w:pStyle w:val="Marginlie"/>
              <w:rPr>
                <w:lang w:val="en-GB"/>
              </w:rPr>
            </w:pPr>
            <w:r w:rsidRPr="00A17559">
              <w:rPr>
                <w:lang w:val="en-GB"/>
              </w:rPr>
              <w:t xml:space="preserve">The focal point of the GVA growth was located in services already second year in a row. Here, the dynamical development of information and communication continued. Trade also prospered. </w:t>
            </w:r>
          </w:p>
        </w:tc>
        <w:tc>
          <w:tcPr>
            <w:tcW w:w="180" w:type="dxa"/>
            <w:shd w:val="clear" w:color="auto" w:fill="auto"/>
            <w:tcMar>
              <w:left w:w="0" w:type="dxa"/>
            </w:tcMar>
          </w:tcPr>
          <w:p w:rsidR="00513E9D" w:rsidRPr="00A17559" w:rsidRDefault="00513E9D" w:rsidP="00513E9D">
            <w:pPr>
              <w:pStyle w:val="Textpoznpodarou"/>
              <w:jc w:val="both"/>
              <w:rPr>
                <w:spacing w:val="-4"/>
                <w:lang w:val="en-GB"/>
              </w:rPr>
            </w:pPr>
          </w:p>
        </w:tc>
        <w:tc>
          <w:tcPr>
            <w:tcW w:w="7790" w:type="dxa"/>
            <w:shd w:val="clear" w:color="auto" w:fill="auto"/>
            <w:tcMar>
              <w:left w:w="0" w:type="dxa"/>
            </w:tcMar>
          </w:tcPr>
          <w:p w:rsidR="00513E9D" w:rsidRPr="00A17559" w:rsidRDefault="00386127" w:rsidP="00CE164F">
            <w:pPr>
              <w:spacing w:after="220"/>
              <w:rPr>
                <w:spacing w:val="-7"/>
                <w:lang w:val="en-GB"/>
              </w:rPr>
            </w:pPr>
            <w:r w:rsidRPr="00A17559">
              <w:rPr>
                <w:spacing w:val="-7"/>
                <w:lang w:val="en-GB"/>
              </w:rPr>
              <w:t xml:space="preserve">All eleven main branch groupings contributed to the year-on-year GVA growth this year. The tertiary sector presented the focal point of the growth </w:t>
            </w:r>
            <w:r w:rsidR="003370B1" w:rsidRPr="00A17559">
              <w:rPr>
                <w:spacing w:val="-7"/>
                <w:lang w:val="en-GB"/>
              </w:rPr>
              <w:t xml:space="preserve">similarly to the whole last year. Its performance strengthened by significant </w:t>
            </w:r>
            <w:r w:rsidR="00513E9D" w:rsidRPr="00A17559">
              <w:rPr>
                <w:spacing w:val="-7"/>
                <w:lang w:val="en-GB"/>
              </w:rPr>
              <w:t>3</w:t>
            </w:r>
            <w:r w:rsidR="003370B1" w:rsidRPr="00A17559">
              <w:rPr>
                <w:spacing w:val="-7"/>
                <w:lang w:val="en-GB"/>
              </w:rPr>
              <w:t>.</w:t>
            </w:r>
            <w:r w:rsidR="00513E9D" w:rsidRPr="00A17559">
              <w:rPr>
                <w:spacing w:val="-7"/>
                <w:lang w:val="en-GB"/>
              </w:rPr>
              <w:t>7%</w:t>
            </w:r>
            <w:r w:rsidR="003370B1" w:rsidRPr="00A17559">
              <w:rPr>
                <w:spacing w:val="-7"/>
                <w:lang w:val="en-GB"/>
              </w:rPr>
              <w:t xml:space="preserve"> in H1</w:t>
            </w:r>
            <w:r w:rsidR="00513E9D" w:rsidRPr="00A17559">
              <w:rPr>
                <w:spacing w:val="-7"/>
                <w:lang w:val="en-GB"/>
              </w:rPr>
              <w:t xml:space="preserve"> </w:t>
            </w:r>
            <w:r w:rsidR="003370B1" w:rsidRPr="00A17559">
              <w:rPr>
                <w:spacing w:val="-7"/>
                <w:lang w:val="en-GB"/>
              </w:rPr>
              <w:t xml:space="preserve">2019 </w:t>
            </w:r>
            <w:r w:rsidR="00513E9D" w:rsidRPr="00A17559">
              <w:rPr>
                <w:spacing w:val="-7"/>
                <w:lang w:val="en-GB"/>
              </w:rPr>
              <w:t>a</w:t>
            </w:r>
            <w:r w:rsidR="003370B1" w:rsidRPr="00A17559">
              <w:rPr>
                <w:spacing w:val="-7"/>
                <w:lang w:val="en-GB"/>
              </w:rPr>
              <w:t xml:space="preserve">nd managed to secure four fifth of the GVA growth of the whole economy on its own. </w:t>
            </w:r>
            <w:r w:rsidR="00AA58ED" w:rsidRPr="00A17559">
              <w:rPr>
                <w:spacing w:val="-7"/>
                <w:lang w:val="en-GB"/>
              </w:rPr>
              <w:t xml:space="preserve">Within the services primarily the information and communication grew </w:t>
            </w:r>
            <w:r w:rsidR="00513E9D" w:rsidRPr="00A17559">
              <w:rPr>
                <w:spacing w:val="-7"/>
                <w:lang w:val="en-GB"/>
              </w:rPr>
              <w:t>(+8</w:t>
            </w:r>
            <w:r w:rsidR="00AA58ED" w:rsidRPr="00A17559">
              <w:rPr>
                <w:spacing w:val="-7"/>
                <w:lang w:val="en-GB"/>
              </w:rPr>
              <w:t>.</w:t>
            </w:r>
            <w:r w:rsidR="00513E9D" w:rsidRPr="00A17559">
              <w:rPr>
                <w:spacing w:val="-7"/>
                <w:lang w:val="en-GB"/>
              </w:rPr>
              <w:t xml:space="preserve">7%), </w:t>
            </w:r>
            <w:r w:rsidR="009F5461">
              <w:rPr>
                <w:spacing w:val="-7"/>
                <w:lang w:val="en-GB"/>
              </w:rPr>
              <w:t>it increased its GVA</w:t>
            </w:r>
            <w:r w:rsidR="00670D0A" w:rsidRPr="00A17559">
              <w:rPr>
                <w:spacing w:val="-7"/>
                <w:lang w:val="en-GB"/>
              </w:rPr>
              <w:t xml:space="preserve"> by more than one half since the end of the last recession </w:t>
            </w:r>
            <w:r w:rsidR="00513E9D" w:rsidRPr="00A17559">
              <w:rPr>
                <w:spacing w:val="-7"/>
                <w:lang w:val="en-GB"/>
              </w:rPr>
              <w:t>(</w:t>
            </w:r>
            <w:r w:rsidR="00AA58ED" w:rsidRPr="00A17559">
              <w:rPr>
                <w:spacing w:val="-7"/>
                <w:lang w:val="en-GB"/>
              </w:rPr>
              <w:t xml:space="preserve">year </w:t>
            </w:r>
            <w:r w:rsidR="00513E9D" w:rsidRPr="00A17559">
              <w:rPr>
                <w:spacing w:val="-7"/>
                <w:lang w:val="en-GB"/>
              </w:rPr>
              <w:t>2013)</w:t>
            </w:r>
            <w:r w:rsidR="00AA58ED" w:rsidRPr="00A17559">
              <w:rPr>
                <w:spacing w:val="-7"/>
                <w:lang w:val="en-GB"/>
              </w:rPr>
              <w:t>.</w:t>
            </w:r>
            <w:r w:rsidR="00513E9D" w:rsidRPr="00A17559">
              <w:rPr>
                <w:spacing w:val="-7"/>
                <w:lang w:val="en-GB"/>
              </w:rPr>
              <w:t xml:space="preserve"> </w:t>
            </w:r>
            <w:r w:rsidR="00AB3FFA" w:rsidRPr="00A17559">
              <w:rPr>
                <w:spacing w:val="-7"/>
                <w:lang w:val="en-GB"/>
              </w:rPr>
              <w:t xml:space="preserve">Weight significant group trade, transportation, accommodation and food service </w:t>
            </w:r>
            <w:r w:rsidR="00513E9D" w:rsidRPr="00A17559">
              <w:rPr>
                <w:spacing w:val="-7"/>
                <w:lang w:val="en-GB"/>
              </w:rPr>
              <w:t>(+3</w:t>
            </w:r>
            <w:r w:rsidR="00AB3FFA" w:rsidRPr="00A17559">
              <w:rPr>
                <w:spacing w:val="-7"/>
                <w:lang w:val="en-GB"/>
              </w:rPr>
              <w:t>.</w:t>
            </w:r>
            <w:r w:rsidR="00513E9D" w:rsidRPr="00A17559">
              <w:rPr>
                <w:spacing w:val="-7"/>
                <w:lang w:val="en-GB"/>
              </w:rPr>
              <w:t>9%)</w:t>
            </w:r>
            <w:r w:rsidR="00AB3FFA" w:rsidRPr="00A17559">
              <w:rPr>
                <w:spacing w:val="-7"/>
                <w:lang w:val="en-GB"/>
              </w:rPr>
              <w:t xml:space="preserve"> also built on the strong last year</w:t>
            </w:r>
            <w:r w:rsidR="00513E9D" w:rsidRPr="00A17559">
              <w:rPr>
                <w:spacing w:val="-7"/>
                <w:lang w:val="en-GB"/>
              </w:rPr>
              <w:t xml:space="preserve">, </w:t>
            </w:r>
            <w:r w:rsidR="00AB3FFA" w:rsidRPr="00A17559">
              <w:rPr>
                <w:spacing w:val="-7"/>
                <w:lang w:val="en-GB"/>
              </w:rPr>
              <w:t>profiting from the growing purchasing power of households, expansion of the foreign trade w</w:t>
            </w:r>
            <w:r w:rsidR="001B352E">
              <w:rPr>
                <w:spacing w:val="-7"/>
                <w:lang w:val="en-GB"/>
              </w:rPr>
              <w:t xml:space="preserve">ith goods as well as the </w:t>
            </w:r>
            <w:r w:rsidR="00AB3FFA" w:rsidRPr="00A17559">
              <w:rPr>
                <w:spacing w:val="-7"/>
                <w:lang w:val="en-GB"/>
              </w:rPr>
              <w:t>tourism</w:t>
            </w:r>
            <w:r w:rsidR="00513E9D" w:rsidRPr="00A17559">
              <w:rPr>
                <w:spacing w:val="-7"/>
                <w:lang w:val="en-GB"/>
              </w:rPr>
              <w:t xml:space="preserve">. </w:t>
            </w:r>
            <w:r w:rsidR="00AB3FFA" w:rsidRPr="00A17559">
              <w:rPr>
                <w:spacing w:val="-7"/>
                <w:lang w:val="en-GB"/>
              </w:rPr>
              <w:t xml:space="preserve">All other branches of services also fared well, especially the professional, scientific and technical and administrative activities </w:t>
            </w:r>
            <w:r w:rsidR="00513E9D" w:rsidRPr="00A17559">
              <w:rPr>
                <w:spacing w:val="-7"/>
                <w:lang w:val="en-GB"/>
              </w:rPr>
              <w:t>(+4</w:t>
            </w:r>
            <w:r w:rsidR="00AB3FFA" w:rsidRPr="00A17559">
              <w:rPr>
                <w:spacing w:val="-7"/>
                <w:lang w:val="en-GB"/>
              </w:rPr>
              <w:t>.</w:t>
            </w:r>
            <w:r w:rsidR="00513E9D" w:rsidRPr="00A17559">
              <w:rPr>
                <w:spacing w:val="-7"/>
                <w:lang w:val="en-GB"/>
              </w:rPr>
              <w:t>4%</w:t>
            </w:r>
            <w:r w:rsidR="003E2840" w:rsidRPr="00A17559">
              <w:rPr>
                <w:spacing w:val="-7"/>
                <w:lang w:val="en-GB"/>
              </w:rPr>
              <w:t>,</w:t>
            </w:r>
            <w:r w:rsidR="00AB3FFA" w:rsidRPr="00A17559">
              <w:rPr>
                <w:spacing w:val="-7"/>
                <w:lang w:val="en-GB"/>
              </w:rPr>
              <w:t xml:space="preserve"> the strongest half-yearly pace since the first half of year </w:t>
            </w:r>
            <w:r w:rsidR="00513E9D" w:rsidRPr="00A17559">
              <w:rPr>
                <w:spacing w:val="-7"/>
                <w:lang w:val="en-GB"/>
              </w:rPr>
              <w:t xml:space="preserve">2016). </w:t>
            </w:r>
            <w:r w:rsidR="00CE164F" w:rsidRPr="00A17559">
              <w:rPr>
                <w:spacing w:val="-7"/>
                <w:lang w:val="en-GB"/>
              </w:rPr>
              <w:t xml:space="preserve">Within services the group public administration and defence, education, health and social work featured the slowest growth of GVA </w:t>
            </w:r>
            <w:r w:rsidR="00513E9D" w:rsidRPr="00A17559">
              <w:rPr>
                <w:spacing w:val="-7"/>
                <w:lang w:val="en-GB"/>
              </w:rPr>
              <w:t>(</w:t>
            </w:r>
            <w:r w:rsidR="00CE164F" w:rsidRPr="00A17559">
              <w:rPr>
                <w:spacing w:val="-7"/>
                <w:lang w:val="en-GB"/>
              </w:rPr>
              <w:t xml:space="preserve">by </w:t>
            </w:r>
            <w:r w:rsidR="00513E9D" w:rsidRPr="00A17559">
              <w:rPr>
                <w:spacing w:val="-7"/>
                <w:lang w:val="en-GB"/>
              </w:rPr>
              <w:t>1</w:t>
            </w:r>
            <w:r w:rsidR="00CE164F" w:rsidRPr="00A17559">
              <w:rPr>
                <w:spacing w:val="-7"/>
                <w:lang w:val="en-GB"/>
              </w:rPr>
              <w:t>.</w:t>
            </w:r>
            <w:r w:rsidR="00513E9D" w:rsidRPr="00A17559">
              <w:rPr>
                <w:spacing w:val="-7"/>
                <w:lang w:val="en-GB"/>
              </w:rPr>
              <w:t xml:space="preserve">7%), </w:t>
            </w:r>
            <w:r w:rsidR="00AA58ED" w:rsidRPr="00A17559">
              <w:rPr>
                <w:spacing w:val="-7"/>
                <w:lang w:val="en-GB"/>
              </w:rPr>
              <w:t xml:space="preserve">its dynamics however did not </w:t>
            </w:r>
            <w:r w:rsidR="00CE164F" w:rsidRPr="00A17559">
              <w:rPr>
                <w:spacing w:val="-7"/>
                <w:lang w:val="en-GB"/>
              </w:rPr>
              <w:t xml:space="preserve">defy </w:t>
            </w:r>
            <w:r w:rsidR="00AA58ED" w:rsidRPr="00A17559">
              <w:rPr>
                <w:spacing w:val="-7"/>
                <w:lang w:val="en-GB"/>
              </w:rPr>
              <w:t xml:space="preserve">the trends of the three preceding years. </w:t>
            </w:r>
          </w:p>
        </w:tc>
      </w:tr>
      <w:tr w:rsidR="00340FD2" w:rsidRPr="00A17559" w:rsidTr="006B5BE0">
        <w:trPr>
          <w:trHeight w:val="145"/>
        </w:trPr>
        <w:tc>
          <w:tcPr>
            <w:tcW w:w="1669" w:type="dxa"/>
            <w:shd w:val="clear" w:color="auto" w:fill="auto"/>
            <w:tcMar>
              <w:left w:w="0" w:type="dxa"/>
            </w:tcMar>
          </w:tcPr>
          <w:p w:rsidR="00513E9D" w:rsidRPr="00A17559" w:rsidRDefault="004260C4" w:rsidP="004260C4">
            <w:pPr>
              <w:pStyle w:val="Marginlie"/>
              <w:rPr>
                <w:lang w:val="en-GB"/>
              </w:rPr>
            </w:pPr>
            <w:r w:rsidRPr="00A17559">
              <w:rPr>
                <w:lang w:val="en-GB"/>
              </w:rPr>
              <w:t xml:space="preserve">GVA growth in manufacturing diminished to </w:t>
            </w:r>
            <w:r w:rsidR="00513E9D" w:rsidRPr="00A17559">
              <w:rPr>
                <w:lang w:val="en-GB"/>
              </w:rPr>
              <w:t>1%.</w:t>
            </w:r>
            <w:r w:rsidRPr="00A17559">
              <w:rPr>
                <w:lang w:val="en-GB"/>
              </w:rPr>
              <w:t xml:space="preserve"> Together with H</w:t>
            </w:r>
            <w:r w:rsidR="00513E9D" w:rsidRPr="00A17559">
              <w:rPr>
                <w:lang w:val="en-GB"/>
              </w:rPr>
              <w:t>2</w:t>
            </w:r>
            <w:r w:rsidRPr="00A17559">
              <w:rPr>
                <w:lang w:val="en-GB"/>
              </w:rPr>
              <w:t xml:space="preserve"> 2</w:t>
            </w:r>
            <w:r w:rsidR="00513E9D" w:rsidRPr="00A17559">
              <w:rPr>
                <w:lang w:val="en-GB"/>
              </w:rPr>
              <w:t>018</w:t>
            </w:r>
            <w:r w:rsidRPr="00A17559">
              <w:rPr>
                <w:lang w:val="en-GB"/>
              </w:rPr>
              <w:t xml:space="preserve">, it recorded the weakest rate of growth since the end of the last recession. </w:t>
            </w:r>
          </w:p>
        </w:tc>
        <w:tc>
          <w:tcPr>
            <w:tcW w:w="180" w:type="dxa"/>
            <w:shd w:val="clear" w:color="auto" w:fill="auto"/>
            <w:tcMar>
              <w:left w:w="0" w:type="dxa"/>
            </w:tcMar>
          </w:tcPr>
          <w:p w:rsidR="00513E9D" w:rsidRPr="00A17559" w:rsidRDefault="00513E9D" w:rsidP="00513E9D">
            <w:pPr>
              <w:pStyle w:val="Textpoznpodarou"/>
              <w:jc w:val="both"/>
              <w:rPr>
                <w:spacing w:val="-4"/>
                <w:lang w:val="en-GB"/>
              </w:rPr>
            </w:pPr>
          </w:p>
        </w:tc>
        <w:tc>
          <w:tcPr>
            <w:tcW w:w="7790" w:type="dxa"/>
            <w:shd w:val="clear" w:color="auto" w:fill="auto"/>
            <w:tcMar>
              <w:left w:w="0" w:type="dxa"/>
            </w:tcMar>
          </w:tcPr>
          <w:p w:rsidR="00513E9D" w:rsidRPr="00A17559" w:rsidRDefault="005076CC" w:rsidP="003E2840">
            <w:pPr>
              <w:spacing w:after="200"/>
              <w:rPr>
                <w:spacing w:val="-7"/>
                <w:lang w:val="en-GB"/>
              </w:rPr>
            </w:pPr>
            <w:r w:rsidRPr="00A17559">
              <w:rPr>
                <w:spacing w:val="-7"/>
                <w:lang w:val="en-GB"/>
              </w:rPr>
              <w:t>Connected to the development in Germany as well as the whole euro area</w:t>
            </w:r>
            <w:r w:rsidR="00513E9D" w:rsidRPr="00A17559">
              <w:rPr>
                <w:rStyle w:val="Znakapoznpodarou"/>
                <w:spacing w:val="-7"/>
                <w:lang w:val="en-GB"/>
              </w:rPr>
              <w:footnoteReference w:id="2"/>
            </w:r>
            <w:r w:rsidRPr="00A17559">
              <w:rPr>
                <w:spacing w:val="-7"/>
                <w:lang w:val="en-GB"/>
              </w:rPr>
              <w:t xml:space="preserve">, the slowdown of performance of the domestic manufacturing continued. </w:t>
            </w:r>
            <w:r w:rsidR="004260C4" w:rsidRPr="00A17559">
              <w:rPr>
                <w:spacing w:val="-7"/>
                <w:lang w:val="en-GB"/>
              </w:rPr>
              <w:t xml:space="preserve">GVA fell here by </w:t>
            </w:r>
            <w:r w:rsidR="00513E9D" w:rsidRPr="00A17559">
              <w:rPr>
                <w:spacing w:val="-7"/>
                <w:lang w:val="en-GB"/>
              </w:rPr>
              <w:t>0</w:t>
            </w:r>
            <w:r w:rsidR="004260C4" w:rsidRPr="00A17559">
              <w:rPr>
                <w:spacing w:val="-7"/>
                <w:lang w:val="en-GB"/>
              </w:rPr>
              <w:t>.</w:t>
            </w:r>
            <w:r w:rsidR="00513E9D" w:rsidRPr="00A17559">
              <w:rPr>
                <w:spacing w:val="-7"/>
                <w:lang w:val="en-GB"/>
              </w:rPr>
              <w:t>1%</w:t>
            </w:r>
            <w:r w:rsidR="004260C4" w:rsidRPr="00A17559">
              <w:rPr>
                <w:spacing w:val="-7"/>
                <w:lang w:val="en-GB"/>
              </w:rPr>
              <w:t xml:space="preserve"> in H2 2018 and was thus assigned the weakest year-on-year performance since the end of the last recession. </w:t>
            </w:r>
            <w:r w:rsidR="001A2AD0" w:rsidRPr="00A17559">
              <w:rPr>
                <w:spacing w:val="-7"/>
                <w:lang w:val="en-GB"/>
              </w:rPr>
              <w:t xml:space="preserve">It achieved only 1% growth in the subsequent half-year </w:t>
            </w:r>
            <w:r w:rsidR="00513E9D" w:rsidRPr="00A17559">
              <w:rPr>
                <w:spacing w:val="-7"/>
                <w:lang w:val="en-GB"/>
              </w:rPr>
              <w:t>a</w:t>
            </w:r>
            <w:r w:rsidR="004260C4" w:rsidRPr="00A17559">
              <w:rPr>
                <w:spacing w:val="-7"/>
                <w:lang w:val="en-GB"/>
              </w:rPr>
              <w:t xml:space="preserve">nd quarter-on-quarter it on average only stagnated. </w:t>
            </w:r>
            <w:r w:rsidR="001A2AD0" w:rsidRPr="00A17559">
              <w:rPr>
                <w:spacing w:val="-7"/>
                <w:lang w:val="en-GB"/>
              </w:rPr>
              <w:t xml:space="preserve">Non-manufacturing industrial activities fared slightly better this year, specifically thanks to the development in energetics. </w:t>
            </w:r>
            <w:r w:rsidR="004260C4" w:rsidRPr="00A17559">
              <w:rPr>
                <w:spacing w:val="-7"/>
                <w:lang w:val="en-GB"/>
              </w:rPr>
              <w:t xml:space="preserve">Growth in construction continued in H1 following the last year´s turnaround </w:t>
            </w:r>
            <w:r w:rsidR="00513E9D" w:rsidRPr="00A17559">
              <w:rPr>
                <w:spacing w:val="-7"/>
                <w:lang w:val="en-GB"/>
              </w:rPr>
              <w:t>(+3</w:t>
            </w:r>
            <w:r w:rsidR="004260C4" w:rsidRPr="00A17559">
              <w:rPr>
                <w:spacing w:val="-7"/>
                <w:lang w:val="en-GB"/>
              </w:rPr>
              <w:t>.</w:t>
            </w:r>
            <w:r w:rsidR="00513E9D" w:rsidRPr="00A17559">
              <w:rPr>
                <w:spacing w:val="-7"/>
                <w:lang w:val="en-GB"/>
              </w:rPr>
              <w:t xml:space="preserve">1%), </w:t>
            </w:r>
            <w:r w:rsidR="004260C4" w:rsidRPr="00A17559">
              <w:rPr>
                <w:spacing w:val="-7"/>
                <w:lang w:val="en-GB"/>
              </w:rPr>
              <w:t xml:space="preserve">the branch performance </w:t>
            </w:r>
            <w:r w:rsidR="001A2AD0" w:rsidRPr="00A17559">
              <w:rPr>
                <w:spacing w:val="-7"/>
                <w:lang w:val="en-GB"/>
              </w:rPr>
              <w:t>however</w:t>
            </w:r>
            <w:r w:rsidR="004260C4" w:rsidRPr="00A17559">
              <w:rPr>
                <w:spacing w:val="-7"/>
                <w:lang w:val="en-GB"/>
              </w:rPr>
              <w:t xml:space="preserve"> still mildly lagged behind the level from the business cycle peak in the last decade </w:t>
            </w:r>
            <w:r w:rsidR="00513E9D" w:rsidRPr="00A17559">
              <w:rPr>
                <w:spacing w:val="-7"/>
                <w:lang w:val="en-GB"/>
              </w:rPr>
              <w:t>(</w:t>
            </w:r>
            <w:r w:rsidR="004260C4" w:rsidRPr="00A17559">
              <w:rPr>
                <w:spacing w:val="-7"/>
                <w:lang w:val="en-GB"/>
              </w:rPr>
              <w:t>by</w:t>
            </w:r>
            <w:r w:rsidR="00513E9D" w:rsidRPr="00A17559">
              <w:rPr>
                <w:spacing w:val="-7"/>
                <w:lang w:val="en-GB"/>
              </w:rPr>
              <w:t xml:space="preserve"> 2%). </w:t>
            </w:r>
            <w:r w:rsidR="00DC2390" w:rsidRPr="00A17559">
              <w:rPr>
                <w:spacing w:val="-7"/>
                <w:lang w:val="en-GB"/>
              </w:rPr>
              <w:t>GVA grew by moderate 0.6% in the primary sector in H</w:t>
            </w:r>
            <w:r w:rsidR="00513E9D" w:rsidRPr="00A17559">
              <w:rPr>
                <w:spacing w:val="-7"/>
                <w:lang w:val="en-GB"/>
              </w:rPr>
              <w:t>1.</w:t>
            </w:r>
            <w:r w:rsidR="00DC2390" w:rsidRPr="00A17559">
              <w:rPr>
                <w:spacing w:val="-7"/>
                <w:lang w:val="en-GB"/>
              </w:rPr>
              <w:t xml:space="preserve"> </w:t>
            </w:r>
            <w:r w:rsidR="00453CD8" w:rsidRPr="00A17559">
              <w:rPr>
                <w:spacing w:val="-7"/>
                <w:lang w:val="en-GB"/>
              </w:rPr>
              <w:t>Higher volume of logging of bark beetle wood</w:t>
            </w:r>
            <w:r w:rsidR="00513E9D" w:rsidRPr="00A17559">
              <w:rPr>
                <w:spacing w:val="-7"/>
                <w:lang w:val="en-GB"/>
              </w:rPr>
              <w:t xml:space="preserve">, </w:t>
            </w:r>
            <w:r w:rsidR="00453CD8" w:rsidRPr="00A17559">
              <w:rPr>
                <w:spacing w:val="-7"/>
                <w:lang w:val="en-GB"/>
              </w:rPr>
              <w:t>mild increase of the production of meat as well as milk and further also the year-on-year growth of the sowing area as well as yields of the first harvested winter cereals</w:t>
            </w:r>
            <w:r w:rsidR="00513E9D" w:rsidRPr="00A17559">
              <w:rPr>
                <w:rStyle w:val="Znakapoznpodarou"/>
                <w:spacing w:val="-7"/>
                <w:lang w:val="en-GB"/>
              </w:rPr>
              <w:footnoteReference w:id="3"/>
            </w:r>
            <w:r w:rsidR="00453CD8" w:rsidRPr="00A17559">
              <w:rPr>
                <w:color w:val="0D0D0D" w:themeColor="text1" w:themeTint="F2"/>
                <w:spacing w:val="-7"/>
                <w:lang w:val="en-GB"/>
              </w:rPr>
              <w:t xml:space="preserve"> could </w:t>
            </w:r>
            <w:r w:rsidR="003E2840" w:rsidRPr="00A17559">
              <w:rPr>
                <w:color w:val="0D0D0D" w:themeColor="text1" w:themeTint="F2"/>
                <w:spacing w:val="-7"/>
                <w:lang w:val="en-GB"/>
              </w:rPr>
              <w:t xml:space="preserve">have </w:t>
            </w:r>
            <w:r w:rsidR="00453CD8" w:rsidRPr="00A17559">
              <w:rPr>
                <w:color w:val="0D0D0D" w:themeColor="text1" w:themeTint="F2"/>
                <w:spacing w:val="-7"/>
                <w:lang w:val="en-GB"/>
              </w:rPr>
              <w:t>work</w:t>
            </w:r>
            <w:r w:rsidR="003E2840" w:rsidRPr="00A17559">
              <w:rPr>
                <w:color w:val="0D0D0D" w:themeColor="text1" w:themeTint="F2"/>
                <w:spacing w:val="-7"/>
                <w:lang w:val="en-GB"/>
              </w:rPr>
              <w:t>ed</w:t>
            </w:r>
            <w:r w:rsidR="00453CD8" w:rsidRPr="00A17559">
              <w:rPr>
                <w:color w:val="0D0D0D" w:themeColor="text1" w:themeTint="F2"/>
                <w:spacing w:val="-7"/>
                <w:lang w:val="en-GB"/>
              </w:rPr>
              <w:t xml:space="preserve"> here in the direction of real output growth</w:t>
            </w:r>
            <w:r w:rsidR="00513E9D" w:rsidRPr="00A17559">
              <w:rPr>
                <w:spacing w:val="-7"/>
                <w:lang w:val="en-GB"/>
              </w:rPr>
              <w:t>.</w:t>
            </w:r>
          </w:p>
        </w:tc>
      </w:tr>
      <w:tr w:rsidR="00340FD2" w:rsidRPr="00A17559" w:rsidTr="006B5BE0">
        <w:trPr>
          <w:trHeight w:val="145"/>
        </w:trPr>
        <w:tc>
          <w:tcPr>
            <w:tcW w:w="1669" w:type="dxa"/>
            <w:shd w:val="clear" w:color="auto" w:fill="auto"/>
            <w:tcMar>
              <w:left w:w="0" w:type="dxa"/>
            </w:tcMar>
          </w:tcPr>
          <w:p w:rsidR="00513E9D" w:rsidRPr="00A17559" w:rsidRDefault="006121C7" w:rsidP="006121C7">
            <w:pPr>
              <w:pStyle w:val="Marginlie"/>
              <w:rPr>
                <w:lang w:val="en-GB"/>
              </w:rPr>
            </w:pPr>
            <w:r w:rsidRPr="00A17559">
              <w:rPr>
                <w:lang w:val="en-GB"/>
              </w:rPr>
              <w:t>Domestic industry recorded repeated quarter-on-</w:t>
            </w:r>
            <w:r w:rsidR="00BB4E54" w:rsidRPr="00A17559">
              <w:rPr>
                <w:lang w:val="en-GB"/>
              </w:rPr>
              <w:t>q</w:t>
            </w:r>
            <w:r w:rsidRPr="00A17559">
              <w:rPr>
                <w:lang w:val="en-GB"/>
              </w:rPr>
              <w:t xml:space="preserve">uarter drop </w:t>
            </w:r>
            <w:r w:rsidRPr="00A17559">
              <w:rPr>
                <w:lang w:val="en-GB"/>
              </w:rPr>
              <w:lastRenderedPageBreak/>
              <w:t>of output on the turn of years 2</w:t>
            </w:r>
            <w:r w:rsidR="00513E9D" w:rsidRPr="00A17559">
              <w:rPr>
                <w:lang w:val="en-GB"/>
              </w:rPr>
              <w:t>018 a</w:t>
            </w:r>
            <w:r w:rsidRPr="00A17559">
              <w:rPr>
                <w:lang w:val="en-GB"/>
              </w:rPr>
              <w:t>nd</w:t>
            </w:r>
            <w:r w:rsidR="00513E9D" w:rsidRPr="00A17559">
              <w:rPr>
                <w:lang w:val="en-GB"/>
              </w:rPr>
              <w:t> 2019</w:t>
            </w:r>
            <w:r w:rsidRPr="00A17559">
              <w:rPr>
                <w:lang w:val="en-GB"/>
              </w:rPr>
              <w:t xml:space="preserve">. It thus with a lag reacted to the development in the euro area. </w:t>
            </w:r>
          </w:p>
        </w:tc>
        <w:tc>
          <w:tcPr>
            <w:tcW w:w="180" w:type="dxa"/>
            <w:shd w:val="clear" w:color="auto" w:fill="auto"/>
            <w:tcMar>
              <w:left w:w="0" w:type="dxa"/>
            </w:tcMar>
          </w:tcPr>
          <w:p w:rsidR="00513E9D" w:rsidRPr="00A17559" w:rsidRDefault="00513E9D" w:rsidP="00513E9D">
            <w:pPr>
              <w:pStyle w:val="Textpoznpodarou"/>
              <w:jc w:val="both"/>
              <w:rPr>
                <w:spacing w:val="-4"/>
                <w:lang w:val="en-GB"/>
              </w:rPr>
            </w:pPr>
          </w:p>
        </w:tc>
        <w:tc>
          <w:tcPr>
            <w:tcW w:w="7790" w:type="dxa"/>
            <w:shd w:val="clear" w:color="auto" w:fill="auto"/>
            <w:tcMar>
              <w:left w:w="0" w:type="dxa"/>
            </w:tcMar>
          </w:tcPr>
          <w:p w:rsidR="00513E9D" w:rsidRPr="00A17559" w:rsidRDefault="00BB4E54" w:rsidP="004C13C0">
            <w:pPr>
              <w:spacing w:after="200"/>
              <w:rPr>
                <w:spacing w:val="-7"/>
                <w:lang w:val="en-GB"/>
              </w:rPr>
            </w:pPr>
            <w:r w:rsidRPr="00A17559">
              <w:rPr>
                <w:spacing w:val="-7"/>
                <w:lang w:val="en-GB"/>
              </w:rPr>
              <w:t xml:space="preserve">Business statistics proved a more detailed view of the constituent branches. It is not surprising with respect to the marked </w:t>
            </w:r>
            <w:r w:rsidR="00281560" w:rsidRPr="00A17559">
              <w:rPr>
                <w:spacing w:val="-7"/>
                <w:lang w:val="en-GB"/>
              </w:rPr>
              <w:t xml:space="preserve">export </w:t>
            </w:r>
            <w:r w:rsidRPr="00A17559">
              <w:rPr>
                <w:spacing w:val="-7"/>
                <w:lang w:val="en-GB"/>
              </w:rPr>
              <w:t>orientation of the domestic industry</w:t>
            </w:r>
            <w:r w:rsidR="00513E9D" w:rsidRPr="00A17559">
              <w:rPr>
                <w:rStyle w:val="Znakapoznpodarou"/>
                <w:spacing w:val="-7"/>
                <w:lang w:val="en-GB"/>
              </w:rPr>
              <w:footnoteReference w:id="4"/>
            </w:r>
            <w:r w:rsidR="00513E9D" w:rsidRPr="00A17559">
              <w:rPr>
                <w:spacing w:val="-7"/>
                <w:lang w:val="en-GB"/>
              </w:rPr>
              <w:t xml:space="preserve"> </w:t>
            </w:r>
            <w:r w:rsidRPr="00A17559">
              <w:rPr>
                <w:spacing w:val="-7"/>
                <w:lang w:val="en-GB"/>
              </w:rPr>
              <w:t>as well as the strong interconnection especially with the development in Germany</w:t>
            </w:r>
            <w:r w:rsidR="00513E9D" w:rsidRPr="00A17559">
              <w:rPr>
                <w:rStyle w:val="Znakapoznpodarou"/>
                <w:spacing w:val="-7"/>
                <w:lang w:val="en-GB"/>
              </w:rPr>
              <w:footnoteReference w:id="5"/>
            </w:r>
            <w:r w:rsidRPr="00A17559">
              <w:rPr>
                <w:spacing w:val="-7"/>
                <w:lang w:val="en-GB"/>
              </w:rPr>
              <w:t xml:space="preserve">, that its growth halted towards the </w:t>
            </w:r>
            <w:r w:rsidRPr="00A17559">
              <w:rPr>
                <w:spacing w:val="-7"/>
                <w:lang w:val="en-GB"/>
              </w:rPr>
              <w:lastRenderedPageBreak/>
              <w:t>end of th</w:t>
            </w:r>
            <w:r w:rsidR="000274E3">
              <w:rPr>
                <w:spacing w:val="-7"/>
                <w:lang w:val="en-GB"/>
              </w:rPr>
              <w:t>e last year. Industrial production</w:t>
            </w:r>
            <w:r w:rsidRPr="00A17559">
              <w:rPr>
                <w:spacing w:val="-7"/>
                <w:lang w:val="en-GB"/>
              </w:rPr>
              <w:t xml:space="preserve"> index</w:t>
            </w:r>
            <w:r w:rsidR="00513E9D" w:rsidRPr="00A17559">
              <w:rPr>
                <w:color w:val="000000" w:themeColor="text1"/>
                <w:spacing w:val="-7"/>
                <w:vertAlign w:val="superscript"/>
                <w:lang w:val="en-GB"/>
              </w:rPr>
              <w:footnoteReference w:id="6"/>
            </w:r>
            <w:r w:rsidRPr="00A17559">
              <w:rPr>
                <w:spacing w:val="-7"/>
                <w:lang w:val="en-GB"/>
              </w:rPr>
              <w:t xml:space="preserve"> fell by </w:t>
            </w:r>
            <w:r w:rsidR="00513E9D" w:rsidRPr="00A17559">
              <w:rPr>
                <w:spacing w:val="-7"/>
                <w:lang w:val="en-GB"/>
              </w:rPr>
              <w:t>0</w:t>
            </w:r>
            <w:r w:rsidRPr="00A17559">
              <w:rPr>
                <w:spacing w:val="-7"/>
                <w:lang w:val="en-GB"/>
              </w:rPr>
              <w:t>.</w:t>
            </w:r>
            <w:r w:rsidR="00513E9D" w:rsidRPr="00A17559">
              <w:rPr>
                <w:spacing w:val="-7"/>
                <w:lang w:val="en-GB"/>
              </w:rPr>
              <w:t>1%</w:t>
            </w:r>
            <w:r w:rsidRPr="00A17559">
              <w:rPr>
                <w:spacing w:val="-7"/>
                <w:lang w:val="en-GB"/>
              </w:rPr>
              <w:t xml:space="preserve"> quarter-on-quarter in Q4</w:t>
            </w:r>
            <w:r w:rsidR="00513E9D" w:rsidRPr="00A17559">
              <w:rPr>
                <w:spacing w:val="-7"/>
                <w:lang w:val="en-GB"/>
              </w:rPr>
              <w:t xml:space="preserve"> </w:t>
            </w:r>
            <w:r w:rsidR="00157E3F">
              <w:rPr>
                <w:spacing w:val="-7"/>
                <w:lang w:val="en-GB"/>
              </w:rPr>
              <w:t xml:space="preserve">2018 </w:t>
            </w:r>
            <w:r w:rsidR="00513E9D" w:rsidRPr="00A17559">
              <w:rPr>
                <w:spacing w:val="-7"/>
                <w:lang w:val="en-GB"/>
              </w:rPr>
              <w:t>a</w:t>
            </w:r>
            <w:r w:rsidRPr="00A17559">
              <w:rPr>
                <w:spacing w:val="-7"/>
                <w:lang w:val="en-GB"/>
              </w:rPr>
              <w:t>nd</w:t>
            </w:r>
            <w:r w:rsidR="00513E9D" w:rsidRPr="00A17559">
              <w:rPr>
                <w:spacing w:val="-7"/>
                <w:lang w:val="en-GB"/>
              </w:rPr>
              <w:t> </w:t>
            </w:r>
            <w:r w:rsidR="00B403C5" w:rsidRPr="00A17559">
              <w:rPr>
                <w:spacing w:val="-7"/>
                <w:lang w:val="en-GB"/>
              </w:rPr>
              <w:t xml:space="preserve">its fall further deepened to </w:t>
            </w:r>
            <w:r w:rsidR="00513E9D" w:rsidRPr="00A17559">
              <w:rPr>
                <w:spacing w:val="-7"/>
                <w:lang w:val="en-GB"/>
              </w:rPr>
              <w:t>1</w:t>
            </w:r>
            <w:r w:rsidR="00B403C5" w:rsidRPr="00A17559">
              <w:rPr>
                <w:spacing w:val="-7"/>
                <w:lang w:val="en-GB"/>
              </w:rPr>
              <w:t>.</w:t>
            </w:r>
            <w:r w:rsidR="00513E9D" w:rsidRPr="00A17559">
              <w:rPr>
                <w:spacing w:val="-7"/>
                <w:lang w:val="en-GB"/>
              </w:rPr>
              <w:t>0%</w:t>
            </w:r>
            <w:r w:rsidR="00513E9D" w:rsidRPr="00A17559">
              <w:rPr>
                <w:rStyle w:val="Znakapoznpodarou"/>
                <w:spacing w:val="-7"/>
                <w:lang w:val="en-GB"/>
              </w:rPr>
              <w:footnoteReference w:id="7"/>
            </w:r>
            <w:r w:rsidR="00B403C5" w:rsidRPr="00A17559">
              <w:rPr>
                <w:spacing w:val="-7"/>
                <w:lang w:val="en-GB"/>
              </w:rPr>
              <w:t xml:space="preserve"> </w:t>
            </w:r>
            <w:r w:rsidR="004F47F2" w:rsidRPr="00A17559">
              <w:rPr>
                <w:spacing w:val="-7"/>
                <w:lang w:val="en-GB"/>
              </w:rPr>
              <w:t xml:space="preserve">in the </w:t>
            </w:r>
            <w:r w:rsidR="00B403C5" w:rsidRPr="00A17559">
              <w:rPr>
                <w:spacing w:val="-7"/>
                <w:lang w:val="en-GB"/>
              </w:rPr>
              <w:t>subsequent period</w:t>
            </w:r>
            <w:r w:rsidR="00513E9D" w:rsidRPr="00A17559">
              <w:rPr>
                <w:spacing w:val="-7"/>
                <w:lang w:val="en-GB"/>
              </w:rPr>
              <w:t xml:space="preserve">. </w:t>
            </w:r>
            <w:r w:rsidR="00B403C5" w:rsidRPr="00A17559">
              <w:rPr>
                <w:spacing w:val="-7"/>
                <w:lang w:val="en-GB"/>
              </w:rPr>
              <w:t xml:space="preserve">Industry thus recorded the weakest result since the end of year </w:t>
            </w:r>
            <w:r w:rsidR="00513E9D" w:rsidRPr="00A17559">
              <w:rPr>
                <w:spacing w:val="-7"/>
                <w:lang w:val="en-GB"/>
              </w:rPr>
              <w:t>2012. T</w:t>
            </w:r>
            <w:r w:rsidR="00B403C5" w:rsidRPr="00A17559">
              <w:rPr>
                <w:spacing w:val="-7"/>
                <w:lang w:val="en-GB"/>
              </w:rPr>
              <w:t xml:space="preserve">his development was gradually </w:t>
            </w:r>
            <w:r w:rsidR="009F6257" w:rsidRPr="00A17559">
              <w:rPr>
                <w:spacing w:val="-7"/>
                <w:lang w:val="en-GB"/>
              </w:rPr>
              <w:t xml:space="preserve">imprinted into the year-on-year dynamics </w:t>
            </w:r>
            <w:r w:rsidR="00513E9D" w:rsidRPr="00A17559">
              <w:rPr>
                <w:spacing w:val="-7"/>
                <w:lang w:val="en-GB"/>
              </w:rPr>
              <w:t xml:space="preserve">– </w:t>
            </w:r>
            <w:r w:rsidR="009F6257" w:rsidRPr="00A17559">
              <w:rPr>
                <w:spacing w:val="-7"/>
                <w:lang w:val="en-GB"/>
              </w:rPr>
              <w:t xml:space="preserve">output grew </w:t>
            </w:r>
            <w:r w:rsidR="00B5365B">
              <w:rPr>
                <w:spacing w:val="-7"/>
                <w:lang w:val="en-GB"/>
              </w:rPr>
              <w:t xml:space="preserve">only </w:t>
            </w:r>
            <w:r w:rsidR="009F6257" w:rsidRPr="00A17559">
              <w:rPr>
                <w:spacing w:val="-7"/>
                <w:lang w:val="en-GB"/>
              </w:rPr>
              <w:t>by 0.3% in Q</w:t>
            </w:r>
            <w:r w:rsidR="00513E9D" w:rsidRPr="00A17559">
              <w:rPr>
                <w:spacing w:val="-7"/>
                <w:lang w:val="en-GB"/>
              </w:rPr>
              <w:t>1</w:t>
            </w:r>
            <w:r w:rsidR="009F6257" w:rsidRPr="00A17559">
              <w:rPr>
                <w:spacing w:val="-7"/>
                <w:lang w:val="en-GB"/>
              </w:rPr>
              <w:t xml:space="preserve"> </w:t>
            </w:r>
            <w:r w:rsidR="00513E9D" w:rsidRPr="00A17559">
              <w:rPr>
                <w:spacing w:val="-7"/>
                <w:lang w:val="en-GB"/>
              </w:rPr>
              <w:t>2019</w:t>
            </w:r>
            <w:r w:rsidR="009F6257" w:rsidRPr="00A17559">
              <w:rPr>
                <w:spacing w:val="-7"/>
                <w:lang w:val="en-GB"/>
              </w:rPr>
              <w:t>, by 1.0% in Q</w:t>
            </w:r>
            <w:r w:rsidR="00513E9D" w:rsidRPr="00A17559">
              <w:rPr>
                <w:spacing w:val="-7"/>
                <w:lang w:val="en-GB"/>
              </w:rPr>
              <w:t>2.</w:t>
            </w:r>
            <w:r w:rsidR="009F6257" w:rsidRPr="00A17559">
              <w:rPr>
                <w:spacing w:val="-7"/>
                <w:lang w:val="en-GB"/>
              </w:rPr>
              <w:t xml:space="preserve"> S</w:t>
            </w:r>
            <w:r w:rsidR="004C13C0" w:rsidRPr="00A17559">
              <w:rPr>
                <w:spacing w:val="-7"/>
                <w:lang w:val="en-GB"/>
              </w:rPr>
              <w:t xml:space="preserve">ome domestic factors also did not ease the situation for the industrial businesses in the CR </w:t>
            </w:r>
            <w:r w:rsidR="00513E9D" w:rsidRPr="00A17559">
              <w:rPr>
                <w:color w:val="000000" w:themeColor="text1"/>
                <w:spacing w:val="-7"/>
                <w:lang w:val="en-GB"/>
              </w:rPr>
              <w:t>(</w:t>
            </w:r>
            <w:r w:rsidR="004C13C0" w:rsidRPr="00A17559">
              <w:rPr>
                <w:color w:val="000000" w:themeColor="text1"/>
                <w:spacing w:val="-7"/>
                <w:lang w:val="en-GB"/>
              </w:rPr>
              <w:t>lack of qualified workers and associated higher wage costs, rising prices of energies</w:t>
            </w:r>
            <w:r w:rsidR="00513E9D" w:rsidRPr="00A17559">
              <w:rPr>
                <w:color w:val="0D0D0D" w:themeColor="text1" w:themeTint="F2"/>
                <w:spacing w:val="-7"/>
                <w:lang w:val="en-GB"/>
              </w:rPr>
              <w:t>).</w:t>
            </w:r>
          </w:p>
        </w:tc>
      </w:tr>
      <w:tr w:rsidR="00340FD2" w:rsidRPr="00A17559" w:rsidTr="006B5BE0">
        <w:trPr>
          <w:trHeight w:val="170"/>
        </w:trPr>
        <w:tc>
          <w:tcPr>
            <w:tcW w:w="1669" w:type="dxa"/>
            <w:vMerge w:val="restart"/>
            <w:shd w:val="clear" w:color="auto" w:fill="auto"/>
            <w:tcMar>
              <w:left w:w="0" w:type="dxa"/>
            </w:tcMar>
          </w:tcPr>
          <w:p w:rsidR="00513E9D" w:rsidRPr="00A17559" w:rsidRDefault="00513E9D" w:rsidP="00513E9D">
            <w:pPr>
              <w:pStyle w:val="Marginlie"/>
              <w:rPr>
                <w:lang w:val="en-GB"/>
              </w:rPr>
            </w:pPr>
          </w:p>
        </w:tc>
        <w:tc>
          <w:tcPr>
            <w:tcW w:w="180" w:type="dxa"/>
            <w:vMerge w:val="restart"/>
            <w:shd w:val="clear" w:color="auto" w:fill="auto"/>
            <w:tcMar>
              <w:left w:w="0" w:type="dxa"/>
            </w:tcMar>
          </w:tcPr>
          <w:p w:rsidR="00513E9D" w:rsidRPr="00A17559" w:rsidRDefault="00513E9D" w:rsidP="00513E9D">
            <w:pPr>
              <w:pStyle w:val="Textpoznpodarou"/>
              <w:jc w:val="both"/>
              <w:rPr>
                <w:spacing w:val="-4"/>
                <w:lang w:val="en-GB"/>
              </w:rPr>
            </w:pPr>
          </w:p>
        </w:tc>
        <w:tc>
          <w:tcPr>
            <w:tcW w:w="7790" w:type="dxa"/>
            <w:shd w:val="clear" w:color="auto" w:fill="auto"/>
            <w:tcMar>
              <w:left w:w="0" w:type="dxa"/>
            </w:tcMar>
          </w:tcPr>
          <w:p w:rsidR="00513E9D" w:rsidRPr="00E91301" w:rsidRDefault="00C042D4" w:rsidP="00C042D4">
            <w:pPr>
              <w:spacing w:after="0"/>
              <w:rPr>
                <w:b/>
                <w:spacing w:val="-2"/>
                <w:szCs w:val="20"/>
                <w:lang w:val="en-GB"/>
              </w:rPr>
            </w:pPr>
            <w:r w:rsidRPr="00E91301">
              <w:rPr>
                <w:rFonts w:cs="Arial"/>
                <w:b/>
                <w:bCs/>
                <w:color w:val="000000"/>
                <w:spacing w:val="-2"/>
                <w:szCs w:val="20"/>
                <w:lang w:val="en-GB"/>
              </w:rPr>
              <w:t>Chart</w:t>
            </w:r>
            <w:r w:rsidR="00513E9D" w:rsidRPr="00E91301">
              <w:rPr>
                <w:rFonts w:cs="Arial"/>
                <w:b/>
                <w:bCs/>
                <w:color w:val="000000"/>
                <w:spacing w:val="-2"/>
                <w:szCs w:val="20"/>
                <w:lang w:val="en-GB"/>
              </w:rPr>
              <w:t xml:space="preserve"> 5  </w:t>
            </w:r>
            <w:r w:rsidR="00EF0626" w:rsidRPr="00E91301">
              <w:rPr>
                <w:rFonts w:cs="Arial"/>
                <w:b/>
                <w:bCs/>
                <w:color w:val="000000"/>
                <w:spacing w:val="-2"/>
                <w:szCs w:val="20"/>
                <w:lang w:val="en-GB"/>
              </w:rPr>
              <w:t xml:space="preserve">Contributions of sub-branches to the year-on-year change of the industrial production </w:t>
            </w:r>
            <w:r w:rsidR="00EF0626" w:rsidRPr="00E91301">
              <w:rPr>
                <w:spacing w:val="-2"/>
                <w:szCs w:val="20"/>
                <w:lang w:val="en-GB"/>
              </w:rPr>
              <w:t>(in percentage points, adjusted for calendar effects)</w:t>
            </w:r>
          </w:p>
        </w:tc>
      </w:tr>
      <w:tr w:rsidR="00340FD2" w:rsidRPr="00A17559" w:rsidTr="006B5BE0">
        <w:tblPrEx>
          <w:tblCellMar>
            <w:left w:w="70" w:type="dxa"/>
            <w:right w:w="70" w:type="dxa"/>
          </w:tblCellMar>
        </w:tblPrEx>
        <w:trPr>
          <w:trHeight w:val="170"/>
        </w:trPr>
        <w:tc>
          <w:tcPr>
            <w:tcW w:w="1669" w:type="dxa"/>
            <w:vMerge/>
            <w:shd w:val="clear" w:color="auto" w:fill="auto"/>
          </w:tcPr>
          <w:p w:rsidR="00513E9D" w:rsidRPr="00A17559" w:rsidRDefault="00513E9D" w:rsidP="00513E9D">
            <w:pPr>
              <w:pStyle w:val="Marginlie"/>
              <w:rPr>
                <w:lang w:val="en-GB"/>
              </w:rPr>
            </w:pPr>
          </w:p>
        </w:tc>
        <w:tc>
          <w:tcPr>
            <w:tcW w:w="180" w:type="dxa"/>
            <w:vMerge/>
            <w:shd w:val="clear" w:color="auto" w:fill="auto"/>
          </w:tcPr>
          <w:p w:rsidR="00513E9D" w:rsidRPr="00A17559" w:rsidRDefault="00513E9D" w:rsidP="00513E9D">
            <w:pPr>
              <w:pStyle w:val="Textpoznpodarou"/>
              <w:jc w:val="both"/>
              <w:rPr>
                <w:spacing w:val="-4"/>
                <w:lang w:val="en-GB"/>
              </w:rPr>
            </w:pPr>
          </w:p>
        </w:tc>
        <w:tc>
          <w:tcPr>
            <w:tcW w:w="7790" w:type="dxa"/>
            <w:shd w:val="clear" w:color="auto" w:fill="auto"/>
          </w:tcPr>
          <w:p w:rsidR="00513E9D" w:rsidRPr="00A17559" w:rsidRDefault="00095AFE" w:rsidP="00513E9D">
            <w:pPr>
              <w:spacing w:after="0"/>
              <w:rPr>
                <w:color w:val="000000" w:themeColor="text1"/>
                <w:spacing w:val="-7"/>
                <w:lang w:val="en-GB"/>
              </w:rPr>
            </w:pPr>
            <w:r>
              <w:rPr>
                <w:noProof/>
              </w:rPr>
              <w:drawing>
                <wp:inline distT="0" distB="0" distL="0" distR="0" wp14:anchorId="57334181" wp14:editId="0D6B4196">
                  <wp:extent cx="4781550" cy="3473355"/>
                  <wp:effectExtent l="0" t="0" r="0" b="0"/>
                  <wp:docPr id="34" name="Graf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340FD2" w:rsidRPr="00A17559" w:rsidTr="006B5BE0">
        <w:trPr>
          <w:trHeight w:val="170"/>
        </w:trPr>
        <w:tc>
          <w:tcPr>
            <w:tcW w:w="1669" w:type="dxa"/>
            <w:vMerge/>
            <w:shd w:val="clear" w:color="auto" w:fill="auto"/>
            <w:tcMar>
              <w:left w:w="0" w:type="dxa"/>
            </w:tcMar>
          </w:tcPr>
          <w:p w:rsidR="00513E9D" w:rsidRPr="00A17559" w:rsidRDefault="00513E9D" w:rsidP="00513E9D">
            <w:pPr>
              <w:pStyle w:val="Marginlie"/>
              <w:rPr>
                <w:lang w:val="en-GB"/>
              </w:rPr>
            </w:pPr>
          </w:p>
        </w:tc>
        <w:tc>
          <w:tcPr>
            <w:tcW w:w="180" w:type="dxa"/>
            <w:vMerge/>
            <w:shd w:val="clear" w:color="auto" w:fill="auto"/>
            <w:tcMar>
              <w:left w:w="0" w:type="dxa"/>
            </w:tcMar>
          </w:tcPr>
          <w:p w:rsidR="00513E9D" w:rsidRPr="00A17559" w:rsidRDefault="00513E9D" w:rsidP="00513E9D">
            <w:pPr>
              <w:pStyle w:val="Textpoznpodarou"/>
              <w:jc w:val="both"/>
              <w:rPr>
                <w:spacing w:val="-4"/>
                <w:lang w:val="en-GB"/>
              </w:rPr>
            </w:pPr>
          </w:p>
        </w:tc>
        <w:tc>
          <w:tcPr>
            <w:tcW w:w="7790" w:type="dxa"/>
            <w:shd w:val="clear" w:color="auto" w:fill="auto"/>
            <w:tcMar>
              <w:left w:w="0" w:type="dxa"/>
            </w:tcMar>
          </w:tcPr>
          <w:p w:rsidR="004C13C0" w:rsidRPr="00A0495F" w:rsidRDefault="00C042D4" w:rsidP="00A0495F">
            <w:pPr>
              <w:spacing w:after="200"/>
              <w:rPr>
                <w:rFonts w:cs="Arial"/>
                <w:spacing w:val="-7"/>
                <w:sz w:val="14"/>
                <w:szCs w:val="14"/>
                <w:lang w:val="en-GB"/>
              </w:rPr>
            </w:pPr>
            <w:r w:rsidRPr="00A17559">
              <w:rPr>
                <w:rFonts w:cs="Arial"/>
                <w:spacing w:val="-7"/>
                <w:sz w:val="14"/>
                <w:szCs w:val="14"/>
                <w:lang w:val="en-GB"/>
              </w:rPr>
              <w:t>Source</w:t>
            </w:r>
            <w:r w:rsidR="00513E9D" w:rsidRPr="00A17559">
              <w:rPr>
                <w:rFonts w:cs="Arial"/>
                <w:spacing w:val="-7"/>
                <w:sz w:val="14"/>
                <w:szCs w:val="14"/>
                <w:lang w:val="en-GB"/>
              </w:rPr>
              <w:t xml:space="preserve">: </w:t>
            </w:r>
            <w:r w:rsidRPr="00A17559">
              <w:rPr>
                <w:rFonts w:cs="Arial"/>
                <w:spacing w:val="-7"/>
                <w:sz w:val="14"/>
                <w:szCs w:val="14"/>
                <w:lang w:val="en-GB"/>
              </w:rPr>
              <w:t>CZSO</w:t>
            </w:r>
          </w:p>
        </w:tc>
      </w:tr>
      <w:tr w:rsidR="00340FD2" w:rsidRPr="00A17559" w:rsidTr="006B5BE0">
        <w:trPr>
          <w:trHeight w:val="145"/>
        </w:trPr>
        <w:tc>
          <w:tcPr>
            <w:tcW w:w="1669" w:type="dxa"/>
            <w:shd w:val="clear" w:color="auto" w:fill="auto"/>
            <w:tcMar>
              <w:left w:w="0" w:type="dxa"/>
            </w:tcMar>
          </w:tcPr>
          <w:p w:rsidR="00513E9D" w:rsidRPr="00A17559" w:rsidRDefault="00340FD2" w:rsidP="00513E9D">
            <w:pPr>
              <w:pStyle w:val="Marginlie"/>
              <w:rPr>
                <w:lang w:val="en-GB"/>
              </w:rPr>
            </w:pPr>
            <w:r w:rsidRPr="00A17559">
              <w:rPr>
                <w:lang w:val="en-GB"/>
              </w:rPr>
              <w:t xml:space="preserve">Manufacture of electrical equipment and also energetics contributed the most to the growth of the total industrial production. </w:t>
            </w:r>
          </w:p>
          <w:p w:rsidR="00513E9D" w:rsidRPr="00A17559" w:rsidRDefault="00513E9D" w:rsidP="00513E9D">
            <w:pPr>
              <w:pStyle w:val="Marginlie"/>
              <w:rPr>
                <w:lang w:val="en-GB"/>
              </w:rPr>
            </w:pPr>
          </w:p>
          <w:p w:rsidR="00513E9D" w:rsidRPr="00A17559" w:rsidRDefault="00513E9D" w:rsidP="00513E9D">
            <w:pPr>
              <w:pStyle w:val="Marginlie"/>
              <w:rPr>
                <w:lang w:val="en-GB"/>
              </w:rPr>
            </w:pPr>
          </w:p>
          <w:p w:rsidR="00513E9D" w:rsidRPr="00A17559" w:rsidRDefault="00340FD2" w:rsidP="00513E9D">
            <w:pPr>
              <w:pStyle w:val="Marginlie"/>
              <w:rPr>
                <w:lang w:val="en-GB"/>
              </w:rPr>
            </w:pPr>
            <w:r w:rsidRPr="00A17559">
              <w:rPr>
                <w:lang w:val="en-GB"/>
              </w:rPr>
              <w:t xml:space="preserve">Long-term expansion of manufacture of computers, electronic </w:t>
            </w:r>
            <w:r w:rsidR="00C058F5">
              <w:rPr>
                <w:lang w:val="en-GB"/>
              </w:rPr>
              <w:t>and optical products continued.</w:t>
            </w:r>
          </w:p>
          <w:p w:rsidR="00513E9D" w:rsidRPr="00A17559" w:rsidRDefault="00513E9D" w:rsidP="00513E9D">
            <w:pPr>
              <w:pStyle w:val="Marginlie"/>
              <w:rPr>
                <w:lang w:val="en-GB"/>
              </w:rPr>
            </w:pPr>
          </w:p>
          <w:p w:rsidR="00F37A39" w:rsidRPr="00A17559" w:rsidRDefault="00F37A39" w:rsidP="00513E9D">
            <w:pPr>
              <w:pStyle w:val="Marginlie"/>
              <w:rPr>
                <w:lang w:val="en-GB"/>
              </w:rPr>
            </w:pPr>
          </w:p>
          <w:p w:rsidR="00513E9D" w:rsidRPr="00A17559" w:rsidRDefault="00B05F62" w:rsidP="00513E9D">
            <w:pPr>
              <w:pStyle w:val="Marginlie"/>
              <w:rPr>
                <w:lang w:val="en-GB"/>
              </w:rPr>
            </w:pPr>
            <w:r w:rsidRPr="00A17559">
              <w:rPr>
                <w:lang w:val="en-GB"/>
              </w:rPr>
              <w:t xml:space="preserve">Motor vehicle </w:t>
            </w:r>
            <w:r w:rsidRPr="00A17559">
              <w:rPr>
                <w:lang w:val="en-GB"/>
              </w:rPr>
              <w:lastRenderedPageBreak/>
              <w:t>manufacturers recorded the weakest growth since H</w:t>
            </w:r>
            <w:r w:rsidR="00513E9D" w:rsidRPr="00A17559">
              <w:rPr>
                <w:lang w:val="en-GB"/>
              </w:rPr>
              <w:t>1</w:t>
            </w:r>
            <w:r w:rsidRPr="00A17559">
              <w:rPr>
                <w:lang w:val="en-GB"/>
              </w:rPr>
              <w:t xml:space="preserve"> </w:t>
            </w:r>
            <w:r w:rsidR="00513E9D" w:rsidRPr="00A17559">
              <w:rPr>
                <w:lang w:val="en-GB"/>
              </w:rPr>
              <w:t>2013.</w:t>
            </w:r>
          </w:p>
          <w:p w:rsidR="00513E9D" w:rsidRDefault="00513E9D" w:rsidP="00513E9D">
            <w:pPr>
              <w:pStyle w:val="Marginlie"/>
              <w:rPr>
                <w:lang w:val="en-GB"/>
              </w:rPr>
            </w:pPr>
          </w:p>
          <w:p w:rsidR="00F37A39" w:rsidRDefault="00F37A39" w:rsidP="00513E9D">
            <w:pPr>
              <w:pStyle w:val="Marginlie"/>
              <w:rPr>
                <w:lang w:val="en-GB"/>
              </w:rPr>
            </w:pPr>
          </w:p>
          <w:p w:rsidR="00C058F5" w:rsidRDefault="00C058F5" w:rsidP="00513E9D">
            <w:pPr>
              <w:pStyle w:val="Marginlie"/>
              <w:rPr>
                <w:lang w:val="en-GB"/>
              </w:rPr>
            </w:pPr>
          </w:p>
          <w:p w:rsidR="00F37A39" w:rsidRPr="00A17559" w:rsidRDefault="00F37A39" w:rsidP="00513E9D">
            <w:pPr>
              <w:pStyle w:val="Marginlie"/>
              <w:rPr>
                <w:lang w:val="en-GB"/>
              </w:rPr>
            </w:pPr>
          </w:p>
          <w:p w:rsidR="00513E9D" w:rsidRPr="00A17559" w:rsidRDefault="00340FD2" w:rsidP="00513E9D">
            <w:pPr>
              <w:pStyle w:val="Marginlie"/>
              <w:rPr>
                <w:lang w:val="en-GB"/>
              </w:rPr>
            </w:pPr>
            <w:r w:rsidRPr="00A17559">
              <w:rPr>
                <w:lang w:val="en-GB"/>
              </w:rPr>
              <w:t xml:space="preserve">Output mildly declined in machinery, deeper </w:t>
            </w:r>
            <w:r w:rsidR="0015136D" w:rsidRPr="00A17559">
              <w:rPr>
                <w:lang w:val="en-GB"/>
              </w:rPr>
              <w:t>than</w:t>
            </w:r>
            <w:r w:rsidRPr="00A17559">
              <w:rPr>
                <w:lang w:val="en-GB"/>
              </w:rPr>
              <w:t xml:space="preserve"> in metallurgy, chemical and</w:t>
            </w:r>
            <w:r w:rsidR="001C1B6C" w:rsidRPr="00A17559">
              <w:rPr>
                <w:lang w:val="en-GB"/>
              </w:rPr>
              <w:t xml:space="preserve"> </w:t>
            </w:r>
            <w:r w:rsidRPr="00A17559">
              <w:rPr>
                <w:lang w:val="en-GB"/>
              </w:rPr>
              <w:t xml:space="preserve">wood industry. </w:t>
            </w:r>
          </w:p>
          <w:p w:rsidR="00513E9D" w:rsidRDefault="00513E9D" w:rsidP="00513E9D">
            <w:pPr>
              <w:pStyle w:val="Marginlie"/>
              <w:rPr>
                <w:lang w:val="en-GB"/>
              </w:rPr>
            </w:pPr>
          </w:p>
          <w:p w:rsidR="00F37A39" w:rsidRPr="00A17559" w:rsidRDefault="00F37A39" w:rsidP="00513E9D">
            <w:pPr>
              <w:pStyle w:val="Marginlie"/>
              <w:rPr>
                <w:lang w:val="en-GB"/>
              </w:rPr>
            </w:pPr>
          </w:p>
          <w:p w:rsidR="00513E9D" w:rsidRPr="00A17559" w:rsidRDefault="00513E9D" w:rsidP="00513E9D">
            <w:pPr>
              <w:pStyle w:val="Marginlie"/>
              <w:rPr>
                <w:lang w:val="en-GB"/>
              </w:rPr>
            </w:pPr>
          </w:p>
          <w:p w:rsidR="00513E9D" w:rsidRPr="00A17559" w:rsidRDefault="00340FD2" w:rsidP="00340FD2">
            <w:pPr>
              <w:pStyle w:val="Marginlie"/>
              <w:rPr>
                <w:lang w:val="en-GB"/>
              </w:rPr>
            </w:pPr>
            <w:r w:rsidRPr="00A17559">
              <w:rPr>
                <w:lang w:val="en-GB"/>
              </w:rPr>
              <w:t>Long-term slump of the mining of coal lasted</w:t>
            </w:r>
            <w:r w:rsidR="00E97506" w:rsidRPr="00A17559">
              <w:rPr>
                <w:lang w:val="en-GB"/>
              </w:rPr>
              <w:t>.</w:t>
            </w:r>
          </w:p>
        </w:tc>
        <w:tc>
          <w:tcPr>
            <w:tcW w:w="180" w:type="dxa"/>
            <w:shd w:val="clear" w:color="auto" w:fill="auto"/>
            <w:tcMar>
              <w:left w:w="0" w:type="dxa"/>
            </w:tcMar>
          </w:tcPr>
          <w:p w:rsidR="00513E9D" w:rsidRPr="00A17559" w:rsidRDefault="00513E9D" w:rsidP="00513E9D">
            <w:pPr>
              <w:pStyle w:val="Textpoznpodarou"/>
              <w:jc w:val="both"/>
              <w:rPr>
                <w:spacing w:val="-4"/>
                <w:lang w:val="en-GB"/>
              </w:rPr>
            </w:pPr>
          </w:p>
        </w:tc>
        <w:tc>
          <w:tcPr>
            <w:tcW w:w="7790" w:type="dxa"/>
            <w:shd w:val="clear" w:color="auto" w:fill="auto"/>
            <w:tcMar>
              <w:left w:w="0" w:type="dxa"/>
            </w:tcMar>
          </w:tcPr>
          <w:p w:rsidR="00513E9D" w:rsidRPr="00A17559" w:rsidRDefault="00AA58ED" w:rsidP="005862D9">
            <w:pPr>
              <w:spacing w:after="200"/>
              <w:rPr>
                <w:spacing w:val="-7"/>
                <w:lang w:val="en-GB"/>
              </w:rPr>
            </w:pPr>
            <w:r w:rsidRPr="00A17559">
              <w:rPr>
                <w:color w:val="000000" w:themeColor="text1"/>
                <w:spacing w:val="-7"/>
                <w:lang w:val="en-GB"/>
              </w:rPr>
              <w:t>Despite less favourable development of th</w:t>
            </w:r>
            <w:r w:rsidR="005220B4">
              <w:rPr>
                <w:color w:val="000000" w:themeColor="text1"/>
                <w:spacing w:val="-7"/>
                <w:lang w:val="en-GB"/>
              </w:rPr>
              <w:t xml:space="preserve">e foreign demand, the </w:t>
            </w:r>
            <w:r w:rsidRPr="00A17559">
              <w:rPr>
                <w:color w:val="000000" w:themeColor="text1"/>
                <w:spacing w:val="-7"/>
                <w:lang w:val="en-GB"/>
              </w:rPr>
              <w:t>majority of</w:t>
            </w:r>
            <w:r w:rsidR="00340FD2" w:rsidRPr="00A17559">
              <w:rPr>
                <w:color w:val="000000" w:themeColor="text1"/>
                <w:spacing w:val="-7"/>
                <w:lang w:val="en-GB"/>
              </w:rPr>
              <w:t xml:space="preserve"> </w:t>
            </w:r>
            <w:r w:rsidRPr="00A17559">
              <w:rPr>
                <w:color w:val="000000" w:themeColor="text1"/>
                <w:spacing w:val="-7"/>
                <w:lang w:val="en-GB"/>
              </w:rPr>
              <w:t xml:space="preserve">industrial </w:t>
            </w:r>
            <w:r w:rsidR="00340FD2" w:rsidRPr="00A17559">
              <w:rPr>
                <w:color w:val="000000" w:themeColor="text1"/>
                <w:spacing w:val="-7"/>
                <w:lang w:val="en-GB"/>
              </w:rPr>
              <w:t>sub-</w:t>
            </w:r>
            <w:r w:rsidRPr="00A17559">
              <w:rPr>
                <w:color w:val="000000" w:themeColor="text1"/>
                <w:spacing w:val="-7"/>
                <w:lang w:val="en-GB"/>
              </w:rPr>
              <w:t xml:space="preserve">branches </w:t>
            </w:r>
            <w:r w:rsidR="004D4E52" w:rsidRPr="00A17559">
              <w:rPr>
                <w:color w:val="000000" w:themeColor="text1"/>
                <w:spacing w:val="-7"/>
                <w:lang w:val="en-GB"/>
              </w:rPr>
              <w:t xml:space="preserve">also </w:t>
            </w:r>
            <w:r w:rsidR="0015136D">
              <w:rPr>
                <w:color w:val="000000" w:themeColor="text1"/>
                <w:spacing w:val="-7"/>
                <w:lang w:val="en-GB"/>
              </w:rPr>
              <w:t xml:space="preserve">experienced at least a mild </w:t>
            </w:r>
            <w:r w:rsidRPr="00A17559">
              <w:rPr>
                <w:color w:val="000000" w:themeColor="text1"/>
                <w:spacing w:val="-7"/>
                <w:lang w:val="en-GB"/>
              </w:rPr>
              <w:t xml:space="preserve">year-on-year growth of output </w:t>
            </w:r>
            <w:r w:rsidR="004D4E52" w:rsidRPr="00A17559">
              <w:rPr>
                <w:color w:val="000000" w:themeColor="text1"/>
                <w:spacing w:val="-7"/>
                <w:lang w:val="en-GB"/>
              </w:rPr>
              <w:t xml:space="preserve">in H1. </w:t>
            </w:r>
            <w:r w:rsidR="004511E6" w:rsidRPr="00A17559">
              <w:rPr>
                <w:color w:val="000000" w:themeColor="text1"/>
                <w:spacing w:val="-7"/>
                <w:lang w:val="en-GB"/>
              </w:rPr>
              <w:t xml:space="preserve">Manufacture of electrical equipment (by 0.3 p.p., growth of the branch by 4.4%) contributed the most to the increase of the total industrial output </w:t>
            </w:r>
            <w:r w:rsidR="00513E9D" w:rsidRPr="00A17559">
              <w:rPr>
                <w:color w:val="000000" w:themeColor="text1"/>
                <w:spacing w:val="-7"/>
                <w:lang w:val="en-GB"/>
              </w:rPr>
              <w:t>(</w:t>
            </w:r>
            <w:r w:rsidR="004511E6" w:rsidRPr="00A17559">
              <w:rPr>
                <w:color w:val="000000" w:themeColor="text1"/>
                <w:spacing w:val="-7"/>
                <w:lang w:val="en-GB"/>
              </w:rPr>
              <w:t>by</w:t>
            </w:r>
            <w:r w:rsidR="00513E9D" w:rsidRPr="00A17559">
              <w:rPr>
                <w:color w:val="000000" w:themeColor="text1"/>
                <w:spacing w:val="-7"/>
                <w:lang w:val="en-GB"/>
              </w:rPr>
              <w:t> 0</w:t>
            </w:r>
            <w:r w:rsidR="004511E6" w:rsidRPr="00A17559">
              <w:rPr>
                <w:color w:val="000000" w:themeColor="text1"/>
                <w:spacing w:val="-7"/>
                <w:lang w:val="en-GB"/>
              </w:rPr>
              <w:t>.</w:t>
            </w:r>
            <w:r w:rsidR="00513E9D" w:rsidRPr="00A17559">
              <w:rPr>
                <w:color w:val="000000" w:themeColor="text1"/>
                <w:spacing w:val="-7"/>
                <w:lang w:val="en-GB"/>
              </w:rPr>
              <w:t>6%)</w:t>
            </w:r>
            <w:r w:rsidR="00423F00">
              <w:rPr>
                <w:color w:val="000000" w:themeColor="text1"/>
                <w:spacing w:val="-7"/>
                <w:lang w:val="en-GB"/>
              </w:rPr>
              <w:t>, mainly due to the</w:t>
            </w:r>
            <w:r w:rsidR="004511E6" w:rsidRPr="00A17559">
              <w:rPr>
                <w:color w:val="000000" w:themeColor="text1"/>
                <w:spacing w:val="-7"/>
                <w:lang w:val="en-GB"/>
              </w:rPr>
              <w:t xml:space="preserve"> acceleration driven by the domestic demand in Q</w:t>
            </w:r>
            <w:r w:rsidR="00513E9D" w:rsidRPr="00A17559">
              <w:rPr>
                <w:color w:val="000000" w:themeColor="text1"/>
                <w:spacing w:val="-7"/>
                <w:lang w:val="en-GB"/>
              </w:rPr>
              <w:t>2.</w:t>
            </w:r>
            <w:r w:rsidR="004511E6" w:rsidRPr="00A17559">
              <w:rPr>
                <w:color w:val="000000" w:themeColor="text1"/>
                <w:spacing w:val="-7"/>
                <w:lang w:val="en-GB"/>
              </w:rPr>
              <w:t xml:space="preserve"> </w:t>
            </w:r>
            <w:r w:rsidR="003813A8" w:rsidRPr="00A17559">
              <w:rPr>
                <w:color w:val="000000" w:themeColor="text1"/>
                <w:spacing w:val="-7"/>
                <w:lang w:val="en-GB"/>
              </w:rPr>
              <w:t xml:space="preserve">Contribution of the long-term growing but by weight peripheral pharmaceutical industry was also significant </w:t>
            </w:r>
            <w:r w:rsidR="00513E9D" w:rsidRPr="00A17559">
              <w:rPr>
                <w:color w:val="000000" w:themeColor="text1"/>
                <w:spacing w:val="-7"/>
                <w:lang w:val="en-GB"/>
              </w:rPr>
              <w:t>(0</w:t>
            </w:r>
            <w:r w:rsidR="003813A8" w:rsidRPr="00A17559">
              <w:rPr>
                <w:color w:val="000000" w:themeColor="text1"/>
                <w:spacing w:val="-7"/>
                <w:lang w:val="en-GB"/>
              </w:rPr>
              <w:t>.</w:t>
            </w:r>
            <w:r w:rsidR="00513E9D" w:rsidRPr="00A17559">
              <w:rPr>
                <w:color w:val="000000" w:themeColor="text1"/>
                <w:spacing w:val="-7"/>
                <w:lang w:val="en-GB"/>
              </w:rPr>
              <w:t>2 p.</w:t>
            </w:r>
            <w:r w:rsidR="003813A8" w:rsidRPr="00A17559">
              <w:rPr>
                <w:color w:val="000000" w:themeColor="text1"/>
                <w:spacing w:val="-7"/>
                <w:lang w:val="en-GB"/>
              </w:rPr>
              <w:t>p</w:t>
            </w:r>
            <w:r w:rsidR="00513E9D" w:rsidRPr="00A17559">
              <w:rPr>
                <w:color w:val="000000" w:themeColor="text1"/>
                <w:spacing w:val="-7"/>
                <w:lang w:val="en-GB"/>
              </w:rPr>
              <w:t xml:space="preserve">.), </w:t>
            </w:r>
            <w:r w:rsidR="00017F00" w:rsidRPr="00A17559">
              <w:rPr>
                <w:color w:val="000000" w:themeColor="text1"/>
                <w:spacing w:val="-7"/>
                <w:lang w:val="en-GB"/>
              </w:rPr>
              <w:t xml:space="preserve">since its </w:t>
            </w:r>
            <w:r w:rsidR="003813A8" w:rsidRPr="00A17559">
              <w:rPr>
                <w:color w:val="000000" w:themeColor="text1"/>
                <w:spacing w:val="-7"/>
                <w:lang w:val="en-GB"/>
              </w:rPr>
              <w:t>output</w:t>
            </w:r>
            <w:r w:rsidR="00017F00" w:rsidRPr="00A17559">
              <w:rPr>
                <w:color w:val="000000" w:themeColor="text1"/>
                <w:spacing w:val="-7"/>
                <w:lang w:val="en-GB"/>
              </w:rPr>
              <w:t xml:space="preserve"> enlarged by more than one sixth this year. Similarly the energetics and also manufacture of computer, electronic and optical products supported the whole industry, with the brisk growth </w:t>
            </w:r>
            <w:r w:rsidR="00513E9D" w:rsidRPr="00A17559">
              <w:rPr>
                <w:spacing w:val="-7"/>
                <w:lang w:val="en-GB"/>
              </w:rPr>
              <w:t>(+6</w:t>
            </w:r>
            <w:r w:rsidR="00017F00" w:rsidRPr="00A17559">
              <w:rPr>
                <w:spacing w:val="-7"/>
                <w:lang w:val="en-GB"/>
              </w:rPr>
              <w:t>.</w:t>
            </w:r>
            <w:r w:rsidR="00513E9D" w:rsidRPr="00A17559">
              <w:rPr>
                <w:spacing w:val="-7"/>
                <w:lang w:val="en-GB"/>
              </w:rPr>
              <w:t xml:space="preserve">2%) </w:t>
            </w:r>
            <w:r w:rsidR="00017F00" w:rsidRPr="00A17559">
              <w:rPr>
                <w:spacing w:val="-7"/>
                <w:lang w:val="en-GB"/>
              </w:rPr>
              <w:t xml:space="preserve">mirroring mostly the growing domestic demand. </w:t>
            </w:r>
            <w:r w:rsidR="00513E9D" w:rsidRPr="00A17559">
              <w:rPr>
                <w:spacing w:val="-7"/>
                <w:lang w:val="en-GB"/>
              </w:rPr>
              <w:t>T</w:t>
            </w:r>
            <w:r w:rsidR="004511E6" w:rsidRPr="00A17559">
              <w:rPr>
                <w:spacing w:val="-7"/>
                <w:lang w:val="en-GB"/>
              </w:rPr>
              <w:t>his branch also belongs to the fastest growing industrial fields since the end of the last recession</w:t>
            </w:r>
            <w:r w:rsidR="00513E9D" w:rsidRPr="00A17559">
              <w:rPr>
                <w:rStyle w:val="Znakapoznpodarou"/>
                <w:color w:val="000000" w:themeColor="text1"/>
                <w:spacing w:val="-7"/>
                <w:lang w:val="en-GB"/>
              </w:rPr>
              <w:footnoteReference w:id="8"/>
            </w:r>
            <w:r w:rsidR="00513E9D" w:rsidRPr="00A17559">
              <w:rPr>
                <w:spacing w:val="-7"/>
                <w:lang w:val="en-GB"/>
              </w:rPr>
              <w:t xml:space="preserve">. </w:t>
            </w:r>
            <w:r w:rsidR="008A2105" w:rsidRPr="00A17559">
              <w:rPr>
                <w:spacing w:val="-7"/>
                <w:lang w:val="en-GB"/>
              </w:rPr>
              <w:t xml:space="preserve">Output in the weight dominant branch of manufacturing of motor vehicles went up only by </w:t>
            </w:r>
            <w:r w:rsidR="00513E9D" w:rsidRPr="00A17559">
              <w:rPr>
                <w:spacing w:val="-7"/>
                <w:lang w:val="en-GB"/>
              </w:rPr>
              <w:t>0</w:t>
            </w:r>
            <w:r w:rsidR="008A2105" w:rsidRPr="00A17559">
              <w:rPr>
                <w:spacing w:val="-7"/>
                <w:lang w:val="en-GB"/>
              </w:rPr>
              <w:t>.</w:t>
            </w:r>
            <w:r w:rsidR="00513E9D" w:rsidRPr="00A17559">
              <w:rPr>
                <w:spacing w:val="-7"/>
                <w:lang w:val="en-GB"/>
              </w:rPr>
              <w:t xml:space="preserve">7%, </w:t>
            </w:r>
            <w:r w:rsidR="008A2105" w:rsidRPr="00A17559">
              <w:rPr>
                <w:spacing w:val="-7"/>
                <w:lang w:val="en-GB"/>
              </w:rPr>
              <w:t xml:space="preserve">the least since year </w:t>
            </w:r>
            <w:r w:rsidR="00513E9D" w:rsidRPr="00A17559">
              <w:rPr>
                <w:spacing w:val="-7"/>
                <w:lang w:val="en-GB"/>
              </w:rPr>
              <w:t xml:space="preserve">2013. </w:t>
            </w:r>
            <w:r w:rsidR="008A2105" w:rsidRPr="00A17559">
              <w:rPr>
                <w:spacing w:val="-7"/>
                <w:lang w:val="en-GB"/>
              </w:rPr>
              <w:t>It was also evident from the data regarding the physical output</w:t>
            </w:r>
            <w:r w:rsidR="00513E9D" w:rsidRPr="00A17559">
              <w:rPr>
                <w:rStyle w:val="Znakapoznpodarou"/>
                <w:spacing w:val="-7"/>
                <w:lang w:val="en-GB"/>
              </w:rPr>
              <w:footnoteReference w:id="9"/>
            </w:r>
            <w:r w:rsidR="00513E9D" w:rsidRPr="00A17559">
              <w:rPr>
                <w:spacing w:val="-7"/>
                <w:lang w:val="en-GB"/>
              </w:rPr>
              <w:t xml:space="preserve">. </w:t>
            </w:r>
            <w:r w:rsidR="008A2105" w:rsidRPr="00A17559">
              <w:rPr>
                <w:spacing w:val="-7"/>
                <w:lang w:val="en-GB"/>
              </w:rPr>
              <w:t xml:space="preserve">New orders signalled a perceptible weakening of dynamics </w:t>
            </w:r>
            <w:r w:rsidR="008A2105" w:rsidRPr="00A17559">
              <w:rPr>
                <w:spacing w:val="-7"/>
                <w:lang w:val="en-GB"/>
              </w:rPr>
              <w:lastRenderedPageBreak/>
              <w:t xml:space="preserve">here already last year </w:t>
            </w:r>
            <w:r w:rsidR="00513E9D" w:rsidRPr="00A17559">
              <w:rPr>
                <w:spacing w:val="-7"/>
                <w:lang w:val="en-GB"/>
              </w:rPr>
              <w:t>(</w:t>
            </w:r>
            <w:r w:rsidR="00B05F62" w:rsidRPr="00A17559">
              <w:rPr>
                <w:spacing w:val="-7"/>
                <w:lang w:val="en-GB"/>
              </w:rPr>
              <w:t xml:space="preserve">the value of foreign orders increased by 2.5% for the whole last year, it fell by 1.2% for the domestic orders). </w:t>
            </w:r>
            <w:r w:rsidR="004511E6" w:rsidRPr="00A17559">
              <w:rPr>
                <w:spacing w:val="-7"/>
                <w:lang w:val="en-GB"/>
              </w:rPr>
              <w:t xml:space="preserve">Situation of manufacturers of other </w:t>
            </w:r>
            <w:r w:rsidR="00513E9D" w:rsidRPr="00A17559">
              <w:rPr>
                <w:spacing w:val="-7"/>
                <w:lang w:val="en-GB"/>
              </w:rPr>
              <w:t>(</w:t>
            </w:r>
            <w:r w:rsidR="00B05F62" w:rsidRPr="00A17559">
              <w:rPr>
                <w:spacing w:val="-7"/>
                <w:lang w:val="en-GB"/>
              </w:rPr>
              <w:t>especially rail</w:t>
            </w:r>
            <w:r w:rsidR="00513E9D" w:rsidRPr="00A17559">
              <w:rPr>
                <w:spacing w:val="-7"/>
                <w:lang w:val="en-GB"/>
              </w:rPr>
              <w:t>)</w:t>
            </w:r>
            <w:r w:rsidR="004511E6" w:rsidRPr="00A17559">
              <w:rPr>
                <w:spacing w:val="-7"/>
                <w:lang w:val="en-GB"/>
              </w:rPr>
              <w:t xml:space="preserve"> transport equipment improved this as well as last year</w:t>
            </w:r>
            <w:r w:rsidR="00513E9D" w:rsidRPr="00A17559">
              <w:rPr>
                <w:spacing w:val="-7"/>
                <w:lang w:val="en-GB"/>
              </w:rPr>
              <w:t xml:space="preserve">. </w:t>
            </w:r>
            <w:r w:rsidR="00B05F62" w:rsidRPr="00A17559">
              <w:rPr>
                <w:spacing w:val="-7"/>
                <w:lang w:val="en-GB"/>
              </w:rPr>
              <w:t>Ou</w:t>
            </w:r>
            <w:r w:rsidR="00750362" w:rsidRPr="00A17559">
              <w:rPr>
                <w:spacing w:val="-7"/>
                <w:lang w:val="en-GB"/>
              </w:rPr>
              <w:t>tp</w:t>
            </w:r>
            <w:r w:rsidR="00B05F62" w:rsidRPr="00A17559">
              <w:rPr>
                <w:spacing w:val="-7"/>
                <w:lang w:val="en-GB"/>
              </w:rPr>
              <w:t xml:space="preserve">ut increased here (6.3%) mainly thanks to the foreign demand in H1 2019. </w:t>
            </w:r>
            <w:r w:rsidR="00750362" w:rsidRPr="00A17559">
              <w:rPr>
                <w:spacing w:val="-7"/>
                <w:lang w:val="en-GB"/>
              </w:rPr>
              <w:t xml:space="preserve">Within the more significant branches by weight, the output moderately increased in repair and installation of machinery and equipment and also in the food industry </w:t>
            </w:r>
            <w:r w:rsidR="00513E9D" w:rsidRPr="00A17559">
              <w:rPr>
                <w:spacing w:val="-7"/>
                <w:lang w:val="en-GB"/>
              </w:rPr>
              <w:t xml:space="preserve">– </w:t>
            </w:r>
            <w:r w:rsidR="00750362" w:rsidRPr="00A17559">
              <w:rPr>
                <w:spacing w:val="-7"/>
                <w:lang w:val="en-GB"/>
              </w:rPr>
              <w:t xml:space="preserve">i.e. in activities primarily focused on the domestic market. </w:t>
            </w:r>
            <w:r w:rsidR="00105FF8" w:rsidRPr="00A17559">
              <w:rPr>
                <w:spacing w:val="-7"/>
                <w:lang w:val="en-GB"/>
              </w:rPr>
              <w:t xml:space="preserve">Output stagnated in manufacture of rubber and plastic products or </w:t>
            </w:r>
            <w:r w:rsidR="00691F0D">
              <w:rPr>
                <w:spacing w:val="-7"/>
                <w:lang w:val="en-GB"/>
              </w:rPr>
              <w:t xml:space="preserve">fabricated </w:t>
            </w:r>
            <w:r w:rsidR="00105FF8" w:rsidRPr="00A17559">
              <w:rPr>
                <w:spacing w:val="-7"/>
                <w:lang w:val="en-GB"/>
              </w:rPr>
              <w:t xml:space="preserve">metals, despite lasting growth of the domestic demand it was slightly falling in machinery </w:t>
            </w:r>
            <w:r w:rsidR="00513E9D" w:rsidRPr="00A17559">
              <w:rPr>
                <w:spacing w:val="-7"/>
                <w:lang w:val="en-GB"/>
              </w:rPr>
              <w:t>(–</w:t>
            </w:r>
            <w:r w:rsidR="00513E9D" w:rsidRPr="00A17559">
              <w:rPr>
                <w:color w:val="000000" w:themeColor="text1"/>
                <w:spacing w:val="-7"/>
                <w:lang w:val="en-GB"/>
              </w:rPr>
              <w:t>0</w:t>
            </w:r>
            <w:r w:rsidR="00105FF8" w:rsidRPr="00A17559">
              <w:rPr>
                <w:color w:val="000000" w:themeColor="text1"/>
                <w:spacing w:val="-7"/>
                <w:lang w:val="en-GB"/>
              </w:rPr>
              <w:t>.</w:t>
            </w:r>
            <w:r w:rsidR="00513E9D" w:rsidRPr="00A17559">
              <w:rPr>
                <w:color w:val="000000" w:themeColor="text1"/>
                <w:spacing w:val="-7"/>
                <w:lang w:val="en-GB"/>
              </w:rPr>
              <w:t>7%).</w:t>
            </w:r>
            <w:r w:rsidR="00105FF8" w:rsidRPr="00A17559">
              <w:rPr>
                <w:color w:val="000000" w:themeColor="text1"/>
                <w:spacing w:val="-7"/>
                <w:lang w:val="en-GB"/>
              </w:rPr>
              <w:t xml:space="preserve"> Performance fell deeper in metallurgy and foundry industry </w:t>
            </w:r>
            <w:r w:rsidR="00513E9D" w:rsidRPr="00A17559">
              <w:rPr>
                <w:spacing w:val="-7"/>
                <w:lang w:val="en-GB"/>
              </w:rPr>
              <w:t>(–</w:t>
            </w:r>
            <w:r w:rsidR="00513E9D" w:rsidRPr="00A17559">
              <w:rPr>
                <w:color w:val="000000" w:themeColor="text1"/>
                <w:spacing w:val="-7"/>
                <w:lang w:val="en-GB"/>
              </w:rPr>
              <w:t>2</w:t>
            </w:r>
            <w:r w:rsidR="00105FF8" w:rsidRPr="00A17559">
              <w:rPr>
                <w:color w:val="000000" w:themeColor="text1"/>
                <w:spacing w:val="-7"/>
                <w:lang w:val="en-GB"/>
              </w:rPr>
              <w:t>.</w:t>
            </w:r>
            <w:r w:rsidR="00513E9D" w:rsidRPr="00A17559">
              <w:rPr>
                <w:color w:val="000000" w:themeColor="text1"/>
                <w:spacing w:val="-7"/>
                <w:lang w:val="en-GB"/>
              </w:rPr>
              <w:t>8%),</w:t>
            </w:r>
            <w:r w:rsidR="00105FF8" w:rsidRPr="00A17559">
              <w:rPr>
                <w:color w:val="000000" w:themeColor="text1"/>
                <w:spacing w:val="-7"/>
                <w:lang w:val="en-GB"/>
              </w:rPr>
              <w:t xml:space="preserve"> </w:t>
            </w:r>
            <w:r w:rsidR="00513E9D" w:rsidRPr="00A17559">
              <w:rPr>
                <w:color w:val="000000" w:themeColor="text1"/>
                <w:spacing w:val="-7"/>
                <w:lang w:val="en-GB"/>
              </w:rPr>
              <w:t xml:space="preserve"> </w:t>
            </w:r>
            <w:r w:rsidR="00AC4920" w:rsidRPr="00A17559">
              <w:rPr>
                <w:color w:val="000000" w:themeColor="text1"/>
                <w:spacing w:val="-7"/>
                <w:lang w:val="en-GB"/>
              </w:rPr>
              <w:t xml:space="preserve">because the strong domestic demand from years </w:t>
            </w:r>
            <w:r w:rsidR="00513E9D" w:rsidRPr="00A17559">
              <w:rPr>
                <w:color w:val="000000" w:themeColor="text1"/>
                <w:spacing w:val="-7"/>
                <w:lang w:val="en-GB"/>
              </w:rPr>
              <w:t>2017 a</w:t>
            </w:r>
            <w:r w:rsidR="00AC4920" w:rsidRPr="00A17559">
              <w:rPr>
                <w:color w:val="000000" w:themeColor="text1"/>
                <w:spacing w:val="-7"/>
                <w:lang w:val="en-GB"/>
              </w:rPr>
              <w:t>nd</w:t>
            </w:r>
            <w:r w:rsidR="00513E9D" w:rsidRPr="00A17559">
              <w:rPr>
                <w:color w:val="000000" w:themeColor="text1"/>
                <w:spacing w:val="-7"/>
                <w:lang w:val="en-GB"/>
              </w:rPr>
              <w:t> 2018</w:t>
            </w:r>
            <w:r w:rsidR="00AC4920" w:rsidRPr="00A17559">
              <w:rPr>
                <w:color w:val="000000" w:themeColor="text1"/>
                <w:spacing w:val="-7"/>
                <w:lang w:val="en-GB"/>
              </w:rPr>
              <w:t xml:space="preserve"> ceased.</w:t>
            </w:r>
            <w:r w:rsidR="007622A9" w:rsidRPr="00A17559">
              <w:rPr>
                <w:color w:val="000000" w:themeColor="text1"/>
                <w:spacing w:val="-7"/>
                <w:lang w:val="en-GB"/>
              </w:rPr>
              <w:t xml:space="preserve"> Manufacturing of other non-metal mineral products, where the strong growth impulse connected to the domestic demand </w:t>
            </w:r>
            <w:r w:rsidR="00AC4920" w:rsidRPr="00A17559">
              <w:rPr>
                <w:color w:val="000000" w:themeColor="text1"/>
                <w:spacing w:val="-7"/>
                <w:lang w:val="en-GB"/>
              </w:rPr>
              <w:t>for construction materials</w:t>
            </w:r>
            <w:r w:rsidR="007622A9" w:rsidRPr="00A17559">
              <w:rPr>
                <w:color w:val="000000" w:themeColor="text1"/>
                <w:spacing w:val="-7"/>
                <w:lang w:val="en-GB"/>
              </w:rPr>
              <w:t xml:space="preserve"> likely already evaporated, was in similar situation</w:t>
            </w:r>
            <w:r w:rsidR="00AC4920" w:rsidRPr="00A17559">
              <w:rPr>
                <w:color w:val="000000" w:themeColor="text1"/>
                <w:spacing w:val="-7"/>
                <w:lang w:val="en-GB"/>
              </w:rPr>
              <w:t>. Output also drop</w:t>
            </w:r>
            <w:r w:rsidR="007622A9" w:rsidRPr="00A17559">
              <w:rPr>
                <w:color w:val="000000" w:themeColor="text1"/>
                <w:spacing w:val="-7"/>
                <w:lang w:val="en-GB"/>
              </w:rPr>
              <w:t>p</w:t>
            </w:r>
            <w:r w:rsidR="00AC4920" w:rsidRPr="00A17559">
              <w:rPr>
                <w:color w:val="000000" w:themeColor="text1"/>
                <w:spacing w:val="-7"/>
                <w:lang w:val="en-GB"/>
              </w:rPr>
              <w:t xml:space="preserve">ed in the chemical industry this year </w:t>
            </w:r>
            <w:r w:rsidR="00513E9D" w:rsidRPr="00A17559">
              <w:rPr>
                <w:spacing w:val="-7"/>
                <w:lang w:val="en-GB"/>
              </w:rPr>
              <w:t>(–</w:t>
            </w:r>
            <w:r w:rsidR="00513E9D" w:rsidRPr="00A17559">
              <w:rPr>
                <w:color w:val="000000" w:themeColor="text1"/>
                <w:spacing w:val="-7"/>
                <w:lang w:val="en-GB"/>
              </w:rPr>
              <w:t>2</w:t>
            </w:r>
            <w:r w:rsidR="00AC4920" w:rsidRPr="00A17559">
              <w:rPr>
                <w:color w:val="000000" w:themeColor="text1"/>
                <w:spacing w:val="-7"/>
                <w:lang w:val="en-GB"/>
              </w:rPr>
              <w:t>.</w:t>
            </w:r>
            <w:r w:rsidR="00513E9D" w:rsidRPr="00A17559">
              <w:rPr>
                <w:color w:val="000000" w:themeColor="text1"/>
                <w:spacing w:val="-7"/>
                <w:lang w:val="en-GB"/>
              </w:rPr>
              <w:t xml:space="preserve">8%), </w:t>
            </w:r>
            <w:r w:rsidR="00AC4920" w:rsidRPr="00A17559">
              <w:rPr>
                <w:color w:val="000000" w:themeColor="text1"/>
                <w:spacing w:val="-7"/>
                <w:lang w:val="en-GB"/>
              </w:rPr>
              <w:t>mainly due to the irregularities in the usage of production capacities, which are typical for this fie</w:t>
            </w:r>
            <w:r w:rsidR="007622A9" w:rsidRPr="00A17559">
              <w:rPr>
                <w:color w:val="000000" w:themeColor="text1"/>
                <w:spacing w:val="-7"/>
                <w:lang w:val="en-GB"/>
              </w:rPr>
              <w:t>l</w:t>
            </w:r>
            <w:r w:rsidR="00AC4920" w:rsidRPr="00A17559">
              <w:rPr>
                <w:color w:val="000000" w:themeColor="text1"/>
                <w:spacing w:val="-7"/>
                <w:lang w:val="en-GB"/>
              </w:rPr>
              <w:t xml:space="preserve">d. </w:t>
            </w:r>
            <w:r w:rsidR="007622A9" w:rsidRPr="00A17559">
              <w:rPr>
                <w:color w:val="000000" w:themeColor="text1"/>
                <w:spacing w:val="-7"/>
                <w:lang w:val="en-GB"/>
              </w:rPr>
              <w:t xml:space="preserve">Long-term </w:t>
            </w:r>
            <w:r w:rsidR="00E12C45" w:rsidRPr="00A17559">
              <w:rPr>
                <w:color w:val="000000" w:themeColor="text1"/>
                <w:spacing w:val="-7"/>
                <w:lang w:val="en-GB"/>
              </w:rPr>
              <w:t xml:space="preserve">downturn in mining and quarrying </w:t>
            </w:r>
            <w:r w:rsidR="00513E9D" w:rsidRPr="00A17559">
              <w:rPr>
                <w:color w:val="000000" w:themeColor="text1"/>
                <w:spacing w:val="-7"/>
                <w:lang w:val="en-GB"/>
              </w:rPr>
              <w:t>(</w:t>
            </w:r>
            <w:r w:rsidR="00E12C45" w:rsidRPr="00A17559">
              <w:rPr>
                <w:color w:val="000000" w:themeColor="text1"/>
                <w:spacing w:val="-7"/>
                <w:lang w:val="en-GB"/>
              </w:rPr>
              <w:t xml:space="preserve">by </w:t>
            </w:r>
            <w:r w:rsidR="00513E9D" w:rsidRPr="00A17559">
              <w:rPr>
                <w:color w:val="000000" w:themeColor="text1"/>
                <w:spacing w:val="-7"/>
                <w:lang w:val="en-GB"/>
              </w:rPr>
              <w:t>4</w:t>
            </w:r>
            <w:r w:rsidR="00E12C45" w:rsidRPr="00A17559">
              <w:rPr>
                <w:color w:val="000000" w:themeColor="text1"/>
                <w:spacing w:val="-7"/>
                <w:lang w:val="en-GB"/>
              </w:rPr>
              <w:t>.</w:t>
            </w:r>
            <w:r w:rsidR="00513E9D" w:rsidRPr="00A17559">
              <w:rPr>
                <w:color w:val="000000" w:themeColor="text1"/>
                <w:spacing w:val="-7"/>
                <w:lang w:val="en-GB"/>
              </w:rPr>
              <w:t>4%</w:t>
            </w:r>
            <w:r w:rsidR="00E12C45" w:rsidRPr="00A17559">
              <w:rPr>
                <w:color w:val="000000" w:themeColor="text1"/>
                <w:spacing w:val="-7"/>
                <w:lang w:val="en-GB"/>
              </w:rPr>
              <w:t xml:space="preserve"> this year</w:t>
            </w:r>
            <w:r w:rsidR="00513E9D" w:rsidRPr="00A17559">
              <w:rPr>
                <w:color w:val="000000" w:themeColor="text1"/>
                <w:spacing w:val="-7"/>
                <w:lang w:val="en-GB"/>
              </w:rPr>
              <w:t>,</w:t>
            </w:r>
            <w:r w:rsidR="00E12C45" w:rsidRPr="00A17559">
              <w:rPr>
                <w:color w:val="000000" w:themeColor="text1"/>
                <w:spacing w:val="-7"/>
                <w:lang w:val="en-GB"/>
              </w:rPr>
              <w:t xml:space="preserve"> by 42% for </w:t>
            </w:r>
            <w:r w:rsidR="0024448D">
              <w:rPr>
                <w:color w:val="000000" w:themeColor="text1"/>
                <w:spacing w:val="-7"/>
                <w:lang w:val="en-GB"/>
              </w:rPr>
              <w:t xml:space="preserve">the last </w:t>
            </w:r>
            <w:r w:rsidR="00E12C45" w:rsidRPr="00A17559">
              <w:rPr>
                <w:color w:val="000000" w:themeColor="text1"/>
                <w:spacing w:val="-7"/>
                <w:lang w:val="en-GB"/>
              </w:rPr>
              <w:t>fifteen years</w:t>
            </w:r>
            <w:r w:rsidR="00513E9D" w:rsidRPr="00A17559">
              <w:rPr>
                <w:color w:val="000000" w:themeColor="text1"/>
                <w:spacing w:val="-7"/>
                <w:lang w:val="en-GB"/>
              </w:rPr>
              <w:t xml:space="preserve">) </w:t>
            </w:r>
            <w:r w:rsidR="00AC4920" w:rsidRPr="00A17559">
              <w:rPr>
                <w:color w:val="000000" w:themeColor="text1"/>
                <w:spacing w:val="-7"/>
                <w:lang w:val="en-GB"/>
              </w:rPr>
              <w:t>concerned primarily coal</w:t>
            </w:r>
            <w:r w:rsidR="00513E9D" w:rsidRPr="00A17559">
              <w:rPr>
                <w:rStyle w:val="Znakapoznpodarou"/>
                <w:color w:val="000000" w:themeColor="text1"/>
                <w:spacing w:val="-7"/>
                <w:lang w:val="en-GB"/>
              </w:rPr>
              <w:footnoteReference w:id="10"/>
            </w:r>
            <w:r w:rsidR="00513E9D" w:rsidRPr="00A17559">
              <w:rPr>
                <w:color w:val="000000" w:themeColor="text1"/>
                <w:spacing w:val="-7"/>
                <w:lang w:val="en-GB"/>
              </w:rPr>
              <w:t>.</w:t>
            </w:r>
            <w:r w:rsidR="00AC4920" w:rsidRPr="00A17559">
              <w:rPr>
                <w:color w:val="000000" w:themeColor="text1"/>
                <w:spacing w:val="-7"/>
                <w:lang w:val="en-GB"/>
              </w:rPr>
              <w:t xml:space="preserve">Output in the wood industry decreased by one tenth this year and thus returned to the level of the first half of year </w:t>
            </w:r>
            <w:r w:rsidR="00513E9D" w:rsidRPr="00A17559">
              <w:rPr>
                <w:color w:val="000000" w:themeColor="text1"/>
                <w:spacing w:val="-7"/>
                <w:lang w:val="en-GB"/>
              </w:rPr>
              <w:t>2016.</w:t>
            </w:r>
            <w:r w:rsidR="00AC4920" w:rsidRPr="00A17559">
              <w:rPr>
                <w:color w:val="000000" w:themeColor="text1"/>
                <w:spacing w:val="-7"/>
                <w:lang w:val="en-GB"/>
              </w:rPr>
              <w:t xml:space="preserve"> In</w:t>
            </w:r>
            <w:r w:rsidR="00E12C45" w:rsidRPr="00A17559">
              <w:rPr>
                <w:color w:val="000000" w:themeColor="text1"/>
                <w:spacing w:val="-7"/>
                <w:lang w:val="en-GB"/>
              </w:rPr>
              <w:t xml:space="preserve"> </w:t>
            </w:r>
            <w:r w:rsidR="00AC4920" w:rsidRPr="00A17559">
              <w:rPr>
                <w:color w:val="000000" w:themeColor="text1"/>
                <w:spacing w:val="-7"/>
                <w:lang w:val="en-GB"/>
              </w:rPr>
              <w:t xml:space="preserve">spite of its low weight, this field </w:t>
            </w:r>
            <w:r w:rsidR="00E12C45" w:rsidRPr="00A17559">
              <w:rPr>
                <w:color w:val="000000" w:themeColor="text1"/>
                <w:spacing w:val="-7"/>
                <w:lang w:val="en-GB"/>
              </w:rPr>
              <w:t xml:space="preserve">worked against the growth </w:t>
            </w:r>
            <w:r w:rsidR="00A120EA" w:rsidRPr="00A17559">
              <w:rPr>
                <w:color w:val="000000" w:themeColor="text1"/>
                <w:spacing w:val="-7"/>
                <w:lang w:val="en-GB"/>
              </w:rPr>
              <w:t xml:space="preserve">of the whole industry the most </w:t>
            </w:r>
            <w:r w:rsidR="0024448D">
              <w:rPr>
                <w:color w:val="000000" w:themeColor="text1"/>
                <w:spacing w:val="-7"/>
                <w:lang w:val="en-GB"/>
              </w:rPr>
              <w:t xml:space="preserve">in H1 2019 </w:t>
            </w:r>
            <w:r w:rsidR="00513E9D" w:rsidRPr="00A17559">
              <w:rPr>
                <w:color w:val="000000" w:themeColor="text1"/>
                <w:spacing w:val="-7"/>
                <w:lang w:val="en-GB"/>
              </w:rPr>
              <w:t>(</w:t>
            </w:r>
            <w:r w:rsidR="00A120EA" w:rsidRPr="00A17559">
              <w:rPr>
                <w:color w:val="000000" w:themeColor="text1"/>
                <w:spacing w:val="-7"/>
                <w:lang w:val="en-GB"/>
              </w:rPr>
              <w:t xml:space="preserve">addition </w:t>
            </w:r>
            <w:r w:rsidR="00513E9D" w:rsidRPr="00A17559">
              <w:rPr>
                <w:spacing w:val="-7"/>
                <w:lang w:val="en-GB"/>
              </w:rPr>
              <w:t>–0</w:t>
            </w:r>
            <w:r w:rsidR="00A120EA" w:rsidRPr="00A17559">
              <w:rPr>
                <w:spacing w:val="-7"/>
                <w:lang w:val="en-GB"/>
              </w:rPr>
              <w:t>.</w:t>
            </w:r>
            <w:r w:rsidR="00513E9D" w:rsidRPr="00A17559">
              <w:rPr>
                <w:spacing w:val="-7"/>
                <w:lang w:val="en-GB"/>
              </w:rPr>
              <w:t>2 p.</w:t>
            </w:r>
            <w:r w:rsidR="00A120EA" w:rsidRPr="00A17559">
              <w:rPr>
                <w:spacing w:val="-7"/>
                <w:lang w:val="en-GB"/>
              </w:rPr>
              <w:t>p</w:t>
            </w:r>
            <w:r w:rsidR="00513E9D" w:rsidRPr="00A17559">
              <w:rPr>
                <w:spacing w:val="-7"/>
                <w:lang w:val="en-GB"/>
              </w:rPr>
              <w:t>.).</w:t>
            </w:r>
          </w:p>
        </w:tc>
      </w:tr>
      <w:tr w:rsidR="00340FD2" w:rsidRPr="00A17559" w:rsidTr="006B5BE0">
        <w:trPr>
          <w:trHeight w:val="170"/>
        </w:trPr>
        <w:tc>
          <w:tcPr>
            <w:tcW w:w="1669" w:type="dxa"/>
            <w:vMerge w:val="restart"/>
            <w:shd w:val="clear" w:color="auto" w:fill="auto"/>
            <w:tcMar>
              <w:left w:w="0" w:type="dxa"/>
            </w:tcMar>
          </w:tcPr>
          <w:p w:rsidR="00513E9D" w:rsidRPr="00A17559" w:rsidRDefault="00513E9D" w:rsidP="00513E9D">
            <w:pPr>
              <w:pStyle w:val="Marginlie"/>
              <w:rPr>
                <w:lang w:val="en-GB"/>
              </w:rPr>
            </w:pPr>
          </w:p>
        </w:tc>
        <w:tc>
          <w:tcPr>
            <w:tcW w:w="180" w:type="dxa"/>
            <w:vMerge w:val="restart"/>
            <w:shd w:val="clear" w:color="auto" w:fill="auto"/>
            <w:tcMar>
              <w:left w:w="0" w:type="dxa"/>
            </w:tcMar>
          </w:tcPr>
          <w:p w:rsidR="00513E9D" w:rsidRPr="00A17559" w:rsidRDefault="00513E9D" w:rsidP="00513E9D">
            <w:pPr>
              <w:pStyle w:val="Textpoznpodarou"/>
              <w:jc w:val="both"/>
              <w:rPr>
                <w:spacing w:val="-4"/>
                <w:lang w:val="en-GB"/>
              </w:rPr>
            </w:pPr>
          </w:p>
        </w:tc>
        <w:tc>
          <w:tcPr>
            <w:tcW w:w="7790" w:type="dxa"/>
            <w:shd w:val="clear" w:color="auto" w:fill="auto"/>
            <w:tcMar>
              <w:left w:w="0" w:type="dxa"/>
            </w:tcMar>
          </w:tcPr>
          <w:p w:rsidR="00513E9D" w:rsidRPr="00A17559" w:rsidRDefault="0096108D" w:rsidP="0096108D">
            <w:pPr>
              <w:spacing w:after="0"/>
              <w:rPr>
                <w:b/>
                <w:spacing w:val="-7"/>
                <w:sz w:val="18"/>
                <w:szCs w:val="18"/>
                <w:lang w:val="en-GB"/>
              </w:rPr>
            </w:pPr>
            <w:r w:rsidRPr="00A17559">
              <w:rPr>
                <w:b/>
                <w:spacing w:val="-7"/>
                <w:lang w:val="en-GB"/>
              </w:rPr>
              <w:t xml:space="preserve">Chart </w:t>
            </w:r>
            <w:r w:rsidR="004E723A">
              <w:rPr>
                <w:b/>
                <w:spacing w:val="-7"/>
                <w:lang w:val="en-GB"/>
              </w:rPr>
              <w:t xml:space="preserve">6 </w:t>
            </w:r>
            <w:r w:rsidR="00393CDD" w:rsidRPr="00A17559">
              <w:rPr>
                <w:b/>
                <w:lang w:val="en-GB"/>
              </w:rPr>
              <w:t>New</w:t>
            </w:r>
            <w:r w:rsidR="00393CDD" w:rsidRPr="00A17559">
              <w:rPr>
                <w:b/>
                <w:spacing w:val="-2"/>
                <w:lang w:val="en-GB"/>
              </w:rPr>
              <w:t xml:space="preserve"> orders in manufacture of motor vehicles, in industry in total </w:t>
            </w:r>
            <w:r w:rsidR="00393CDD" w:rsidRPr="00A17559">
              <w:rPr>
                <w:spacing w:val="-2"/>
                <w:lang w:val="en-GB"/>
              </w:rPr>
              <w:t xml:space="preserve">(in current prices, year-on-year </w:t>
            </w:r>
            <w:r w:rsidR="00F37A39">
              <w:rPr>
                <w:spacing w:val="-2"/>
                <w:lang w:val="en-GB"/>
              </w:rPr>
              <w:t xml:space="preserve">change </w:t>
            </w:r>
            <w:r w:rsidR="00393CDD" w:rsidRPr="00A17559">
              <w:rPr>
                <w:spacing w:val="-2"/>
                <w:lang w:val="en-GB"/>
              </w:rPr>
              <w:t>in %)</w:t>
            </w:r>
            <w:r w:rsidR="00393CDD" w:rsidRPr="00A17559">
              <w:rPr>
                <w:bCs/>
                <w:spacing w:val="-2"/>
                <w:lang w:val="en-GB"/>
              </w:rPr>
              <w:t xml:space="preserve">, </w:t>
            </w:r>
            <w:r w:rsidR="00393CDD" w:rsidRPr="00A17559">
              <w:rPr>
                <w:b/>
                <w:spacing w:val="-2"/>
                <w:lang w:val="en-GB"/>
              </w:rPr>
              <w:t>balance of confidence indicator in industry</w:t>
            </w:r>
            <w:r w:rsidR="00393CDD" w:rsidRPr="00A17559">
              <w:rPr>
                <w:b/>
                <w:spacing w:val="-3"/>
                <w:lang w:val="en-GB"/>
              </w:rPr>
              <w:t xml:space="preserve">* </w:t>
            </w:r>
            <w:r w:rsidR="00393CDD" w:rsidRPr="00A17559">
              <w:rPr>
                <w:spacing w:val="-3"/>
                <w:lang w:val="en-GB"/>
              </w:rPr>
              <w:t xml:space="preserve">(in points) </w:t>
            </w:r>
            <w:r w:rsidR="00393CDD" w:rsidRPr="00A17559">
              <w:rPr>
                <w:b/>
                <w:spacing w:val="-3"/>
                <w:lang w:val="en-GB"/>
              </w:rPr>
              <w:t>and utilisation of pr</w:t>
            </w:r>
            <w:r w:rsidR="00C05DF8">
              <w:rPr>
                <w:b/>
                <w:spacing w:val="-3"/>
                <w:lang w:val="en-GB"/>
              </w:rPr>
              <w:t>oduction capacities in industry</w:t>
            </w:r>
            <w:r w:rsidR="00393CDD" w:rsidRPr="00A17559">
              <w:rPr>
                <w:b/>
                <w:spacing w:val="-3"/>
                <w:lang w:val="en-GB"/>
              </w:rPr>
              <w:t>*</w:t>
            </w:r>
            <w:r w:rsidR="00393CDD" w:rsidRPr="00A17559">
              <w:rPr>
                <w:spacing w:val="-3"/>
                <w:lang w:val="en-GB"/>
              </w:rPr>
              <w:t xml:space="preserve"> (in %)</w:t>
            </w:r>
          </w:p>
        </w:tc>
      </w:tr>
      <w:tr w:rsidR="00340FD2" w:rsidRPr="00A17559" w:rsidTr="006B5BE0">
        <w:tblPrEx>
          <w:tblCellMar>
            <w:left w:w="70" w:type="dxa"/>
            <w:right w:w="70" w:type="dxa"/>
          </w:tblCellMar>
        </w:tblPrEx>
        <w:trPr>
          <w:trHeight w:val="170"/>
        </w:trPr>
        <w:tc>
          <w:tcPr>
            <w:tcW w:w="1669" w:type="dxa"/>
            <w:vMerge/>
            <w:shd w:val="clear" w:color="auto" w:fill="auto"/>
          </w:tcPr>
          <w:p w:rsidR="00513E9D" w:rsidRPr="00A17559" w:rsidRDefault="00513E9D" w:rsidP="00513E9D">
            <w:pPr>
              <w:pStyle w:val="Marginlie"/>
              <w:rPr>
                <w:lang w:val="en-GB"/>
              </w:rPr>
            </w:pPr>
          </w:p>
        </w:tc>
        <w:tc>
          <w:tcPr>
            <w:tcW w:w="180" w:type="dxa"/>
            <w:vMerge/>
            <w:shd w:val="clear" w:color="auto" w:fill="auto"/>
          </w:tcPr>
          <w:p w:rsidR="00513E9D" w:rsidRPr="00A17559" w:rsidRDefault="00513E9D" w:rsidP="00513E9D">
            <w:pPr>
              <w:pStyle w:val="Textpoznpodarou"/>
              <w:jc w:val="both"/>
              <w:rPr>
                <w:spacing w:val="-4"/>
                <w:lang w:val="en-GB"/>
              </w:rPr>
            </w:pPr>
          </w:p>
        </w:tc>
        <w:tc>
          <w:tcPr>
            <w:tcW w:w="7790" w:type="dxa"/>
            <w:shd w:val="clear" w:color="auto" w:fill="auto"/>
          </w:tcPr>
          <w:p w:rsidR="00513E9D" w:rsidRPr="00A17559" w:rsidRDefault="000F253E" w:rsidP="00513E9D">
            <w:pPr>
              <w:spacing w:after="0" w:line="240" w:lineRule="auto"/>
              <w:rPr>
                <w:spacing w:val="-7"/>
                <w:szCs w:val="20"/>
                <w:lang w:val="en-GB"/>
              </w:rPr>
            </w:pPr>
            <w:r>
              <w:rPr>
                <w:noProof/>
              </w:rPr>
              <w:drawing>
                <wp:inline distT="0" distB="0" distL="0" distR="0" wp14:anchorId="15EF9858" wp14:editId="5262157F">
                  <wp:extent cx="4729332" cy="3553200"/>
                  <wp:effectExtent l="0" t="0" r="0" b="0"/>
                  <wp:docPr id="37" name="Graf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340FD2" w:rsidRPr="00A17559" w:rsidTr="006B5BE0">
        <w:trPr>
          <w:trHeight w:val="170"/>
        </w:trPr>
        <w:tc>
          <w:tcPr>
            <w:tcW w:w="1669" w:type="dxa"/>
            <w:vMerge/>
            <w:shd w:val="clear" w:color="auto" w:fill="auto"/>
            <w:tcMar>
              <w:left w:w="0" w:type="dxa"/>
            </w:tcMar>
          </w:tcPr>
          <w:p w:rsidR="00513E9D" w:rsidRPr="00A17559" w:rsidRDefault="00513E9D" w:rsidP="00513E9D">
            <w:pPr>
              <w:pStyle w:val="Marginlie"/>
              <w:rPr>
                <w:lang w:val="en-GB"/>
              </w:rPr>
            </w:pPr>
          </w:p>
        </w:tc>
        <w:tc>
          <w:tcPr>
            <w:tcW w:w="180" w:type="dxa"/>
            <w:vMerge/>
            <w:shd w:val="clear" w:color="auto" w:fill="auto"/>
            <w:tcMar>
              <w:left w:w="0" w:type="dxa"/>
            </w:tcMar>
          </w:tcPr>
          <w:p w:rsidR="00513E9D" w:rsidRPr="00A17559" w:rsidRDefault="00513E9D" w:rsidP="00513E9D">
            <w:pPr>
              <w:pStyle w:val="Textpoznpodarou"/>
              <w:jc w:val="both"/>
              <w:rPr>
                <w:spacing w:val="-4"/>
                <w:lang w:val="en-GB"/>
              </w:rPr>
            </w:pPr>
          </w:p>
        </w:tc>
        <w:tc>
          <w:tcPr>
            <w:tcW w:w="7790" w:type="dxa"/>
            <w:shd w:val="clear" w:color="auto" w:fill="auto"/>
            <w:tcMar>
              <w:left w:w="0" w:type="dxa"/>
            </w:tcMar>
          </w:tcPr>
          <w:p w:rsidR="005845BB" w:rsidRPr="00A17559" w:rsidRDefault="0096108D" w:rsidP="00C05DF8">
            <w:pPr>
              <w:spacing w:after="200"/>
              <w:rPr>
                <w:rFonts w:cs="Arial"/>
                <w:spacing w:val="-7"/>
                <w:sz w:val="14"/>
                <w:szCs w:val="14"/>
                <w:lang w:val="en-GB"/>
              </w:rPr>
            </w:pPr>
            <w:r w:rsidRPr="00A17559">
              <w:rPr>
                <w:rFonts w:cs="Arial"/>
                <w:spacing w:val="-7"/>
                <w:sz w:val="14"/>
                <w:szCs w:val="14"/>
                <w:lang w:val="en-GB"/>
              </w:rPr>
              <w:t>Source</w:t>
            </w:r>
            <w:r w:rsidR="00513E9D" w:rsidRPr="00A17559">
              <w:rPr>
                <w:rFonts w:cs="Arial"/>
                <w:spacing w:val="-7"/>
                <w:sz w:val="14"/>
                <w:szCs w:val="14"/>
                <w:lang w:val="en-GB"/>
              </w:rPr>
              <w:t xml:space="preserve">: </w:t>
            </w:r>
            <w:r w:rsidRPr="00A17559">
              <w:rPr>
                <w:rFonts w:cs="Arial"/>
                <w:spacing w:val="-7"/>
                <w:sz w:val="14"/>
                <w:szCs w:val="14"/>
                <w:lang w:val="en-GB"/>
              </w:rPr>
              <w:t>CZSO</w:t>
            </w:r>
            <w:r w:rsidR="00F37A39">
              <w:rPr>
                <w:rFonts w:cs="Arial"/>
                <w:spacing w:val="-7"/>
                <w:sz w:val="14"/>
                <w:szCs w:val="14"/>
                <w:lang w:val="en-GB"/>
              </w:rPr>
              <w:t xml:space="preserve">                                                                                                                                                                  *Data are seasonally adjusted</w:t>
            </w:r>
          </w:p>
        </w:tc>
      </w:tr>
      <w:tr w:rsidR="00F37A39" w:rsidRPr="00A17559" w:rsidTr="006B5BE0">
        <w:trPr>
          <w:trHeight w:val="145"/>
        </w:trPr>
        <w:tc>
          <w:tcPr>
            <w:tcW w:w="1669" w:type="dxa"/>
            <w:shd w:val="clear" w:color="auto" w:fill="auto"/>
            <w:tcMar>
              <w:left w:w="0" w:type="dxa"/>
            </w:tcMar>
          </w:tcPr>
          <w:p w:rsidR="00F37A39" w:rsidRPr="00A17559" w:rsidRDefault="00F37A39" w:rsidP="00F37A39">
            <w:pPr>
              <w:pStyle w:val="Marginlie"/>
              <w:rPr>
                <w:lang w:val="en-GB"/>
              </w:rPr>
            </w:pPr>
            <w:r w:rsidRPr="00A17559">
              <w:rPr>
                <w:lang w:val="en-GB"/>
              </w:rPr>
              <w:t xml:space="preserve">Rate of growth of domestic sales of industrial businesses exceeded the sales from direct export already third year in a row. </w:t>
            </w:r>
          </w:p>
        </w:tc>
        <w:tc>
          <w:tcPr>
            <w:tcW w:w="180" w:type="dxa"/>
            <w:shd w:val="clear" w:color="auto" w:fill="auto"/>
            <w:tcMar>
              <w:left w:w="0" w:type="dxa"/>
            </w:tcMar>
          </w:tcPr>
          <w:p w:rsidR="00F37A39" w:rsidRPr="00A17559" w:rsidRDefault="00F37A39" w:rsidP="00F37A39">
            <w:pPr>
              <w:pStyle w:val="Textpoznpodarou"/>
              <w:jc w:val="both"/>
              <w:rPr>
                <w:spacing w:val="-4"/>
                <w:lang w:val="en-GB"/>
              </w:rPr>
            </w:pPr>
          </w:p>
        </w:tc>
        <w:tc>
          <w:tcPr>
            <w:tcW w:w="7790" w:type="dxa"/>
            <w:shd w:val="clear" w:color="auto" w:fill="auto"/>
            <w:tcMar>
              <w:left w:w="0" w:type="dxa"/>
            </w:tcMar>
          </w:tcPr>
          <w:p w:rsidR="00F37A39" w:rsidRPr="00A17559" w:rsidRDefault="00F37A39" w:rsidP="00F37A39">
            <w:pPr>
              <w:spacing w:after="200"/>
              <w:rPr>
                <w:color w:val="000000" w:themeColor="text1"/>
                <w:spacing w:val="-7"/>
                <w:lang w:val="en-GB"/>
              </w:rPr>
            </w:pPr>
            <w:r w:rsidRPr="00A17559">
              <w:rPr>
                <w:color w:val="0D0D0D" w:themeColor="text1" w:themeTint="F2"/>
                <w:spacing w:val="-7"/>
                <w:lang w:val="en-GB"/>
              </w:rPr>
              <w:t>Despite weakening dynamics of production, the nominal sales of industrial businesses rose by 3.1% year-on-year in H1 2019 (nearly by 2 p.p. more than in the same period of the last year, when there was even one working day more). They thus clearly pointed to the upward movement of prices in the economy. Similarly to years 2017 and 2018, domestic sales grew faster (+3.8%) than sales from direct export this year. Total sales fell only in four industrial fields, given the more significant, it was the chemical industry (by 1.9%) and metallurgy (by 1.</w:t>
            </w:r>
            <w:r w:rsidR="00F52E3F">
              <w:rPr>
                <w:color w:val="0D0D0D" w:themeColor="text1" w:themeTint="F2"/>
                <w:spacing w:val="-7"/>
                <w:lang w:val="en-GB"/>
              </w:rPr>
              <w:t>4%). On the other hand,</w:t>
            </w:r>
            <w:r w:rsidRPr="00A17559">
              <w:rPr>
                <w:color w:val="0D0D0D" w:themeColor="text1" w:themeTint="F2"/>
                <w:spacing w:val="-7"/>
                <w:lang w:val="en-GB"/>
              </w:rPr>
              <w:t xml:space="preserve"> they increased by more than one tenth e.g. in manufacture of leather or </w:t>
            </w:r>
            <w:r w:rsidRPr="00A17559">
              <w:rPr>
                <w:color w:val="0D0D0D" w:themeColor="text1" w:themeTint="F2"/>
                <w:spacing w:val="-7"/>
                <w:lang w:val="en-GB"/>
              </w:rPr>
              <w:lastRenderedPageBreak/>
              <w:t xml:space="preserve">pharmaceutical industry and in energetics. </w:t>
            </w:r>
          </w:p>
        </w:tc>
      </w:tr>
      <w:tr w:rsidR="00F37A39" w:rsidRPr="00A17559" w:rsidTr="006B5BE0">
        <w:trPr>
          <w:trHeight w:val="145"/>
        </w:trPr>
        <w:tc>
          <w:tcPr>
            <w:tcW w:w="1669" w:type="dxa"/>
            <w:shd w:val="clear" w:color="auto" w:fill="auto"/>
            <w:tcMar>
              <w:left w:w="0" w:type="dxa"/>
            </w:tcMar>
          </w:tcPr>
          <w:p w:rsidR="00F37A39" w:rsidRPr="00A17559" w:rsidRDefault="00F37A39" w:rsidP="00F37A39">
            <w:pPr>
              <w:pStyle w:val="Marginlie"/>
              <w:rPr>
                <w:lang w:val="en-GB"/>
              </w:rPr>
            </w:pPr>
            <w:r w:rsidRPr="00A17559">
              <w:rPr>
                <w:lang w:val="en-GB"/>
              </w:rPr>
              <w:lastRenderedPageBreak/>
              <w:t xml:space="preserve">Value of new domestic orders year-on-year rose in </w:t>
            </w:r>
            <w:r w:rsidR="001C6C7D">
              <w:rPr>
                <w:lang w:val="en-GB"/>
              </w:rPr>
              <w:t>Q2. I</w:t>
            </w:r>
            <w:r w:rsidRPr="00A17559">
              <w:rPr>
                <w:lang w:val="en-GB"/>
              </w:rPr>
              <w:t xml:space="preserve">t stagnated for foreign orders. </w:t>
            </w:r>
          </w:p>
          <w:p w:rsidR="00F37A39" w:rsidRPr="00A17559" w:rsidRDefault="00F37A39" w:rsidP="00F37A39">
            <w:pPr>
              <w:pStyle w:val="Marginlie"/>
              <w:rPr>
                <w:lang w:val="en-GB"/>
              </w:rPr>
            </w:pPr>
          </w:p>
          <w:p w:rsidR="00F37A39" w:rsidRPr="00A17559" w:rsidRDefault="00F37A39" w:rsidP="00F37A39">
            <w:pPr>
              <w:pStyle w:val="Marginlie"/>
              <w:rPr>
                <w:lang w:val="en-GB"/>
              </w:rPr>
            </w:pPr>
          </w:p>
          <w:p w:rsidR="00F37A39" w:rsidRPr="00A17559" w:rsidRDefault="00F37A39" w:rsidP="00F37A39">
            <w:pPr>
              <w:pStyle w:val="Marginlie"/>
              <w:rPr>
                <w:lang w:val="en-GB"/>
              </w:rPr>
            </w:pPr>
            <w:r w:rsidRPr="00A17559">
              <w:rPr>
                <w:lang w:val="en-GB"/>
              </w:rPr>
              <w:t xml:space="preserve">Balance of confidence indicator dropped to nearly six-year minimum, inadequate demand presented the </w:t>
            </w:r>
            <w:r w:rsidR="001C6C7D">
              <w:rPr>
                <w:lang w:val="en-GB"/>
              </w:rPr>
              <w:t xml:space="preserve">again </w:t>
            </w:r>
            <w:r w:rsidRPr="00A17559">
              <w:rPr>
                <w:lang w:val="en-GB"/>
              </w:rPr>
              <w:t xml:space="preserve">main barrier to growth after two years. </w:t>
            </w:r>
          </w:p>
        </w:tc>
        <w:tc>
          <w:tcPr>
            <w:tcW w:w="180" w:type="dxa"/>
            <w:shd w:val="clear" w:color="auto" w:fill="auto"/>
            <w:tcMar>
              <w:left w:w="0" w:type="dxa"/>
            </w:tcMar>
          </w:tcPr>
          <w:p w:rsidR="00F37A39" w:rsidRPr="00A17559" w:rsidRDefault="00F37A39" w:rsidP="00F37A39">
            <w:pPr>
              <w:pStyle w:val="Textpoznpodarou"/>
              <w:jc w:val="both"/>
              <w:rPr>
                <w:spacing w:val="-3"/>
                <w:lang w:val="en-GB"/>
              </w:rPr>
            </w:pPr>
          </w:p>
        </w:tc>
        <w:tc>
          <w:tcPr>
            <w:tcW w:w="7790" w:type="dxa"/>
            <w:shd w:val="clear" w:color="auto" w:fill="auto"/>
            <w:tcMar>
              <w:left w:w="0" w:type="dxa"/>
            </w:tcMar>
          </w:tcPr>
          <w:p w:rsidR="00F37A39" w:rsidRPr="00A17559" w:rsidRDefault="00902A83" w:rsidP="00F37A39">
            <w:pPr>
              <w:pStyle w:val="Textpoznpodarou"/>
              <w:spacing w:after="200" w:line="276" w:lineRule="auto"/>
              <w:jc w:val="both"/>
              <w:rPr>
                <w:color w:val="0D0D0D" w:themeColor="text1" w:themeTint="F2"/>
                <w:spacing w:val="-7"/>
                <w:lang w:val="en-GB"/>
              </w:rPr>
            </w:pPr>
            <w:r>
              <w:rPr>
                <w:color w:val="0D0D0D" w:themeColor="text1" w:themeTint="F2"/>
                <w:spacing w:val="-7"/>
                <w:lang w:val="en-GB"/>
              </w:rPr>
              <w:t>Prospects of the</w:t>
            </w:r>
            <w:r w:rsidR="00F37A39" w:rsidRPr="00A17559">
              <w:rPr>
                <w:color w:val="0D0D0D" w:themeColor="text1" w:themeTint="F2"/>
                <w:spacing w:val="-7"/>
                <w:lang w:val="en-GB"/>
              </w:rPr>
              <w:t xml:space="preserve"> industry </w:t>
            </w:r>
            <w:r>
              <w:rPr>
                <w:color w:val="0D0D0D" w:themeColor="text1" w:themeTint="F2"/>
                <w:spacing w:val="-7"/>
                <w:lang w:val="en-GB"/>
              </w:rPr>
              <w:t xml:space="preserve">in the CR </w:t>
            </w:r>
            <w:r w:rsidR="00F37A39" w:rsidRPr="00A17559">
              <w:rPr>
                <w:color w:val="0D0D0D" w:themeColor="text1" w:themeTint="F2"/>
                <w:spacing w:val="-7"/>
                <w:lang w:val="en-GB"/>
              </w:rPr>
              <w:t>towards the second half of year 2019 remain full of contradictions. On one hand, the moderate growth of the value of new orders persists</w:t>
            </w:r>
            <w:r w:rsidR="00F37A39" w:rsidRPr="00A17559">
              <w:rPr>
                <w:rStyle w:val="Znakapoznpodarou"/>
                <w:spacing w:val="-7"/>
                <w:lang w:val="en-GB"/>
              </w:rPr>
              <w:footnoteReference w:id="11"/>
            </w:r>
            <w:r w:rsidR="00F37A39" w:rsidRPr="00A17559">
              <w:rPr>
                <w:color w:val="0D0D0D" w:themeColor="text1" w:themeTint="F2"/>
                <w:spacing w:val="-7"/>
                <w:lang w:val="en-GB"/>
              </w:rPr>
              <w:t>. It reached 1.7%</w:t>
            </w:r>
            <w:r w:rsidR="00F37A39" w:rsidRPr="00A17559">
              <w:rPr>
                <w:rStyle w:val="Znakapoznpodarou"/>
                <w:spacing w:val="-7"/>
                <w:lang w:val="en-GB"/>
              </w:rPr>
              <w:footnoteReference w:id="12"/>
            </w:r>
            <w:r w:rsidR="00F37A39" w:rsidRPr="00A17559">
              <w:rPr>
                <w:color w:val="0D0D0D" w:themeColor="text1" w:themeTint="F2"/>
                <w:spacing w:val="-7"/>
                <w:lang w:val="en-GB"/>
              </w:rPr>
              <w:t xml:space="preserve"> year-on-year in Q2, if only thanks to the domestic orders (+5.0%). Further motor vehicle industry, incl. its closest sub-suppliers signalled a mild growth of demand. Significant branches – machinery, manufacture of metal products or chemical industry - were however in the opposite situation. Utilisation of current production capacities </w:t>
            </w:r>
            <w:r w:rsidR="001C6C7D">
              <w:rPr>
                <w:color w:val="0D0D0D" w:themeColor="text1" w:themeTint="F2"/>
                <w:spacing w:val="-7"/>
                <w:lang w:val="en-GB"/>
              </w:rPr>
              <w:t xml:space="preserve">in whole industry </w:t>
            </w:r>
            <w:r w:rsidR="00F37A39" w:rsidRPr="00A17559">
              <w:rPr>
                <w:color w:val="0D0D0D" w:themeColor="text1" w:themeTint="F2"/>
                <w:spacing w:val="-7"/>
                <w:lang w:val="en-GB"/>
              </w:rPr>
              <w:t xml:space="preserve">remained high (86%). Seasonally adjusted balance of the confidence indicator in industry descended into the negative band after more than five years at the beginning of year </w:t>
            </w:r>
            <w:r w:rsidR="00F37A39" w:rsidRPr="00A17559">
              <w:rPr>
                <w:rFonts w:cs="Arial"/>
                <w:color w:val="0D0D0D" w:themeColor="text1" w:themeTint="F2"/>
                <w:spacing w:val="-7"/>
                <w:lang w:val="en-GB"/>
              </w:rPr>
              <w:t>2019 and</w:t>
            </w:r>
            <w:r w:rsidR="00F37A39" w:rsidRPr="00A17559">
              <w:rPr>
                <w:spacing w:val="-7"/>
                <w:lang w:val="en-GB"/>
              </w:rPr>
              <w:t> the subtle pessimism further deepened in Q</w:t>
            </w:r>
            <w:r w:rsidR="00F37A39" w:rsidRPr="00A17559">
              <w:rPr>
                <w:rFonts w:cs="Arial"/>
                <w:color w:val="0D0D0D" w:themeColor="text1" w:themeTint="F2"/>
                <w:spacing w:val="-7"/>
                <w:lang w:val="en-GB"/>
              </w:rPr>
              <w:t xml:space="preserve">2 (to </w:t>
            </w:r>
            <w:r w:rsidR="00F37A39" w:rsidRPr="00A17559">
              <w:rPr>
                <w:color w:val="0D0D0D" w:themeColor="text1" w:themeTint="F2"/>
                <w:spacing w:val="-7"/>
                <w:lang w:val="en-GB"/>
              </w:rPr>
              <w:t>–3.0 points in June)</w:t>
            </w:r>
            <w:r w:rsidR="00F37A39" w:rsidRPr="00A17559">
              <w:rPr>
                <w:rFonts w:cs="Arial"/>
                <w:color w:val="0D0D0D" w:themeColor="text1" w:themeTint="F2"/>
                <w:spacing w:val="-7"/>
                <w:lang w:val="en-GB"/>
              </w:rPr>
              <w:t>. Given the main barriers to growth, weight increased for inadequate demand (from 33% in Q4 2018 to 40% at the beginning of Q3 2019) and the role of labour force shortage diminished (from 45% to 39%)</w:t>
            </w:r>
            <w:r w:rsidR="00F37A39" w:rsidRPr="00A17559">
              <w:rPr>
                <w:rStyle w:val="Znakapoznpodarou"/>
                <w:spacing w:val="-7"/>
                <w:lang w:val="en-GB"/>
              </w:rPr>
              <w:footnoteReference w:id="13"/>
            </w:r>
            <w:r w:rsidR="00F37A39" w:rsidRPr="00A17559">
              <w:rPr>
                <w:rFonts w:cs="Arial"/>
                <w:color w:val="0D0D0D" w:themeColor="text1" w:themeTint="F2"/>
                <w:spacing w:val="-7"/>
                <w:lang w:val="en-GB"/>
              </w:rPr>
              <w:t>. Businesses also face more the lack of material since half of year 2018. One fifth of businesses on the other hand did not id</w:t>
            </w:r>
            <w:r w:rsidR="001C6C7D">
              <w:rPr>
                <w:rFonts w:cs="Arial"/>
                <w:color w:val="0D0D0D" w:themeColor="text1" w:themeTint="F2"/>
                <w:spacing w:val="-7"/>
                <w:lang w:val="en-GB"/>
              </w:rPr>
              <w:t>entify any significant barriers</w:t>
            </w:r>
            <w:r w:rsidR="00F37A39" w:rsidRPr="00A17559">
              <w:rPr>
                <w:rFonts w:cs="Arial"/>
                <w:color w:val="0D0D0D" w:themeColor="text1" w:themeTint="F2"/>
                <w:spacing w:val="-7"/>
                <w:lang w:val="en-GB"/>
              </w:rPr>
              <w:t>.</w:t>
            </w:r>
          </w:p>
        </w:tc>
      </w:tr>
      <w:tr w:rsidR="00F37A39" w:rsidRPr="00A17559" w:rsidTr="006B5BE0">
        <w:trPr>
          <w:trHeight w:val="145"/>
        </w:trPr>
        <w:tc>
          <w:tcPr>
            <w:tcW w:w="1669" w:type="dxa"/>
            <w:shd w:val="clear" w:color="auto" w:fill="auto"/>
            <w:tcMar>
              <w:left w:w="0" w:type="dxa"/>
            </w:tcMar>
          </w:tcPr>
          <w:p w:rsidR="00F37A39" w:rsidRPr="00A17559" w:rsidRDefault="00F37A39" w:rsidP="00F37A39">
            <w:pPr>
              <w:pStyle w:val="Marginlie"/>
              <w:rPr>
                <w:lang w:val="en-GB"/>
              </w:rPr>
            </w:pPr>
            <w:r w:rsidRPr="00A17559">
              <w:rPr>
                <w:lang w:val="en-GB"/>
              </w:rPr>
              <w:t>Growth of construction output grew already third year in a row. The warm weather had an effect as well as strengthening</w:t>
            </w:r>
            <w:r w:rsidR="00D0332D">
              <w:rPr>
                <w:lang w:val="en-GB"/>
              </w:rPr>
              <w:t xml:space="preserve"> of public investment o</w:t>
            </w:r>
            <w:r w:rsidRPr="00A17559">
              <w:rPr>
                <w:lang w:val="en-GB"/>
              </w:rPr>
              <w:t xml:space="preserve">n infrastructure projects. </w:t>
            </w:r>
          </w:p>
        </w:tc>
        <w:tc>
          <w:tcPr>
            <w:tcW w:w="180" w:type="dxa"/>
            <w:shd w:val="clear" w:color="auto" w:fill="auto"/>
            <w:tcMar>
              <w:left w:w="0" w:type="dxa"/>
            </w:tcMar>
          </w:tcPr>
          <w:p w:rsidR="00F37A39" w:rsidRPr="00A17559" w:rsidRDefault="00F37A39" w:rsidP="00F37A39">
            <w:pPr>
              <w:pStyle w:val="Textpoznpodarou"/>
              <w:jc w:val="both"/>
              <w:rPr>
                <w:spacing w:val="-3"/>
                <w:lang w:val="en-GB"/>
              </w:rPr>
            </w:pPr>
          </w:p>
        </w:tc>
        <w:tc>
          <w:tcPr>
            <w:tcW w:w="7790" w:type="dxa"/>
            <w:shd w:val="clear" w:color="auto" w:fill="auto"/>
            <w:tcMar>
              <w:left w:w="0" w:type="dxa"/>
            </w:tcMar>
          </w:tcPr>
          <w:p w:rsidR="00F37A39" w:rsidRPr="00A17559" w:rsidRDefault="00F37A39" w:rsidP="00F37A39">
            <w:pPr>
              <w:pStyle w:val="Textpoznpodarou"/>
              <w:spacing w:after="200" w:line="276" w:lineRule="auto"/>
              <w:jc w:val="both"/>
              <w:rPr>
                <w:color w:val="0D0D0D" w:themeColor="text1" w:themeTint="F2"/>
                <w:spacing w:val="-7"/>
                <w:lang w:val="en-GB"/>
              </w:rPr>
            </w:pPr>
            <w:r w:rsidRPr="00A17559">
              <w:rPr>
                <w:color w:val="0D0D0D" w:themeColor="text1" w:themeTint="F2"/>
                <w:spacing w:val="-7"/>
                <w:lang w:val="en-GB"/>
              </w:rPr>
              <w:t>Growth of construction output</w:t>
            </w:r>
            <w:r w:rsidRPr="00A17559">
              <w:rPr>
                <w:rStyle w:val="Znakapoznpodarou"/>
                <w:spacing w:val="-7"/>
                <w:lang w:val="en-GB"/>
              </w:rPr>
              <w:footnoteReference w:id="14"/>
            </w:r>
            <w:r w:rsidRPr="00A17559">
              <w:rPr>
                <w:spacing w:val="-7"/>
                <w:lang w:val="en-GB"/>
              </w:rPr>
              <w:t xml:space="preserve"> slackened this year following the strong last year, nevertheless it continued for the third year in a row. It attained 3.4%</w:t>
            </w:r>
            <w:r w:rsidRPr="00A17559">
              <w:rPr>
                <w:rStyle w:val="Znakapoznpodarou"/>
                <w:spacing w:val="-7"/>
                <w:lang w:val="en-GB"/>
              </w:rPr>
              <w:footnoteReference w:id="15"/>
            </w:r>
            <w:r w:rsidRPr="00A17559">
              <w:rPr>
                <w:spacing w:val="-7"/>
                <w:lang w:val="en-GB"/>
              </w:rPr>
              <w:t xml:space="preserve"> year-on-year in H1, also assisted by a swift entrance into this year </w:t>
            </w:r>
            <w:r w:rsidRPr="00A17559">
              <w:rPr>
                <w:color w:val="0D0D0D" w:themeColor="text1" w:themeTint="F2"/>
                <w:spacing w:val="-7"/>
                <w:lang w:val="en-GB"/>
              </w:rPr>
              <w:t xml:space="preserve">– output increased nearly by 4% quarter-on-quarter for the first three months, when the warmer weather also fuelled the faster take-off of construction works. Further positive effect also originated from higher public investments connected to the faster drawing on funds from the EU budget, as well as a gradual expansion of residential construction. Despite weaker dynamics </w:t>
            </w:r>
            <w:r w:rsidRPr="00A17559">
              <w:rPr>
                <w:spacing w:val="-7"/>
                <w:lang w:val="en-GB"/>
              </w:rPr>
              <w:t>(+2.6%), weight dominant building construction added to growth of total construction production approximately by one half more than civil engineering construction (+6.2%) in H1.</w:t>
            </w:r>
          </w:p>
        </w:tc>
      </w:tr>
      <w:tr w:rsidR="00422629" w:rsidRPr="00A17559" w:rsidTr="006B5BE0">
        <w:trPr>
          <w:trHeight w:val="145"/>
        </w:trPr>
        <w:tc>
          <w:tcPr>
            <w:tcW w:w="1669" w:type="dxa"/>
            <w:shd w:val="clear" w:color="auto" w:fill="auto"/>
            <w:tcMar>
              <w:left w:w="0" w:type="dxa"/>
            </w:tcMar>
          </w:tcPr>
          <w:p w:rsidR="00422629" w:rsidRPr="00A17559" w:rsidRDefault="00422629" w:rsidP="00422629">
            <w:pPr>
              <w:pStyle w:val="Marginlie"/>
              <w:rPr>
                <w:color w:val="0D0D0D" w:themeColor="text1" w:themeTint="F2"/>
                <w:spacing w:val="-4"/>
                <w:lang w:val="en-GB"/>
              </w:rPr>
            </w:pPr>
            <w:r w:rsidRPr="00A17559">
              <w:rPr>
                <w:lang w:val="en-GB"/>
              </w:rPr>
              <w:t>Brisk growth of volume of started residential construction continued already third year in a row. Numbe</w:t>
            </w:r>
            <w:r w:rsidR="001D6E96">
              <w:rPr>
                <w:lang w:val="en-GB"/>
              </w:rPr>
              <w:t>r of flats in multi-dwelling buildings</w:t>
            </w:r>
            <w:r w:rsidRPr="00A17559">
              <w:rPr>
                <w:lang w:val="en-GB"/>
              </w:rPr>
              <w:t xml:space="preserve"> hit the highest value since the end of year </w:t>
            </w:r>
            <w:r w:rsidRPr="00A17559">
              <w:rPr>
                <w:color w:val="0D0D0D" w:themeColor="text1" w:themeTint="F2"/>
                <w:spacing w:val="-4"/>
                <w:lang w:val="en-GB"/>
              </w:rPr>
              <w:t>2008.</w:t>
            </w:r>
          </w:p>
        </w:tc>
        <w:tc>
          <w:tcPr>
            <w:tcW w:w="180" w:type="dxa"/>
            <w:shd w:val="clear" w:color="auto" w:fill="auto"/>
            <w:tcMar>
              <w:left w:w="0" w:type="dxa"/>
            </w:tcMar>
          </w:tcPr>
          <w:p w:rsidR="00422629" w:rsidRPr="00A17559" w:rsidRDefault="00422629" w:rsidP="00422629">
            <w:pPr>
              <w:pStyle w:val="Textpoznpodarou"/>
              <w:jc w:val="both"/>
              <w:rPr>
                <w:spacing w:val="-4"/>
                <w:lang w:val="en-GB"/>
              </w:rPr>
            </w:pPr>
          </w:p>
        </w:tc>
        <w:tc>
          <w:tcPr>
            <w:tcW w:w="7790" w:type="dxa"/>
            <w:shd w:val="clear" w:color="auto" w:fill="auto"/>
            <w:tcMar>
              <w:left w:w="0" w:type="dxa"/>
            </w:tcMar>
          </w:tcPr>
          <w:p w:rsidR="00422629" w:rsidRPr="00A17559" w:rsidRDefault="00422629" w:rsidP="00422629">
            <w:pPr>
              <w:spacing w:after="200"/>
              <w:rPr>
                <w:color w:val="0D0D0D" w:themeColor="text1" w:themeTint="F2"/>
                <w:spacing w:val="-7"/>
                <w:szCs w:val="20"/>
                <w:lang w:val="en-GB"/>
              </w:rPr>
            </w:pPr>
            <w:r w:rsidRPr="00A17559">
              <w:rPr>
                <w:color w:val="0D0D0D" w:themeColor="text1" w:themeTint="F2"/>
                <w:spacing w:val="-7"/>
                <w:szCs w:val="20"/>
                <w:lang w:val="en-GB"/>
              </w:rPr>
              <w:t>It is also evident from the building construction performance, that the residential construction is gaining strength, thus gradually reacting to the longstanding strong demand in this area. Number of started dwellings was by 15.4% year-on-year higher in H1. It recorded a notable growth for the same time period already third year in a row. This year´s construction volume  (19.1 thousand</w:t>
            </w:r>
            <w:r w:rsidR="00E375EC">
              <w:rPr>
                <w:color w:val="0D0D0D" w:themeColor="text1" w:themeTint="F2"/>
                <w:spacing w:val="-7"/>
                <w:szCs w:val="20"/>
                <w:lang w:val="en-GB"/>
              </w:rPr>
              <w:t xml:space="preserve"> flats</w:t>
            </w:r>
            <w:r w:rsidRPr="00A17559">
              <w:rPr>
                <w:color w:val="0D0D0D" w:themeColor="text1" w:themeTint="F2"/>
                <w:spacing w:val="-7"/>
                <w:szCs w:val="20"/>
                <w:lang w:val="en-GB"/>
              </w:rPr>
              <w:t>) thus already notably approached the so far record value for the same part of the year 2008 (21.9 thousand). Year-on-year expansion of started dwellings manifested in all main types of construction apart from the peripheral segments of non-residential buildings and reconstructed non-residential premises</w:t>
            </w:r>
            <w:r w:rsidRPr="00A17559">
              <w:rPr>
                <w:rStyle w:val="Znakapoznpodarou"/>
                <w:spacing w:val="-7"/>
                <w:lang w:val="en-GB"/>
              </w:rPr>
              <w:footnoteReference w:id="16"/>
            </w:r>
            <w:r w:rsidRPr="00A17559">
              <w:rPr>
                <w:color w:val="0D0D0D" w:themeColor="text1" w:themeTint="F2"/>
                <w:spacing w:val="-7"/>
                <w:szCs w:val="20"/>
                <w:lang w:val="en-GB"/>
              </w:rPr>
              <w:t xml:space="preserve">. The largest increase </w:t>
            </w:r>
            <w:r w:rsidR="001D6E96">
              <w:rPr>
                <w:color w:val="0D0D0D" w:themeColor="text1" w:themeTint="F2"/>
                <w:spacing w:val="-7"/>
                <w:szCs w:val="20"/>
                <w:lang w:val="en-GB"/>
              </w:rPr>
              <w:t>of flats occurred in multi-dwelling</w:t>
            </w:r>
            <w:r w:rsidRPr="00A17559">
              <w:rPr>
                <w:color w:val="0D0D0D" w:themeColor="text1" w:themeTint="F2"/>
                <w:spacing w:val="-7"/>
                <w:szCs w:val="20"/>
                <w:lang w:val="en-GB"/>
              </w:rPr>
              <w:t xml:space="preserve"> buildings (+59%), </w:t>
            </w:r>
            <w:r w:rsidR="001D6E96">
              <w:rPr>
                <w:color w:val="0D0D0D" w:themeColor="text1" w:themeTint="F2"/>
                <w:spacing w:val="-7"/>
                <w:szCs w:val="20"/>
                <w:lang w:val="en-GB"/>
              </w:rPr>
              <w:t>construction</w:t>
            </w:r>
            <w:r w:rsidRPr="00A17559">
              <w:rPr>
                <w:color w:val="0D0D0D" w:themeColor="text1" w:themeTint="F2"/>
                <w:spacing w:val="-7"/>
                <w:szCs w:val="20"/>
                <w:lang w:val="en-GB"/>
              </w:rPr>
              <w:t xml:space="preserve"> reached the eleven year maximum here (6.0 thousand</w:t>
            </w:r>
            <w:r w:rsidR="0070798D">
              <w:rPr>
                <w:color w:val="0D0D0D" w:themeColor="text1" w:themeTint="F2"/>
                <w:spacing w:val="-7"/>
                <w:szCs w:val="20"/>
                <w:lang w:val="en-GB"/>
              </w:rPr>
              <w:t xml:space="preserve"> flats</w:t>
            </w:r>
            <w:r w:rsidRPr="00A17559">
              <w:rPr>
                <w:color w:val="0D0D0D" w:themeColor="text1" w:themeTint="F2"/>
                <w:spacing w:val="-7"/>
                <w:szCs w:val="20"/>
                <w:lang w:val="en-GB"/>
              </w:rPr>
              <w:t>). Even though in the regional view, Prague contributed the most to the year-on-year growth in H1 and volume of commenced construction hit the four-year maximum here (2.5 thousand.), it still lagged behind the increase in populatio</w:t>
            </w:r>
            <w:r w:rsidR="001D6E96">
              <w:rPr>
                <w:color w:val="0D0D0D" w:themeColor="text1" w:themeTint="F2"/>
                <w:spacing w:val="-7"/>
                <w:szCs w:val="20"/>
                <w:lang w:val="en-GB"/>
              </w:rPr>
              <w:t>n as well as job opportunities in Prague.</w:t>
            </w:r>
          </w:p>
        </w:tc>
      </w:tr>
      <w:tr w:rsidR="006B5BE0" w:rsidRPr="00A17559" w:rsidTr="006B5BE0">
        <w:trPr>
          <w:trHeight w:val="145"/>
        </w:trPr>
        <w:tc>
          <w:tcPr>
            <w:tcW w:w="1669" w:type="dxa"/>
            <w:shd w:val="clear" w:color="auto" w:fill="auto"/>
            <w:tcMar>
              <w:left w:w="0" w:type="dxa"/>
            </w:tcMar>
          </w:tcPr>
          <w:p w:rsidR="006B5BE0" w:rsidRPr="00A17559" w:rsidRDefault="006B5BE0" w:rsidP="006B5BE0">
            <w:pPr>
              <w:pStyle w:val="Marginlie"/>
              <w:rPr>
                <w:lang w:val="en-GB"/>
              </w:rPr>
            </w:pPr>
            <w:r w:rsidRPr="00A17559">
              <w:rPr>
                <w:lang w:val="en-GB"/>
              </w:rPr>
              <w:t xml:space="preserve">Growth of new construction orders due to the high last year´s </w:t>
            </w:r>
            <w:r w:rsidRPr="00A17559">
              <w:rPr>
                <w:lang w:val="en-GB"/>
              </w:rPr>
              <w:lastRenderedPageBreak/>
              <w:t xml:space="preserve">basis halted in Q2. Total stock of work however expanded, mostly thanks to public orders. </w:t>
            </w:r>
          </w:p>
          <w:p w:rsidR="006B5BE0" w:rsidRPr="00A17559" w:rsidRDefault="006B5BE0" w:rsidP="006B5BE0">
            <w:pPr>
              <w:pStyle w:val="Marginlie"/>
              <w:rPr>
                <w:lang w:val="en-GB"/>
              </w:rPr>
            </w:pPr>
          </w:p>
          <w:p w:rsidR="006B5BE0" w:rsidRPr="00A17559" w:rsidRDefault="006B5BE0" w:rsidP="006B5BE0">
            <w:pPr>
              <w:pStyle w:val="Marginlie"/>
              <w:rPr>
                <w:lang w:val="en-GB"/>
              </w:rPr>
            </w:pPr>
          </w:p>
          <w:p w:rsidR="006B5BE0" w:rsidRPr="00A17559" w:rsidRDefault="006B5BE0" w:rsidP="006B5BE0">
            <w:pPr>
              <w:pStyle w:val="Marginlie"/>
              <w:rPr>
                <w:lang w:val="en-GB"/>
              </w:rPr>
            </w:pPr>
          </w:p>
          <w:p w:rsidR="006B5BE0" w:rsidRPr="00A17559" w:rsidRDefault="006B5BE0" w:rsidP="006B5BE0">
            <w:pPr>
              <w:pStyle w:val="Marginlie"/>
              <w:rPr>
                <w:lang w:val="en-GB"/>
              </w:rPr>
            </w:pPr>
            <w:r w:rsidRPr="00A17559">
              <w:rPr>
                <w:color w:val="0D0D0D" w:themeColor="text1" w:themeTint="F2"/>
                <w:spacing w:val="-4"/>
                <w:lang w:val="en-GB"/>
              </w:rPr>
              <w:t xml:space="preserve">Entrepreneur sentiment in construction stayed mildly positive. Highly busy construction  firms were however considerably troubled by a shortage of labour force. </w:t>
            </w:r>
          </w:p>
          <w:p w:rsidR="006B5BE0" w:rsidRPr="00A17559" w:rsidRDefault="006B5BE0" w:rsidP="006B5BE0">
            <w:pPr>
              <w:pStyle w:val="Marginlie"/>
              <w:rPr>
                <w:lang w:val="en-GB"/>
              </w:rPr>
            </w:pPr>
          </w:p>
        </w:tc>
        <w:tc>
          <w:tcPr>
            <w:tcW w:w="180" w:type="dxa"/>
            <w:shd w:val="clear" w:color="auto" w:fill="auto"/>
            <w:tcMar>
              <w:left w:w="0" w:type="dxa"/>
            </w:tcMar>
          </w:tcPr>
          <w:p w:rsidR="006B5BE0" w:rsidRPr="00A17559" w:rsidRDefault="006B5BE0" w:rsidP="006B5BE0">
            <w:pPr>
              <w:pStyle w:val="Textpoznpodarou"/>
              <w:jc w:val="both"/>
              <w:rPr>
                <w:spacing w:val="-4"/>
                <w:lang w:val="en-GB"/>
              </w:rPr>
            </w:pPr>
          </w:p>
        </w:tc>
        <w:tc>
          <w:tcPr>
            <w:tcW w:w="7790" w:type="dxa"/>
            <w:shd w:val="clear" w:color="auto" w:fill="auto"/>
            <w:tcMar>
              <w:left w:w="0" w:type="dxa"/>
            </w:tcMar>
          </w:tcPr>
          <w:p w:rsidR="006B5BE0" w:rsidRPr="00A17559" w:rsidRDefault="006B5BE0" w:rsidP="006B5BE0">
            <w:pPr>
              <w:spacing w:after="200"/>
              <w:rPr>
                <w:color w:val="0D0D0D" w:themeColor="text1" w:themeTint="F2"/>
                <w:spacing w:val="-7"/>
                <w:szCs w:val="20"/>
                <w:lang w:val="en-GB"/>
              </w:rPr>
            </w:pPr>
            <w:r w:rsidRPr="00A17559">
              <w:rPr>
                <w:spacing w:val="-7"/>
                <w:lang w:val="en-GB"/>
              </w:rPr>
              <w:t xml:space="preserve">Short-term prospects of construction remain positive, despite the fact, that the value of </w:t>
            </w:r>
            <w:r>
              <w:rPr>
                <w:spacing w:val="-7"/>
                <w:lang w:val="en-GB"/>
              </w:rPr>
              <w:t xml:space="preserve">new </w:t>
            </w:r>
            <w:r w:rsidRPr="00A17559">
              <w:rPr>
                <w:spacing w:val="-7"/>
                <w:lang w:val="en-GB"/>
              </w:rPr>
              <w:t xml:space="preserve">domestic orders (for businesses with </w:t>
            </w:r>
            <w:r w:rsidRPr="00A17559">
              <w:rPr>
                <w:rFonts w:cs="Arial"/>
                <w:spacing w:val="-7"/>
                <w:szCs w:val="20"/>
                <w:lang w:val="en-GB"/>
              </w:rPr>
              <w:t xml:space="preserve">50 employees and more) fell by one tenth year-on-year in Q2 2019 (by similar pace in both building and civil engineering construction). This development </w:t>
            </w:r>
            <w:r w:rsidRPr="00A17559">
              <w:rPr>
                <w:rFonts w:cs="Arial"/>
                <w:spacing w:val="-7"/>
                <w:szCs w:val="20"/>
                <w:lang w:val="en-GB"/>
              </w:rPr>
              <w:lastRenderedPageBreak/>
              <w:t>was however primarily affected by high comparative basis</w:t>
            </w:r>
            <w:r w:rsidRPr="00A17559">
              <w:rPr>
                <w:rStyle w:val="Znakapoznpodarou"/>
                <w:spacing w:val="-7"/>
                <w:lang w:val="en-GB"/>
              </w:rPr>
              <w:footnoteReference w:id="17"/>
            </w:r>
            <w:r w:rsidRPr="00A17559">
              <w:rPr>
                <w:rFonts w:cs="Arial"/>
                <w:spacing w:val="-7"/>
                <w:szCs w:val="20"/>
                <w:lang w:val="en-GB"/>
              </w:rPr>
              <w:t xml:space="preserve">. The volume of new construction orders stagnated during the whole half-year (given a mild growth in the civil engineering construction). Development and modernisations </w:t>
            </w:r>
            <w:r>
              <w:rPr>
                <w:rFonts w:cs="Arial"/>
                <w:spacing w:val="-7"/>
                <w:szCs w:val="20"/>
                <w:lang w:val="en-GB"/>
              </w:rPr>
              <w:t xml:space="preserve">of transport infrastructure </w:t>
            </w:r>
            <w:r w:rsidRPr="00A17559">
              <w:rPr>
                <w:rFonts w:cs="Arial"/>
                <w:spacing w:val="-7"/>
                <w:szCs w:val="20"/>
                <w:lang w:val="en-GB"/>
              </w:rPr>
              <w:t>were also the cause for larger projects to eventuate</w:t>
            </w:r>
            <w:r w:rsidRPr="00A17559">
              <w:rPr>
                <w:color w:val="0D0D0D" w:themeColor="text1" w:themeTint="F2"/>
                <w:spacing w:val="-7"/>
                <w:szCs w:val="20"/>
                <w:lang w:val="en-GB"/>
              </w:rPr>
              <w:t>, average size of new order grew third year in a row (to half-year 4.3 CZK mil</w:t>
            </w:r>
            <w:r w:rsidRPr="00A17559">
              <w:rPr>
                <w:rStyle w:val="Znakapoznpodarou"/>
                <w:spacing w:val="-7"/>
                <w:lang w:val="en-GB"/>
              </w:rPr>
              <w:footnoteReference w:id="18"/>
            </w:r>
            <w:r w:rsidRPr="00A17559">
              <w:rPr>
                <w:color w:val="0D0D0D" w:themeColor="text1" w:themeTint="F2"/>
                <w:spacing w:val="-7"/>
                <w:szCs w:val="20"/>
                <w:lang w:val="en-GB"/>
              </w:rPr>
              <w:t xml:space="preserve">). Total stock of </w:t>
            </w:r>
            <w:r>
              <w:rPr>
                <w:color w:val="0D0D0D" w:themeColor="text1" w:themeTint="F2"/>
                <w:spacing w:val="-7"/>
                <w:szCs w:val="20"/>
                <w:lang w:val="en-GB"/>
              </w:rPr>
              <w:t xml:space="preserve">construction </w:t>
            </w:r>
            <w:r w:rsidRPr="00A17559">
              <w:rPr>
                <w:color w:val="0D0D0D" w:themeColor="text1" w:themeTint="F2"/>
                <w:spacing w:val="-7"/>
                <w:szCs w:val="20"/>
                <w:lang w:val="en-GB"/>
              </w:rPr>
              <w:t>work also strengthened year-on-year (not yet realised orders) – by 7% to 184 CZK bn (according to the figure at the end of June</w:t>
            </w:r>
            <w:r>
              <w:rPr>
                <w:color w:val="0D0D0D" w:themeColor="text1" w:themeTint="F2"/>
                <w:spacing w:val="-7"/>
                <w:szCs w:val="20"/>
                <w:lang w:val="en-GB"/>
              </w:rPr>
              <w:t>).</w:t>
            </w:r>
            <w:r w:rsidRPr="00A17559">
              <w:rPr>
                <w:color w:val="0D0D0D" w:themeColor="text1" w:themeTint="F2"/>
                <w:spacing w:val="-7"/>
                <w:szCs w:val="20"/>
                <w:lang w:val="en-GB"/>
              </w:rPr>
              <w:t xml:space="preserve"> </w:t>
            </w:r>
            <w:r>
              <w:rPr>
                <w:color w:val="0D0D0D" w:themeColor="text1" w:themeTint="F2"/>
                <w:spacing w:val="-7"/>
                <w:szCs w:val="20"/>
                <w:lang w:val="en-GB"/>
              </w:rPr>
              <w:t>This was a result of the growth in</w:t>
            </w:r>
            <w:r w:rsidRPr="00A17559">
              <w:rPr>
                <w:color w:val="0D0D0D" w:themeColor="text1" w:themeTint="F2"/>
                <w:spacing w:val="-7"/>
                <w:szCs w:val="20"/>
                <w:lang w:val="en-GB"/>
              </w:rPr>
              <w:t xml:space="preserve"> public orders</w:t>
            </w:r>
            <w:r>
              <w:rPr>
                <w:color w:val="0D0D0D" w:themeColor="text1" w:themeTint="F2"/>
                <w:spacing w:val="-7"/>
                <w:szCs w:val="20"/>
                <w:lang w:val="en-GB"/>
              </w:rPr>
              <w:t xml:space="preserve"> – they</w:t>
            </w:r>
            <w:r w:rsidRPr="00A17559">
              <w:rPr>
                <w:color w:val="0D0D0D" w:themeColor="text1" w:themeTint="F2"/>
                <w:spacing w:val="-7"/>
                <w:szCs w:val="20"/>
                <w:lang w:val="en-GB"/>
              </w:rPr>
              <w:t xml:space="preserve"> already comprised th</w:t>
            </w:r>
            <w:r>
              <w:rPr>
                <w:color w:val="0D0D0D" w:themeColor="text1" w:themeTint="F2"/>
                <w:spacing w:val="-7"/>
                <w:szCs w:val="20"/>
                <w:lang w:val="en-GB"/>
              </w:rPr>
              <w:t xml:space="preserve">ree fifths of the construction work reservoir </w:t>
            </w:r>
            <w:r w:rsidRPr="00A17559">
              <w:rPr>
                <w:rFonts w:cs="Arial"/>
                <w:spacing w:val="-7"/>
                <w:szCs w:val="20"/>
                <w:lang w:val="en-GB"/>
              </w:rPr>
              <w:t>(it had higher weight last in the first half of year 2010). Given the intense utilisation of construction firms</w:t>
            </w:r>
            <w:r w:rsidRPr="00A17559">
              <w:rPr>
                <w:rStyle w:val="Znakapoznpodarou"/>
                <w:spacing w:val="-7"/>
                <w:lang w:val="en-GB"/>
              </w:rPr>
              <w:footnoteReference w:id="19"/>
            </w:r>
            <w:r w:rsidRPr="00A17559">
              <w:rPr>
                <w:rFonts w:cs="Arial"/>
                <w:spacing w:val="-7"/>
                <w:szCs w:val="20"/>
                <w:lang w:val="en-GB"/>
              </w:rPr>
              <w:t xml:space="preserve"> the role of foreign orders was on the other side falling, its stock failed to reach even one third of their level in year 2014. </w:t>
            </w:r>
            <w:r>
              <w:rPr>
                <w:rFonts w:cs="Arial"/>
                <w:spacing w:val="-7"/>
                <w:szCs w:val="20"/>
                <w:lang w:val="en-GB"/>
              </w:rPr>
              <w:t xml:space="preserve">Value of confidence indicator in construction </w:t>
            </w:r>
            <w:r w:rsidRPr="00A17559">
              <w:rPr>
                <w:rFonts w:cs="Arial"/>
                <w:spacing w:val="-7"/>
                <w:szCs w:val="20"/>
                <w:lang w:val="en-GB"/>
              </w:rPr>
              <w:t xml:space="preserve">left the negative band in November </w:t>
            </w:r>
            <w:r w:rsidRPr="00A17559">
              <w:rPr>
                <w:color w:val="0D0D0D" w:themeColor="text1" w:themeTint="F2"/>
                <w:spacing w:val="-7"/>
                <w:szCs w:val="20"/>
                <w:lang w:val="en-GB"/>
              </w:rPr>
              <w:t>2018 (for the first time since September 2008) and it tightly exceeded the so far record optimism from year 2005 at the beginning of year 2019 (+5.5 points). The confidence did not grow in the further part of the year any more, but still remained mildly positive. The steep growth of businesses, whose development was limited by a shortage of labour force</w:t>
            </w:r>
            <w:r w:rsidRPr="00A17559">
              <w:rPr>
                <w:rStyle w:val="Znakapoznpodarou"/>
                <w:spacing w:val="-7"/>
                <w:lang w:val="en-GB"/>
              </w:rPr>
              <w:footnoteReference w:id="20"/>
            </w:r>
            <w:r w:rsidRPr="00A17559">
              <w:rPr>
                <w:color w:val="0D0D0D" w:themeColor="text1" w:themeTint="F2"/>
                <w:spacing w:val="-7"/>
                <w:szCs w:val="20"/>
                <w:lang w:val="en-GB"/>
              </w:rPr>
              <w:t xml:space="preserve"> on the other hand continued.</w:t>
            </w:r>
          </w:p>
        </w:tc>
      </w:tr>
      <w:tr w:rsidR="006B5BE0" w:rsidRPr="00A17559" w:rsidTr="006B5BE0">
        <w:trPr>
          <w:trHeight w:val="170"/>
        </w:trPr>
        <w:tc>
          <w:tcPr>
            <w:tcW w:w="1669" w:type="dxa"/>
            <w:vMerge w:val="restart"/>
            <w:shd w:val="clear" w:color="auto" w:fill="auto"/>
            <w:tcMar>
              <w:left w:w="0" w:type="dxa"/>
            </w:tcMar>
          </w:tcPr>
          <w:p w:rsidR="006B5BE0" w:rsidRPr="00A17559" w:rsidRDefault="006B5BE0" w:rsidP="006B5BE0">
            <w:pPr>
              <w:pStyle w:val="Marginlie"/>
              <w:rPr>
                <w:lang w:val="en-GB"/>
              </w:rPr>
            </w:pPr>
          </w:p>
        </w:tc>
        <w:tc>
          <w:tcPr>
            <w:tcW w:w="180" w:type="dxa"/>
            <w:vMerge w:val="restart"/>
            <w:shd w:val="clear" w:color="auto" w:fill="auto"/>
            <w:tcMar>
              <w:left w:w="0" w:type="dxa"/>
            </w:tcMar>
          </w:tcPr>
          <w:p w:rsidR="006B5BE0" w:rsidRPr="00A17559" w:rsidRDefault="006B5BE0" w:rsidP="006B5BE0">
            <w:pPr>
              <w:pStyle w:val="Textpoznpodarou"/>
              <w:jc w:val="both"/>
              <w:rPr>
                <w:spacing w:val="-4"/>
                <w:lang w:val="en-GB"/>
              </w:rPr>
            </w:pPr>
          </w:p>
        </w:tc>
        <w:tc>
          <w:tcPr>
            <w:tcW w:w="7790" w:type="dxa"/>
            <w:shd w:val="clear" w:color="auto" w:fill="auto"/>
            <w:tcMar>
              <w:left w:w="0" w:type="dxa"/>
            </w:tcMar>
          </w:tcPr>
          <w:p w:rsidR="006B5BE0" w:rsidRPr="00422629" w:rsidRDefault="006B5BE0" w:rsidP="006B5BE0">
            <w:pPr>
              <w:spacing w:after="0"/>
              <w:jc w:val="left"/>
              <w:rPr>
                <w:b/>
                <w:spacing w:val="-2"/>
                <w:lang w:val="en-GB"/>
              </w:rPr>
            </w:pPr>
            <w:r w:rsidRPr="00422629">
              <w:rPr>
                <w:b/>
                <w:spacing w:val="-2"/>
                <w:lang w:val="en-GB"/>
              </w:rPr>
              <w:t xml:space="preserve">Chart 7  Contributions of branches to year-on-year change of construction output </w:t>
            </w:r>
            <w:r w:rsidRPr="00422629">
              <w:rPr>
                <w:spacing w:val="-2"/>
                <w:lang w:val="en-GB"/>
              </w:rPr>
              <w:t xml:space="preserve">(in p.p.), </w:t>
            </w:r>
            <w:r w:rsidRPr="00422629">
              <w:rPr>
                <w:b/>
                <w:spacing w:val="-2"/>
                <w:lang w:val="en-GB"/>
              </w:rPr>
              <w:t xml:space="preserve">total construction output and new orders </w:t>
            </w:r>
            <w:r w:rsidRPr="00422629">
              <w:rPr>
                <w:bCs/>
                <w:spacing w:val="-2"/>
                <w:lang w:val="en-GB"/>
              </w:rPr>
              <w:t>(year-on-year in %),</w:t>
            </w:r>
            <w:r w:rsidRPr="00422629">
              <w:rPr>
                <w:b/>
                <w:spacing w:val="-2"/>
                <w:lang w:val="en-GB"/>
              </w:rPr>
              <w:t xml:space="preserve"> balance of confidence indicator in construction*</w:t>
            </w:r>
            <w:r w:rsidRPr="00422629">
              <w:rPr>
                <w:spacing w:val="-2"/>
                <w:lang w:val="en-GB"/>
              </w:rPr>
              <w:t xml:space="preserve"> (in points, right axis) </w:t>
            </w:r>
            <w:r w:rsidRPr="00422629">
              <w:rPr>
                <w:b/>
                <w:spacing w:val="-2"/>
                <w:lang w:val="en-GB"/>
              </w:rPr>
              <w:t>and selected barriers to growth</w:t>
            </w:r>
            <w:r w:rsidRPr="00422629">
              <w:rPr>
                <w:spacing w:val="-2"/>
                <w:lang w:val="en-GB"/>
              </w:rPr>
              <w:t>* (in %, right axis)</w:t>
            </w:r>
          </w:p>
        </w:tc>
      </w:tr>
      <w:tr w:rsidR="006B5BE0" w:rsidRPr="00A17559" w:rsidTr="006B5BE0">
        <w:tblPrEx>
          <w:tblCellMar>
            <w:left w:w="70" w:type="dxa"/>
            <w:right w:w="70" w:type="dxa"/>
          </w:tblCellMar>
        </w:tblPrEx>
        <w:trPr>
          <w:trHeight w:val="170"/>
        </w:trPr>
        <w:tc>
          <w:tcPr>
            <w:tcW w:w="1669" w:type="dxa"/>
            <w:vMerge/>
            <w:shd w:val="clear" w:color="auto" w:fill="auto"/>
          </w:tcPr>
          <w:p w:rsidR="006B5BE0" w:rsidRPr="00A17559" w:rsidRDefault="006B5BE0" w:rsidP="006B5BE0">
            <w:pPr>
              <w:pStyle w:val="Marginlie"/>
              <w:rPr>
                <w:lang w:val="en-GB"/>
              </w:rPr>
            </w:pPr>
          </w:p>
        </w:tc>
        <w:tc>
          <w:tcPr>
            <w:tcW w:w="180" w:type="dxa"/>
            <w:vMerge/>
            <w:shd w:val="clear" w:color="auto" w:fill="auto"/>
          </w:tcPr>
          <w:p w:rsidR="006B5BE0" w:rsidRPr="00A17559" w:rsidRDefault="006B5BE0" w:rsidP="006B5BE0">
            <w:pPr>
              <w:pStyle w:val="Textpoznpodarou"/>
              <w:jc w:val="both"/>
              <w:rPr>
                <w:spacing w:val="-4"/>
                <w:lang w:val="en-GB"/>
              </w:rPr>
            </w:pPr>
          </w:p>
        </w:tc>
        <w:tc>
          <w:tcPr>
            <w:tcW w:w="7790" w:type="dxa"/>
            <w:shd w:val="clear" w:color="auto" w:fill="auto"/>
          </w:tcPr>
          <w:p w:rsidR="006B5BE0" w:rsidRPr="00A17559" w:rsidRDefault="006B5BE0" w:rsidP="006B5BE0">
            <w:pPr>
              <w:spacing w:after="0"/>
              <w:rPr>
                <w:spacing w:val="-7"/>
                <w:lang w:val="en-GB"/>
              </w:rPr>
            </w:pPr>
            <w:r>
              <w:rPr>
                <w:noProof/>
              </w:rPr>
              <w:drawing>
                <wp:inline distT="0" distB="0" distL="0" distR="0" wp14:anchorId="415AA2D9" wp14:editId="4D263560">
                  <wp:extent cx="4740519" cy="3619500"/>
                  <wp:effectExtent l="0" t="0" r="3175" b="0"/>
                  <wp:docPr id="43" name="Graf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6B5BE0" w:rsidRPr="00A17559" w:rsidTr="006B5BE0">
        <w:trPr>
          <w:trHeight w:val="170"/>
        </w:trPr>
        <w:tc>
          <w:tcPr>
            <w:tcW w:w="1669" w:type="dxa"/>
            <w:vMerge/>
            <w:shd w:val="clear" w:color="auto" w:fill="auto"/>
            <w:tcMar>
              <w:left w:w="0" w:type="dxa"/>
            </w:tcMar>
          </w:tcPr>
          <w:p w:rsidR="006B5BE0" w:rsidRPr="00A17559" w:rsidRDefault="006B5BE0" w:rsidP="006B5BE0">
            <w:pPr>
              <w:pStyle w:val="Marginlie"/>
              <w:rPr>
                <w:lang w:val="en-GB"/>
              </w:rPr>
            </w:pPr>
          </w:p>
        </w:tc>
        <w:tc>
          <w:tcPr>
            <w:tcW w:w="180" w:type="dxa"/>
            <w:vMerge/>
            <w:shd w:val="clear" w:color="auto" w:fill="auto"/>
            <w:tcMar>
              <w:left w:w="0" w:type="dxa"/>
            </w:tcMar>
          </w:tcPr>
          <w:p w:rsidR="006B5BE0" w:rsidRPr="00A17559" w:rsidRDefault="006B5BE0" w:rsidP="006B5BE0">
            <w:pPr>
              <w:pStyle w:val="Textpoznpodarou"/>
              <w:jc w:val="both"/>
              <w:rPr>
                <w:spacing w:val="-4"/>
                <w:lang w:val="en-GB"/>
              </w:rPr>
            </w:pPr>
          </w:p>
        </w:tc>
        <w:tc>
          <w:tcPr>
            <w:tcW w:w="7790" w:type="dxa"/>
            <w:shd w:val="clear" w:color="auto" w:fill="auto"/>
            <w:tcMar>
              <w:left w:w="0" w:type="dxa"/>
            </w:tcMar>
          </w:tcPr>
          <w:p w:rsidR="006B5BE0" w:rsidRPr="00A17559" w:rsidRDefault="006B5BE0" w:rsidP="006B5BE0">
            <w:pPr>
              <w:spacing w:after="0"/>
              <w:rPr>
                <w:rFonts w:cs="Arial"/>
                <w:spacing w:val="-7"/>
                <w:sz w:val="14"/>
                <w:szCs w:val="14"/>
                <w:lang w:val="en-GB"/>
              </w:rPr>
            </w:pPr>
            <w:r>
              <w:rPr>
                <w:rFonts w:cs="Arial"/>
                <w:spacing w:val="-7"/>
                <w:sz w:val="14"/>
                <w:szCs w:val="14"/>
                <w:lang w:val="en-GB"/>
              </w:rPr>
              <w:t xml:space="preserve">Note. </w:t>
            </w:r>
            <w:r w:rsidRPr="00A17559">
              <w:rPr>
                <w:rFonts w:cs="Arial"/>
                <w:spacing w:val="-7"/>
                <w:sz w:val="14"/>
                <w:szCs w:val="14"/>
                <w:lang w:val="en-GB"/>
              </w:rPr>
              <w:t xml:space="preserve">Data Related to construction output are adjusted for calendar effects. </w:t>
            </w:r>
          </w:p>
          <w:p w:rsidR="006B5BE0" w:rsidRDefault="006B5BE0" w:rsidP="006B5BE0">
            <w:pPr>
              <w:spacing w:after="0"/>
              <w:rPr>
                <w:rFonts w:cs="Arial"/>
                <w:spacing w:val="-7"/>
                <w:sz w:val="14"/>
                <w:szCs w:val="14"/>
                <w:lang w:val="en-GB"/>
              </w:rPr>
            </w:pPr>
            <w:r w:rsidRPr="00A17559">
              <w:rPr>
                <w:rFonts w:cs="Arial"/>
                <w:spacing w:val="-7"/>
                <w:sz w:val="14"/>
                <w:szCs w:val="14"/>
                <w:lang w:val="en-GB"/>
              </w:rPr>
              <w:t>*Data are seasonally adjusted</w:t>
            </w:r>
            <w:r>
              <w:rPr>
                <w:rFonts w:cs="Arial"/>
                <w:spacing w:val="-7"/>
                <w:sz w:val="14"/>
                <w:szCs w:val="14"/>
                <w:lang w:val="en-GB"/>
              </w:rPr>
              <w:t>.</w:t>
            </w:r>
          </w:p>
          <w:p w:rsidR="006B5BE0" w:rsidRPr="0008688B" w:rsidRDefault="006B5BE0" w:rsidP="006B5BE0">
            <w:pPr>
              <w:spacing w:after="200"/>
              <w:rPr>
                <w:rFonts w:cs="Arial"/>
                <w:spacing w:val="-7"/>
                <w:sz w:val="14"/>
                <w:szCs w:val="14"/>
                <w:lang w:val="en-GB"/>
              </w:rPr>
            </w:pPr>
            <w:r w:rsidRPr="00A17559">
              <w:rPr>
                <w:rFonts w:cs="Arial"/>
                <w:spacing w:val="-7"/>
                <w:sz w:val="14"/>
                <w:szCs w:val="14"/>
                <w:lang w:val="en-GB"/>
              </w:rPr>
              <w:t>Source: CZSO</w:t>
            </w:r>
          </w:p>
        </w:tc>
      </w:tr>
      <w:tr w:rsidR="006B5BE0" w:rsidRPr="00A17559" w:rsidTr="006B5BE0">
        <w:trPr>
          <w:trHeight w:val="145"/>
        </w:trPr>
        <w:tc>
          <w:tcPr>
            <w:tcW w:w="1669" w:type="dxa"/>
            <w:shd w:val="clear" w:color="auto" w:fill="auto"/>
            <w:tcMar>
              <w:left w:w="0" w:type="dxa"/>
            </w:tcMar>
          </w:tcPr>
          <w:p w:rsidR="006B5BE0" w:rsidRPr="00A17559" w:rsidRDefault="006B5BE0" w:rsidP="006B5BE0">
            <w:pPr>
              <w:pStyle w:val="Marginlie"/>
              <w:rPr>
                <w:color w:val="0D0D0D" w:themeColor="text1" w:themeTint="F2"/>
                <w:spacing w:val="-4"/>
                <w:lang w:val="en-GB"/>
              </w:rPr>
            </w:pPr>
            <w:r w:rsidRPr="00A17559">
              <w:rPr>
                <w:color w:val="0D0D0D" w:themeColor="text1" w:themeTint="F2"/>
                <w:spacing w:val="-4"/>
                <w:lang w:val="en-GB"/>
              </w:rPr>
              <w:lastRenderedPageBreak/>
              <w:t xml:space="preserve">Sales growth in selected services moderated compared to last year, especially due to the effect of marked slowdown in transporting and storage. </w:t>
            </w:r>
          </w:p>
          <w:p w:rsidR="006B5BE0" w:rsidRPr="00A17559" w:rsidRDefault="006B5BE0" w:rsidP="006B5BE0">
            <w:pPr>
              <w:pStyle w:val="Marginlie"/>
              <w:rPr>
                <w:color w:val="0D0D0D" w:themeColor="text1" w:themeTint="F2"/>
                <w:spacing w:val="-4"/>
                <w:lang w:val="en-GB"/>
              </w:rPr>
            </w:pPr>
          </w:p>
        </w:tc>
        <w:tc>
          <w:tcPr>
            <w:tcW w:w="180" w:type="dxa"/>
            <w:shd w:val="clear" w:color="auto" w:fill="auto"/>
            <w:tcMar>
              <w:left w:w="0" w:type="dxa"/>
            </w:tcMar>
          </w:tcPr>
          <w:p w:rsidR="006B5BE0" w:rsidRPr="00A17559" w:rsidRDefault="006B5BE0" w:rsidP="006B5BE0">
            <w:pPr>
              <w:pStyle w:val="Textpoznpodarou"/>
              <w:jc w:val="both"/>
              <w:rPr>
                <w:spacing w:val="-4"/>
                <w:lang w:val="en-GB"/>
              </w:rPr>
            </w:pPr>
          </w:p>
        </w:tc>
        <w:tc>
          <w:tcPr>
            <w:tcW w:w="7790" w:type="dxa"/>
            <w:shd w:val="clear" w:color="auto" w:fill="auto"/>
            <w:tcMar>
              <w:left w:w="0" w:type="dxa"/>
            </w:tcMar>
          </w:tcPr>
          <w:p w:rsidR="006B5BE0" w:rsidRPr="00A17559" w:rsidRDefault="006B5BE0" w:rsidP="006B5BE0">
            <w:pPr>
              <w:spacing w:after="200"/>
              <w:rPr>
                <w:spacing w:val="-7"/>
                <w:lang w:val="en-GB"/>
              </w:rPr>
            </w:pPr>
            <w:r w:rsidRPr="00A17559">
              <w:rPr>
                <w:spacing w:val="-7"/>
                <w:lang w:val="en-GB"/>
              </w:rPr>
              <w:t>Sales in selected services</w:t>
            </w:r>
            <w:r w:rsidRPr="00A17559">
              <w:rPr>
                <w:color w:val="0D0D0D" w:themeColor="text1" w:themeTint="F2"/>
                <w:spacing w:val="-7"/>
                <w:vertAlign w:val="superscript"/>
                <w:lang w:val="en-GB"/>
              </w:rPr>
              <w:footnoteReference w:id="21"/>
            </w:r>
            <w:r w:rsidRPr="00A17559">
              <w:rPr>
                <w:color w:val="0D0D0D" w:themeColor="text1" w:themeTint="F2"/>
                <w:spacing w:val="-7"/>
                <w:lang w:val="en-GB"/>
              </w:rPr>
              <w:t xml:space="preserve"> rose by 2.0% year-on-year in H1 2019, the slowest pace after year 2016. Effect of the weaker Q2 was also felt this year, when the sales slightly dropped quarter-on-quarter (by 0.2%, mostly due to the slowed output in transporting and storage). All branch sections contributed at least to some extent to the year-on-year growth apart from the real estate activities</w:t>
            </w:r>
            <w:r>
              <w:rPr>
                <w:color w:val="0D0D0D" w:themeColor="text1" w:themeTint="F2"/>
                <w:spacing w:val="-7"/>
                <w:lang w:val="en-GB"/>
              </w:rPr>
              <w:t>,</w:t>
            </w:r>
            <w:r w:rsidRPr="00A17559">
              <w:rPr>
                <w:color w:val="0D0D0D" w:themeColor="text1" w:themeTint="F2"/>
                <w:spacing w:val="-7"/>
                <w:lang w:val="en-GB"/>
              </w:rPr>
              <w:t xml:space="preserve"> which lower sales in the segment of real estate agencies and real estate management</w:t>
            </w:r>
            <w:r w:rsidRPr="00A17559">
              <w:rPr>
                <w:color w:val="0D0D0D" w:themeColor="text1" w:themeTint="F2"/>
                <w:spacing w:val="-7"/>
                <w:vertAlign w:val="superscript"/>
                <w:lang w:val="en-GB"/>
              </w:rPr>
              <w:footnoteReference w:id="22"/>
            </w:r>
            <w:r>
              <w:rPr>
                <w:color w:val="0D0D0D" w:themeColor="text1" w:themeTint="F2"/>
                <w:spacing w:val="-7"/>
                <w:lang w:val="en-GB"/>
              </w:rPr>
              <w:t xml:space="preserve"> curbed</w:t>
            </w:r>
            <w:r w:rsidRPr="00A17559">
              <w:rPr>
                <w:color w:val="0D0D0D" w:themeColor="text1" w:themeTint="F2"/>
                <w:spacing w:val="-7"/>
                <w:lang w:val="en-GB"/>
              </w:rPr>
              <w:t>.</w:t>
            </w:r>
          </w:p>
        </w:tc>
      </w:tr>
      <w:tr w:rsidR="006B5BE0" w:rsidRPr="00A17559" w:rsidTr="006B5BE0">
        <w:trPr>
          <w:trHeight w:val="145"/>
        </w:trPr>
        <w:tc>
          <w:tcPr>
            <w:tcW w:w="1669" w:type="dxa"/>
            <w:shd w:val="clear" w:color="auto" w:fill="auto"/>
            <w:tcMar>
              <w:left w:w="0" w:type="dxa"/>
            </w:tcMar>
          </w:tcPr>
          <w:p w:rsidR="006B5BE0" w:rsidRPr="00A17559" w:rsidRDefault="006B5BE0" w:rsidP="006B5BE0">
            <w:pPr>
              <w:pStyle w:val="Marginlie"/>
              <w:rPr>
                <w:color w:val="0D0D0D" w:themeColor="text1" w:themeTint="F2"/>
                <w:spacing w:val="-4"/>
                <w:lang w:val="en-GB"/>
              </w:rPr>
            </w:pPr>
            <w:r w:rsidRPr="00A17559">
              <w:rPr>
                <w:color w:val="0D0D0D" w:themeColor="text1" w:themeTint="F2"/>
                <w:spacing w:val="-4"/>
                <w:lang w:val="en-GB"/>
              </w:rPr>
              <w:t xml:space="preserve">Long-term strong demand </w:t>
            </w:r>
            <w:r>
              <w:rPr>
                <w:color w:val="0D0D0D" w:themeColor="text1" w:themeTint="F2"/>
                <w:spacing w:val="-4"/>
                <w:lang w:val="en-GB"/>
              </w:rPr>
              <w:t>for</w:t>
            </w:r>
            <w:r w:rsidRPr="00A17559">
              <w:rPr>
                <w:color w:val="0D0D0D" w:themeColor="text1" w:themeTint="F2"/>
                <w:spacing w:val="-4"/>
                <w:lang w:val="en-GB"/>
              </w:rPr>
              <w:t xml:space="preserve"> informati</w:t>
            </w:r>
            <w:r>
              <w:rPr>
                <w:color w:val="0D0D0D" w:themeColor="text1" w:themeTint="F2"/>
                <w:spacing w:val="-4"/>
                <w:lang w:val="en-GB"/>
              </w:rPr>
              <w:t>on and communication persisted.</w:t>
            </w:r>
          </w:p>
        </w:tc>
        <w:tc>
          <w:tcPr>
            <w:tcW w:w="180" w:type="dxa"/>
            <w:shd w:val="clear" w:color="auto" w:fill="auto"/>
            <w:tcMar>
              <w:left w:w="0" w:type="dxa"/>
            </w:tcMar>
          </w:tcPr>
          <w:p w:rsidR="006B5BE0" w:rsidRPr="00A17559" w:rsidRDefault="006B5BE0" w:rsidP="006B5BE0">
            <w:pPr>
              <w:pStyle w:val="Textpoznpodarou"/>
              <w:jc w:val="both"/>
              <w:rPr>
                <w:spacing w:val="-4"/>
                <w:lang w:val="en-GB"/>
              </w:rPr>
            </w:pPr>
          </w:p>
        </w:tc>
        <w:tc>
          <w:tcPr>
            <w:tcW w:w="7790" w:type="dxa"/>
            <w:shd w:val="clear" w:color="auto" w:fill="auto"/>
            <w:tcMar>
              <w:left w:w="0" w:type="dxa"/>
            </w:tcMar>
          </w:tcPr>
          <w:p w:rsidR="006B5BE0" w:rsidRPr="00A17559" w:rsidRDefault="006B5BE0" w:rsidP="006B5BE0">
            <w:pPr>
              <w:spacing w:after="200"/>
              <w:rPr>
                <w:color w:val="0D0D0D" w:themeColor="text1" w:themeTint="F2"/>
                <w:spacing w:val="-7"/>
                <w:lang w:val="en-GB"/>
              </w:rPr>
            </w:pPr>
            <w:r w:rsidRPr="00A17559">
              <w:rPr>
                <w:color w:val="0D0D0D" w:themeColor="text1" w:themeTint="F2"/>
                <w:spacing w:val="-7"/>
                <w:lang w:val="en-GB"/>
              </w:rPr>
              <w:t xml:space="preserve">Sales grew the most in the long-term dynamic branch of information and communication (+5.7%) this year. This branch added to the growth of all </w:t>
            </w:r>
            <w:r>
              <w:rPr>
                <w:color w:val="0D0D0D" w:themeColor="text1" w:themeTint="F2"/>
                <w:spacing w:val="-7"/>
                <w:lang w:val="en-GB"/>
              </w:rPr>
              <w:t xml:space="preserve">services </w:t>
            </w:r>
            <w:r w:rsidRPr="00A17559">
              <w:rPr>
                <w:color w:val="0D0D0D" w:themeColor="text1" w:themeTint="F2"/>
                <w:spacing w:val="-7"/>
                <w:lang w:val="en-GB"/>
              </w:rPr>
              <w:t>sections from more than one half. Except for telecommunications (+2.6%), all sub-branches recorded a dynamic growth – the most the rather mar</w:t>
            </w:r>
            <w:r>
              <w:rPr>
                <w:color w:val="0D0D0D" w:themeColor="text1" w:themeTint="F2"/>
                <w:spacing w:val="-7"/>
                <w:lang w:val="en-GB"/>
              </w:rPr>
              <w:t xml:space="preserve">ginal segment by weight </w:t>
            </w:r>
            <w:r w:rsidRPr="00A17559">
              <w:rPr>
                <w:color w:val="0D0D0D" w:themeColor="text1" w:themeTint="F2"/>
                <w:spacing w:val="-7"/>
                <w:lang w:val="en-GB"/>
              </w:rPr>
              <w:t>motion picture and music industry (+13.0%)</w:t>
            </w:r>
            <w:r w:rsidRPr="00A17559">
              <w:rPr>
                <w:rStyle w:val="Znakapoznpodarou"/>
                <w:spacing w:val="-7"/>
                <w:lang w:val="en-GB"/>
              </w:rPr>
              <w:footnoteReference w:id="23"/>
            </w:r>
            <w:r w:rsidRPr="00A17559">
              <w:rPr>
                <w:color w:val="0D0D0D" w:themeColor="text1" w:themeTint="F2"/>
                <w:spacing w:val="-7"/>
                <w:lang w:val="en-GB"/>
              </w:rPr>
              <w:t>. Branch transporting and storage did not build on the strong output from the beginning of the last year, it showed only 0.5% sales growth in H1 of this year. Mainly weaker output in storage had an effect. Slowdown however occurred also in weight dominant land transport (to +1.7%), despite higher mobility of population supported by recorded employment as well as broader dis</w:t>
            </w:r>
            <w:r>
              <w:rPr>
                <w:color w:val="0D0D0D" w:themeColor="text1" w:themeTint="F2"/>
                <w:spacing w:val="-7"/>
                <w:lang w:val="en-GB"/>
              </w:rPr>
              <w:t>counts in the public transport (for students as well as seniors aged 65 and more).</w:t>
            </w:r>
          </w:p>
        </w:tc>
      </w:tr>
      <w:tr w:rsidR="006B5BE0" w:rsidRPr="00A17559" w:rsidTr="006B5BE0">
        <w:trPr>
          <w:trHeight w:val="170"/>
        </w:trPr>
        <w:tc>
          <w:tcPr>
            <w:tcW w:w="1669" w:type="dxa"/>
            <w:vMerge w:val="restart"/>
            <w:shd w:val="clear" w:color="auto" w:fill="auto"/>
            <w:tcMar>
              <w:left w:w="0" w:type="dxa"/>
            </w:tcMar>
          </w:tcPr>
          <w:p w:rsidR="006B5BE0" w:rsidRPr="00A17559" w:rsidRDefault="006B5BE0" w:rsidP="006B5BE0">
            <w:pPr>
              <w:pStyle w:val="Marginlie"/>
              <w:rPr>
                <w:lang w:val="en-GB"/>
              </w:rPr>
            </w:pPr>
            <w:bookmarkStart w:id="3" w:name="_GoBack"/>
            <w:bookmarkEnd w:id="3"/>
          </w:p>
        </w:tc>
        <w:tc>
          <w:tcPr>
            <w:tcW w:w="180" w:type="dxa"/>
            <w:vMerge w:val="restart"/>
            <w:shd w:val="clear" w:color="auto" w:fill="auto"/>
            <w:tcMar>
              <w:left w:w="0" w:type="dxa"/>
            </w:tcMar>
          </w:tcPr>
          <w:p w:rsidR="006B5BE0" w:rsidRPr="00A17559" w:rsidRDefault="006B5BE0" w:rsidP="006B5BE0">
            <w:pPr>
              <w:pStyle w:val="Textpoznpodarou"/>
              <w:jc w:val="both"/>
              <w:rPr>
                <w:spacing w:val="-4"/>
                <w:lang w:val="en-GB"/>
              </w:rPr>
            </w:pPr>
          </w:p>
        </w:tc>
        <w:tc>
          <w:tcPr>
            <w:tcW w:w="7790" w:type="dxa"/>
            <w:shd w:val="clear" w:color="auto" w:fill="auto"/>
            <w:tcMar>
              <w:left w:w="0" w:type="dxa"/>
            </w:tcMar>
          </w:tcPr>
          <w:p w:rsidR="006B5BE0" w:rsidRPr="00E343C7" w:rsidRDefault="006B5BE0" w:rsidP="006B5BE0">
            <w:pPr>
              <w:pStyle w:val="Textpoznpodarou"/>
              <w:spacing w:line="276" w:lineRule="auto"/>
              <w:rPr>
                <w:b/>
                <w:spacing w:val="-4"/>
                <w:lang w:val="en-GB"/>
              </w:rPr>
            </w:pPr>
            <w:r w:rsidRPr="00E343C7">
              <w:rPr>
                <w:b/>
                <w:spacing w:val="-4"/>
                <w:lang w:val="en-GB"/>
              </w:rPr>
              <w:t xml:space="preserve">Chart 8  Sales in selected services divisions </w:t>
            </w:r>
            <w:r w:rsidRPr="00E343C7">
              <w:rPr>
                <w:bCs/>
                <w:spacing w:val="-4"/>
                <w:lang w:val="en-GB"/>
              </w:rPr>
              <w:t xml:space="preserve">(in real terms, seasonally adjusted, level of year </w:t>
            </w:r>
            <w:r w:rsidRPr="00E343C7">
              <w:rPr>
                <w:spacing w:val="-4"/>
                <w:lang w:val="en-GB"/>
              </w:rPr>
              <w:t>2015 = 100</w:t>
            </w:r>
            <w:r w:rsidRPr="00E343C7">
              <w:rPr>
                <w:bCs/>
                <w:spacing w:val="-4"/>
                <w:lang w:val="en-GB"/>
              </w:rPr>
              <w:t xml:space="preserve">) </w:t>
            </w:r>
            <w:r w:rsidRPr="00E343C7">
              <w:rPr>
                <w:b/>
                <w:spacing w:val="-4"/>
                <w:lang w:val="en-GB"/>
              </w:rPr>
              <w:t xml:space="preserve">and balance  of confidence indicator in selected services* </w:t>
            </w:r>
            <w:r w:rsidRPr="00E343C7">
              <w:rPr>
                <w:spacing w:val="-4"/>
                <w:lang w:val="en-GB"/>
              </w:rPr>
              <w:t>(in points)</w:t>
            </w:r>
          </w:p>
        </w:tc>
      </w:tr>
      <w:tr w:rsidR="006B5BE0" w:rsidRPr="00A17559" w:rsidTr="006B5BE0">
        <w:tblPrEx>
          <w:tblCellMar>
            <w:left w:w="70" w:type="dxa"/>
            <w:right w:w="70" w:type="dxa"/>
          </w:tblCellMar>
        </w:tblPrEx>
        <w:trPr>
          <w:trHeight w:val="170"/>
        </w:trPr>
        <w:tc>
          <w:tcPr>
            <w:tcW w:w="1669" w:type="dxa"/>
            <w:vMerge/>
            <w:shd w:val="clear" w:color="auto" w:fill="auto"/>
          </w:tcPr>
          <w:p w:rsidR="006B5BE0" w:rsidRPr="00A17559" w:rsidRDefault="006B5BE0" w:rsidP="006B5BE0">
            <w:pPr>
              <w:pStyle w:val="Marginlie"/>
              <w:rPr>
                <w:lang w:val="en-GB"/>
              </w:rPr>
            </w:pPr>
          </w:p>
        </w:tc>
        <w:tc>
          <w:tcPr>
            <w:tcW w:w="180" w:type="dxa"/>
            <w:vMerge/>
            <w:shd w:val="clear" w:color="auto" w:fill="auto"/>
          </w:tcPr>
          <w:p w:rsidR="006B5BE0" w:rsidRPr="00A17559" w:rsidRDefault="006B5BE0" w:rsidP="006B5BE0">
            <w:pPr>
              <w:pStyle w:val="Textpoznpodarou"/>
              <w:jc w:val="both"/>
              <w:rPr>
                <w:spacing w:val="-4"/>
                <w:lang w:val="en-GB"/>
              </w:rPr>
            </w:pPr>
          </w:p>
        </w:tc>
        <w:tc>
          <w:tcPr>
            <w:tcW w:w="7790" w:type="dxa"/>
            <w:shd w:val="clear" w:color="auto" w:fill="auto"/>
          </w:tcPr>
          <w:p w:rsidR="006B5BE0" w:rsidRPr="00A17559" w:rsidRDefault="006B5BE0" w:rsidP="006B5BE0">
            <w:pPr>
              <w:spacing w:after="0"/>
              <w:rPr>
                <w:rFonts w:cs="Arial"/>
                <w:spacing w:val="-6"/>
                <w:sz w:val="14"/>
                <w:szCs w:val="14"/>
                <w:lang w:val="en-GB"/>
              </w:rPr>
            </w:pPr>
            <w:r>
              <w:rPr>
                <w:noProof/>
              </w:rPr>
              <w:drawing>
                <wp:inline distT="0" distB="0" distL="0" distR="0" wp14:anchorId="3A4ED191" wp14:editId="7CCA8BDA">
                  <wp:extent cx="4782185" cy="3606800"/>
                  <wp:effectExtent l="0" t="0" r="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6B5BE0" w:rsidRPr="00A17559" w:rsidTr="006B5BE0">
        <w:trPr>
          <w:trHeight w:val="170"/>
        </w:trPr>
        <w:tc>
          <w:tcPr>
            <w:tcW w:w="1669" w:type="dxa"/>
            <w:vMerge/>
            <w:shd w:val="clear" w:color="auto" w:fill="auto"/>
            <w:tcMar>
              <w:left w:w="0" w:type="dxa"/>
            </w:tcMar>
          </w:tcPr>
          <w:p w:rsidR="006B5BE0" w:rsidRPr="00A17559" w:rsidRDefault="006B5BE0" w:rsidP="006B5BE0">
            <w:pPr>
              <w:pStyle w:val="Marginlie"/>
              <w:rPr>
                <w:lang w:val="en-GB"/>
              </w:rPr>
            </w:pPr>
          </w:p>
        </w:tc>
        <w:tc>
          <w:tcPr>
            <w:tcW w:w="180" w:type="dxa"/>
            <w:vMerge/>
            <w:shd w:val="clear" w:color="auto" w:fill="auto"/>
            <w:tcMar>
              <w:left w:w="0" w:type="dxa"/>
            </w:tcMar>
          </w:tcPr>
          <w:p w:rsidR="006B5BE0" w:rsidRPr="00A17559" w:rsidRDefault="006B5BE0" w:rsidP="006B5BE0">
            <w:pPr>
              <w:pStyle w:val="Textpoznpodarou"/>
              <w:jc w:val="both"/>
              <w:rPr>
                <w:spacing w:val="-4"/>
                <w:lang w:val="en-GB"/>
              </w:rPr>
            </w:pPr>
          </w:p>
        </w:tc>
        <w:tc>
          <w:tcPr>
            <w:tcW w:w="7790" w:type="dxa"/>
            <w:shd w:val="clear" w:color="auto" w:fill="auto"/>
            <w:tcMar>
              <w:left w:w="0" w:type="dxa"/>
            </w:tcMar>
          </w:tcPr>
          <w:p w:rsidR="006B5BE0" w:rsidRDefault="006B5BE0" w:rsidP="006B5BE0">
            <w:pPr>
              <w:spacing w:after="0"/>
              <w:rPr>
                <w:rFonts w:cs="Arial"/>
                <w:sz w:val="14"/>
                <w:szCs w:val="14"/>
                <w:lang w:val="en-GB"/>
              </w:rPr>
            </w:pPr>
            <w:r>
              <w:rPr>
                <w:rFonts w:cs="Arial"/>
                <w:spacing w:val="-6"/>
                <w:sz w:val="14"/>
                <w:szCs w:val="14"/>
                <w:lang w:val="en-GB"/>
              </w:rPr>
              <w:t>*</w:t>
            </w:r>
            <w:r w:rsidRPr="00A17559">
              <w:rPr>
                <w:rFonts w:cs="Arial"/>
                <w:sz w:val="14"/>
                <w:szCs w:val="14"/>
                <w:lang w:val="en-GB"/>
              </w:rPr>
              <w:t>Data are seasonally adjusted, incl</w:t>
            </w:r>
            <w:r>
              <w:rPr>
                <w:rFonts w:cs="Arial"/>
                <w:sz w:val="14"/>
                <w:szCs w:val="14"/>
                <w:lang w:val="en-GB"/>
              </w:rPr>
              <w:t>ude also the financial sector.</w:t>
            </w:r>
          </w:p>
          <w:p w:rsidR="006B5BE0" w:rsidRPr="00A17559" w:rsidRDefault="006B5BE0" w:rsidP="006B5BE0">
            <w:pPr>
              <w:spacing w:after="200"/>
              <w:rPr>
                <w:rFonts w:cs="Arial"/>
                <w:spacing w:val="-6"/>
                <w:sz w:val="14"/>
                <w:szCs w:val="14"/>
                <w:lang w:val="en-GB"/>
              </w:rPr>
            </w:pPr>
            <w:r w:rsidRPr="00A17559">
              <w:rPr>
                <w:rFonts w:cs="Arial"/>
                <w:spacing w:val="-6"/>
                <w:sz w:val="14"/>
                <w:szCs w:val="14"/>
                <w:lang w:val="en-GB"/>
              </w:rPr>
              <w:t>Source: CZSO</w:t>
            </w:r>
          </w:p>
        </w:tc>
      </w:tr>
      <w:tr w:rsidR="006B5BE0" w:rsidRPr="00A17559" w:rsidTr="006B5BE0">
        <w:trPr>
          <w:trHeight w:val="80"/>
        </w:trPr>
        <w:tc>
          <w:tcPr>
            <w:tcW w:w="1669" w:type="dxa"/>
            <w:shd w:val="clear" w:color="auto" w:fill="auto"/>
            <w:tcMar>
              <w:left w:w="0" w:type="dxa"/>
            </w:tcMar>
          </w:tcPr>
          <w:p w:rsidR="006B5BE0" w:rsidRPr="00A17559" w:rsidRDefault="006B5BE0" w:rsidP="006B5BE0">
            <w:pPr>
              <w:pStyle w:val="Marginlie"/>
              <w:rPr>
                <w:color w:val="0D0D0D" w:themeColor="text1" w:themeTint="F2"/>
                <w:spacing w:val="-4"/>
                <w:lang w:val="en-GB"/>
              </w:rPr>
            </w:pPr>
            <w:r w:rsidRPr="00A17559">
              <w:rPr>
                <w:color w:val="0D0D0D" w:themeColor="text1" w:themeTint="F2"/>
                <w:spacing w:val="-4"/>
                <w:lang w:val="en-GB"/>
              </w:rPr>
              <w:t xml:space="preserve">Management consultancy, legal and accounting activities as </w:t>
            </w:r>
            <w:r w:rsidRPr="00A17559">
              <w:rPr>
                <w:color w:val="0D0D0D" w:themeColor="text1" w:themeTint="F2"/>
                <w:spacing w:val="-4"/>
                <w:lang w:val="en-GB"/>
              </w:rPr>
              <w:lastRenderedPageBreak/>
              <w:t>well as market research prospered.</w:t>
            </w:r>
          </w:p>
          <w:p w:rsidR="006B5BE0" w:rsidRPr="00A17559" w:rsidRDefault="006B5BE0" w:rsidP="006B5BE0">
            <w:pPr>
              <w:pStyle w:val="Marginlie"/>
              <w:rPr>
                <w:color w:val="0D0D0D" w:themeColor="text1" w:themeTint="F2"/>
                <w:spacing w:val="-4"/>
                <w:lang w:val="en-GB"/>
              </w:rPr>
            </w:pPr>
          </w:p>
          <w:p w:rsidR="006B5BE0" w:rsidRPr="00A17559" w:rsidRDefault="006B5BE0" w:rsidP="006B5BE0">
            <w:pPr>
              <w:pStyle w:val="Marginlie"/>
              <w:rPr>
                <w:color w:val="0D0D0D" w:themeColor="text1" w:themeTint="F2"/>
                <w:spacing w:val="-4"/>
                <w:lang w:val="en-GB"/>
              </w:rPr>
            </w:pPr>
          </w:p>
          <w:p w:rsidR="006B5BE0" w:rsidRPr="00A17559" w:rsidRDefault="006B5BE0" w:rsidP="006B5BE0">
            <w:pPr>
              <w:pStyle w:val="Marginlie"/>
              <w:rPr>
                <w:lang w:val="en-GB"/>
              </w:rPr>
            </w:pPr>
            <w:r w:rsidRPr="00A17559">
              <w:rPr>
                <w:color w:val="0D0D0D" w:themeColor="text1" w:themeTint="F2"/>
                <w:spacing w:val="-4"/>
                <w:lang w:val="en-GB"/>
              </w:rPr>
              <w:t>Growth of sales nearly ceased in administrative and support service activities.</w:t>
            </w:r>
          </w:p>
        </w:tc>
        <w:tc>
          <w:tcPr>
            <w:tcW w:w="180" w:type="dxa"/>
            <w:shd w:val="clear" w:color="auto" w:fill="auto"/>
            <w:tcMar>
              <w:left w:w="0" w:type="dxa"/>
            </w:tcMar>
          </w:tcPr>
          <w:p w:rsidR="006B5BE0" w:rsidRPr="00A17559" w:rsidRDefault="006B5BE0" w:rsidP="006B5BE0">
            <w:pPr>
              <w:pStyle w:val="Textpoznpodarou"/>
              <w:jc w:val="both"/>
              <w:rPr>
                <w:spacing w:val="-4"/>
                <w:lang w:val="en-GB"/>
              </w:rPr>
            </w:pPr>
          </w:p>
        </w:tc>
        <w:tc>
          <w:tcPr>
            <w:tcW w:w="7790" w:type="dxa"/>
            <w:shd w:val="clear" w:color="auto" w:fill="auto"/>
            <w:tcMar>
              <w:left w:w="0" w:type="dxa"/>
            </w:tcMar>
          </w:tcPr>
          <w:p w:rsidR="006B5BE0" w:rsidRPr="00A17559" w:rsidRDefault="006B5BE0" w:rsidP="006B5BE0">
            <w:pPr>
              <w:spacing w:after="200"/>
              <w:rPr>
                <w:rFonts w:cs="Arial"/>
                <w:spacing w:val="-7"/>
                <w:szCs w:val="20"/>
                <w:lang w:val="en-GB"/>
              </w:rPr>
            </w:pPr>
            <w:r w:rsidRPr="00A17559">
              <w:rPr>
                <w:color w:val="0D0D0D" w:themeColor="text1" w:themeTint="F2"/>
                <w:spacing w:val="-7"/>
                <w:lang w:val="en-GB"/>
              </w:rPr>
              <w:t>Branch accommodation, food service and restaurants prospered (+2.3%), sales increased by 29%</w:t>
            </w:r>
            <w:r w:rsidRPr="00A17559">
              <w:rPr>
                <w:color w:val="0D0D0D" w:themeColor="text1" w:themeTint="F2"/>
                <w:spacing w:val="-7"/>
                <w:vertAlign w:val="superscript"/>
                <w:lang w:val="en-GB"/>
              </w:rPr>
              <w:footnoteReference w:id="24"/>
            </w:r>
            <w:r w:rsidRPr="00A17559">
              <w:rPr>
                <w:color w:val="0D0D0D" w:themeColor="text1" w:themeTint="F2"/>
                <w:spacing w:val="-7"/>
                <w:lang w:val="en-GB"/>
              </w:rPr>
              <w:t xml:space="preserve"> here in the last five years. Sales dynamics corresponded to the development of number of overnight stays </w:t>
            </w:r>
            <w:r>
              <w:rPr>
                <w:color w:val="0D0D0D" w:themeColor="text1" w:themeTint="F2"/>
                <w:spacing w:val="-7"/>
                <w:lang w:val="en-GB"/>
              </w:rPr>
              <w:t>of guests in the collective tourist accommodation establishment</w:t>
            </w:r>
            <w:r w:rsidRPr="00A17559">
              <w:rPr>
                <w:color w:val="0D0D0D" w:themeColor="text1" w:themeTint="F2"/>
                <w:spacing w:val="-7"/>
                <w:lang w:val="en-GB"/>
              </w:rPr>
              <w:t>s</w:t>
            </w:r>
            <w:r w:rsidRPr="00A17559">
              <w:rPr>
                <w:color w:val="0D0D0D" w:themeColor="text1" w:themeTint="F2"/>
                <w:spacing w:val="-7"/>
                <w:vertAlign w:val="superscript"/>
                <w:lang w:val="en-GB"/>
              </w:rPr>
              <w:footnoteReference w:id="25"/>
            </w:r>
            <w:r w:rsidRPr="00A17559">
              <w:rPr>
                <w:color w:val="0D0D0D" w:themeColor="text1" w:themeTint="F2"/>
                <w:spacing w:val="-7"/>
                <w:lang w:val="en-GB"/>
              </w:rPr>
              <w:t xml:space="preserve">. Sales </w:t>
            </w:r>
            <w:r w:rsidRPr="00A17559">
              <w:rPr>
                <w:color w:val="0D0D0D" w:themeColor="text1" w:themeTint="F2"/>
                <w:spacing w:val="-7"/>
                <w:lang w:val="en-GB"/>
              </w:rPr>
              <w:lastRenderedPageBreak/>
              <w:t>strengthened by 2.4% in bran</w:t>
            </w:r>
            <w:r>
              <w:rPr>
                <w:color w:val="0D0D0D" w:themeColor="text1" w:themeTint="F2"/>
                <w:spacing w:val="-7"/>
                <w:lang w:val="en-GB"/>
              </w:rPr>
              <w:t>ch professional, scientific and</w:t>
            </w:r>
            <w:r w:rsidRPr="00A17559">
              <w:rPr>
                <w:color w:val="0D0D0D" w:themeColor="text1" w:themeTint="F2"/>
                <w:spacing w:val="-7"/>
                <w:lang w:val="en-GB"/>
              </w:rPr>
              <w:t xml:space="preserve"> technical activities. Similarly to last year, they were pulled mainly by the legal and accounting activities and also rising demand for activities of head offices and management consultancy. Dynamic growth of sales for market research and public opinion polling continued by double-digit pace. On the other hand, sales for architectural and engineering activities grew only mildly (+1.3%) despite the expansion of construction. Branch administrative and support service activities grew by the weakest rate of growth after H1 2010 this year (+0.2%). Drop of sales of security and investigation activities, job agencies as well as travel agency activities was offset by a strong demand for office administrative and support activities and in the area of rental and operative leasing activities.</w:t>
            </w:r>
          </w:p>
        </w:tc>
      </w:tr>
      <w:tr w:rsidR="006B5BE0" w:rsidRPr="00A17559" w:rsidTr="006B5BE0">
        <w:trPr>
          <w:trHeight w:val="80"/>
        </w:trPr>
        <w:tc>
          <w:tcPr>
            <w:tcW w:w="1669" w:type="dxa"/>
            <w:shd w:val="clear" w:color="auto" w:fill="auto"/>
            <w:tcMar>
              <w:left w:w="0" w:type="dxa"/>
            </w:tcMar>
          </w:tcPr>
          <w:p w:rsidR="006B5BE0" w:rsidRPr="00A17559" w:rsidRDefault="006B5BE0" w:rsidP="006B5BE0">
            <w:pPr>
              <w:pStyle w:val="Marginlie"/>
              <w:rPr>
                <w:lang w:val="en-GB"/>
              </w:rPr>
            </w:pPr>
            <w:r w:rsidRPr="00A17559">
              <w:rPr>
                <w:lang w:val="en-GB"/>
              </w:rPr>
              <w:lastRenderedPageBreak/>
              <w:t xml:space="preserve">Brisk and relatively </w:t>
            </w:r>
            <w:r>
              <w:rPr>
                <w:lang w:val="en-GB"/>
              </w:rPr>
              <w:t xml:space="preserve">stable rate of growth of </w:t>
            </w:r>
            <w:r w:rsidRPr="00A17559">
              <w:rPr>
                <w:lang w:val="en-GB"/>
              </w:rPr>
              <w:t xml:space="preserve">sales </w:t>
            </w:r>
            <w:r>
              <w:rPr>
                <w:lang w:val="en-GB"/>
              </w:rPr>
              <w:t xml:space="preserve">in retail trade </w:t>
            </w:r>
            <w:r w:rsidRPr="00A17559">
              <w:rPr>
                <w:lang w:val="en-GB"/>
              </w:rPr>
              <w:t>persists already fifth year in a row.  </w:t>
            </w:r>
          </w:p>
          <w:p w:rsidR="006B5BE0" w:rsidRPr="00A17559" w:rsidRDefault="006B5BE0" w:rsidP="006B5BE0">
            <w:pPr>
              <w:pStyle w:val="Marginlie"/>
              <w:rPr>
                <w:lang w:val="en-GB"/>
              </w:rPr>
            </w:pPr>
          </w:p>
          <w:p w:rsidR="006B5BE0" w:rsidRPr="00A17559" w:rsidRDefault="006B5BE0" w:rsidP="006B5BE0">
            <w:pPr>
              <w:pStyle w:val="Marginlie"/>
              <w:rPr>
                <w:lang w:val="en-GB"/>
              </w:rPr>
            </w:pPr>
          </w:p>
          <w:p w:rsidR="006B5BE0" w:rsidRPr="00A17559" w:rsidRDefault="006B5BE0" w:rsidP="006B5BE0">
            <w:pPr>
              <w:pStyle w:val="Marginlie"/>
              <w:rPr>
                <w:lang w:val="en-GB"/>
              </w:rPr>
            </w:pPr>
          </w:p>
          <w:p w:rsidR="006B5BE0" w:rsidRPr="00A17559" w:rsidRDefault="006B5BE0" w:rsidP="006B5BE0">
            <w:pPr>
              <w:pStyle w:val="Marginlie"/>
              <w:rPr>
                <w:lang w:val="en-GB"/>
              </w:rPr>
            </w:pPr>
          </w:p>
          <w:p w:rsidR="006B5BE0" w:rsidRPr="00A17559" w:rsidRDefault="006B5BE0" w:rsidP="006B5BE0">
            <w:pPr>
              <w:pStyle w:val="Marginlie"/>
              <w:rPr>
                <w:lang w:val="en-GB"/>
              </w:rPr>
            </w:pPr>
            <w:r w:rsidRPr="00A17559">
              <w:rPr>
                <w:lang w:val="en-GB"/>
              </w:rPr>
              <w:t xml:space="preserve">Sales for trade of non-food goods in the CR climbed up by the fourth highest rate of growth among the EU states. </w:t>
            </w:r>
          </w:p>
        </w:tc>
        <w:tc>
          <w:tcPr>
            <w:tcW w:w="180" w:type="dxa"/>
            <w:shd w:val="clear" w:color="auto" w:fill="auto"/>
            <w:tcMar>
              <w:left w:w="0" w:type="dxa"/>
            </w:tcMar>
          </w:tcPr>
          <w:p w:rsidR="006B5BE0" w:rsidRPr="00A17559" w:rsidRDefault="006B5BE0" w:rsidP="006B5BE0">
            <w:pPr>
              <w:pStyle w:val="Textpoznpodarou"/>
              <w:jc w:val="both"/>
              <w:rPr>
                <w:spacing w:val="-4"/>
                <w:lang w:val="en-GB"/>
              </w:rPr>
            </w:pPr>
          </w:p>
        </w:tc>
        <w:tc>
          <w:tcPr>
            <w:tcW w:w="7790" w:type="dxa"/>
            <w:shd w:val="clear" w:color="auto" w:fill="auto"/>
            <w:tcMar>
              <w:left w:w="0" w:type="dxa"/>
            </w:tcMar>
          </w:tcPr>
          <w:p w:rsidR="006B5BE0" w:rsidRPr="00A17559" w:rsidRDefault="006B5BE0" w:rsidP="006B5BE0">
            <w:pPr>
              <w:spacing w:after="0"/>
              <w:rPr>
                <w:color w:val="0D0D0D" w:themeColor="text1" w:themeTint="F2"/>
                <w:spacing w:val="-7"/>
                <w:lang w:val="en-GB"/>
              </w:rPr>
            </w:pPr>
            <w:r w:rsidRPr="00A17559">
              <w:rPr>
                <w:rFonts w:cs="Arial"/>
                <w:spacing w:val="-7"/>
                <w:szCs w:val="20"/>
                <w:lang w:val="en-GB"/>
              </w:rPr>
              <w:t>Growth of purchasing power of both wages and pensions together with the positive (even though slightly weaker</w:t>
            </w:r>
            <w:r>
              <w:rPr>
                <w:rFonts w:cs="Arial"/>
                <w:spacing w:val="-7"/>
                <w:szCs w:val="20"/>
                <w:lang w:val="en-GB"/>
              </w:rPr>
              <w:t>)</w:t>
            </w:r>
            <w:r w:rsidRPr="00A17559">
              <w:rPr>
                <w:rFonts w:cs="Arial"/>
                <w:spacing w:val="-7"/>
                <w:szCs w:val="20"/>
                <w:lang w:val="en-GB"/>
              </w:rPr>
              <w:t xml:space="preserve"> consumer confidence balance resulted in 5.2% year-on-year growth of sales </w:t>
            </w:r>
            <w:r>
              <w:rPr>
                <w:rFonts w:cs="Arial"/>
                <w:spacing w:val="-7"/>
                <w:szCs w:val="20"/>
                <w:lang w:val="en-GB"/>
              </w:rPr>
              <w:t>in retail trade</w:t>
            </w:r>
            <w:r w:rsidRPr="00A17559">
              <w:rPr>
                <w:rFonts w:cs="Arial"/>
                <w:spacing w:val="-7"/>
                <w:szCs w:val="20"/>
                <w:lang w:val="en-GB"/>
              </w:rPr>
              <w:t xml:space="preserve"> in H1</w:t>
            </w:r>
            <w:r w:rsidRPr="00A17559">
              <w:rPr>
                <w:rStyle w:val="Znakapoznpodarou"/>
                <w:spacing w:val="-7"/>
                <w:lang w:val="en-GB"/>
              </w:rPr>
              <w:footnoteReference w:id="26"/>
            </w:r>
            <w:r w:rsidRPr="00A17559">
              <w:rPr>
                <w:rFonts w:cs="Arial"/>
                <w:spacing w:val="-7"/>
                <w:szCs w:val="20"/>
                <w:lang w:val="en-GB"/>
              </w:rPr>
              <w:t>. The sales have maintained similar pace already for five years.  Sale of non-food goods (with the growth of 8.0%, even 9.2% in Q1</w:t>
            </w:r>
            <w:r>
              <w:rPr>
                <w:rFonts w:cs="Arial"/>
                <w:spacing w:val="-7"/>
                <w:szCs w:val="20"/>
                <w:lang w:val="en-GB"/>
              </w:rPr>
              <w:t xml:space="preserve"> 2019</w:t>
            </w:r>
            <w:r w:rsidRPr="00A17559">
              <w:rPr>
                <w:rFonts w:cs="Arial"/>
                <w:spacing w:val="-7"/>
                <w:szCs w:val="20"/>
                <w:lang w:val="en-GB"/>
              </w:rPr>
              <w:t xml:space="preserve">) traditionally contributed the most to the year-on-year strengthening of retail in the CR. </w:t>
            </w:r>
            <w:r w:rsidRPr="00A17559">
              <w:rPr>
                <w:color w:val="0D0D0D" w:themeColor="text1" w:themeTint="F2"/>
                <w:spacing w:val="-7"/>
                <w:lang w:val="en-GB"/>
              </w:rPr>
              <w:t xml:space="preserve">Its half-year growth more than doubled the rate of growth in the EU and among the Union states, only Lithuania (9.9%), Romania (9.7%) and Hungary (8.4%) recorded higher value. All types of specialised shops prospered, especially those with computer and communication equipment (+10.6%). Retail sale of cultural and recreation goods fared even better (11.5%), especially thanks to strong sales in Q1, which were stimulated by a fast onset of the Spring season. Only specialised shops with food experienced a moderate decline (by 1.2%). Total sales for food were however growing (+2.3%), similarly to the last year. On the contrary, the decreased dynamics concerned sale of automotive fuel, which increased year-on-year only by 2.2% (the least since the half of year 2014) in Q2 itself. Sales </w:t>
            </w:r>
            <w:r>
              <w:rPr>
                <w:color w:val="0D0D0D" w:themeColor="text1" w:themeTint="F2"/>
                <w:spacing w:val="-7"/>
                <w:lang w:val="en-GB"/>
              </w:rPr>
              <w:t>for sale and repair</w:t>
            </w:r>
            <w:r w:rsidRPr="00A17559">
              <w:rPr>
                <w:color w:val="0D0D0D" w:themeColor="text1" w:themeTint="F2"/>
                <w:spacing w:val="-7"/>
                <w:lang w:val="en-GB"/>
              </w:rPr>
              <w:t xml:space="preserve"> of motor vehicles continued falling similarly to the last year, however their fall already halted in the quarter-on-quarter expression this year. </w:t>
            </w:r>
          </w:p>
          <w:p w:rsidR="006B5BE0" w:rsidRPr="00A17559" w:rsidRDefault="006B5BE0" w:rsidP="006B5BE0">
            <w:pPr>
              <w:spacing w:after="0"/>
              <w:rPr>
                <w:rFonts w:cs="Arial"/>
                <w:spacing w:val="-7"/>
                <w:sz w:val="14"/>
                <w:szCs w:val="14"/>
                <w:lang w:val="en-GB"/>
              </w:rPr>
            </w:pPr>
          </w:p>
        </w:tc>
      </w:tr>
    </w:tbl>
    <w:p w:rsidR="00A50D73" w:rsidRPr="00A17559" w:rsidRDefault="00A50D73" w:rsidP="006B5BE0">
      <w:pPr>
        <w:pStyle w:val="Nadpis11"/>
        <w:rPr>
          <w:sz w:val="2"/>
          <w:szCs w:val="2"/>
          <w:lang w:val="en-GB"/>
        </w:rPr>
      </w:pPr>
    </w:p>
    <w:sectPr w:rsidR="00A50D73" w:rsidRPr="00A17559" w:rsidSect="006B5BE0">
      <w:headerReference w:type="even" r:id="rId13"/>
      <w:headerReference w:type="default" r:id="rId14"/>
      <w:footerReference w:type="even" r:id="rId15"/>
      <w:footerReference w:type="default" r:id="rId16"/>
      <w:pgSz w:w="11906" w:h="16838" w:code="9"/>
      <w:pgMar w:top="1134" w:right="1134" w:bottom="1418" w:left="1134" w:header="680" w:footer="737" w:gutter="0"/>
      <w:pgNumType w:start="9"/>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A60E42" w16cid:durableId="211A8B45"/>
  <w16cid:commentId w16cid:paraId="0353E24E" w16cid:durableId="211BEE38"/>
  <w16cid:commentId w16cid:paraId="1C386A8F" w16cid:durableId="211A9076"/>
  <w16cid:commentId w16cid:paraId="2A0C002C" w16cid:durableId="211A973A"/>
  <w16cid:commentId w16cid:paraId="706065F0" w16cid:durableId="211A91DA"/>
  <w16cid:commentId w16cid:paraId="22EE5AE9" w16cid:durableId="211B6626"/>
  <w16cid:commentId w16cid:paraId="6884C1E2" w16cid:durableId="211B675E"/>
  <w16cid:commentId w16cid:paraId="6C0EBCAF" w16cid:durableId="211B7A37"/>
  <w16cid:commentId w16cid:paraId="2CEF0B27" w16cid:durableId="211B750B"/>
  <w16cid:commentId w16cid:paraId="3634956F" w16cid:durableId="211BCF1B"/>
  <w16cid:commentId w16cid:paraId="07C1F79B" w16cid:durableId="211BEA3A"/>
  <w16cid:commentId w16cid:paraId="0D4FABC8" w16cid:durableId="211CBB71"/>
  <w16cid:commentId w16cid:paraId="76EE34F0" w16cid:durableId="211CB0AE"/>
  <w16cid:commentId w16cid:paraId="3E708163" w16cid:durableId="211CB1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040" w:rsidRDefault="005A5040" w:rsidP="00E71A58">
      <w:r>
        <w:separator/>
      </w:r>
    </w:p>
  </w:endnote>
  <w:endnote w:type="continuationSeparator" w:id="0">
    <w:p w:rsidR="005A5040" w:rsidRDefault="005A5040"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624" w:rsidRPr="00932443" w:rsidRDefault="00665624" w:rsidP="00A418BC">
    <w:pPr>
      <w:pStyle w:val="Zpat"/>
      <w:rPr>
        <w:szCs w:val="16"/>
      </w:rPr>
    </w:pPr>
    <w:r>
      <w:rPr>
        <w:szCs w:val="16"/>
        <w:lang w:eastAsia="cs-CZ"/>
      </w:rPr>
      <w:drawing>
        <wp:anchor distT="0" distB="0" distL="114300" distR="114300" simplePos="0" relativeHeight="251667968" behindDoc="0" locked="0" layoutInCell="1" allowOverlap="1" wp14:anchorId="2E2F047C" wp14:editId="5CCBCB0F">
          <wp:simplePos x="0" y="0"/>
          <wp:positionH relativeFrom="column">
            <wp:align>right</wp:align>
          </wp:positionH>
          <wp:positionV relativeFrom="paragraph">
            <wp:posOffset>-64770</wp:posOffset>
          </wp:positionV>
          <wp:extent cx="428625" cy="201295"/>
          <wp:effectExtent l="0" t="0" r="3175" b="1905"/>
          <wp:wrapNone/>
          <wp:docPr id="4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BD5609">
      <w:rPr>
        <w:szCs w:val="16"/>
      </w:rPr>
      <w:t>14</w:t>
    </w:r>
    <w:r w:rsidRPr="00932443">
      <w:rPr>
        <w:szCs w:val="16"/>
      </w:rPr>
      <w:fldChar w:fldCharType="end"/>
    </w:r>
    <w:r w:rsidRPr="00932443">
      <w:rPr>
        <w:szCs w:val="16"/>
      </w:rPr>
      <w:tab/>
    </w:r>
    <w:r>
      <w:rPr>
        <w:szCs w:val="16"/>
      </w:rPr>
      <w:t>First half of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624" w:rsidRPr="00932443" w:rsidRDefault="00665624" w:rsidP="00FA6CB6">
    <w:pPr>
      <w:pStyle w:val="Zpat"/>
      <w:rPr>
        <w:szCs w:val="16"/>
      </w:rPr>
    </w:pPr>
    <w:r w:rsidRPr="00FA6CB6">
      <w:rPr>
        <w:szCs w:val="16"/>
      </w:rPr>
      <w:tab/>
    </w:r>
    <w:r>
      <w:rPr>
        <w:szCs w:val="16"/>
      </w:rPr>
      <w:t xml:space="preserve">First half of </w:t>
    </w:r>
    <w:r>
      <w:rPr>
        <w:szCs w:val="16"/>
        <w:lang w:eastAsia="cs-CZ"/>
      </w:rPr>
      <w:drawing>
        <wp:anchor distT="0" distB="0" distL="114300" distR="114300" simplePos="0" relativeHeight="251658752" behindDoc="0" locked="0" layoutInCell="1" allowOverlap="1" wp14:anchorId="78509EBE" wp14:editId="47E6E033">
          <wp:simplePos x="0" y="0"/>
          <wp:positionH relativeFrom="column">
            <wp:align>left</wp:align>
          </wp:positionH>
          <wp:positionV relativeFrom="paragraph">
            <wp:posOffset>-122555</wp:posOffset>
          </wp:positionV>
          <wp:extent cx="510540" cy="272415"/>
          <wp:effectExtent l="0" t="0" r="0" b="6985"/>
          <wp:wrapNone/>
          <wp:docPr id="45"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Pr>
        <w:szCs w:val="16"/>
      </w:rPr>
      <w:t>2</w:t>
    </w:r>
    <w:r>
      <w:t>019</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BD5609">
      <w:rPr>
        <w:rStyle w:val="ZpatChar"/>
        <w:szCs w:val="16"/>
      </w:rPr>
      <w:t>13</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040" w:rsidRDefault="005A5040" w:rsidP="00A21B4D">
      <w:pPr>
        <w:spacing w:after="0"/>
      </w:pPr>
      <w:r>
        <w:separator/>
      </w:r>
    </w:p>
  </w:footnote>
  <w:footnote w:type="continuationSeparator" w:id="0">
    <w:p w:rsidR="005A5040" w:rsidRDefault="005A5040" w:rsidP="00E71A58">
      <w:r>
        <w:continuationSeparator/>
      </w:r>
    </w:p>
  </w:footnote>
  <w:footnote w:id="1">
    <w:p w:rsidR="00665624" w:rsidRPr="00BB4E54" w:rsidRDefault="00665624" w:rsidP="00BB4E54">
      <w:pPr>
        <w:pStyle w:val="Textpoznpodarou"/>
        <w:jc w:val="both"/>
        <w:rPr>
          <w:rFonts w:cs="Arial"/>
          <w:color w:val="0D0D0D" w:themeColor="text1" w:themeTint="F2"/>
          <w:spacing w:val="-2"/>
          <w:sz w:val="16"/>
          <w:szCs w:val="16"/>
          <w:lang w:val="en-GB"/>
        </w:rPr>
      </w:pPr>
      <w:r w:rsidRPr="00FB58F4">
        <w:rPr>
          <w:rStyle w:val="Znakapoznpodarou"/>
          <w:rFonts w:cs="Arial"/>
          <w:color w:val="0D0D0D" w:themeColor="text1" w:themeTint="F2"/>
          <w:spacing w:val="-2"/>
          <w:sz w:val="16"/>
          <w:szCs w:val="16"/>
        </w:rPr>
        <w:footnoteRef/>
      </w:r>
      <w:r w:rsidRPr="00FB58F4">
        <w:rPr>
          <w:rFonts w:cs="Arial"/>
          <w:color w:val="0D0D0D" w:themeColor="text1" w:themeTint="F2"/>
          <w:spacing w:val="-2"/>
          <w:sz w:val="16"/>
          <w:szCs w:val="16"/>
        </w:rPr>
        <w:t xml:space="preserve"> </w:t>
      </w:r>
      <w:r w:rsidRPr="00BB4E54">
        <w:rPr>
          <w:rFonts w:cs="Arial"/>
          <w:color w:val="0D0D0D" w:themeColor="text1" w:themeTint="F2"/>
          <w:spacing w:val="-2"/>
          <w:sz w:val="16"/>
          <w:szCs w:val="16"/>
          <w:lang w:val="en-GB"/>
        </w:rPr>
        <w:t xml:space="preserve">GVA data are expressed in constant prices and adjusted for seasonal and calendar effects. </w:t>
      </w:r>
    </w:p>
  </w:footnote>
  <w:footnote w:id="2">
    <w:p w:rsidR="00665624" w:rsidRPr="00BB4E54" w:rsidRDefault="00665624" w:rsidP="00BB4E54">
      <w:pPr>
        <w:pStyle w:val="Textpoznpodarou"/>
        <w:jc w:val="both"/>
        <w:rPr>
          <w:rFonts w:cs="Arial"/>
          <w:color w:val="0D0D0D" w:themeColor="text1" w:themeTint="F2"/>
          <w:spacing w:val="-2"/>
          <w:sz w:val="16"/>
          <w:szCs w:val="16"/>
          <w:lang w:val="en-GB"/>
        </w:rPr>
      </w:pPr>
      <w:r w:rsidRPr="00BB4E54">
        <w:rPr>
          <w:rStyle w:val="Znakapoznpodarou"/>
          <w:rFonts w:cs="Arial"/>
          <w:color w:val="0D0D0D" w:themeColor="text1" w:themeTint="F2"/>
          <w:spacing w:val="-2"/>
          <w:sz w:val="16"/>
          <w:szCs w:val="16"/>
          <w:lang w:val="en-GB"/>
        </w:rPr>
        <w:footnoteRef/>
      </w:r>
      <w:r w:rsidRPr="00BB4E54">
        <w:rPr>
          <w:rFonts w:cs="Arial"/>
          <w:color w:val="0D0D0D" w:themeColor="text1" w:themeTint="F2"/>
          <w:spacing w:val="-2"/>
          <w:sz w:val="16"/>
          <w:szCs w:val="16"/>
          <w:lang w:val="en-GB"/>
        </w:rPr>
        <w:t xml:space="preserve"> Growth of total value added in these groupings notably slowed already during the whole l</w:t>
      </w:r>
      <w:r>
        <w:rPr>
          <w:rFonts w:cs="Arial"/>
          <w:color w:val="0D0D0D" w:themeColor="text1" w:themeTint="F2"/>
          <w:spacing w:val="-2"/>
          <w:sz w:val="16"/>
          <w:szCs w:val="16"/>
          <w:lang w:val="en-GB"/>
        </w:rPr>
        <w:t>ast year. I</w:t>
      </w:r>
      <w:r w:rsidRPr="00BB4E54">
        <w:rPr>
          <w:rFonts w:cs="Arial"/>
          <w:color w:val="0D0D0D" w:themeColor="text1" w:themeTint="F2"/>
          <w:spacing w:val="-2"/>
          <w:sz w:val="16"/>
          <w:szCs w:val="16"/>
          <w:lang w:val="en-GB"/>
        </w:rPr>
        <w:t xml:space="preserve">t achieved weak 1.2% in the euro area countries in its last quarter, even 0.5% only in Germany. The similar rates fell to 1.1%, resp. 0.3% in Q2 2019, worse </w:t>
      </w:r>
      <w:r>
        <w:rPr>
          <w:rFonts w:cs="Arial"/>
          <w:color w:val="0D0D0D" w:themeColor="text1" w:themeTint="F2"/>
          <w:spacing w:val="-2"/>
          <w:sz w:val="16"/>
          <w:szCs w:val="16"/>
          <w:lang w:val="en-GB"/>
        </w:rPr>
        <w:t>results were reached</w:t>
      </w:r>
      <w:r w:rsidRPr="00BB4E54">
        <w:rPr>
          <w:rFonts w:cs="Arial"/>
          <w:color w:val="0D0D0D" w:themeColor="text1" w:themeTint="F2"/>
          <w:spacing w:val="-2"/>
          <w:sz w:val="16"/>
          <w:szCs w:val="16"/>
          <w:lang w:val="en-GB"/>
        </w:rPr>
        <w:t xml:space="preserve"> </w:t>
      </w:r>
      <w:r>
        <w:rPr>
          <w:rFonts w:cs="Arial"/>
          <w:color w:val="0D0D0D" w:themeColor="text1" w:themeTint="F2"/>
          <w:spacing w:val="-2"/>
          <w:sz w:val="16"/>
          <w:szCs w:val="16"/>
          <w:lang w:val="en-GB"/>
        </w:rPr>
        <w:t xml:space="preserve">lastly </w:t>
      </w:r>
      <w:r w:rsidRPr="00BB4E54">
        <w:rPr>
          <w:rFonts w:cs="Arial"/>
          <w:color w:val="0D0D0D" w:themeColor="text1" w:themeTint="F2"/>
          <w:spacing w:val="-2"/>
          <w:sz w:val="16"/>
          <w:szCs w:val="16"/>
          <w:lang w:val="en-GB"/>
        </w:rPr>
        <w:t>in year 2013.</w:t>
      </w:r>
    </w:p>
  </w:footnote>
  <w:footnote w:id="3">
    <w:p w:rsidR="00665624" w:rsidRPr="00B90B7C" w:rsidRDefault="00665624" w:rsidP="008402AD">
      <w:pPr>
        <w:pStyle w:val="Textpoznpodarou"/>
        <w:jc w:val="both"/>
        <w:rPr>
          <w:rFonts w:cs="Arial"/>
          <w:color w:val="0D0D0D" w:themeColor="text1" w:themeTint="F2"/>
          <w:spacing w:val="-2"/>
          <w:sz w:val="16"/>
          <w:szCs w:val="16"/>
          <w:lang w:val="en-GB"/>
        </w:rPr>
      </w:pPr>
      <w:r w:rsidRPr="00FB58F4">
        <w:rPr>
          <w:rStyle w:val="Znakapoznpodarou"/>
          <w:rFonts w:cs="Arial"/>
          <w:color w:val="0D0D0D" w:themeColor="text1" w:themeTint="F2"/>
          <w:spacing w:val="-2"/>
          <w:sz w:val="16"/>
          <w:szCs w:val="16"/>
        </w:rPr>
        <w:footnoteRef/>
      </w:r>
      <w:r>
        <w:rPr>
          <w:rFonts w:cs="Arial"/>
          <w:color w:val="0D0D0D" w:themeColor="text1" w:themeTint="F2"/>
          <w:spacing w:val="-2"/>
          <w:sz w:val="16"/>
          <w:szCs w:val="16"/>
        </w:rPr>
        <w:t xml:space="preserve"> </w:t>
      </w:r>
      <w:r w:rsidRPr="00B90B7C">
        <w:rPr>
          <w:rFonts w:cs="Arial"/>
          <w:color w:val="0D0D0D" w:themeColor="text1" w:themeTint="F2"/>
          <w:spacing w:val="-2"/>
          <w:sz w:val="16"/>
          <w:szCs w:val="16"/>
          <w:lang w:val="en-GB"/>
        </w:rPr>
        <w:t xml:space="preserve">According to the July CZSO harvest estimates, the production of the first harvested cereal (winter barley) increased by 21% year-on-year this year. The sowing area expanded by 5%, estimate of the per hectare yield was 5.74 t/ha (year-on-year +15%, +13% against the ten year average). Winter barely comprised below 8% of the total harvest of basic cereals in the CR last year. </w:t>
      </w:r>
      <w:r>
        <w:rPr>
          <w:rFonts w:cs="Arial"/>
          <w:color w:val="0D0D0D" w:themeColor="text1" w:themeTint="F2"/>
          <w:spacing w:val="-2"/>
          <w:sz w:val="16"/>
          <w:szCs w:val="16"/>
          <w:lang w:val="en-GB"/>
        </w:rPr>
        <w:t xml:space="preserve">According to the operative report of the Ministry of Agriculture, </w:t>
      </w:r>
      <w:r w:rsidRPr="00B90B7C">
        <w:rPr>
          <w:rFonts w:cs="Arial"/>
          <w:color w:val="0D0D0D" w:themeColor="text1" w:themeTint="F2"/>
          <w:spacing w:val="-2"/>
          <w:sz w:val="16"/>
          <w:szCs w:val="16"/>
          <w:lang w:val="en-GB"/>
        </w:rPr>
        <w:t>36%</w:t>
      </w:r>
      <w:r>
        <w:rPr>
          <w:rFonts w:cs="Arial"/>
          <w:color w:val="0D0D0D" w:themeColor="text1" w:themeTint="F2"/>
          <w:spacing w:val="-2"/>
          <w:sz w:val="16"/>
          <w:szCs w:val="16"/>
          <w:lang w:val="en-GB"/>
        </w:rPr>
        <w:t xml:space="preserve"> of this crop was harvested at the end of the first July week. Harvests started slightly later this year in comparison to the last year. </w:t>
      </w:r>
    </w:p>
  </w:footnote>
  <w:footnote w:id="4">
    <w:p w:rsidR="00665624" w:rsidRPr="004D5EEF" w:rsidRDefault="00665624" w:rsidP="008402AD">
      <w:pPr>
        <w:pStyle w:val="Textpoznpodarou"/>
        <w:jc w:val="both"/>
        <w:rPr>
          <w:rFonts w:cs="Arial"/>
          <w:color w:val="0D0D0D" w:themeColor="text1" w:themeTint="F2"/>
          <w:spacing w:val="-2"/>
          <w:sz w:val="16"/>
          <w:szCs w:val="16"/>
          <w:lang w:val="en-GB"/>
        </w:rPr>
      </w:pPr>
      <w:r w:rsidRPr="00FB58F4">
        <w:rPr>
          <w:rStyle w:val="Znakapoznpodarou"/>
          <w:rFonts w:cs="Arial"/>
          <w:color w:val="0D0D0D" w:themeColor="text1" w:themeTint="F2"/>
          <w:spacing w:val="-2"/>
          <w:sz w:val="16"/>
          <w:szCs w:val="16"/>
        </w:rPr>
        <w:footnoteRef/>
      </w:r>
      <w:r>
        <w:rPr>
          <w:rFonts w:cs="Arial"/>
          <w:color w:val="0D0D0D" w:themeColor="text1" w:themeTint="F2"/>
          <w:spacing w:val="-2"/>
          <w:sz w:val="16"/>
          <w:szCs w:val="16"/>
        </w:rPr>
        <w:t xml:space="preserve"> </w:t>
      </w:r>
      <w:r w:rsidRPr="00B403C5">
        <w:rPr>
          <w:rFonts w:cs="Arial"/>
          <w:color w:val="0D0D0D" w:themeColor="text1" w:themeTint="F2"/>
          <w:spacing w:val="-2"/>
          <w:sz w:val="16"/>
          <w:szCs w:val="16"/>
          <w:lang w:val="en-GB"/>
        </w:rPr>
        <w:t>Industrial businesses realised nearly 60% of their sales through direct export in the CR in H1 2019 (for some branches – manufacture of transport vehicles, electrical equipment or manu</w:t>
      </w:r>
      <w:r>
        <w:rPr>
          <w:rFonts w:cs="Arial"/>
          <w:color w:val="0D0D0D" w:themeColor="text1" w:themeTint="F2"/>
          <w:spacing w:val="-2"/>
          <w:sz w:val="16"/>
          <w:szCs w:val="16"/>
          <w:lang w:val="en-GB"/>
        </w:rPr>
        <w:t>facturing of computers, electronic</w:t>
      </w:r>
      <w:r w:rsidRPr="00B403C5">
        <w:rPr>
          <w:rFonts w:cs="Arial"/>
          <w:color w:val="0D0D0D" w:themeColor="text1" w:themeTint="F2"/>
          <w:spacing w:val="-2"/>
          <w:sz w:val="16"/>
          <w:szCs w:val="16"/>
          <w:lang w:val="en-GB"/>
        </w:rPr>
        <w:t xml:space="preserve"> and optical equipment – it was three quarters, even over</w:t>
      </w:r>
      <w:r>
        <w:rPr>
          <w:rFonts w:cs="Arial"/>
          <w:color w:val="0D0D0D" w:themeColor="text1" w:themeTint="F2"/>
          <w:spacing w:val="-2"/>
          <w:sz w:val="16"/>
          <w:szCs w:val="16"/>
        </w:rPr>
        <w:t xml:space="preserve"> </w:t>
      </w:r>
      <w:r w:rsidRPr="004D5EEF">
        <w:rPr>
          <w:rFonts w:cs="Arial"/>
          <w:color w:val="0D0D0D" w:themeColor="text1" w:themeTint="F2"/>
          <w:spacing w:val="-2"/>
          <w:sz w:val="16"/>
          <w:szCs w:val="16"/>
          <w:lang w:val="en-GB"/>
        </w:rPr>
        <w:t>80% in pharmaceutical or leather manufacturing). Further part of sales was also associated with the foreign deman</w:t>
      </w:r>
      <w:r>
        <w:rPr>
          <w:rFonts w:cs="Arial"/>
          <w:color w:val="0D0D0D" w:themeColor="text1" w:themeTint="F2"/>
          <w:spacing w:val="-2"/>
          <w:sz w:val="16"/>
          <w:szCs w:val="16"/>
          <w:lang w:val="en-GB"/>
        </w:rPr>
        <w:t>d</w:t>
      </w:r>
      <w:r w:rsidRPr="004D5EEF">
        <w:rPr>
          <w:rFonts w:cs="Arial"/>
          <w:color w:val="0D0D0D" w:themeColor="text1" w:themeTint="F2"/>
          <w:spacing w:val="-2"/>
          <w:sz w:val="16"/>
          <w:szCs w:val="16"/>
          <w:lang w:val="en-GB"/>
        </w:rPr>
        <w:t xml:space="preserve"> and realised in the form of indirect exports. </w:t>
      </w:r>
    </w:p>
  </w:footnote>
  <w:footnote w:id="5">
    <w:p w:rsidR="00665624" w:rsidRPr="006139DE" w:rsidRDefault="00665624" w:rsidP="008402AD">
      <w:pPr>
        <w:pStyle w:val="Textpoznpodarou"/>
        <w:jc w:val="both"/>
        <w:rPr>
          <w:rFonts w:cs="Arial"/>
          <w:color w:val="0D0D0D" w:themeColor="text1" w:themeTint="F2"/>
          <w:spacing w:val="-2"/>
          <w:sz w:val="16"/>
          <w:szCs w:val="16"/>
          <w:lang w:val="en-GB"/>
        </w:rPr>
      </w:pPr>
      <w:r w:rsidRPr="006139DE">
        <w:rPr>
          <w:rStyle w:val="Znakapoznpodarou"/>
          <w:rFonts w:cs="Arial"/>
          <w:color w:val="0D0D0D" w:themeColor="text1" w:themeTint="F2"/>
          <w:spacing w:val="-2"/>
          <w:sz w:val="16"/>
          <w:szCs w:val="16"/>
          <w:lang w:val="en-GB"/>
        </w:rPr>
        <w:footnoteRef/>
      </w:r>
      <w:r w:rsidRPr="006139DE">
        <w:rPr>
          <w:rFonts w:cs="Arial"/>
          <w:color w:val="0D0D0D" w:themeColor="text1" w:themeTint="F2"/>
          <w:spacing w:val="-2"/>
          <w:sz w:val="16"/>
          <w:szCs w:val="16"/>
          <w:lang w:val="en-GB"/>
        </w:rPr>
        <w:t xml:space="preserve"> According to the national conception of the foreign trade, 31.4% of the whole goods export (</w:t>
      </w:r>
      <w:r>
        <w:rPr>
          <w:rFonts w:cs="Arial"/>
          <w:color w:val="0D0D0D" w:themeColor="text1" w:themeTint="F2"/>
          <w:spacing w:val="-2"/>
          <w:sz w:val="16"/>
          <w:szCs w:val="16"/>
          <w:lang w:val="en-GB"/>
        </w:rPr>
        <w:t>comprised in overwhelming majority by industrial products</w:t>
      </w:r>
      <w:r w:rsidRPr="006139DE">
        <w:rPr>
          <w:rFonts w:cs="Arial"/>
          <w:color w:val="0D0D0D" w:themeColor="text1" w:themeTint="F2"/>
          <w:spacing w:val="-2"/>
          <w:sz w:val="16"/>
          <w:szCs w:val="16"/>
          <w:lang w:val="en-GB"/>
        </w:rPr>
        <w:t xml:space="preserve">) </w:t>
      </w:r>
      <w:r>
        <w:rPr>
          <w:rFonts w:cs="Arial"/>
          <w:color w:val="0D0D0D" w:themeColor="text1" w:themeTint="F2"/>
          <w:spacing w:val="-2"/>
          <w:sz w:val="16"/>
          <w:szCs w:val="16"/>
          <w:lang w:val="en-GB"/>
        </w:rPr>
        <w:t xml:space="preserve">was directed </w:t>
      </w:r>
      <w:r w:rsidRPr="006139DE">
        <w:rPr>
          <w:rFonts w:cs="Arial"/>
          <w:color w:val="0D0D0D" w:themeColor="text1" w:themeTint="F2"/>
          <w:spacing w:val="-2"/>
          <w:sz w:val="16"/>
          <w:szCs w:val="16"/>
          <w:lang w:val="en-GB"/>
        </w:rPr>
        <w:t>to Germany in H1</w:t>
      </w:r>
      <w:r>
        <w:rPr>
          <w:rFonts w:cs="Arial"/>
          <w:color w:val="0D0D0D" w:themeColor="text1" w:themeTint="F2"/>
          <w:spacing w:val="-2"/>
          <w:sz w:val="16"/>
          <w:szCs w:val="16"/>
          <w:lang w:val="en-GB"/>
        </w:rPr>
        <w:t xml:space="preserve"> 2019</w:t>
      </w:r>
      <w:r w:rsidRPr="006139DE">
        <w:rPr>
          <w:rFonts w:cs="Arial"/>
          <w:color w:val="0D0D0D" w:themeColor="text1" w:themeTint="F2"/>
          <w:spacing w:val="-2"/>
          <w:sz w:val="16"/>
          <w:szCs w:val="16"/>
          <w:lang w:val="en-GB"/>
        </w:rPr>
        <w:t xml:space="preserve">, even 65.7% to euro area countries. Both shares remain relatively stable in the current decade. </w:t>
      </w:r>
    </w:p>
  </w:footnote>
  <w:footnote w:id="6">
    <w:p w:rsidR="00665624" w:rsidRPr="006139DE" w:rsidRDefault="00665624" w:rsidP="008402AD">
      <w:pPr>
        <w:pStyle w:val="Textpoznpodarou"/>
        <w:jc w:val="both"/>
        <w:rPr>
          <w:rFonts w:cs="Arial"/>
          <w:color w:val="0D0D0D" w:themeColor="text1" w:themeTint="F2"/>
          <w:spacing w:val="-2"/>
          <w:sz w:val="16"/>
          <w:szCs w:val="16"/>
          <w:lang w:val="en-GB"/>
        </w:rPr>
      </w:pPr>
      <w:r w:rsidRPr="006139DE">
        <w:rPr>
          <w:rStyle w:val="Znakapoznpodarou"/>
          <w:rFonts w:cs="Arial"/>
          <w:color w:val="0D0D0D" w:themeColor="text1" w:themeTint="F2"/>
          <w:spacing w:val="-2"/>
          <w:sz w:val="16"/>
          <w:szCs w:val="16"/>
          <w:lang w:val="en-GB"/>
        </w:rPr>
        <w:footnoteRef/>
      </w:r>
      <w:r w:rsidRPr="006139DE">
        <w:rPr>
          <w:rFonts w:cs="Arial"/>
          <w:color w:val="0D0D0D" w:themeColor="text1" w:themeTint="F2"/>
          <w:spacing w:val="-2"/>
          <w:sz w:val="16"/>
          <w:szCs w:val="16"/>
          <w:lang w:val="en-GB"/>
        </w:rPr>
        <w:t xml:space="preserve"> </w:t>
      </w:r>
      <w:r>
        <w:rPr>
          <w:rFonts w:cs="Arial"/>
          <w:color w:val="0D0D0D" w:themeColor="text1" w:themeTint="F2"/>
          <w:spacing w:val="-2"/>
          <w:sz w:val="16"/>
          <w:szCs w:val="16"/>
          <w:lang w:val="en-GB"/>
        </w:rPr>
        <w:t xml:space="preserve">Includes branches of Mining and quarrying, Manufacturing and also Energetics </w:t>
      </w:r>
      <w:r w:rsidRPr="006139DE">
        <w:rPr>
          <w:rFonts w:cs="Arial"/>
          <w:color w:val="0D0D0D" w:themeColor="text1" w:themeTint="F2"/>
          <w:spacing w:val="-2"/>
          <w:sz w:val="16"/>
          <w:szCs w:val="16"/>
          <w:lang w:val="en-GB"/>
        </w:rPr>
        <w:t>(</w:t>
      </w:r>
      <w:r>
        <w:rPr>
          <w:rFonts w:cs="Arial"/>
          <w:color w:val="0D0D0D" w:themeColor="text1" w:themeTint="F2"/>
          <w:spacing w:val="-2"/>
          <w:sz w:val="16"/>
          <w:szCs w:val="16"/>
          <w:lang w:val="en-GB"/>
        </w:rPr>
        <w:t>here assumed as a branch of manufacturing and distribution of electricity, gas, heat and air conditioning)</w:t>
      </w:r>
      <w:r w:rsidRPr="006139DE">
        <w:rPr>
          <w:rFonts w:cs="Arial"/>
          <w:color w:val="0D0D0D" w:themeColor="text1" w:themeTint="F2"/>
          <w:spacing w:val="-2"/>
          <w:sz w:val="16"/>
          <w:szCs w:val="16"/>
          <w:lang w:val="en-GB"/>
        </w:rPr>
        <w:t xml:space="preserve">. </w:t>
      </w:r>
      <w:r>
        <w:rPr>
          <w:rFonts w:cs="Arial"/>
          <w:color w:val="0D0D0D" w:themeColor="text1" w:themeTint="F2"/>
          <w:spacing w:val="-2"/>
          <w:sz w:val="16"/>
          <w:szCs w:val="16"/>
          <w:lang w:val="en-GB"/>
        </w:rPr>
        <w:t xml:space="preserve">All year-on-year rates of growth of output </w:t>
      </w:r>
      <w:r w:rsidRPr="006139DE">
        <w:rPr>
          <w:rFonts w:cs="Arial"/>
          <w:color w:val="0D0D0D" w:themeColor="text1" w:themeTint="F2"/>
          <w:spacing w:val="-2"/>
          <w:sz w:val="16"/>
          <w:szCs w:val="16"/>
          <w:lang w:val="en-GB"/>
        </w:rPr>
        <w:t>(</w:t>
      </w:r>
      <w:r>
        <w:rPr>
          <w:rFonts w:cs="Arial"/>
          <w:color w:val="0D0D0D" w:themeColor="text1" w:themeTint="F2"/>
          <w:spacing w:val="-2"/>
          <w:sz w:val="16"/>
          <w:szCs w:val="16"/>
          <w:lang w:val="en-GB"/>
        </w:rPr>
        <w:t>at the level of both the branch sections and divisions</w:t>
      </w:r>
      <w:r w:rsidRPr="006139DE">
        <w:rPr>
          <w:rFonts w:cs="Arial"/>
          <w:color w:val="0D0D0D" w:themeColor="text1" w:themeTint="F2"/>
          <w:spacing w:val="-2"/>
          <w:sz w:val="16"/>
          <w:szCs w:val="16"/>
          <w:lang w:val="en-GB"/>
        </w:rPr>
        <w:t xml:space="preserve">) </w:t>
      </w:r>
      <w:r>
        <w:rPr>
          <w:rFonts w:cs="Arial"/>
          <w:color w:val="0D0D0D" w:themeColor="text1" w:themeTint="F2"/>
          <w:spacing w:val="-2"/>
          <w:sz w:val="16"/>
          <w:szCs w:val="16"/>
          <w:lang w:val="en-GB"/>
        </w:rPr>
        <w:t xml:space="preserve">are adjusted for calendar effects, quarter-on-quarter rates are then also seasonally adjusted. </w:t>
      </w:r>
    </w:p>
  </w:footnote>
  <w:footnote w:id="7">
    <w:p w:rsidR="00665624" w:rsidRPr="006139DE" w:rsidRDefault="00665624" w:rsidP="008402AD">
      <w:pPr>
        <w:pStyle w:val="Textpoznpodarou"/>
        <w:jc w:val="both"/>
        <w:rPr>
          <w:rFonts w:cs="Arial"/>
          <w:color w:val="0D0D0D" w:themeColor="text1" w:themeTint="F2"/>
          <w:spacing w:val="-2"/>
          <w:sz w:val="16"/>
          <w:szCs w:val="16"/>
          <w:lang w:val="en-GB"/>
        </w:rPr>
      </w:pPr>
      <w:r w:rsidRPr="006139DE">
        <w:rPr>
          <w:rStyle w:val="Znakapoznpodarou"/>
          <w:rFonts w:cs="Arial"/>
          <w:color w:val="0D0D0D" w:themeColor="text1" w:themeTint="F2"/>
          <w:spacing w:val="-2"/>
          <w:sz w:val="16"/>
          <w:szCs w:val="16"/>
          <w:lang w:val="en-GB"/>
        </w:rPr>
        <w:footnoteRef/>
      </w:r>
      <w:r w:rsidRPr="006139DE">
        <w:rPr>
          <w:rFonts w:cs="Arial"/>
          <w:color w:val="0D0D0D" w:themeColor="text1" w:themeTint="F2"/>
          <w:spacing w:val="-2"/>
          <w:sz w:val="16"/>
          <w:szCs w:val="16"/>
          <w:lang w:val="en-GB"/>
        </w:rPr>
        <w:t xml:space="preserve"> </w:t>
      </w:r>
      <w:r>
        <w:rPr>
          <w:rFonts w:cs="Arial"/>
          <w:color w:val="0D0D0D" w:themeColor="text1" w:themeTint="F2"/>
          <w:spacing w:val="-2"/>
          <w:sz w:val="16"/>
          <w:szCs w:val="16"/>
          <w:lang w:val="en-GB"/>
        </w:rPr>
        <w:t>Businesses thus reacted with a lag on the situation in the euro area</w:t>
      </w:r>
      <w:r w:rsidRPr="006139DE">
        <w:rPr>
          <w:rFonts w:cs="Arial"/>
          <w:color w:val="0D0D0D" w:themeColor="text1" w:themeTint="F2"/>
          <w:spacing w:val="-2"/>
          <w:sz w:val="16"/>
          <w:szCs w:val="16"/>
          <w:lang w:val="en-GB"/>
        </w:rPr>
        <w:t xml:space="preserve">, </w:t>
      </w:r>
      <w:r>
        <w:rPr>
          <w:rFonts w:cs="Arial"/>
          <w:color w:val="0D0D0D" w:themeColor="text1" w:themeTint="F2"/>
          <w:spacing w:val="-2"/>
          <w:sz w:val="16"/>
          <w:szCs w:val="16"/>
          <w:lang w:val="en-GB"/>
        </w:rPr>
        <w:t xml:space="preserve">where the industrial production index in the quarter-on-quarter expression halted already at the beginning of year </w:t>
      </w:r>
      <w:r w:rsidRPr="006139DE">
        <w:rPr>
          <w:rFonts w:cs="Arial"/>
          <w:color w:val="0D0D0D" w:themeColor="text1" w:themeTint="F2"/>
          <w:spacing w:val="-2"/>
          <w:sz w:val="16"/>
          <w:szCs w:val="16"/>
          <w:lang w:val="en-GB"/>
        </w:rPr>
        <w:t>2018 a</w:t>
      </w:r>
      <w:r>
        <w:rPr>
          <w:rFonts w:cs="Arial"/>
          <w:color w:val="0D0D0D" w:themeColor="text1" w:themeTint="F2"/>
          <w:spacing w:val="-2"/>
          <w:sz w:val="16"/>
          <w:szCs w:val="16"/>
          <w:lang w:val="en-GB"/>
        </w:rPr>
        <w:t>nd also did not revive as the year progressed. On the contrary, the output decrease deepened in Q</w:t>
      </w:r>
      <w:r w:rsidRPr="006139DE">
        <w:rPr>
          <w:rFonts w:cs="Arial"/>
          <w:color w:val="0D0D0D" w:themeColor="text1" w:themeTint="F2"/>
          <w:spacing w:val="-2"/>
          <w:sz w:val="16"/>
          <w:szCs w:val="16"/>
          <w:lang w:val="en-GB"/>
        </w:rPr>
        <w:t>4</w:t>
      </w:r>
      <w:r>
        <w:rPr>
          <w:rFonts w:cs="Arial"/>
          <w:color w:val="0D0D0D" w:themeColor="text1" w:themeTint="F2"/>
          <w:spacing w:val="-2"/>
          <w:sz w:val="16"/>
          <w:szCs w:val="16"/>
          <w:lang w:val="en-GB"/>
        </w:rPr>
        <w:t xml:space="preserve"> </w:t>
      </w:r>
      <w:r w:rsidRPr="006139DE">
        <w:rPr>
          <w:rFonts w:cs="Arial"/>
          <w:color w:val="0D0D0D" w:themeColor="text1" w:themeTint="F2"/>
          <w:spacing w:val="-2"/>
          <w:sz w:val="16"/>
          <w:szCs w:val="16"/>
          <w:lang w:val="en-GB"/>
        </w:rPr>
        <w:t>(</w:t>
      </w:r>
      <w:r>
        <w:rPr>
          <w:rFonts w:cs="Arial"/>
          <w:color w:val="0D0D0D" w:themeColor="text1" w:themeTint="F2"/>
          <w:spacing w:val="-2"/>
          <w:sz w:val="16"/>
          <w:szCs w:val="16"/>
          <w:lang w:val="en-GB"/>
        </w:rPr>
        <w:t xml:space="preserve">to </w:t>
      </w:r>
      <w:r w:rsidRPr="006139DE">
        <w:rPr>
          <w:rFonts w:cs="Arial"/>
          <w:color w:val="0D0D0D" w:themeColor="text1" w:themeTint="F2"/>
          <w:spacing w:val="-2"/>
          <w:sz w:val="16"/>
          <w:szCs w:val="16"/>
          <w:lang w:val="en-GB"/>
        </w:rPr>
        <w:t>1</w:t>
      </w:r>
      <w:r>
        <w:rPr>
          <w:rFonts w:cs="Arial"/>
          <w:color w:val="0D0D0D" w:themeColor="text1" w:themeTint="F2"/>
          <w:spacing w:val="-2"/>
          <w:sz w:val="16"/>
          <w:szCs w:val="16"/>
          <w:lang w:val="en-GB"/>
        </w:rPr>
        <w:t>.</w:t>
      </w:r>
      <w:r w:rsidRPr="006139DE">
        <w:rPr>
          <w:rFonts w:cs="Arial"/>
          <w:color w:val="0D0D0D" w:themeColor="text1" w:themeTint="F2"/>
          <w:spacing w:val="-2"/>
          <w:sz w:val="16"/>
          <w:szCs w:val="16"/>
          <w:lang w:val="en-GB"/>
        </w:rPr>
        <w:t>1%) a</w:t>
      </w:r>
      <w:r>
        <w:rPr>
          <w:rFonts w:cs="Arial"/>
          <w:color w:val="0D0D0D" w:themeColor="text1" w:themeTint="F2"/>
          <w:spacing w:val="-2"/>
          <w:sz w:val="16"/>
          <w:szCs w:val="16"/>
          <w:lang w:val="en-GB"/>
        </w:rPr>
        <w:t xml:space="preserve">nd featured a year-on-year fall as well for the first time since last recession period </w:t>
      </w:r>
      <w:r w:rsidRPr="006139DE">
        <w:rPr>
          <w:rFonts w:cs="Arial"/>
          <w:color w:val="0D0D0D" w:themeColor="text1" w:themeTint="F2"/>
          <w:spacing w:val="-2"/>
          <w:sz w:val="16"/>
          <w:szCs w:val="16"/>
          <w:lang w:val="en-GB"/>
        </w:rPr>
        <w:t>(</w:t>
      </w:r>
      <w:r>
        <w:rPr>
          <w:rFonts w:cs="Arial"/>
          <w:color w:val="0D0D0D" w:themeColor="text1" w:themeTint="F2"/>
          <w:spacing w:val="-2"/>
          <w:sz w:val="16"/>
          <w:szCs w:val="16"/>
          <w:lang w:val="en-GB"/>
        </w:rPr>
        <w:t xml:space="preserve">by </w:t>
      </w:r>
      <w:r w:rsidRPr="006139DE">
        <w:rPr>
          <w:rFonts w:cs="Arial"/>
          <w:color w:val="0D0D0D" w:themeColor="text1" w:themeTint="F2"/>
          <w:spacing w:val="-2"/>
          <w:sz w:val="16"/>
          <w:szCs w:val="16"/>
          <w:lang w:val="en-GB"/>
        </w:rPr>
        <w:t>1</w:t>
      </w:r>
      <w:r>
        <w:rPr>
          <w:rFonts w:cs="Arial"/>
          <w:color w:val="0D0D0D" w:themeColor="text1" w:themeTint="F2"/>
          <w:spacing w:val="-2"/>
          <w:sz w:val="16"/>
          <w:szCs w:val="16"/>
          <w:lang w:val="en-GB"/>
        </w:rPr>
        <w:t>.</w:t>
      </w:r>
      <w:r w:rsidRPr="006139DE">
        <w:rPr>
          <w:rFonts w:cs="Arial"/>
          <w:color w:val="0D0D0D" w:themeColor="text1" w:themeTint="F2"/>
          <w:spacing w:val="-2"/>
          <w:sz w:val="16"/>
          <w:szCs w:val="16"/>
          <w:lang w:val="en-GB"/>
        </w:rPr>
        <w:t xml:space="preserve">9%). </w:t>
      </w:r>
      <w:r>
        <w:rPr>
          <w:rFonts w:cs="Arial"/>
          <w:color w:val="0D0D0D" w:themeColor="text1" w:themeTint="F2"/>
          <w:spacing w:val="-2"/>
          <w:sz w:val="16"/>
          <w:szCs w:val="16"/>
          <w:lang w:val="en-GB"/>
        </w:rPr>
        <w:t xml:space="preserve">Lowering of output occurred simultaneously also in all five largest EU economies </w:t>
      </w:r>
      <w:r w:rsidRPr="006139DE">
        <w:rPr>
          <w:rFonts w:cs="Arial"/>
          <w:color w:val="0D0D0D" w:themeColor="text1" w:themeTint="F2"/>
          <w:spacing w:val="-2"/>
          <w:sz w:val="16"/>
          <w:szCs w:val="16"/>
          <w:lang w:val="en-GB"/>
        </w:rPr>
        <w:t>(</w:t>
      </w:r>
      <w:r>
        <w:rPr>
          <w:rFonts w:cs="Arial"/>
          <w:color w:val="0D0D0D" w:themeColor="text1" w:themeTint="F2"/>
          <w:spacing w:val="-2"/>
          <w:sz w:val="16"/>
          <w:szCs w:val="16"/>
          <w:lang w:val="en-GB"/>
        </w:rPr>
        <w:t>year-on-year as well as quarter-on-quarter</w:t>
      </w:r>
      <w:r w:rsidRPr="006139DE">
        <w:rPr>
          <w:rFonts w:cs="Arial"/>
          <w:color w:val="0D0D0D" w:themeColor="text1" w:themeTint="F2"/>
          <w:spacing w:val="-2"/>
          <w:sz w:val="16"/>
          <w:szCs w:val="16"/>
          <w:lang w:val="en-GB"/>
        </w:rPr>
        <w:t>).</w:t>
      </w:r>
    </w:p>
  </w:footnote>
  <w:footnote w:id="8">
    <w:p w:rsidR="00665624" w:rsidRPr="00393CDD" w:rsidRDefault="00665624" w:rsidP="008402AD">
      <w:pPr>
        <w:pStyle w:val="Textpoznpodarou"/>
        <w:jc w:val="both"/>
        <w:rPr>
          <w:sz w:val="16"/>
          <w:szCs w:val="16"/>
          <w:lang w:val="en-GB"/>
        </w:rPr>
      </w:pPr>
      <w:r w:rsidRPr="00393CDD">
        <w:rPr>
          <w:rStyle w:val="Znakapoznpodarou"/>
          <w:sz w:val="16"/>
          <w:szCs w:val="16"/>
          <w:lang w:val="en-GB"/>
        </w:rPr>
        <w:footnoteRef/>
      </w:r>
      <w:r w:rsidRPr="00393CDD">
        <w:rPr>
          <w:sz w:val="16"/>
          <w:szCs w:val="16"/>
          <w:lang w:val="en-GB"/>
        </w:rPr>
        <w:t xml:space="preserve"> In the last six years (resp. against H1 2013), the production here increased in total by 61%, only manufacture of motor vehicles recorded a faster pace (+70%). Growth arrived at 28% in total industry. Only energetics (</w:t>
      </w:r>
      <w:r w:rsidRPr="00393CDD">
        <w:rPr>
          <w:spacing w:val="-4"/>
          <w:sz w:val="16"/>
          <w:szCs w:val="16"/>
          <w:lang w:val="en-GB"/>
        </w:rPr>
        <w:t>–</w:t>
      </w:r>
      <w:r w:rsidRPr="00393CDD">
        <w:rPr>
          <w:sz w:val="16"/>
          <w:szCs w:val="16"/>
          <w:lang w:val="en-GB"/>
        </w:rPr>
        <w:t>1%), wood industry (</w:t>
      </w:r>
      <w:r w:rsidRPr="00393CDD">
        <w:rPr>
          <w:spacing w:val="-4"/>
          <w:sz w:val="16"/>
          <w:szCs w:val="16"/>
          <w:lang w:val="en-GB"/>
        </w:rPr>
        <w:t>–</w:t>
      </w:r>
      <w:r w:rsidRPr="00393CDD">
        <w:rPr>
          <w:sz w:val="16"/>
          <w:szCs w:val="16"/>
          <w:lang w:val="en-GB"/>
        </w:rPr>
        <w:t>4%), mining and quarrying (</w:t>
      </w:r>
      <w:r w:rsidRPr="00393CDD">
        <w:rPr>
          <w:spacing w:val="-4"/>
          <w:sz w:val="16"/>
          <w:szCs w:val="16"/>
          <w:lang w:val="en-GB"/>
        </w:rPr>
        <w:t>–</w:t>
      </w:r>
      <w:r w:rsidRPr="00393CDD">
        <w:rPr>
          <w:sz w:val="16"/>
          <w:szCs w:val="16"/>
          <w:lang w:val="en-GB"/>
        </w:rPr>
        <w:t>18%) and manufacture of leather products (</w:t>
      </w:r>
      <w:r w:rsidRPr="00393CDD">
        <w:rPr>
          <w:spacing w:val="-4"/>
          <w:sz w:val="16"/>
          <w:szCs w:val="16"/>
          <w:lang w:val="en-GB"/>
        </w:rPr>
        <w:t>–</w:t>
      </w:r>
      <w:r w:rsidRPr="00393CDD">
        <w:rPr>
          <w:sz w:val="16"/>
          <w:szCs w:val="16"/>
          <w:lang w:val="en-GB"/>
        </w:rPr>
        <w:t>23%) stayed below the level of year 2013.</w:t>
      </w:r>
    </w:p>
  </w:footnote>
  <w:footnote w:id="9">
    <w:p w:rsidR="00665624" w:rsidRPr="00393CDD" w:rsidRDefault="00665624" w:rsidP="008402AD">
      <w:pPr>
        <w:pStyle w:val="Textpoznpodarou"/>
        <w:jc w:val="both"/>
        <w:rPr>
          <w:sz w:val="16"/>
          <w:szCs w:val="16"/>
          <w:lang w:val="en-GB"/>
        </w:rPr>
      </w:pPr>
      <w:r w:rsidRPr="00393CDD">
        <w:rPr>
          <w:rStyle w:val="Znakapoznpodarou"/>
          <w:rFonts w:cs="Arial"/>
          <w:color w:val="0D0D0D" w:themeColor="text1" w:themeTint="F2"/>
          <w:sz w:val="16"/>
          <w:szCs w:val="16"/>
          <w:lang w:val="en-GB"/>
        </w:rPr>
        <w:footnoteRef/>
      </w:r>
      <w:r w:rsidRPr="00393CDD">
        <w:rPr>
          <w:rFonts w:cs="Arial"/>
          <w:color w:val="0D0D0D" w:themeColor="text1" w:themeTint="F2"/>
          <w:sz w:val="16"/>
          <w:szCs w:val="16"/>
          <w:lang w:val="en-GB"/>
        </w:rPr>
        <w:t xml:space="preserve"> </w:t>
      </w:r>
      <w:r w:rsidRPr="00A76DD3">
        <w:rPr>
          <w:rFonts w:cs="Arial"/>
          <w:color w:val="0D0D0D" w:themeColor="text1" w:themeTint="F2"/>
          <w:sz w:val="16"/>
          <w:szCs w:val="16"/>
          <w:lang w:val="en-GB"/>
        </w:rPr>
        <w:t xml:space="preserve">Based on data from the Automotive Industry Association, </w:t>
      </w:r>
      <w:r>
        <w:rPr>
          <w:rFonts w:cs="Arial"/>
          <w:color w:val="0D0D0D" w:themeColor="text1" w:themeTint="F2"/>
          <w:sz w:val="16"/>
          <w:szCs w:val="16"/>
          <w:lang w:val="en-GB"/>
        </w:rPr>
        <w:t xml:space="preserve">there was 747 thousand passenger cars manufactured in the CR in H1 2019, and the production by 1.5% lagged behind the last year´s record number. Manufacture of other parts and accessories for other types of motor vehicles (eg. busses) on the contrary mildly increased. </w:t>
      </w:r>
    </w:p>
  </w:footnote>
  <w:footnote w:id="10">
    <w:p w:rsidR="00665624" w:rsidRPr="00393CDD" w:rsidRDefault="00665624" w:rsidP="008402AD">
      <w:pPr>
        <w:pStyle w:val="Textpoznpodarou"/>
        <w:jc w:val="both"/>
        <w:rPr>
          <w:sz w:val="16"/>
          <w:szCs w:val="16"/>
          <w:lang w:val="en-GB"/>
        </w:rPr>
      </w:pPr>
      <w:r w:rsidRPr="00393CDD">
        <w:rPr>
          <w:rStyle w:val="Znakapoznpodarou"/>
          <w:sz w:val="16"/>
          <w:szCs w:val="16"/>
          <w:lang w:val="en-GB"/>
        </w:rPr>
        <w:footnoteRef/>
      </w:r>
      <w:r w:rsidRPr="00393CDD">
        <w:rPr>
          <w:sz w:val="16"/>
          <w:szCs w:val="16"/>
          <w:lang w:val="en-GB"/>
        </w:rPr>
        <w:t xml:space="preserve"> </w:t>
      </w:r>
      <w:r>
        <w:rPr>
          <w:sz w:val="16"/>
          <w:szCs w:val="16"/>
          <w:lang w:val="en-GB"/>
        </w:rPr>
        <w:t xml:space="preserve">In contrast in other, so far by weight peripheral segment of mining and quarrying activities – quarrying of building materials (especially stone, sand and clay) – production have grown briskly already third year in a row. </w:t>
      </w:r>
    </w:p>
  </w:footnote>
  <w:footnote w:id="11">
    <w:p w:rsidR="00665624" w:rsidRPr="00CB5F3F" w:rsidRDefault="00665624" w:rsidP="008402AD">
      <w:pPr>
        <w:pStyle w:val="Textpoznpodarou"/>
        <w:jc w:val="both"/>
        <w:rPr>
          <w:rFonts w:cs="Arial"/>
          <w:color w:val="0D0D0D" w:themeColor="text1" w:themeTint="F2"/>
          <w:spacing w:val="-2"/>
          <w:sz w:val="16"/>
          <w:szCs w:val="16"/>
          <w:lang w:val="en-GB"/>
        </w:rPr>
      </w:pPr>
      <w:r w:rsidRPr="007A20EB">
        <w:rPr>
          <w:rStyle w:val="Znakapoznpodarou"/>
          <w:rFonts w:cs="Arial"/>
          <w:color w:val="0D0D0D" w:themeColor="text1" w:themeTint="F2"/>
          <w:spacing w:val="-2"/>
          <w:sz w:val="16"/>
          <w:szCs w:val="16"/>
        </w:rPr>
        <w:footnoteRef/>
      </w:r>
      <w:r w:rsidRPr="007A20EB">
        <w:rPr>
          <w:rFonts w:cs="Arial"/>
          <w:color w:val="0D0D0D" w:themeColor="text1" w:themeTint="F2"/>
          <w:spacing w:val="-2"/>
          <w:sz w:val="16"/>
          <w:szCs w:val="16"/>
        </w:rPr>
        <w:t xml:space="preserve"> </w:t>
      </w:r>
      <w:r>
        <w:rPr>
          <w:rFonts w:cs="Arial"/>
          <w:color w:val="0D0D0D" w:themeColor="text1" w:themeTint="F2"/>
          <w:spacing w:val="-2"/>
          <w:sz w:val="16"/>
          <w:szCs w:val="16"/>
          <w:lang w:val="en-GB"/>
        </w:rPr>
        <w:t>New orders are surveyed</w:t>
      </w:r>
      <w:r w:rsidRPr="00CB5F3F">
        <w:rPr>
          <w:rFonts w:cs="Arial"/>
          <w:color w:val="0D0D0D" w:themeColor="text1" w:themeTint="F2"/>
          <w:spacing w:val="-2"/>
          <w:sz w:val="16"/>
          <w:szCs w:val="16"/>
          <w:lang w:val="en-GB"/>
        </w:rPr>
        <w:t xml:space="preserve"> only in selected CZ-N</w:t>
      </w:r>
      <w:r w:rsidRPr="00CB5F3F">
        <w:rPr>
          <w:rFonts w:cs="Arial"/>
          <w:color w:val="0D0D0D" w:themeColor="text1" w:themeTint="F2"/>
          <w:sz w:val="16"/>
          <w:szCs w:val="16"/>
          <w:lang w:val="en-GB"/>
        </w:rPr>
        <w:t xml:space="preserve">ACE sections (13, 14, 17, 20, 21, 24, 25, 26, 27, 28, 29, 30), which manufacture mostly custom-made products, with longer production cycle and larger stocks of orders. </w:t>
      </w:r>
    </w:p>
  </w:footnote>
  <w:footnote w:id="12">
    <w:p w:rsidR="00665624" w:rsidRPr="00CB5F3F" w:rsidRDefault="00665624" w:rsidP="008402AD">
      <w:pPr>
        <w:pStyle w:val="Textpoznpodarou"/>
        <w:jc w:val="both"/>
        <w:rPr>
          <w:rFonts w:cs="Arial"/>
          <w:color w:val="0D0D0D" w:themeColor="text1" w:themeTint="F2"/>
          <w:spacing w:val="-2"/>
          <w:sz w:val="16"/>
          <w:szCs w:val="16"/>
          <w:lang w:val="en-GB"/>
        </w:rPr>
      </w:pPr>
      <w:r w:rsidRPr="00CB5F3F">
        <w:rPr>
          <w:rStyle w:val="Znakapoznpodarou"/>
          <w:rFonts w:cs="Arial"/>
          <w:color w:val="0D0D0D" w:themeColor="text1" w:themeTint="F2"/>
          <w:spacing w:val="-2"/>
          <w:sz w:val="16"/>
          <w:szCs w:val="16"/>
          <w:lang w:val="en-GB"/>
        </w:rPr>
        <w:footnoteRef/>
      </w:r>
      <w:r w:rsidRPr="00CB5F3F">
        <w:rPr>
          <w:rFonts w:cs="Arial"/>
          <w:color w:val="0D0D0D" w:themeColor="text1" w:themeTint="F2"/>
          <w:spacing w:val="-2"/>
          <w:sz w:val="16"/>
          <w:szCs w:val="16"/>
          <w:lang w:val="en-GB"/>
        </w:rPr>
        <w:t xml:space="preserve"> </w:t>
      </w:r>
      <w:r>
        <w:rPr>
          <w:rFonts w:cs="Arial"/>
          <w:color w:val="0D0D0D" w:themeColor="text1" w:themeTint="F2"/>
          <w:spacing w:val="-2"/>
          <w:sz w:val="16"/>
          <w:szCs w:val="16"/>
          <w:lang w:val="en-GB"/>
        </w:rPr>
        <w:t xml:space="preserve">July 2019 showed more favourable outlook, when new orders strengthened in total by one tenth year-on-year and by one sixth in the motor vehicle industry. </w:t>
      </w:r>
    </w:p>
  </w:footnote>
  <w:footnote w:id="13">
    <w:p w:rsidR="00665624" w:rsidRPr="00CB5F3F" w:rsidRDefault="00665624" w:rsidP="008402AD">
      <w:pPr>
        <w:pStyle w:val="Textpoznpodarou"/>
        <w:jc w:val="both"/>
        <w:rPr>
          <w:rFonts w:cs="Arial"/>
          <w:color w:val="0D0D0D" w:themeColor="text1" w:themeTint="F2"/>
          <w:spacing w:val="-2"/>
          <w:sz w:val="16"/>
          <w:szCs w:val="16"/>
          <w:lang w:val="en-GB"/>
        </w:rPr>
      </w:pPr>
      <w:r w:rsidRPr="00CB5F3F">
        <w:rPr>
          <w:rStyle w:val="Znakapoznpodarou"/>
          <w:rFonts w:cs="Arial"/>
          <w:color w:val="0D0D0D" w:themeColor="text1" w:themeTint="F2"/>
          <w:spacing w:val="-2"/>
          <w:sz w:val="16"/>
          <w:szCs w:val="16"/>
          <w:lang w:val="en-GB"/>
        </w:rPr>
        <w:footnoteRef/>
      </w:r>
      <w:r w:rsidRPr="00CB5F3F">
        <w:rPr>
          <w:rFonts w:cs="Arial"/>
          <w:color w:val="0D0D0D" w:themeColor="text1" w:themeTint="F2"/>
          <w:spacing w:val="-2"/>
          <w:sz w:val="16"/>
          <w:szCs w:val="16"/>
          <w:lang w:val="en-GB"/>
        </w:rPr>
        <w:t xml:space="preserve"> Growth of registered number of employees of industrial businesses halted this year. It was by 0.</w:t>
      </w:r>
      <w:r>
        <w:rPr>
          <w:rFonts w:cs="Arial"/>
          <w:color w:val="0D0D0D" w:themeColor="text1" w:themeTint="F2"/>
          <w:spacing w:val="-2"/>
          <w:sz w:val="16"/>
          <w:szCs w:val="16"/>
          <w:lang w:val="en-GB"/>
        </w:rPr>
        <w:t>5</w:t>
      </w:r>
      <w:r w:rsidRPr="00CB5F3F">
        <w:rPr>
          <w:rFonts w:cs="Arial"/>
          <w:color w:val="0D0D0D" w:themeColor="text1" w:themeTint="F2"/>
          <w:spacing w:val="-2"/>
          <w:sz w:val="16"/>
          <w:szCs w:val="16"/>
          <w:lang w:val="en-GB"/>
        </w:rPr>
        <w:t xml:space="preserve">% lower year-on-year in Q2. </w:t>
      </w:r>
    </w:p>
  </w:footnote>
  <w:footnote w:id="14">
    <w:p w:rsidR="00665624" w:rsidRPr="00CB5F3F" w:rsidRDefault="00665624" w:rsidP="008402AD">
      <w:pPr>
        <w:pStyle w:val="Textpoznpodarou"/>
        <w:jc w:val="both"/>
        <w:rPr>
          <w:spacing w:val="-4"/>
          <w:sz w:val="16"/>
          <w:szCs w:val="16"/>
          <w:lang w:val="en-GB"/>
        </w:rPr>
      </w:pPr>
      <w:r w:rsidRPr="00CB5F3F">
        <w:rPr>
          <w:rStyle w:val="Znakapoznpodarou"/>
          <w:rFonts w:cs="Arial"/>
          <w:color w:val="0D0D0D" w:themeColor="text1" w:themeTint="F2"/>
          <w:spacing w:val="-2"/>
          <w:sz w:val="16"/>
          <w:szCs w:val="16"/>
          <w:lang w:val="en-GB"/>
        </w:rPr>
        <w:footnoteRef/>
      </w:r>
      <w:r w:rsidRPr="00CB5F3F">
        <w:rPr>
          <w:rFonts w:cs="Arial"/>
          <w:color w:val="0D0D0D" w:themeColor="text1" w:themeTint="F2"/>
          <w:spacing w:val="-2"/>
          <w:sz w:val="16"/>
          <w:szCs w:val="16"/>
          <w:lang w:val="en-GB"/>
        </w:rPr>
        <w:t xml:space="preserve"> All year-on-year data regarding the construction output are adjusted for calendar effects, quarter-on-quarter rates of growth also for the seasonality effect. </w:t>
      </w:r>
    </w:p>
  </w:footnote>
  <w:footnote w:id="15">
    <w:p w:rsidR="00665624" w:rsidRPr="00D85B50" w:rsidRDefault="00665624" w:rsidP="008402AD">
      <w:pPr>
        <w:pStyle w:val="Textpoznpodarou"/>
        <w:jc w:val="both"/>
        <w:rPr>
          <w:spacing w:val="-4"/>
          <w:sz w:val="16"/>
          <w:szCs w:val="16"/>
        </w:rPr>
      </w:pPr>
      <w:r w:rsidRPr="005813A9">
        <w:rPr>
          <w:rStyle w:val="Znakapoznpodarou"/>
          <w:rFonts w:cs="Arial"/>
          <w:color w:val="0D0D0D" w:themeColor="text1" w:themeTint="F2"/>
          <w:spacing w:val="-2"/>
          <w:sz w:val="16"/>
          <w:szCs w:val="16"/>
        </w:rPr>
        <w:footnoteRef/>
      </w:r>
      <w:r>
        <w:rPr>
          <w:rFonts w:cs="Arial"/>
          <w:color w:val="0D0D0D" w:themeColor="text1" w:themeTint="F2"/>
          <w:spacing w:val="-2"/>
          <w:sz w:val="16"/>
          <w:szCs w:val="16"/>
        </w:rPr>
        <w:t xml:space="preserve"> </w:t>
      </w:r>
      <w:r w:rsidRPr="002A490D">
        <w:rPr>
          <w:rFonts w:cs="Arial"/>
          <w:color w:val="0D0D0D" w:themeColor="text1" w:themeTint="F2"/>
          <w:spacing w:val="-2"/>
          <w:sz w:val="16"/>
          <w:szCs w:val="16"/>
          <w:lang w:val="en-GB"/>
        </w:rPr>
        <w:t>Output growth followed a similar pace also in the whole EU. There, construction boom was unde</w:t>
      </w:r>
      <w:r>
        <w:rPr>
          <w:rFonts w:cs="Arial"/>
          <w:color w:val="0D0D0D" w:themeColor="text1" w:themeTint="F2"/>
          <w:spacing w:val="-2"/>
          <w:sz w:val="16"/>
          <w:szCs w:val="16"/>
          <w:lang w:val="en-GB"/>
        </w:rPr>
        <w:t>r way in Romania (+23%) and especially</w:t>
      </w:r>
      <w:r w:rsidRPr="002A490D">
        <w:rPr>
          <w:rFonts w:cs="Arial"/>
          <w:color w:val="0D0D0D" w:themeColor="text1" w:themeTint="F2"/>
          <w:spacing w:val="-2"/>
          <w:sz w:val="16"/>
          <w:szCs w:val="16"/>
          <w:lang w:val="en-GB"/>
        </w:rPr>
        <w:t xml:space="preserve"> in Hungary (+35%), where the steep growth lasted already three years in a row. Nearly all Union countries registered growth in H1, construction growth supported some economies balancing </w:t>
      </w:r>
      <w:r>
        <w:rPr>
          <w:rFonts w:cs="Arial"/>
          <w:color w:val="0D0D0D" w:themeColor="text1" w:themeTint="F2"/>
          <w:spacing w:val="-2"/>
          <w:sz w:val="16"/>
          <w:szCs w:val="16"/>
          <w:lang w:val="en-GB"/>
        </w:rPr>
        <w:t>o</w:t>
      </w:r>
      <w:r w:rsidRPr="002A490D">
        <w:rPr>
          <w:rFonts w:cs="Arial"/>
          <w:color w:val="0D0D0D" w:themeColor="text1" w:themeTint="F2"/>
          <w:spacing w:val="-2"/>
          <w:sz w:val="16"/>
          <w:szCs w:val="16"/>
          <w:lang w:val="en-GB"/>
        </w:rPr>
        <w:t>n the edge of recession, e.g. Germany (+3.8%) or Italy (+4.0%).</w:t>
      </w:r>
    </w:p>
  </w:footnote>
  <w:footnote w:id="16">
    <w:p w:rsidR="00665624" w:rsidRPr="0028578A" w:rsidRDefault="00665624" w:rsidP="008402AD">
      <w:pPr>
        <w:pStyle w:val="Textpoznpodarou"/>
        <w:jc w:val="both"/>
        <w:rPr>
          <w:rFonts w:cs="Arial"/>
          <w:color w:val="0D0D0D" w:themeColor="text1" w:themeTint="F2"/>
          <w:spacing w:val="-3"/>
          <w:sz w:val="16"/>
          <w:szCs w:val="16"/>
          <w:lang w:val="en-GB"/>
        </w:rPr>
      </w:pPr>
      <w:r w:rsidRPr="00DE063B">
        <w:rPr>
          <w:rStyle w:val="Znakapoznpodarou"/>
          <w:rFonts w:cs="Arial"/>
          <w:color w:val="0D0D0D" w:themeColor="text1" w:themeTint="F2"/>
          <w:spacing w:val="-3"/>
          <w:sz w:val="16"/>
          <w:szCs w:val="16"/>
        </w:rPr>
        <w:footnoteRef/>
      </w:r>
      <w:r w:rsidRPr="00DE063B">
        <w:rPr>
          <w:rFonts w:cs="Arial"/>
          <w:color w:val="0D0D0D" w:themeColor="text1" w:themeTint="F2"/>
          <w:spacing w:val="-3"/>
          <w:sz w:val="16"/>
          <w:szCs w:val="16"/>
        </w:rPr>
        <w:t xml:space="preserve"> </w:t>
      </w:r>
      <w:r w:rsidRPr="0028578A">
        <w:rPr>
          <w:rFonts w:cs="Arial"/>
          <w:color w:val="0D0D0D" w:themeColor="text1" w:themeTint="F2"/>
          <w:spacing w:val="-3"/>
          <w:sz w:val="16"/>
          <w:szCs w:val="16"/>
          <w:lang w:val="en-GB"/>
        </w:rPr>
        <w:t>„</w:t>
      </w:r>
      <w:r>
        <w:rPr>
          <w:rFonts w:cs="Arial"/>
          <w:color w:val="0D0D0D" w:themeColor="text1" w:themeTint="F2"/>
          <w:spacing w:val="-3"/>
          <w:sz w:val="16"/>
          <w:szCs w:val="16"/>
          <w:lang w:val="en-GB"/>
        </w:rPr>
        <w:t>Popularity</w:t>
      </w:r>
      <w:r w:rsidRPr="0028578A">
        <w:rPr>
          <w:rFonts w:cs="Arial"/>
          <w:color w:val="0D0D0D" w:themeColor="text1" w:themeTint="F2"/>
          <w:spacing w:val="-3"/>
          <w:sz w:val="16"/>
          <w:szCs w:val="16"/>
          <w:lang w:val="en-GB"/>
        </w:rPr>
        <w:t xml:space="preserve">“ </w:t>
      </w:r>
      <w:r>
        <w:rPr>
          <w:rFonts w:cs="Arial"/>
          <w:color w:val="0D0D0D" w:themeColor="text1" w:themeTint="F2"/>
          <w:spacing w:val="-3"/>
          <w:sz w:val="16"/>
          <w:szCs w:val="16"/>
          <w:lang w:val="en-GB"/>
        </w:rPr>
        <w:t xml:space="preserve">of dwellings originating from reconstructed non-residential premises however grows in the last five years. </w:t>
      </w:r>
      <w:r w:rsidRPr="0028578A">
        <w:rPr>
          <w:rFonts w:cs="Arial"/>
          <w:color w:val="0D0D0D" w:themeColor="text1" w:themeTint="F2"/>
          <w:spacing w:val="-3"/>
          <w:sz w:val="16"/>
          <w:szCs w:val="16"/>
          <w:lang w:val="en-GB"/>
        </w:rPr>
        <w:t>1 140 </w:t>
      </w:r>
      <w:r>
        <w:rPr>
          <w:rFonts w:cs="Arial"/>
          <w:color w:val="0D0D0D" w:themeColor="text1" w:themeTint="F2"/>
          <w:spacing w:val="-3"/>
          <w:sz w:val="16"/>
          <w:szCs w:val="16"/>
          <w:lang w:val="en-GB"/>
        </w:rPr>
        <w:t>dwellings were created here for the whole last year</w:t>
      </w:r>
      <w:r w:rsidRPr="0028578A">
        <w:rPr>
          <w:rFonts w:cs="Arial"/>
          <w:color w:val="0D0D0D" w:themeColor="text1" w:themeTint="F2"/>
          <w:spacing w:val="-3"/>
          <w:sz w:val="16"/>
          <w:szCs w:val="16"/>
          <w:lang w:val="en-GB"/>
        </w:rPr>
        <w:t xml:space="preserve">, </w:t>
      </w:r>
      <w:r>
        <w:rPr>
          <w:rFonts w:cs="Arial"/>
          <w:color w:val="0D0D0D" w:themeColor="text1" w:themeTint="F2"/>
          <w:spacing w:val="-3"/>
          <w:sz w:val="16"/>
          <w:szCs w:val="16"/>
          <w:lang w:val="en-GB"/>
        </w:rPr>
        <w:t xml:space="preserve">the most after year </w:t>
      </w:r>
      <w:r w:rsidRPr="0028578A">
        <w:rPr>
          <w:rFonts w:cs="Arial"/>
          <w:color w:val="0D0D0D" w:themeColor="text1" w:themeTint="F2"/>
          <w:spacing w:val="-3"/>
          <w:sz w:val="16"/>
          <w:szCs w:val="16"/>
          <w:lang w:val="en-GB"/>
        </w:rPr>
        <w:t xml:space="preserve">2005. </w:t>
      </w:r>
      <w:r>
        <w:rPr>
          <w:rFonts w:cs="Arial"/>
          <w:color w:val="0D0D0D" w:themeColor="text1" w:themeTint="F2"/>
          <w:spacing w:val="-3"/>
          <w:sz w:val="16"/>
          <w:szCs w:val="16"/>
          <w:lang w:val="en-GB"/>
        </w:rPr>
        <w:t xml:space="preserve">More than one half of these were located in Central Bohemia and Ustecky region in year </w:t>
      </w:r>
      <w:r w:rsidRPr="0028578A">
        <w:rPr>
          <w:rFonts w:cs="Arial"/>
          <w:color w:val="0D0D0D" w:themeColor="text1" w:themeTint="F2"/>
          <w:spacing w:val="-3"/>
          <w:sz w:val="16"/>
          <w:szCs w:val="16"/>
          <w:lang w:val="en-GB"/>
        </w:rPr>
        <w:t>2018</w:t>
      </w:r>
      <w:r>
        <w:rPr>
          <w:rFonts w:cs="Arial"/>
          <w:color w:val="0D0D0D" w:themeColor="text1" w:themeTint="F2"/>
          <w:spacing w:val="-3"/>
          <w:sz w:val="16"/>
          <w:szCs w:val="16"/>
          <w:lang w:val="en-GB"/>
        </w:rPr>
        <w:t xml:space="preserve">. Frequency of dwellings completed in the extensions to residential buildings also grows – </w:t>
      </w:r>
      <w:r w:rsidRPr="0028578A">
        <w:rPr>
          <w:rFonts w:cs="Arial"/>
          <w:color w:val="0D0D0D" w:themeColor="text1" w:themeTint="F2"/>
          <w:spacing w:val="-3"/>
          <w:sz w:val="16"/>
          <w:szCs w:val="16"/>
          <w:lang w:val="en-GB"/>
        </w:rPr>
        <w:t>1</w:t>
      </w:r>
      <w:r>
        <w:rPr>
          <w:rFonts w:cs="Arial"/>
          <w:color w:val="0D0D0D" w:themeColor="text1" w:themeTint="F2"/>
          <w:spacing w:val="-3"/>
          <w:sz w:val="16"/>
          <w:szCs w:val="16"/>
          <w:lang w:val="en-GB"/>
        </w:rPr>
        <w:t> </w:t>
      </w:r>
      <w:r w:rsidRPr="0028578A">
        <w:rPr>
          <w:rFonts w:cs="Arial"/>
          <w:color w:val="0D0D0D" w:themeColor="text1" w:themeTint="F2"/>
          <w:spacing w:val="-3"/>
          <w:sz w:val="16"/>
          <w:szCs w:val="16"/>
          <w:lang w:val="en-GB"/>
        </w:rPr>
        <w:t>025</w:t>
      </w:r>
      <w:r>
        <w:rPr>
          <w:rFonts w:cs="Arial"/>
          <w:color w:val="0D0D0D" w:themeColor="text1" w:themeTint="F2"/>
          <w:spacing w:val="-3"/>
          <w:sz w:val="16"/>
          <w:szCs w:val="16"/>
          <w:lang w:val="en-GB"/>
        </w:rPr>
        <w:t xml:space="preserve"> dwellings were completed this way in H1 2019, which presented the largest half-yearly sum after year </w:t>
      </w:r>
      <w:r w:rsidRPr="0028578A">
        <w:rPr>
          <w:rFonts w:cs="Arial"/>
          <w:color w:val="0D0D0D" w:themeColor="text1" w:themeTint="F2"/>
          <w:spacing w:val="-3"/>
          <w:sz w:val="16"/>
          <w:szCs w:val="16"/>
          <w:lang w:val="en-GB"/>
        </w:rPr>
        <w:t>2006.</w:t>
      </w:r>
      <w:r>
        <w:rPr>
          <w:rFonts w:cs="Arial"/>
          <w:color w:val="0D0D0D" w:themeColor="text1" w:themeTint="F2"/>
          <w:spacing w:val="-3"/>
          <w:sz w:val="16"/>
          <w:szCs w:val="16"/>
          <w:lang w:val="en-GB"/>
        </w:rPr>
        <w:t xml:space="preserve"> It can constitute an interesting alternative with respect to time and finances to significantly predominating construction of new residential buildings especially in the largest cities. </w:t>
      </w:r>
    </w:p>
  </w:footnote>
  <w:footnote w:id="17">
    <w:p w:rsidR="006B5BE0" w:rsidRPr="008C6F26" w:rsidRDefault="006B5BE0" w:rsidP="008402AD">
      <w:pPr>
        <w:pStyle w:val="Textpoznpodarou"/>
        <w:jc w:val="both"/>
        <w:rPr>
          <w:rFonts w:cs="Arial"/>
          <w:color w:val="0D0D0D" w:themeColor="text1" w:themeTint="F2"/>
          <w:spacing w:val="-4"/>
          <w:sz w:val="16"/>
          <w:szCs w:val="16"/>
          <w:lang w:val="en-GB"/>
        </w:rPr>
      </w:pPr>
      <w:r w:rsidRPr="008C6F26">
        <w:rPr>
          <w:rStyle w:val="Znakapoznpodarou"/>
          <w:rFonts w:cs="Arial"/>
          <w:color w:val="0D0D0D" w:themeColor="text1" w:themeTint="F2"/>
          <w:spacing w:val="-4"/>
          <w:sz w:val="16"/>
          <w:szCs w:val="16"/>
          <w:lang w:val="en-GB"/>
        </w:rPr>
        <w:footnoteRef/>
      </w:r>
      <w:r w:rsidRPr="008C6F26">
        <w:rPr>
          <w:rFonts w:cs="Arial"/>
          <w:color w:val="0D0D0D" w:themeColor="text1" w:themeTint="F2"/>
          <w:spacing w:val="-4"/>
          <w:sz w:val="16"/>
          <w:szCs w:val="16"/>
          <w:lang w:val="en-GB"/>
        </w:rPr>
        <w:t xml:space="preserve"> New orders hiked up to 71.3 CZK bn in Q2 2018. Their size as well as year-on-year pace (+33%) counted among the highest in the CR era. </w:t>
      </w:r>
    </w:p>
  </w:footnote>
  <w:footnote w:id="18">
    <w:p w:rsidR="006B5BE0" w:rsidRPr="008C6F26" w:rsidRDefault="006B5BE0" w:rsidP="008402AD">
      <w:pPr>
        <w:pStyle w:val="Textpoznpodarou"/>
        <w:jc w:val="both"/>
        <w:rPr>
          <w:rFonts w:cs="Arial"/>
          <w:color w:val="0D0D0D" w:themeColor="text1" w:themeTint="F2"/>
          <w:spacing w:val="-4"/>
          <w:sz w:val="16"/>
          <w:szCs w:val="16"/>
          <w:lang w:val="en-GB"/>
        </w:rPr>
      </w:pPr>
      <w:r w:rsidRPr="008C6F26">
        <w:rPr>
          <w:rStyle w:val="Znakapoznpodarou"/>
          <w:rFonts w:cs="Arial"/>
          <w:color w:val="0D0D0D" w:themeColor="text1" w:themeTint="F2"/>
          <w:spacing w:val="-4"/>
          <w:sz w:val="16"/>
          <w:szCs w:val="16"/>
          <w:lang w:val="en-GB"/>
        </w:rPr>
        <w:footnoteRef/>
      </w:r>
      <w:r w:rsidRPr="008C6F26">
        <w:rPr>
          <w:rFonts w:cs="Arial"/>
          <w:color w:val="0D0D0D" w:themeColor="text1" w:themeTint="F2"/>
          <w:spacing w:val="-4"/>
          <w:sz w:val="16"/>
          <w:szCs w:val="16"/>
          <w:lang w:val="en-GB"/>
        </w:rPr>
        <w:t xml:space="preserve"> The approximate value per one building permit also increased (it was 4.7 CZK mil in H1 2019, 4.2 mil a year ago). It grew the fastest for new construction year-on-year (both residential and non-residential buildings). Total value of buildings permits strengthened by 19% year-on-year. </w:t>
      </w:r>
    </w:p>
  </w:footnote>
  <w:footnote w:id="19">
    <w:p w:rsidR="006B5BE0" w:rsidRPr="0028578A" w:rsidRDefault="006B5BE0" w:rsidP="008402AD">
      <w:pPr>
        <w:pStyle w:val="Textpoznpodarou"/>
        <w:jc w:val="both"/>
        <w:rPr>
          <w:rFonts w:cs="Arial"/>
          <w:color w:val="0D0D0D" w:themeColor="text1" w:themeTint="F2"/>
          <w:spacing w:val="-3"/>
          <w:sz w:val="16"/>
          <w:szCs w:val="16"/>
          <w:lang w:val="en-GB"/>
        </w:rPr>
      </w:pPr>
      <w:r w:rsidRPr="008C6F26">
        <w:rPr>
          <w:rStyle w:val="Znakapoznpodarou"/>
          <w:rFonts w:cs="Arial"/>
          <w:color w:val="0D0D0D" w:themeColor="text1" w:themeTint="F2"/>
          <w:spacing w:val="-4"/>
          <w:sz w:val="16"/>
          <w:szCs w:val="16"/>
          <w:lang w:val="en-GB"/>
        </w:rPr>
        <w:footnoteRef/>
      </w:r>
      <w:r w:rsidRPr="008C6F26">
        <w:rPr>
          <w:rFonts w:cs="Arial"/>
          <w:color w:val="0D0D0D" w:themeColor="text1" w:themeTint="F2"/>
          <w:spacing w:val="-4"/>
          <w:sz w:val="16"/>
          <w:szCs w:val="16"/>
          <w:lang w:val="en-GB"/>
        </w:rPr>
        <w:t xml:space="preserve"> Total stock of orders provided construction firms with work for on average further 10.5 months in Q2 („only“ for 9.2 months in the same period of year 2018). Capacity of construction businesses in the CR is thus very stretched not only historically, but also in the international view. </w:t>
      </w:r>
      <w:r>
        <w:rPr>
          <w:rFonts w:cs="Arial"/>
          <w:color w:val="0D0D0D" w:themeColor="text1" w:themeTint="F2"/>
          <w:spacing w:val="-4"/>
          <w:sz w:val="16"/>
          <w:szCs w:val="16"/>
          <w:lang w:val="en-GB"/>
        </w:rPr>
        <w:t>Within EU members, o</w:t>
      </w:r>
      <w:r w:rsidRPr="008C6F26">
        <w:rPr>
          <w:rFonts w:cs="Arial"/>
          <w:color w:val="0D0D0D" w:themeColor="text1" w:themeTint="F2"/>
          <w:spacing w:val="-4"/>
          <w:sz w:val="16"/>
          <w:szCs w:val="16"/>
          <w:lang w:val="en-GB"/>
        </w:rPr>
        <w:t>nly businesses in Spain (16.8 months) and Italy (12.8) were busier this year. Slovakia (9.8) and Poland (9.6) also recorded high values.</w:t>
      </w:r>
    </w:p>
  </w:footnote>
  <w:footnote w:id="20">
    <w:p w:rsidR="006B5BE0" w:rsidRPr="0028578A" w:rsidRDefault="006B5BE0" w:rsidP="008402AD">
      <w:pPr>
        <w:pStyle w:val="Textpoznpodarou"/>
        <w:jc w:val="both"/>
        <w:rPr>
          <w:rFonts w:cs="Arial"/>
          <w:color w:val="0D0D0D" w:themeColor="text1" w:themeTint="F2"/>
          <w:spacing w:val="-4"/>
          <w:sz w:val="16"/>
          <w:szCs w:val="16"/>
          <w:lang w:val="en-GB"/>
        </w:rPr>
      </w:pPr>
      <w:r w:rsidRPr="0028578A">
        <w:rPr>
          <w:rStyle w:val="Znakapoznpodarou"/>
          <w:rFonts w:cs="Arial"/>
          <w:color w:val="0D0D0D" w:themeColor="text1" w:themeTint="F2"/>
          <w:spacing w:val="-4"/>
          <w:sz w:val="16"/>
          <w:szCs w:val="16"/>
          <w:lang w:val="en-GB"/>
        </w:rPr>
        <w:footnoteRef/>
      </w:r>
      <w:r w:rsidRPr="0028578A">
        <w:rPr>
          <w:rFonts w:cs="Arial"/>
          <w:color w:val="0D0D0D" w:themeColor="text1" w:themeTint="F2"/>
          <w:spacing w:val="-4"/>
          <w:sz w:val="16"/>
          <w:szCs w:val="16"/>
          <w:lang w:val="en-GB"/>
        </w:rPr>
        <w:t xml:space="preserve"> </w:t>
      </w:r>
      <w:r>
        <w:rPr>
          <w:rFonts w:cs="Arial"/>
          <w:color w:val="0D0D0D" w:themeColor="text1" w:themeTint="F2"/>
          <w:spacing w:val="-4"/>
          <w:sz w:val="16"/>
          <w:szCs w:val="16"/>
          <w:lang w:val="en-GB"/>
        </w:rPr>
        <w:t>If the inadequate demand troubled one half of construction businesses and shortage of workers one fifth of them in Q</w:t>
      </w:r>
      <w:r w:rsidRPr="0028578A">
        <w:rPr>
          <w:rFonts w:cs="Arial"/>
          <w:color w:val="0D0D0D" w:themeColor="text1" w:themeTint="F2"/>
          <w:spacing w:val="-4"/>
          <w:sz w:val="16"/>
          <w:szCs w:val="16"/>
          <w:lang w:val="en-GB"/>
        </w:rPr>
        <w:t>3</w:t>
      </w:r>
      <w:r>
        <w:rPr>
          <w:rFonts w:cs="Arial"/>
          <w:color w:val="0D0D0D" w:themeColor="text1" w:themeTint="F2"/>
          <w:spacing w:val="-4"/>
          <w:sz w:val="16"/>
          <w:szCs w:val="16"/>
          <w:lang w:val="en-GB"/>
        </w:rPr>
        <w:t xml:space="preserve"> </w:t>
      </w:r>
      <w:r w:rsidRPr="0028578A">
        <w:rPr>
          <w:rFonts w:cs="Arial"/>
          <w:color w:val="0D0D0D" w:themeColor="text1" w:themeTint="F2"/>
          <w:spacing w:val="-4"/>
          <w:sz w:val="16"/>
          <w:szCs w:val="16"/>
          <w:lang w:val="en-GB"/>
        </w:rPr>
        <w:t xml:space="preserve">2017, these relations nearly turned two years later. Construction thus experienced a similar situation </w:t>
      </w:r>
      <w:r>
        <w:rPr>
          <w:rFonts w:cs="Arial"/>
          <w:color w:val="0D0D0D" w:themeColor="text1" w:themeTint="F2"/>
          <w:spacing w:val="-4"/>
          <w:sz w:val="16"/>
          <w:szCs w:val="16"/>
          <w:lang w:val="en-GB"/>
        </w:rPr>
        <w:t>(</w:t>
      </w:r>
      <w:r w:rsidRPr="0028578A">
        <w:rPr>
          <w:rFonts w:cs="Arial"/>
          <w:color w:val="0D0D0D" w:themeColor="text1" w:themeTint="F2"/>
          <w:spacing w:val="-4"/>
          <w:sz w:val="16"/>
          <w:szCs w:val="16"/>
          <w:lang w:val="en-GB"/>
        </w:rPr>
        <w:t xml:space="preserve">in </w:t>
      </w:r>
      <w:r>
        <w:rPr>
          <w:rFonts w:cs="Arial"/>
          <w:color w:val="0D0D0D" w:themeColor="text1" w:themeTint="F2"/>
          <w:spacing w:val="-4"/>
          <w:sz w:val="16"/>
          <w:szCs w:val="16"/>
          <w:lang w:val="en-GB"/>
        </w:rPr>
        <w:t xml:space="preserve">slightly </w:t>
      </w:r>
      <w:r w:rsidRPr="0028578A">
        <w:rPr>
          <w:rFonts w:cs="Arial"/>
          <w:color w:val="0D0D0D" w:themeColor="text1" w:themeTint="F2"/>
          <w:spacing w:val="-4"/>
          <w:sz w:val="16"/>
          <w:szCs w:val="16"/>
          <w:lang w:val="en-GB"/>
        </w:rPr>
        <w:t>accentuated form</w:t>
      </w:r>
      <w:r>
        <w:rPr>
          <w:rFonts w:cs="Arial"/>
          <w:color w:val="0D0D0D" w:themeColor="text1" w:themeTint="F2"/>
          <w:spacing w:val="-4"/>
          <w:sz w:val="16"/>
          <w:szCs w:val="16"/>
          <w:lang w:val="en-GB"/>
        </w:rPr>
        <w:t>)</w:t>
      </w:r>
      <w:r w:rsidRPr="0028578A">
        <w:rPr>
          <w:rFonts w:cs="Arial"/>
          <w:color w:val="0D0D0D" w:themeColor="text1" w:themeTint="F2"/>
          <w:spacing w:val="-4"/>
          <w:sz w:val="16"/>
          <w:szCs w:val="16"/>
          <w:lang w:val="en-GB"/>
        </w:rPr>
        <w:t xml:space="preserve">, which occurred in industry </w:t>
      </w:r>
      <w:r>
        <w:rPr>
          <w:rFonts w:cs="Arial"/>
          <w:color w:val="0D0D0D" w:themeColor="text1" w:themeTint="F2"/>
          <w:spacing w:val="-4"/>
          <w:sz w:val="16"/>
          <w:szCs w:val="16"/>
          <w:lang w:val="en-GB"/>
        </w:rPr>
        <w:t>dur</w:t>
      </w:r>
      <w:r w:rsidRPr="0028578A">
        <w:rPr>
          <w:rFonts w:cs="Arial"/>
          <w:color w:val="0D0D0D" w:themeColor="text1" w:themeTint="F2"/>
          <w:spacing w:val="-4"/>
          <w:sz w:val="16"/>
          <w:szCs w:val="16"/>
          <w:lang w:val="en-GB"/>
        </w:rPr>
        <w:t>in</w:t>
      </w:r>
      <w:r>
        <w:rPr>
          <w:rFonts w:cs="Arial"/>
          <w:color w:val="0D0D0D" w:themeColor="text1" w:themeTint="F2"/>
          <w:spacing w:val="-4"/>
          <w:sz w:val="16"/>
          <w:szCs w:val="16"/>
          <w:lang w:val="en-GB"/>
        </w:rPr>
        <w:t>g</w:t>
      </w:r>
      <w:r w:rsidRPr="0028578A">
        <w:rPr>
          <w:rFonts w:cs="Arial"/>
          <w:color w:val="0D0D0D" w:themeColor="text1" w:themeTint="F2"/>
          <w:spacing w:val="-4"/>
          <w:sz w:val="16"/>
          <w:szCs w:val="16"/>
          <w:lang w:val="en-GB"/>
        </w:rPr>
        <w:t xml:space="preserve"> years 2016 and 2017.</w:t>
      </w:r>
    </w:p>
  </w:footnote>
  <w:footnote w:id="21">
    <w:p w:rsidR="006B5BE0" w:rsidRPr="0028578A" w:rsidRDefault="006B5BE0" w:rsidP="008402AD">
      <w:pPr>
        <w:spacing w:after="0" w:line="240" w:lineRule="auto"/>
        <w:rPr>
          <w:lang w:val="en-GB"/>
        </w:rPr>
      </w:pPr>
      <w:r w:rsidRPr="0028578A">
        <w:rPr>
          <w:rStyle w:val="Znakapoznpodarou"/>
          <w:color w:val="0D0D0D" w:themeColor="text1" w:themeTint="F2"/>
          <w:sz w:val="16"/>
          <w:szCs w:val="16"/>
          <w:lang w:val="en-GB"/>
        </w:rPr>
        <w:footnoteRef/>
      </w:r>
      <w:r w:rsidRPr="0028578A">
        <w:rPr>
          <w:color w:val="0D0D0D" w:themeColor="text1" w:themeTint="F2"/>
          <w:sz w:val="16"/>
          <w:szCs w:val="16"/>
          <w:lang w:val="en-GB"/>
        </w:rPr>
        <w:t xml:space="preserve"> Excluding trade, financial and</w:t>
      </w:r>
      <w:r>
        <w:rPr>
          <w:color w:val="0D0D0D" w:themeColor="text1" w:themeTint="F2"/>
          <w:sz w:val="16"/>
          <w:szCs w:val="16"/>
          <w:lang w:val="en-GB"/>
        </w:rPr>
        <w:t xml:space="preserve"> insurance activities, </w:t>
      </w:r>
      <w:r w:rsidRPr="0028578A">
        <w:rPr>
          <w:color w:val="0D0D0D" w:themeColor="text1" w:themeTint="F2"/>
          <w:sz w:val="16"/>
          <w:szCs w:val="16"/>
          <w:lang w:val="en-GB"/>
        </w:rPr>
        <w:t xml:space="preserve">research </w:t>
      </w:r>
      <w:r>
        <w:rPr>
          <w:color w:val="0D0D0D" w:themeColor="text1" w:themeTint="F2"/>
          <w:sz w:val="16"/>
          <w:szCs w:val="16"/>
          <w:lang w:val="en-GB"/>
        </w:rPr>
        <w:t xml:space="preserve">and development, </w:t>
      </w:r>
      <w:r w:rsidRPr="0028578A">
        <w:rPr>
          <w:color w:val="0D0D0D" w:themeColor="text1" w:themeTint="F2"/>
          <w:sz w:val="16"/>
          <w:szCs w:val="16"/>
          <w:lang w:val="en-GB"/>
        </w:rPr>
        <w:t xml:space="preserve">and </w:t>
      </w:r>
      <w:r>
        <w:rPr>
          <w:color w:val="0D0D0D" w:themeColor="text1" w:themeTint="F2"/>
          <w:sz w:val="16"/>
          <w:szCs w:val="16"/>
          <w:lang w:val="en-GB"/>
        </w:rPr>
        <w:t xml:space="preserve">also </w:t>
      </w:r>
      <w:r w:rsidRPr="0028578A">
        <w:rPr>
          <w:color w:val="0D0D0D" w:themeColor="text1" w:themeTint="F2"/>
          <w:sz w:val="16"/>
          <w:szCs w:val="16"/>
          <w:lang w:val="en-GB"/>
        </w:rPr>
        <w:t>public services. All data for services are in constant prices, year-on-year data are adjusted for calendar effects, quarter-on-quarter data are adjusted for seasonal effects (including the effect of the</w:t>
      </w:r>
      <w:r>
        <w:rPr>
          <w:color w:val="0D0D0D" w:themeColor="text1" w:themeTint="F2"/>
          <w:sz w:val="16"/>
          <w:szCs w:val="16"/>
          <w:lang w:val="en-GB"/>
        </w:rPr>
        <w:t xml:space="preserve"> different</w:t>
      </w:r>
      <w:r w:rsidRPr="0028578A">
        <w:rPr>
          <w:color w:val="0D0D0D" w:themeColor="text1" w:themeTint="F2"/>
          <w:sz w:val="16"/>
          <w:szCs w:val="16"/>
          <w:lang w:val="en-GB"/>
        </w:rPr>
        <w:t xml:space="preserve"> number of working days).</w:t>
      </w:r>
    </w:p>
  </w:footnote>
  <w:footnote w:id="22">
    <w:p w:rsidR="006B5BE0" w:rsidRPr="0028578A" w:rsidRDefault="006B5BE0" w:rsidP="008402AD">
      <w:pPr>
        <w:spacing w:after="0" w:line="240" w:lineRule="auto"/>
        <w:rPr>
          <w:lang w:val="en-GB"/>
        </w:rPr>
      </w:pPr>
      <w:r w:rsidRPr="0028578A">
        <w:rPr>
          <w:rStyle w:val="Znakapoznpodarou"/>
          <w:color w:val="0D0D0D" w:themeColor="text1" w:themeTint="F2"/>
          <w:sz w:val="16"/>
          <w:szCs w:val="16"/>
          <w:lang w:val="en-GB"/>
        </w:rPr>
        <w:footnoteRef/>
      </w:r>
      <w:r w:rsidRPr="0028578A">
        <w:rPr>
          <w:color w:val="0D0D0D" w:themeColor="text1" w:themeTint="F2"/>
          <w:sz w:val="16"/>
          <w:szCs w:val="16"/>
          <w:lang w:val="en-GB"/>
        </w:rPr>
        <w:t xml:space="preserve"> Sales in the more significant segment </w:t>
      </w:r>
      <w:r>
        <w:rPr>
          <w:color w:val="0D0D0D" w:themeColor="text1" w:themeTint="F2"/>
          <w:sz w:val="16"/>
          <w:szCs w:val="16"/>
          <w:lang w:val="en-GB"/>
        </w:rPr>
        <w:t>(</w:t>
      </w:r>
      <w:r w:rsidRPr="0028578A">
        <w:rPr>
          <w:color w:val="0D0D0D" w:themeColor="text1" w:themeTint="F2"/>
          <w:sz w:val="16"/>
          <w:szCs w:val="16"/>
          <w:lang w:val="en-GB"/>
        </w:rPr>
        <w:t>by weight</w:t>
      </w:r>
      <w:r>
        <w:rPr>
          <w:color w:val="0D0D0D" w:themeColor="text1" w:themeTint="F2"/>
          <w:sz w:val="16"/>
          <w:szCs w:val="16"/>
          <w:lang w:val="en-GB"/>
        </w:rPr>
        <w:t>)</w:t>
      </w:r>
      <w:r w:rsidRPr="0028578A">
        <w:rPr>
          <w:color w:val="0D0D0D" w:themeColor="text1" w:themeTint="F2"/>
          <w:sz w:val="16"/>
          <w:szCs w:val="16"/>
          <w:lang w:val="en-GB"/>
        </w:rPr>
        <w:t xml:space="preserve"> </w:t>
      </w:r>
      <w:r>
        <w:rPr>
          <w:color w:val="0D0D0D" w:themeColor="text1" w:themeTint="F2"/>
          <w:sz w:val="16"/>
          <w:szCs w:val="16"/>
          <w:lang w:val="en-GB"/>
        </w:rPr>
        <w:t>“</w:t>
      </w:r>
      <w:r w:rsidRPr="0028578A">
        <w:rPr>
          <w:color w:val="0D0D0D" w:themeColor="text1" w:themeTint="F2"/>
          <w:sz w:val="16"/>
          <w:szCs w:val="16"/>
          <w:lang w:val="en-GB"/>
        </w:rPr>
        <w:t>the sale and renting of real estate</w:t>
      </w:r>
      <w:r>
        <w:rPr>
          <w:color w:val="0D0D0D" w:themeColor="text1" w:themeTint="F2"/>
          <w:sz w:val="16"/>
          <w:szCs w:val="16"/>
          <w:lang w:val="en-GB"/>
        </w:rPr>
        <w:t>” remained stable</w:t>
      </w:r>
      <w:r w:rsidRPr="0028578A">
        <w:rPr>
          <w:color w:val="0D0D0D" w:themeColor="text1" w:themeTint="F2"/>
          <w:sz w:val="16"/>
          <w:szCs w:val="16"/>
          <w:lang w:val="en-GB"/>
        </w:rPr>
        <w:t xml:space="preserve"> year-on-year. </w:t>
      </w:r>
    </w:p>
  </w:footnote>
  <w:footnote w:id="23">
    <w:p w:rsidR="006B5BE0" w:rsidRPr="004A2D6B" w:rsidRDefault="006B5BE0" w:rsidP="008402AD">
      <w:pPr>
        <w:pStyle w:val="Textpoznpodarou"/>
        <w:jc w:val="both"/>
        <w:rPr>
          <w:spacing w:val="-4"/>
          <w:sz w:val="16"/>
          <w:szCs w:val="16"/>
          <w:lang w:val="en-GB"/>
        </w:rPr>
      </w:pPr>
      <w:r w:rsidRPr="005813A9">
        <w:rPr>
          <w:rStyle w:val="Znakapoznpodarou"/>
          <w:rFonts w:cs="Arial"/>
          <w:color w:val="0D0D0D" w:themeColor="text1" w:themeTint="F2"/>
          <w:spacing w:val="-2"/>
          <w:sz w:val="16"/>
          <w:szCs w:val="16"/>
        </w:rPr>
        <w:footnoteRef/>
      </w:r>
      <w:r>
        <w:rPr>
          <w:rFonts w:cs="Arial"/>
          <w:color w:val="0D0D0D" w:themeColor="text1" w:themeTint="F2"/>
          <w:spacing w:val="-2"/>
          <w:sz w:val="16"/>
          <w:szCs w:val="16"/>
        </w:rPr>
        <w:t xml:space="preserve"> </w:t>
      </w:r>
      <w:r w:rsidRPr="004A2D6B">
        <w:rPr>
          <w:rFonts w:cs="Arial"/>
          <w:color w:val="0D0D0D" w:themeColor="text1" w:themeTint="F2"/>
          <w:spacing w:val="-2"/>
          <w:sz w:val="16"/>
          <w:szCs w:val="16"/>
          <w:lang w:val="en-GB"/>
        </w:rPr>
        <w:t xml:space="preserve">The segment of motion picture distribution itself also thrived. </w:t>
      </w:r>
      <w:r w:rsidRPr="004A2D6B">
        <w:rPr>
          <w:sz w:val="16"/>
          <w:szCs w:val="16"/>
          <w:lang w:val="en-GB"/>
        </w:rPr>
        <w:t xml:space="preserve">According to the Union of motion picture distributors, the sales from entrance fees in cinemas </w:t>
      </w:r>
      <w:r>
        <w:rPr>
          <w:sz w:val="16"/>
          <w:szCs w:val="16"/>
          <w:lang w:val="en-GB"/>
        </w:rPr>
        <w:t xml:space="preserve">in the CR </w:t>
      </w:r>
      <w:r w:rsidRPr="004A2D6B">
        <w:rPr>
          <w:sz w:val="16"/>
          <w:szCs w:val="16"/>
          <w:lang w:val="en-GB"/>
        </w:rPr>
        <w:t>increased by one quarter year-on-year and number of visitors reached 8.8 mil</w:t>
      </w:r>
      <w:r>
        <w:rPr>
          <w:sz w:val="16"/>
          <w:szCs w:val="16"/>
          <w:lang w:val="en-GB"/>
        </w:rPr>
        <w:t>. in H1 2019</w:t>
      </w:r>
      <w:r w:rsidRPr="004A2D6B">
        <w:rPr>
          <w:sz w:val="16"/>
          <w:szCs w:val="16"/>
          <w:lang w:val="en-GB"/>
        </w:rPr>
        <w:t xml:space="preserve"> – the largest amount within first half-years in the history of independent CR.  </w:t>
      </w:r>
    </w:p>
  </w:footnote>
  <w:footnote w:id="24">
    <w:p w:rsidR="006B5BE0" w:rsidRPr="004A2D6B" w:rsidRDefault="006B5BE0" w:rsidP="00E343C7">
      <w:pPr>
        <w:spacing w:after="0" w:line="240" w:lineRule="auto"/>
        <w:rPr>
          <w:spacing w:val="-2"/>
          <w:lang w:val="en-GB"/>
        </w:rPr>
      </w:pPr>
      <w:r w:rsidRPr="004A2D6B">
        <w:rPr>
          <w:rStyle w:val="Znakapoznpodarou"/>
          <w:color w:val="0D0D0D" w:themeColor="text1" w:themeTint="F2"/>
          <w:spacing w:val="-2"/>
          <w:sz w:val="16"/>
          <w:szCs w:val="16"/>
          <w:lang w:val="en-GB"/>
        </w:rPr>
        <w:footnoteRef/>
      </w:r>
      <w:r w:rsidRPr="004A2D6B">
        <w:rPr>
          <w:spacing w:val="-2"/>
          <w:sz w:val="16"/>
          <w:szCs w:val="16"/>
          <w:lang w:val="en-GB"/>
        </w:rPr>
        <w:t xml:space="preserve"> </w:t>
      </w:r>
      <w:r>
        <w:rPr>
          <w:spacing w:val="-2"/>
          <w:sz w:val="16"/>
          <w:szCs w:val="16"/>
          <w:lang w:val="en-GB"/>
        </w:rPr>
        <w:t xml:space="preserve">It was the most among all branch sections of services. </w:t>
      </w:r>
      <w:r w:rsidRPr="004A2D6B">
        <w:rPr>
          <w:spacing w:val="-2"/>
          <w:sz w:val="16"/>
          <w:szCs w:val="16"/>
          <w:lang w:val="en-GB"/>
        </w:rPr>
        <w:t xml:space="preserve">Growth arrived at 25% in information and communication. </w:t>
      </w:r>
    </w:p>
  </w:footnote>
  <w:footnote w:id="25">
    <w:p w:rsidR="006B5BE0" w:rsidRPr="004A2D6B" w:rsidRDefault="006B5BE0" w:rsidP="00E343C7">
      <w:pPr>
        <w:spacing w:after="0" w:line="240" w:lineRule="auto"/>
        <w:rPr>
          <w:spacing w:val="-3"/>
          <w:lang w:val="en-GB"/>
        </w:rPr>
      </w:pPr>
      <w:r w:rsidRPr="004A2D6B">
        <w:rPr>
          <w:rStyle w:val="Znakapoznpodarou"/>
          <w:color w:val="0D0D0D" w:themeColor="text1" w:themeTint="F2"/>
          <w:spacing w:val="-3"/>
          <w:sz w:val="16"/>
          <w:szCs w:val="16"/>
          <w:lang w:val="en-GB"/>
        </w:rPr>
        <w:footnoteRef/>
      </w:r>
      <w:r w:rsidRPr="004A2D6B">
        <w:rPr>
          <w:color w:val="0D0D0D" w:themeColor="text1" w:themeTint="F2"/>
          <w:spacing w:val="-3"/>
          <w:sz w:val="16"/>
          <w:szCs w:val="16"/>
          <w:lang w:val="en-GB"/>
        </w:rPr>
        <w:t xml:space="preserve"> </w:t>
      </w:r>
      <w:r>
        <w:rPr>
          <w:color w:val="0D0D0D" w:themeColor="text1" w:themeTint="F2"/>
          <w:spacing w:val="-3"/>
          <w:sz w:val="16"/>
          <w:szCs w:val="16"/>
          <w:lang w:val="en-GB"/>
        </w:rPr>
        <w:t>It grew by 2.5% year-on-year in H</w:t>
      </w:r>
      <w:r w:rsidRPr="004A2D6B">
        <w:rPr>
          <w:color w:val="0D0D0D" w:themeColor="text1" w:themeTint="F2"/>
          <w:spacing w:val="-3"/>
          <w:sz w:val="16"/>
          <w:szCs w:val="16"/>
          <w:lang w:val="en-GB"/>
        </w:rPr>
        <w:t>1</w:t>
      </w:r>
      <w:r>
        <w:rPr>
          <w:color w:val="0D0D0D" w:themeColor="text1" w:themeTint="F2"/>
          <w:spacing w:val="-3"/>
          <w:sz w:val="16"/>
          <w:szCs w:val="16"/>
          <w:lang w:val="en-GB"/>
        </w:rPr>
        <w:t xml:space="preserve"> </w:t>
      </w:r>
      <w:r w:rsidRPr="004A2D6B">
        <w:rPr>
          <w:color w:val="0D0D0D" w:themeColor="text1" w:themeTint="F2"/>
          <w:spacing w:val="-3"/>
          <w:sz w:val="16"/>
          <w:szCs w:val="16"/>
          <w:lang w:val="en-GB"/>
        </w:rPr>
        <w:t xml:space="preserve">2019, </w:t>
      </w:r>
      <w:r>
        <w:rPr>
          <w:color w:val="0D0D0D" w:themeColor="text1" w:themeTint="F2"/>
          <w:spacing w:val="-3"/>
          <w:sz w:val="16"/>
          <w:szCs w:val="16"/>
          <w:lang w:val="en-GB"/>
        </w:rPr>
        <w:t xml:space="preserve">for the most part thanks to domestic visitors </w:t>
      </w:r>
      <w:r w:rsidRPr="004A2D6B">
        <w:rPr>
          <w:color w:val="0D0D0D" w:themeColor="text1" w:themeTint="F2"/>
          <w:spacing w:val="-3"/>
          <w:sz w:val="16"/>
          <w:szCs w:val="16"/>
          <w:lang w:val="en-GB"/>
        </w:rPr>
        <w:t>(+4</w:t>
      </w:r>
      <w:r>
        <w:rPr>
          <w:color w:val="0D0D0D" w:themeColor="text1" w:themeTint="F2"/>
          <w:spacing w:val="-3"/>
          <w:sz w:val="16"/>
          <w:szCs w:val="16"/>
          <w:lang w:val="en-GB"/>
        </w:rPr>
        <w:t>.</w:t>
      </w:r>
      <w:r w:rsidRPr="004A2D6B">
        <w:rPr>
          <w:color w:val="0D0D0D" w:themeColor="text1" w:themeTint="F2"/>
          <w:spacing w:val="-3"/>
          <w:sz w:val="16"/>
          <w:szCs w:val="16"/>
          <w:lang w:val="en-GB"/>
        </w:rPr>
        <w:t xml:space="preserve">0%). </w:t>
      </w:r>
      <w:r>
        <w:rPr>
          <w:color w:val="0D0D0D" w:themeColor="text1" w:themeTint="F2"/>
          <w:spacing w:val="-3"/>
          <w:sz w:val="16"/>
          <w:szCs w:val="16"/>
          <w:lang w:val="en-GB"/>
        </w:rPr>
        <w:t xml:space="preserve">Visitors from Germany, other neighbouring countries of the CR and also from the USA contributed the most to the slight increase of number of overnight stays of non-residents. Decrease was on the contrary observed for visitors from Russia </w:t>
      </w:r>
      <w:r w:rsidRPr="004A2D6B">
        <w:rPr>
          <w:color w:val="0D0D0D" w:themeColor="text1" w:themeTint="F2"/>
          <w:spacing w:val="-3"/>
          <w:sz w:val="16"/>
          <w:szCs w:val="16"/>
          <w:lang w:val="en-GB"/>
        </w:rPr>
        <w:t>(</w:t>
      </w:r>
      <w:r>
        <w:rPr>
          <w:color w:val="0D0D0D" w:themeColor="text1" w:themeTint="F2"/>
          <w:spacing w:val="-3"/>
          <w:sz w:val="16"/>
          <w:szCs w:val="16"/>
          <w:lang w:val="en-GB"/>
        </w:rPr>
        <w:t>visitors</w:t>
      </w:r>
      <w:r w:rsidRPr="004A2D6B">
        <w:rPr>
          <w:color w:val="0D0D0D" w:themeColor="text1" w:themeTint="F2"/>
          <w:spacing w:val="-3"/>
          <w:sz w:val="16"/>
          <w:szCs w:val="16"/>
          <w:lang w:val="en-GB"/>
        </w:rPr>
        <w:t>: –1</w:t>
      </w:r>
      <w:r>
        <w:rPr>
          <w:color w:val="0D0D0D" w:themeColor="text1" w:themeTint="F2"/>
          <w:spacing w:val="-3"/>
          <w:sz w:val="16"/>
          <w:szCs w:val="16"/>
          <w:lang w:val="en-GB"/>
        </w:rPr>
        <w:t>.6</w:t>
      </w:r>
      <w:r w:rsidRPr="004A2D6B">
        <w:rPr>
          <w:color w:val="0D0D0D" w:themeColor="text1" w:themeTint="F2"/>
          <w:spacing w:val="-3"/>
          <w:sz w:val="16"/>
          <w:szCs w:val="16"/>
          <w:lang w:val="en-GB"/>
        </w:rPr>
        <w:t xml:space="preserve">%, </w:t>
      </w:r>
      <w:r>
        <w:rPr>
          <w:color w:val="0D0D0D" w:themeColor="text1" w:themeTint="F2"/>
          <w:spacing w:val="-3"/>
          <w:sz w:val="16"/>
          <w:szCs w:val="16"/>
          <w:lang w:val="en-GB"/>
        </w:rPr>
        <w:t>overnight stays</w:t>
      </w:r>
      <w:r w:rsidRPr="004A2D6B">
        <w:rPr>
          <w:color w:val="0D0D0D" w:themeColor="text1" w:themeTint="F2"/>
          <w:spacing w:val="-3"/>
          <w:sz w:val="16"/>
          <w:szCs w:val="16"/>
          <w:lang w:val="en-GB"/>
        </w:rPr>
        <w:t>: –7</w:t>
      </w:r>
      <w:r>
        <w:rPr>
          <w:color w:val="0D0D0D" w:themeColor="text1" w:themeTint="F2"/>
          <w:spacing w:val="-3"/>
          <w:sz w:val="16"/>
          <w:szCs w:val="16"/>
          <w:lang w:val="en-GB"/>
        </w:rPr>
        <w:t>.</w:t>
      </w:r>
      <w:r w:rsidRPr="004A2D6B">
        <w:rPr>
          <w:color w:val="0D0D0D" w:themeColor="text1" w:themeTint="F2"/>
          <w:spacing w:val="-3"/>
          <w:sz w:val="16"/>
          <w:szCs w:val="16"/>
          <w:lang w:val="en-GB"/>
        </w:rPr>
        <w:t xml:space="preserve">8%). </w:t>
      </w:r>
      <w:r>
        <w:rPr>
          <w:color w:val="0D0D0D" w:themeColor="text1" w:themeTint="F2"/>
          <w:spacing w:val="-3"/>
          <w:sz w:val="16"/>
          <w:szCs w:val="16"/>
          <w:lang w:val="en-GB"/>
        </w:rPr>
        <w:t>All regions of the CR except for Zlinsky region (</w:t>
      </w:r>
      <w:r w:rsidRPr="004A2D6B">
        <w:rPr>
          <w:color w:val="0D0D0D" w:themeColor="text1" w:themeTint="F2"/>
          <w:spacing w:val="-3"/>
          <w:sz w:val="16"/>
          <w:szCs w:val="16"/>
          <w:lang w:val="en-GB"/>
        </w:rPr>
        <w:t>–</w:t>
      </w:r>
      <w:r>
        <w:rPr>
          <w:color w:val="0D0D0D" w:themeColor="text1" w:themeTint="F2"/>
          <w:spacing w:val="-3"/>
          <w:sz w:val="16"/>
          <w:szCs w:val="16"/>
          <w:lang w:val="en-GB"/>
        </w:rPr>
        <w:t xml:space="preserve">1.2%) recorded an increase of overnight stays of visitors, rates of growth were weaker in Prague </w:t>
      </w:r>
      <w:r w:rsidRPr="004A2D6B">
        <w:rPr>
          <w:color w:val="0D0D0D" w:themeColor="text1" w:themeTint="F2"/>
          <w:spacing w:val="-3"/>
          <w:sz w:val="16"/>
          <w:szCs w:val="16"/>
          <w:lang w:val="en-GB"/>
        </w:rPr>
        <w:t>(+0</w:t>
      </w:r>
      <w:r>
        <w:rPr>
          <w:color w:val="0D0D0D" w:themeColor="text1" w:themeTint="F2"/>
          <w:spacing w:val="-3"/>
          <w:sz w:val="16"/>
          <w:szCs w:val="16"/>
          <w:lang w:val="en-GB"/>
        </w:rPr>
        <w:t>.</w:t>
      </w:r>
      <w:r w:rsidRPr="004A2D6B">
        <w:rPr>
          <w:color w:val="0D0D0D" w:themeColor="text1" w:themeTint="F2"/>
          <w:spacing w:val="-3"/>
          <w:sz w:val="16"/>
          <w:szCs w:val="16"/>
          <w:lang w:val="en-GB"/>
        </w:rPr>
        <w:t>6%).</w:t>
      </w:r>
    </w:p>
  </w:footnote>
  <w:footnote w:id="26">
    <w:p w:rsidR="006B5BE0" w:rsidRPr="002D0394" w:rsidRDefault="006B5BE0" w:rsidP="002D0394">
      <w:pPr>
        <w:spacing w:after="0" w:line="240" w:lineRule="auto"/>
        <w:rPr>
          <w:lang w:val="en-GB"/>
        </w:rPr>
      </w:pPr>
      <w:r w:rsidRPr="00A85D8E">
        <w:rPr>
          <w:rStyle w:val="Znakapoznpodarou"/>
          <w:sz w:val="16"/>
          <w:szCs w:val="16"/>
        </w:rPr>
        <w:footnoteRef/>
      </w:r>
      <w:r>
        <w:rPr>
          <w:sz w:val="16"/>
          <w:szCs w:val="16"/>
        </w:rPr>
        <w:t xml:space="preserve"> </w:t>
      </w:r>
      <w:r w:rsidRPr="002D0394">
        <w:rPr>
          <w:sz w:val="16"/>
          <w:szCs w:val="16"/>
          <w:lang w:val="en-GB"/>
        </w:rPr>
        <w:t xml:space="preserve">All year-on-year rates of growth of retail sales are given in constant prices and adjusted for calendar effects, quarter-on-quarter rates are adjusted for seasonal effects (including the effect of </w:t>
      </w:r>
      <w:r>
        <w:rPr>
          <w:sz w:val="16"/>
          <w:szCs w:val="16"/>
          <w:lang w:val="en-GB"/>
        </w:rPr>
        <w:t xml:space="preserve">different </w:t>
      </w:r>
      <w:r w:rsidRPr="002D0394">
        <w:rPr>
          <w:sz w:val="16"/>
          <w:szCs w:val="16"/>
          <w:lang w:val="en-GB"/>
        </w:rPr>
        <w:t xml:space="preserve">number of working days).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624" w:rsidRDefault="00665624" w:rsidP="00937AE2">
    <w:pPr>
      <w:pStyle w:val="Zhlav"/>
    </w:pPr>
    <w:r>
      <w:t>The Czech Economy Development</w:t>
    </w:r>
  </w:p>
  <w:p w:rsidR="00665624" w:rsidRPr="006F5416" w:rsidRDefault="00665624"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624" w:rsidRDefault="00665624" w:rsidP="00937AE2">
    <w:pPr>
      <w:pStyle w:val="Zhlav"/>
    </w:pPr>
    <w:r>
      <w:t>The Czech Economy Development</w:t>
    </w:r>
  </w:p>
  <w:p w:rsidR="00665624" w:rsidRPr="006F5416" w:rsidRDefault="00665624"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3"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1"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24"/>
  </w:num>
  <w:num w:numId="14">
    <w:abstractNumId w:val="12"/>
  </w:num>
  <w:num w:numId="15">
    <w:abstractNumId w:val="18"/>
  </w:num>
  <w:num w:numId="16">
    <w:abstractNumId w:val="14"/>
  </w:num>
  <w:num w:numId="17">
    <w:abstractNumId w:val="25"/>
  </w:num>
  <w:num w:numId="18">
    <w:abstractNumId w:val="19"/>
  </w:num>
  <w:num w:numId="19">
    <w:abstractNumId w:val="26"/>
  </w:num>
  <w:num w:numId="20">
    <w:abstractNumId w:val="27"/>
  </w:num>
  <w:num w:numId="21">
    <w:abstractNumId w:val="23"/>
  </w:num>
  <w:num w:numId="22">
    <w:abstractNumId w:val="17"/>
  </w:num>
  <w:num w:numId="23">
    <w:abstractNumId w:val="15"/>
  </w:num>
  <w:num w:numId="24">
    <w:abstractNumId w:val="16"/>
  </w:num>
  <w:num w:numId="25">
    <w:abstractNumId w:val="11"/>
  </w:num>
  <w:num w:numId="26">
    <w:abstractNumId w:val="21"/>
  </w:num>
  <w:num w:numId="27">
    <w:abstractNumId w:val="2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828"/>
    <w:rsid w:val="000005AF"/>
    <w:rsid w:val="00000B55"/>
    <w:rsid w:val="00000DA2"/>
    <w:rsid w:val="00000E05"/>
    <w:rsid w:val="0000209D"/>
    <w:rsid w:val="00002315"/>
    <w:rsid w:val="00003849"/>
    <w:rsid w:val="00003F5C"/>
    <w:rsid w:val="00003FD3"/>
    <w:rsid w:val="00004D5A"/>
    <w:rsid w:val="000056D5"/>
    <w:rsid w:val="00005D9E"/>
    <w:rsid w:val="000063D5"/>
    <w:rsid w:val="00006625"/>
    <w:rsid w:val="000066B6"/>
    <w:rsid w:val="00006ABD"/>
    <w:rsid w:val="00006B67"/>
    <w:rsid w:val="00006C0B"/>
    <w:rsid w:val="000073A0"/>
    <w:rsid w:val="0000767A"/>
    <w:rsid w:val="00007ABE"/>
    <w:rsid w:val="00010256"/>
    <w:rsid w:val="000103C8"/>
    <w:rsid w:val="00010702"/>
    <w:rsid w:val="0001128E"/>
    <w:rsid w:val="00011912"/>
    <w:rsid w:val="0001387D"/>
    <w:rsid w:val="0001448F"/>
    <w:rsid w:val="000162C4"/>
    <w:rsid w:val="00016420"/>
    <w:rsid w:val="0001719F"/>
    <w:rsid w:val="00017B01"/>
    <w:rsid w:val="00017F00"/>
    <w:rsid w:val="00020F22"/>
    <w:rsid w:val="0002195D"/>
    <w:rsid w:val="000221E5"/>
    <w:rsid w:val="000228AE"/>
    <w:rsid w:val="000233D1"/>
    <w:rsid w:val="0002345D"/>
    <w:rsid w:val="000234D6"/>
    <w:rsid w:val="00023D29"/>
    <w:rsid w:val="00024348"/>
    <w:rsid w:val="00025D65"/>
    <w:rsid w:val="00026389"/>
    <w:rsid w:val="000274E3"/>
    <w:rsid w:val="00031AE0"/>
    <w:rsid w:val="00031BB2"/>
    <w:rsid w:val="000322EF"/>
    <w:rsid w:val="00033FCD"/>
    <w:rsid w:val="00034DF7"/>
    <w:rsid w:val="00034E68"/>
    <w:rsid w:val="00034F5B"/>
    <w:rsid w:val="000350C8"/>
    <w:rsid w:val="00036195"/>
    <w:rsid w:val="00037270"/>
    <w:rsid w:val="000374B2"/>
    <w:rsid w:val="000376C0"/>
    <w:rsid w:val="000403A7"/>
    <w:rsid w:val="00040632"/>
    <w:rsid w:val="00041028"/>
    <w:rsid w:val="00041CEC"/>
    <w:rsid w:val="00044183"/>
    <w:rsid w:val="0004694F"/>
    <w:rsid w:val="0004752C"/>
    <w:rsid w:val="00047D54"/>
    <w:rsid w:val="000522E4"/>
    <w:rsid w:val="00053713"/>
    <w:rsid w:val="000537E1"/>
    <w:rsid w:val="00054136"/>
    <w:rsid w:val="0005434E"/>
    <w:rsid w:val="00054796"/>
    <w:rsid w:val="00055CB6"/>
    <w:rsid w:val="000572DD"/>
    <w:rsid w:val="00057B1E"/>
    <w:rsid w:val="00057F99"/>
    <w:rsid w:val="000610E1"/>
    <w:rsid w:val="000616AD"/>
    <w:rsid w:val="000622A6"/>
    <w:rsid w:val="00062EC5"/>
    <w:rsid w:val="00062F22"/>
    <w:rsid w:val="00063975"/>
    <w:rsid w:val="00063CEA"/>
    <w:rsid w:val="000645FC"/>
    <w:rsid w:val="0006533F"/>
    <w:rsid w:val="00065348"/>
    <w:rsid w:val="00065892"/>
    <w:rsid w:val="00065A75"/>
    <w:rsid w:val="00066558"/>
    <w:rsid w:val="00070A87"/>
    <w:rsid w:val="000712B3"/>
    <w:rsid w:val="00072191"/>
    <w:rsid w:val="00072577"/>
    <w:rsid w:val="00072A4A"/>
    <w:rsid w:val="00072FF5"/>
    <w:rsid w:val="0007474E"/>
    <w:rsid w:val="0007512B"/>
    <w:rsid w:val="00075551"/>
    <w:rsid w:val="00076079"/>
    <w:rsid w:val="00076D90"/>
    <w:rsid w:val="00077FF0"/>
    <w:rsid w:val="000804D8"/>
    <w:rsid w:val="00081A55"/>
    <w:rsid w:val="0008263E"/>
    <w:rsid w:val="00082C19"/>
    <w:rsid w:val="000837CD"/>
    <w:rsid w:val="00083F87"/>
    <w:rsid w:val="00084492"/>
    <w:rsid w:val="00084BFF"/>
    <w:rsid w:val="00084C4C"/>
    <w:rsid w:val="00085395"/>
    <w:rsid w:val="0008688B"/>
    <w:rsid w:val="00086896"/>
    <w:rsid w:val="00086AC1"/>
    <w:rsid w:val="00086D19"/>
    <w:rsid w:val="00087634"/>
    <w:rsid w:val="00087F2B"/>
    <w:rsid w:val="00090694"/>
    <w:rsid w:val="000906C3"/>
    <w:rsid w:val="000912BE"/>
    <w:rsid w:val="000913B1"/>
    <w:rsid w:val="00091483"/>
    <w:rsid w:val="00093241"/>
    <w:rsid w:val="00094A84"/>
    <w:rsid w:val="00095025"/>
    <w:rsid w:val="00095135"/>
    <w:rsid w:val="00095A4B"/>
    <w:rsid w:val="00095AFE"/>
    <w:rsid w:val="0009626E"/>
    <w:rsid w:val="00097191"/>
    <w:rsid w:val="000974D1"/>
    <w:rsid w:val="0009799E"/>
    <w:rsid w:val="000A0BC0"/>
    <w:rsid w:val="000A1183"/>
    <w:rsid w:val="000A212B"/>
    <w:rsid w:val="000A256D"/>
    <w:rsid w:val="000A3A2C"/>
    <w:rsid w:val="000A3D9E"/>
    <w:rsid w:val="000A4A20"/>
    <w:rsid w:val="000A4A54"/>
    <w:rsid w:val="000A4ED9"/>
    <w:rsid w:val="000A6F9F"/>
    <w:rsid w:val="000A7377"/>
    <w:rsid w:val="000B03CC"/>
    <w:rsid w:val="000B4212"/>
    <w:rsid w:val="000B7A9D"/>
    <w:rsid w:val="000C0EA8"/>
    <w:rsid w:val="000C13A2"/>
    <w:rsid w:val="000C23EC"/>
    <w:rsid w:val="000C30C3"/>
    <w:rsid w:val="000C3408"/>
    <w:rsid w:val="000C35AB"/>
    <w:rsid w:val="000C3F7B"/>
    <w:rsid w:val="000C4769"/>
    <w:rsid w:val="000C4D56"/>
    <w:rsid w:val="000C5DFA"/>
    <w:rsid w:val="000C6AFD"/>
    <w:rsid w:val="000C6C90"/>
    <w:rsid w:val="000D0A26"/>
    <w:rsid w:val="000D3058"/>
    <w:rsid w:val="000D310A"/>
    <w:rsid w:val="000D3EF4"/>
    <w:rsid w:val="000D5637"/>
    <w:rsid w:val="000D6F4E"/>
    <w:rsid w:val="000E0E96"/>
    <w:rsid w:val="000E298B"/>
    <w:rsid w:val="000E2C7D"/>
    <w:rsid w:val="000E440D"/>
    <w:rsid w:val="000E44FB"/>
    <w:rsid w:val="000E4AC5"/>
    <w:rsid w:val="000E4DDC"/>
    <w:rsid w:val="000E6253"/>
    <w:rsid w:val="000E6E4D"/>
    <w:rsid w:val="000E6FBD"/>
    <w:rsid w:val="000E6FCB"/>
    <w:rsid w:val="000E7DEA"/>
    <w:rsid w:val="000F090B"/>
    <w:rsid w:val="000F253E"/>
    <w:rsid w:val="000F3F3B"/>
    <w:rsid w:val="000F47E8"/>
    <w:rsid w:val="000F70E4"/>
    <w:rsid w:val="00100F5C"/>
    <w:rsid w:val="00101CDA"/>
    <w:rsid w:val="00102037"/>
    <w:rsid w:val="00103DCB"/>
    <w:rsid w:val="00104C4C"/>
    <w:rsid w:val="00105015"/>
    <w:rsid w:val="00105238"/>
    <w:rsid w:val="001057C2"/>
    <w:rsid w:val="00105F9B"/>
    <w:rsid w:val="00105FF8"/>
    <w:rsid w:val="0011038E"/>
    <w:rsid w:val="001116E7"/>
    <w:rsid w:val="001125EF"/>
    <w:rsid w:val="00112CAB"/>
    <w:rsid w:val="00113B2C"/>
    <w:rsid w:val="001143E0"/>
    <w:rsid w:val="00114F02"/>
    <w:rsid w:val="00115469"/>
    <w:rsid w:val="00116D3F"/>
    <w:rsid w:val="00117474"/>
    <w:rsid w:val="00117623"/>
    <w:rsid w:val="00117FEA"/>
    <w:rsid w:val="001200CF"/>
    <w:rsid w:val="001208E3"/>
    <w:rsid w:val="0012192F"/>
    <w:rsid w:val="00121AAB"/>
    <w:rsid w:val="00122994"/>
    <w:rsid w:val="00124B46"/>
    <w:rsid w:val="001257E0"/>
    <w:rsid w:val="00125D69"/>
    <w:rsid w:val="0012799C"/>
    <w:rsid w:val="00127E15"/>
    <w:rsid w:val="00130ADC"/>
    <w:rsid w:val="00130D9F"/>
    <w:rsid w:val="00132C4D"/>
    <w:rsid w:val="00133FC1"/>
    <w:rsid w:val="00134659"/>
    <w:rsid w:val="001370B7"/>
    <w:rsid w:val="001405FA"/>
    <w:rsid w:val="00140D1A"/>
    <w:rsid w:val="00141315"/>
    <w:rsid w:val="00141AA0"/>
    <w:rsid w:val="001425C3"/>
    <w:rsid w:val="0014262D"/>
    <w:rsid w:val="00144588"/>
    <w:rsid w:val="001447DD"/>
    <w:rsid w:val="001459BC"/>
    <w:rsid w:val="0014675A"/>
    <w:rsid w:val="0015136D"/>
    <w:rsid w:val="001524CE"/>
    <w:rsid w:val="00152F4F"/>
    <w:rsid w:val="001539F9"/>
    <w:rsid w:val="00153C26"/>
    <w:rsid w:val="00153EC7"/>
    <w:rsid w:val="001544A1"/>
    <w:rsid w:val="001548E1"/>
    <w:rsid w:val="001553B8"/>
    <w:rsid w:val="001554C2"/>
    <w:rsid w:val="00155B6D"/>
    <w:rsid w:val="001571C0"/>
    <w:rsid w:val="0015753D"/>
    <w:rsid w:val="00157CC9"/>
    <w:rsid w:val="00157E3F"/>
    <w:rsid w:val="00160C21"/>
    <w:rsid w:val="00161223"/>
    <w:rsid w:val="001612F4"/>
    <w:rsid w:val="00161553"/>
    <w:rsid w:val="00161684"/>
    <w:rsid w:val="0016256B"/>
    <w:rsid w:val="00162F81"/>
    <w:rsid w:val="00163793"/>
    <w:rsid w:val="0016467D"/>
    <w:rsid w:val="00164788"/>
    <w:rsid w:val="001650C3"/>
    <w:rsid w:val="00166875"/>
    <w:rsid w:val="00167485"/>
    <w:rsid w:val="00167CB9"/>
    <w:rsid w:val="00167DD8"/>
    <w:rsid w:val="001705AD"/>
    <w:rsid w:val="001706D6"/>
    <w:rsid w:val="001714F2"/>
    <w:rsid w:val="00171FEA"/>
    <w:rsid w:val="00172622"/>
    <w:rsid w:val="001750A3"/>
    <w:rsid w:val="00175B9F"/>
    <w:rsid w:val="001762F4"/>
    <w:rsid w:val="001807EF"/>
    <w:rsid w:val="00181BBC"/>
    <w:rsid w:val="0018385F"/>
    <w:rsid w:val="00183928"/>
    <w:rsid w:val="00184017"/>
    <w:rsid w:val="00184B08"/>
    <w:rsid w:val="00185010"/>
    <w:rsid w:val="00185C22"/>
    <w:rsid w:val="00185E52"/>
    <w:rsid w:val="00186BA9"/>
    <w:rsid w:val="0019196C"/>
    <w:rsid w:val="00192F05"/>
    <w:rsid w:val="0019447D"/>
    <w:rsid w:val="00194729"/>
    <w:rsid w:val="00194850"/>
    <w:rsid w:val="00195234"/>
    <w:rsid w:val="00195C85"/>
    <w:rsid w:val="00196016"/>
    <w:rsid w:val="00197A70"/>
    <w:rsid w:val="00197C0F"/>
    <w:rsid w:val="001A0487"/>
    <w:rsid w:val="001A15AF"/>
    <w:rsid w:val="001A1716"/>
    <w:rsid w:val="001A1F68"/>
    <w:rsid w:val="001A21FA"/>
    <w:rsid w:val="001A2AD0"/>
    <w:rsid w:val="001A4EF0"/>
    <w:rsid w:val="001A552F"/>
    <w:rsid w:val="001B086A"/>
    <w:rsid w:val="001B2CA9"/>
    <w:rsid w:val="001B3110"/>
    <w:rsid w:val="001B352E"/>
    <w:rsid w:val="001B3E38"/>
    <w:rsid w:val="001B40F5"/>
    <w:rsid w:val="001B4729"/>
    <w:rsid w:val="001B4F0E"/>
    <w:rsid w:val="001B6310"/>
    <w:rsid w:val="001B6C09"/>
    <w:rsid w:val="001C05CD"/>
    <w:rsid w:val="001C0F17"/>
    <w:rsid w:val="001C1B66"/>
    <w:rsid w:val="001C1B6C"/>
    <w:rsid w:val="001C2B88"/>
    <w:rsid w:val="001C31A2"/>
    <w:rsid w:val="001C369F"/>
    <w:rsid w:val="001C4BB8"/>
    <w:rsid w:val="001C5E46"/>
    <w:rsid w:val="001C60B7"/>
    <w:rsid w:val="001C6B3B"/>
    <w:rsid w:val="001C6C7D"/>
    <w:rsid w:val="001C7E3F"/>
    <w:rsid w:val="001D0EF1"/>
    <w:rsid w:val="001D22C2"/>
    <w:rsid w:val="001D2C99"/>
    <w:rsid w:val="001D452E"/>
    <w:rsid w:val="001D54C1"/>
    <w:rsid w:val="001D556E"/>
    <w:rsid w:val="001D5DF2"/>
    <w:rsid w:val="001D68B2"/>
    <w:rsid w:val="001D6E96"/>
    <w:rsid w:val="001D74DD"/>
    <w:rsid w:val="001D7EFD"/>
    <w:rsid w:val="001D7F60"/>
    <w:rsid w:val="001E09E1"/>
    <w:rsid w:val="001E504C"/>
    <w:rsid w:val="001E59DF"/>
    <w:rsid w:val="001E5A17"/>
    <w:rsid w:val="001E74C5"/>
    <w:rsid w:val="001F1236"/>
    <w:rsid w:val="001F2F90"/>
    <w:rsid w:val="001F4597"/>
    <w:rsid w:val="001F4826"/>
    <w:rsid w:val="001F5EAA"/>
    <w:rsid w:val="001F7CE0"/>
    <w:rsid w:val="00200085"/>
    <w:rsid w:val="00203332"/>
    <w:rsid w:val="00203CD5"/>
    <w:rsid w:val="00203D8F"/>
    <w:rsid w:val="00203DA4"/>
    <w:rsid w:val="00205186"/>
    <w:rsid w:val="00205932"/>
    <w:rsid w:val="00206516"/>
    <w:rsid w:val="002071D5"/>
    <w:rsid w:val="002111E5"/>
    <w:rsid w:val="00211433"/>
    <w:rsid w:val="002118B9"/>
    <w:rsid w:val="00212F5D"/>
    <w:rsid w:val="002142C0"/>
    <w:rsid w:val="00217C5B"/>
    <w:rsid w:val="00220A43"/>
    <w:rsid w:val="0022139E"/>
    <w:rsid w:val="00222729"/>
    <w:rsid w:val="002233D6"/>
    <w:rsid w:val="00223605"/>
    <w:rsid w:val="0022441D"/>
    <w:rsid w:val="00224574"/>
    <w:rsid w:val="00224E3F"/>
    <w:rsid w:val="00225292"/>
    <w:rsid w:val="002252E0"/>
    <w:rsid w:val="002255F6"/>
    <w:rsid w:val="00226032"/>
    <w:rsid w:val="0022738D"/>
    <w:rsid w:val="00227605"/>
    <w:rsid w:val="00227850"/>
    <w:rsid w:val="00227A53"/>
    <w:rsid w:val="00227E2E"/>
    <w:rsid w:val="00227F53"/>
    <w:rsid w:val="00230C6E"/>
    <w:rsid w:val="00230E21"/>
    <w:rsid w:val="002316A8"/>
    <w:rsid w:val="0023288F"/>
    <w:rsid w:val="00233603"/>
    <w:rsid w:val="00233FDA"/>
    <w:rsid w:val="002340EF"/>
    <w:rsid w:val="00234B82"/>
    <w:rsid w:val="00236443"/>
    <w:rsid w:val="00236700"/>
    <w:rsid w:val="00237D82"/>
    <w:rsid w:val="00240ADA"/>
    <w:rsid w:val="00240AF3"/>
    <w:rsid w:val="00240DA6"/>
    <w:rsid w:val="0024106F"/>
    <w:rsid w:val="002418D5"/>
    <w:rsid w:val="00241B06"/>
    <w:rsid w:val="002436BA"/>
    <w:rsid w:val="0024448D"/>
    <w:rsid w:val="00244A15"/>
    <w:rsid w:val="002452D9"/>
    <w:rsid w:val="00247319"/>
    <w:rsid w:val="0024799E"/>
    <w:rsid w:val="00247E60"/>
    <w:rsid w:val="00251771"/>
    <w:rsid w:val="00251C53"/>
    <w:rsid w:val="00252AB9"/>
    <w:rsid w:val="00253C0F"/>
    <w:rsid w:val="002558C1"/>
    <w:rsid w:val="00256207"/>
    <w:rsid w:val="002575F3"/>
    <w:rsid w:val="002603E1"/>
    <w:rsid w:val="0026120E"/>
    <w:rsid w:val="00262141"/>
    <w:rsid w:val="002624BC"/>
    <w:rsid w:val="00262582"/>
    <w:rsid w:val="0026291D"/>
    <w:rsid w:val="00264309"/>
    <w:rsid w:val="0026564B"/>
    <w:rsid w:val="00265E85"/>
    <w:rsid w:val="00266E39"/>
    <w:rsid w:val="00266F0A"/>
    <w:rsid w:val="00267B49"/>
    <w:rsid w:val="002700D9"/>
    <w:rsid w:val="0027025F"/>
    <w:rsid w:val="002709CC"/>
    <w:rsid w:val="00271022"/>
    <w:rsid w:val="00271465"/>
    <w:rsid w:val="002721F5"/>
    <w:rsid w:val="00272DF4"/>
    <w:rsid w:val="00273681"/>
    <w:rsid w:val="00274D2C"/>
    <w:rsid w:val="0027583D"/>
    <w:rsid w:val="00275DEF"/>
    <w:rsid w:val="002763A2"/>
    <w:rsid w:val="00276B33"/>
    <w:rsid w:val="00281155"/>
    <w:rsid w:val="002812E3"/>
    <w:rsid w:val="00281560"/>
    <w:rsid w:val="0028341F"/>
    <w:rsid w:val="002837AE"/>
    <w:rsid w:val="00283C13"/>
    <w:rsid w:val="00284287"/>
    <w:rsid w:val="002849D0"/>
    <w:rsid w:val="002853FA"/>
    <w:rsid w:val="00285412"/>
    <w:rsid w:val="0028578A"/>
    <w:rsid w:val="00286220"/>
    <w:rsid w:val="002904EA"/>
    <w:rsid w:val="00291640"/>
    <w:rsid w:val="00291F92"/>
    <w:rsid w:val="00291FE4"/>
    <w:rsid w:val="0029237E"/>
    <w:rsid w:val="00292997"/>
    <w:rsid w:val="00293D24"/>
    <w:rsid w:val="0029509B"/>
    <w:rsid w:val="0029588F"/>
    <w:rsid w:val="00297256"/>
    <w:rsid w:val="00297A5C"/>
    <w:rsid w:val="00297BD9"/>
    <w:rsid w:val="00297D51"/>
    <w:rsid w:val="002A0122"/>
    <w:rsid w:val="002A016B"/>
    <w:rsid w:val="002A16D4"/>
    <w:rsid w:val="002A1E4F"/>
    <w:rsid w:val="002A230C"/>
    <w:rsid w:val="002A2AF7"/>
    <w:rsid w:val="002A3EA2"/>
    <w:rsid w:val="002A490D"/>
    <w:rsid w:val="002A512F"/>
    <w:rsid w:val="002A51AC"/>
    <w:rsid w:val="002A532A"/>
    <w:rsid w:val="002A5846"/>
    <w:rsid w:val="002A5D97"/>
    <w:rsid w:val="002A5E26"/>
    <w:rsid w:val="002A603E"/>
    <w:rsid w:val="002A63B9"/>
    <w:rsid w:val="002B3178"/>
    <w:rsid w:val="002B3EF4"/>
    <w:rsid w:val="002B4845"/>
    <w:rsid w:val="002B5567"/>
    <w:rsid w:val="002B72AA"/>
    <w:rsid w:val="002C1F09"/>
    <w:rsid w:val="002C22A4"/>
    <w:rsid w:val="002C260B"/>
    <w:rsid w:val="002C27A6"/>
    <w:rsid w:val="002C398D"/>
    <w:rsid w:val="002C40D2"/>
    <w:rsid w:val="002C4214"/>
    <w:rsid w:val="002C43BD"/>
    <w:rsid w:val="002C5245"/>
    <w:rsid w:val="002C59D8"/>
    <w:rsid w:val="002D0394"/>
    <w:rsid w:val="002D05CB"/>
    <w:rsid w:val="002D0E59"/>
    <w:rsid w:val="002D13AD"/>
    <w:rsid w:val="002D1C72"/>
    <w:rsid w:val="002D455C"/>
    <w:rsid w:val="002D5087"/>
    <w:rsid w:val="002E02A1"/>
    <w:rsid w:val="002E0587"/>
    <w:rsid w:val="002E196A"/>
    <w:rsid w:val="002E20C7"/>
    <w:rsid w:val="002E20CD"/>
    <w:rsid w:val="002E222E"/>
    <w:rsid w:val="002E26A6"/>
    <w:rsid w:val="002E28D8"/>
    <w:rsid w:val="002E37D1"/>
    <w:rsid w:val="002E3BEE"/>
    <w:rsid w:val="002E4E4C"/>
    <w:rsid w:val="002E4EA7"/>
    <w:rsid w:val="002E5846"/>
    <w:rsid w:val="002E792B"/>
    <w:rsid w:val="002E7A3C"/>
    <w:rsid w:val="002F0840"/>
    <w:rsid w:val="002F19BF"/>
    <w:rsid w:val="002F1B09"/>
    <w:rsid w:val="002F1DCB"/>
    <w:rsid w:val="002F1DE4"/>
    <w:rsid w:val="002F333D"/>
    <w:rsid w:val="002F351A"/>
    <w:rsid w:val="002F46D6"/>
    <w:rsid w:val="002F498A"/>
    <w:rsid w:val="002F4AD8"/>
    <w:rsid w:val="002F5285"/>
    <w:rsid w:val="002F5820"/>
    <w:rsid w:val="002F600E"/>
    <w:rsid w:val="00300C31"/>
    <w:rsid w:val="003019B0"/>
    <w:rsid w:val="00303939"/>
    <w:rsid w:val="00304771"/>
    <w:rsid w:val="003052D4"/>
    <w:rsid w:val="00306880"/>
    <w:rsid w:val="00306C5B"/>
    <w:rsid w:val="00307529"/>
    <w:rsid w:val="00307DB3"/>
    <w:rsid w:val="00307ED2"/>
    <w:rsid w:val="0031076D"/>
    <w:rsid w:val="00310FA6"/>
    <w:rsid w:val="00311AA6"/>
    <w:rsid w:val="00311C4D"/>
    <w:rsid w:val="003121AB"/>
    <w:rsid w:val="003153C8"/>
    <w:rsid w:val="00315524"/>
    <w:rsid w:val="00315BD8"/>
    <w:rsid w:val="0032058C"/>
    <w:rsid w:val="003208D0"/>
    <w:rsid w:val="003209D6"/>
    <w:rsid w:val="003217B9"/>
    <w:rsid w:val="00321924"/>
    <w:rsid w:val="00321EB6"/>
    <w:rsid w:val="003220A5"/>
    <w:rsid w:val="00323A1C"/>
    <w:rsid w:val="00324B59"/>
    <w:rsid w:val="0032656E"/>
    <w:rsid w:val="0032788F"/>
    <w:rsid w:val="00330DF5"/>
    <w:rsid w:val="00332190"/>
    <w:rsid w:val="00332378"/>
    <w:rsid w:val="003332CE"/>
    <w:rsid w:val="00333CD0"/>
    <w:rsid w:val="0033448D"/>
    <w:rsid w:val="00334AD2"/>
    <w:rsid w:val="0033709C"/>
    <w:rsid w:val="003370B1"/>
    <w:rsid w:val="003370C5"/>
    <w:rsid w:val="0034095D"/>
    <w:rsid w:val="00340BF3"/>
    <w:rsid w:val="00340FD2"/>
    <w:rsid w:val="00341D26"/>
    <w:rsid w:val="00341F05"/>
    <w:rsid w:val="0034335E"/>
    <w:rsid w:val="00343428"/>
    <w:rsid w:val="00344668"/>
    <w:rsid w:val="003462D9"/>
    <w:rsid w:val="00347247"/>
    <w:rsid w:val="00347BDC"/>
    <w:rsid w:val="00347DD4"/>
    <w:rsid w:val="00350879"/>
    <w:rsid w:val="00352B43"/>
    <w:rsid w:val="00352C28"/>
    <w:rsid w:val="0036077F"/>
    <w:rsid w:val="00360811"/>
    <w:rsid w:val="00360C86"/>
    <w:rsid w:val="00360F7A"/>
    <w:rsid w:val="00360FBC"/>
    <w:rsid w:val="00361537"/>
    <w:rsid w:val="0036242A"/>
    <w:rsid w:val="00362C23"/>
    <w:rsid w:val="00362E29"/>
    <w:rsid w:val="00362E90"/>
    <w:rsid w:val="00364FA0"/>
    <w:rsid w:val="003657F3"/>
    <w:rsid w:val="00365844"/>
    <w:rsid w:val="00367F84"/>
    <w:rsid w:val="003712BC"/>
    <w:rsid w:val="00372164"/>
    <w:rsid w:val="003738BD"/>
    <w:rsid w:val="00373973"/>
    <w:rsid w:val="00374263"/>
    <w:rsid w:val="003746F0"/>
    <w:rsid w:val="00374A20"/>
    <w:rsid w:val="00374B68"/>
    <w:rsid w:val="00374E21"/>
    <w:rsid w:val="003810F0"/>
    <w:rsid w:val="003813A8"/>
    <w:rsid w:val="003818DC"/>
    <w:rsid w:val="00382513"/>
    <w:rsid w:val="003830D4"/>
    <w:rsid w:val="00383388"/>
    <w:rsid w:val="003834F8"/>
    <w:rsid w:val="003838D0"/>
    <w:rsid w:val="003840C2"/>
    <w:rsid w:val="00384327"/>
    <w:rsid w:val="00384A89"/>
    <w:rsid w:val="00385086"/>
    <w:rsid w:val="00385D98"/>
    <w:rsid w:val="00386127"/>
    <w:rsid w:val="003868BC"/>
    <w:rsid w:val="00390306"/>
    <w:rsid w:val="003908A6"/>
    <w:rsid w:val="00391989"/>
    <w:rsid w:val="003927F6"/>
    <w:rsid w:val="00393CDD"/>
    <w:rsid w:val="00396739"/>
    <w:rsid w:val="003A04F6"/>
    <w:rsid w:val="003A0837"/>
    <w:rsid w:val="003A2B4D"/>
    <w:rsid w:val="003A2D12"/>
    <w:rsid w:val="003A2EBA"/>
    <w:rsid w:val="003A45E3"/>
    <w:rsid w:val="003A478C"/>
    <w:rsid w:val="003A50AC"/>
    <w:rsid w:val="003A5525"/>
    <w:rsid w:val="003A5889"/>
    <w:rsid w:val="003A6B38"/>
    <w:rsid w:val="003A6B83"/>
    <w:rsid w:val="003A6C97"/>
    <w:rsid w:val="003A722F"/>
    <w:rsid w:val="003A7373"/>
    <w:rsid w:val="003A7E9D"/>
    <w:rsid w:val="003B039F"/>
    <w:rsid w:val="003B0DF4"/>
    <w:rsid w:val="003B1F9D"/>
    <w:rsid w:val="003B2AD1"/>
    <w:rsid w:val="003B2D2E"/>
    <w:rsid w:val="003B461F"/>
    <w:rsid w:val="003B483F"/>
    <w:rsid w:val="003B4998"/>
    <w:rsid w:val="003B5A32"/>
    <w:rsid w:val="003B5C49"/>
    <w:rsid w:val="003B6762"/>
    <w:rsid w:val="003B7B50"/>
    <w:rsid w:val="003C0B07"/>
    <w:rsid w:val="003C176C"/>
    <w:rsid w:val="003C257A"/>
    <w:rsid w:val="003C2CE7"/>
    <w:rsid w:val="003C3490"/>
    <w:rsid w:val="003C3608"/>
    <w:rsid w:val="003C3D2C"/>
    <w:rsid w:val="003C4E13"/>
    <w:rsid w:val="003C6221"/>
    <w:rsid w:val="003C6548"/>
    <w:rsid w:val="003C68CC"/>
    <w:rsid w:val="003C71B9"/>
    <w:rsid w:val="003C7E62"/>
    <w:rsid w:val="003D03B4"/>
    <w:rsid w:val="003D12B9"/>
    <w:rsid w:val="003D242B"/>
    <w:rsid w:val="003D2492"/>
    <w:rsid w:val="003D29AA"/>
    <w:rsid w:val="003D2A99"/>
    <w:rsid w:val="003D4A29"/>
    <w:rsid w:val="003D6920"/>
    <w:rsid w:val="003E016B"/>
    <w:rsid w:val="003E1EF8"/>
    <w:rsid w:val="003E2840"/>
    <w:rsid w:val="003E3A1B"/>
    <w:rsid w:val="003E4C91"/>
    <w:rsid w:val="003E52D8"/>
    <w:rsid w:val="003E62F1"/>
    <w:rsid w:val="003E68E3"/>
    <w:rsid w:val="003E6DE1"/>
    <w:rsid w:val="003F313C"/>
    <w:rsid w:val="003F37FC"/>
    <w:rsid w:val="003F4318"/>
    <w:rsid w:val="003F4B2C"/>
    <w:rsid w:val="003F551C"/>
    <w:rsid w:val="003F626D"/>
    <w:rsid w:val="003F72ED"/>
    <w:rsid w:val="003F7D23"/>
    <w:rsid w:val="00400050"/>
    <w:rsid w:val="004002C8"/>
    <w:rsid w:val="00400468"/>
    <w:rsid w:val="0040099D"/>
    <w:rsid w:val="004016CB"/>
    <w:rsid w:val="00401B23"/>
    <w:rsid w:val="00402ADB"/>
    <w:rsid w:val="0040368D"/>
    <w:rsid w:val="00403D51"/>
    <w:rsid w:val="00403F57"/>
    <w:rsid w:val="004045A7"/>
    <w:rsid w:val="00405318"/>
    <w:rsid w:val="004057F8"/>
    <w:rsid w:val="004059D2"/>
    <w:rsid w:val="00406C2E"/>
    <w:rsid w:val="00406EB0"/>
    <w:rsid w:val="00407711"/>
    <w:rsid w:val="00407C13"/>
    <w:rsid w:val="00407C53"/>
    <w:rsid w:val="004103F6"/>
    <w:rsid w:val="00410638"/>
    <w:rsid w:val="004113B9"/>
    <w:rsid w:val="00412511"/>
    <w:rsid w:val="004125C2"/>
    <w:rsid w:val="00412DFA"/>
    <w:rsid w:val="00413465"/>
    <w:rsid w:val="0041501E"/>
    <w:rsid w:val="00415452"/>
    <w:rsid w:val="004159C3"/>
    <w:rsid w:val="00415A57"/>
    <w:rsid w:val="00416DAC"/>
    <w:rsid w:val="00420880"/>
    <w:rsid w:val="00421179"/>
    <w:rsid w:val="00422629"/>
    <w:rsid w:val="00422D1A"/>
    <w:rsid w:val="00423F00"/>
    <w:rsid w:val="004260C4"/>
    <w:rsid w:val="004314AC"/>
    <w:rsid w:val="00431BFF"/>
    <w:rsid w:val="00432319"/>
    <w:rsid w:val="00432A58"/>
    <w:rsid w:val="004331C3"/>
    <w:rsid w:val="00434617"/>
    <w:rsid w:val="00435051"/>
    <w:rsid w:val="00435C69"/>
    <w:rsid w:val="004360FB"/>
    <w:rsid w:val="00437CED"/>
    <w:rsid w:val="00440900"/>
    <w:rsid w:val="0044121D"/>
    <w:rsid w:val="00441755"/>
    <w:rsid w:val="00441BF6"/>
    <w:rsid w:val="00441D2B"/>
    <w:rsid w:val="004441A0"/>
    <w:rsid w:val="00445861"/>
    <w:rsid w:val="00445A8E"/>
    <w:rsid w:val="00446D44"/>
    <w:rsid w:val="0045078A"/>
    <w:rsid w:val="0045086D"/>
    <w:rsid w:val="00450AB0"/>
    <w:rsid w:val="004511E6"/>
    <w:rsid w:val="00451EF1"/>
    <w:rsid w:val="00452E60"/>
    <w:rsid w:val="0045321B"/>
    <w:rsid w:val="0045332A"/>
    <w:rsid w:val="00453CD8"/>
    <w:rsid w:val="00455C25"/>
    <w:rsid w:val="00456FE5"/>
    <w:rsid w:val="00457490"/>
    <w:rsid w:val="00457953"/>
    <w:rsid w:val="00460656"/>
    <w:rsid w:val="00460FB3"/>
    <w:rsid w:val="00461404"/>
    <w:rsid w:val="00461F95"/>
    <w:rsid w:val="00463700"/>
    <w:rsid w:val="00464851"/>
    <w:rsid w:val="0046746A"/>
    <w:rsid w:val="00467B14"/>
    <w:rsid w:val="004705F1"/>
    <w:rsid w:val="004707FE"/>
    <w:rsid w:val="00471DAE"/>
    <w:rsid w:val="00472177"/>
    <w:rsid w:val="0047276D"/>
    <w:rsid w:val="00472AF6"/>
    <w:rsid w:val="00473482"/>
    <w:rsid w:val="00473572"/>
    <w:rsid w:val="00473DFA"/>
    <w:rsid w:val="00474A04"/>
    <w:rsid w:val="00475A1F"/>
    <w:rsid w:val="00476240"/>
    <w:rsid w:val="00476439"/>
    <w:rsid w:val="004769E1"/>
    <w:rsid w:val="0047735C"/>
    <w:rsid w:val="004776BC"/>
    <w:rsid w:val="00477820"/>
    <w:rsid w:val="00477B96"/>
    <w:rsid w:val="00480BAE"/>
    <w:rsid w:val="0048139F"/>
    <w:rsid w:val="00481E40"/>
    <w:rsid w:val="00482405"/>
    <w:rsid w:val="004826A7"/>
    <w:rsid w:val="0048327B"/>
    <w:rsid w:val="0048368C"/>
    <w:rsid w:val="00484ECE"/>
    <w:rsid w:val="00486132"/>
    <w:rsid w:val="0048686D"/>
    <w:rsid w:val="00486A4D"/>
    <w:rsid w:val="004915CB"/>
    <w:rsid w:val="00491B06"/>
    <w:rsid w:val="004924DC"/>
    <w:rsid w:val="00492879"/>
    <w:rsid w:val="00495709"/>
    <w:rsid w:val="004979A5"/>
    <w:rsid w:val="004A036E"/>
    <w:rsid w:val="004A14E4"/>
    <w:rsid w:val="004A204E"/>
    <w:rsid w:val="004A208B"/>
    <w:rsid w:val="004A26A5"/>
    <w:rsid w:val="004A27F0"/>
    <w:rsid w:val="004A2D6B"/>
    <w:rsid w:val="004A3212"/>
    <w:rsid w:val="004A37CD"/>
    <w:rsid w:val="004A3CDE"/>
    <w:rsid w:val="004A40D9"/>
    <w:rsid w:val="004A4F8A"/>
    <w:rsid w:val="004A5494"/>
    <w:rsid w:val="004A5D4E"/>
    <w:rsid w:val="004A61C5"/>
    <w:rsid w:val="004A62A0"/>
    <w:rsid w:val="004A77DF"/>
    <w:rsid w:val="004B1417"/>
    <w:rsid w:val="004B305C"/>
    <w:rsid w:val="004B339A"/>
    <w:rsid w:val="004B33C6"/>
    <w:rsid w:val="004B55B7"/>
    <w:rsid w:val="004B6158"/>
    <w:rsid w:val="004B6468"/>
    <w:rsid w:val="004B6EF8"/>
    <w:rsid w:val="004B7125"/>
    <w:rsid w:val="004B756A"/>
    <w:rsid w:val="004B7FB1"/>
    <w:rsid w:val="004C0B3F"/>
    <w:rsid w:val="004C128A"/>
    <w:rsid w:val="004C13C0"/>
    <w:rsid w:val="004C2794"/>
    <w:rsid w:val="004C2BB6"/>
    <w:rsid w:val="004C2C2D"/>
    <w:rsid w:val="004C384C"/>
    <w:rsid w:val="004C3867"/>
    <w:rsid w:val="004C3DB0"/>
    <w:rsid w:val="004C439A"/>
    <w:rsid w:val="004C4720"/>
    <w:rsid w:val="004C4CD0"/>
    <w:rsid w:val="004C5060"/>
    <w:rsid w:val="004C5165"/>
    <w:rsid w:val="004C589C"/>
    <w:rsid w:val="004C5AE8"/>
    <w:rsid w:val="004C6E0E"/>
    <w:rsid w:val="004C70DC"/>
    <w:rsid w:val="004D0211"/>
    <w:rsid w:val="004D0794"/>
    <w:rsid w:val="004D3296"/>
    <w:rsid w:val="004D4E52"/>
    <w:rsid w:val="004D5B0F"/>
    <w:rsid w:val="004D5EEF"/>
    <w:rsid w:val="004D6FC5"/>
    <w:rsid w:val="004D7626"/>
    <w:rsid w:val="004E1095"/>
    <w:rsid w:val="004E1A40"/>
    <w:rsid w:val="004E200A"/>
    <w:rsid w:val="004E23FC"/>
    <w:rsid w:val="004E2409"/>
    <w:rsid w:val="004E261D"/>
    <w:rsid w:val="004E430C"/>
    <w:rsid w:val="004E57BF"/>
    <w:rsid w:val="004E5F41"/>
    <w:rsid w:val="004E62D0"/>
    <w:rsid w:val="004E6DE6"/>
    <w:rsid w:val="004E723A"/>
    <w:rsid w:val="004E765E"/>
    <w:rsid w:val="004E7815"/>
    <w:rsid w:val="004F06F5"/>
    <w:rsid w:val="004F103E"/>
    <w:rsid w:val="004F12A4"/>
    <w:rsid w:val="004F253F"/>
    <w:rsid w:val="004F33A0"/>
    <w:rsid w:val="004F3BD2"/>
    <w:rsid w:val="004F46ED"/>
    <w:rsid w:val="004F47F2"/>
    <w:rsid w:val="004F56FE"/>
    <w:rsid w:val="004F681B"/>
    <w:rsid w:val="004F7BC6"/>
    <w:rsid w:val="00502709"/>
    <w:rsid w:val="00503D54"/>
    <w:rsid w:val="005048E2"/>
    <w:rsid w:val="00506603"/>
    <w:rsid w:val="0050689D"/>
    <w:rsid w:val="005076CC"/>
    <w:rsid w:val="005077F5"/>
    <w:rsid w:val="005108C0"/>
    <w:rsid w:val="0051094F"/>
    <w:rsid w:val="00511873"/>
    <w:rsid w:val="00511F3B"/>
    <w:rsid w:val="00512461"/>
    <w:rsid w:val="00512A2F"/>
    <w:rsid w:val="00513857"/>
    <w:rsid w:val="00513A72"/>
    <w:rsid w:val="00513B7E"/>
    <w:rsid w:val="00513E9D"/>
    <w:rsid w:val="0051475D"/>
    <w:rsid w:val="00514A2C"/>
    <w:rsid w:val="00514B11"/>
    <w:rsid w:val="00515485"/>
    <w:rsid w:val="00515BE9"/>
    <w:rsid w:val="00515C74"/>
    <w:rsid w:val="0051630F"/>
    <w:rsid w:val="00516789"/>
    <w:rsid w:val="00517113"/>
    <w:rsid w:val="005173F3"/>
    <w:rsid w:val="0052007E"/>
    <w:rsid w:val="00520E83"/>
    <w:rsid w:val="00521CAD"/>
    <w:rsid w:val="0052200D"/>
    <w:rsid w:val="005220B4"/>
    <w:rsid w:val="00522E01"/>
    <w:rsid w:val="0052337A"/>
    <w:rsid w:val="00524385"/>
    <w:rsid w:val="005246BE"/>
    <w:rsid w:val="00525137"/>
    <w:rsid w:val="005251DD"/>
    <w:rsid w:val="0053012B"/>
    <w:rsid w:val="005301A6"/>
    <w:rsid w:val="00530A68"/>
    <w:rsid w:val="00530A88"/>
    <w:rsid w:val="00530AD4"/>
    <w:rsid w:val="00531C5A"/>
    <w:rsid w:val="00532CE7"/>
    <w:rsid w:val="00532D8B"/>
    <w:rsid w:val="0053324C"/>
    <w:rsid w:val="00534A28"/>
    <w:rsid w:val="00535018"/>
    <w:rsid w:val="0053595E"/>
    <w:rsid w:val="00537571"/>
    <w:rsid w:val="00537B61"/>
    <w:rsid w:val="00540056"/>
    <w:rsid w:val="00540BE5"/>
    <w:rsid w:val="005410E2"/>
    <w:rsid w:val="00541508"/>
    <w:rsid w:val="005419C0"/>
    <w:rsid w:val="00541AE3"/>
    <w:rsid w:val="00543498"/>
    <w:rsid w:val="00544011"/>
    <w:rsid w:val="00544BE5"/>
    <w:rsid w:val="005455F6"/>
    <w:rsid w:val="005457C3"/>
    <w:rsid w:val="005500F9"/>
    <w:rsid w:val="00550160"/>
    <w:rsid w:val="00551CBF"/>
    <w:rsid w:val="005523A8"/>
    <w:rsid w:val="00552F2C"/>
    <w:rsid w:val="00553A25"/>
    <w:rsid w:val="00553B25"/>
    <w:rsid w:val="005547EB"/>
    <w:rsid w:val="005555E0"/>
    <w:rsid w:val="0055599F"/>
    <w:rsid w:val="00556807"/>
    <w:rsid w:val="005568FA"/>
    <w:rsid w:val="005569BC"/>
    <w:rsid w:val="00556D68"/>
    <w:rsid w:val="005570D6"/>
    <w:rsid w:val="00557E45"/>
    <w:rsid w:val="00557E7E"/>
    <w:rsid w:val="00561F44"/>
    <w:rsid w:val="00562B4D"/>
    <w:rsid w:val="00563EB8"/>
    <w:rsid w:val="005647BF"/>
    <w:rsid w:val="00564AF1"/>
    <w:rsid w:val="005655DB"/>
    <w:rsid w:val="00566B6A"/>
    <w:rsid w:val="00570270"/>
    <w:rsid w:val="00570BC3"/>
    <w:rsid w:val="0057182A"/>
    <w:rsid w:val="00571E59"/>
    <w:rsid w:val="00572079"/>
    <w:rsid w:val="00572900"/>
    <w:rsid w:val="00573602"/>
    <w:rsid w:val="0057364B"/>
    <w:rsid w:val="00574773"/>
    <w:rsid w:val="005761EC"/>
    <w:rsid w:val="00577C07"/>
    <w:rsid w:val="00577DB1"/>
    <w:rsid w:val="00580AD3"/>
    <w:rsid w:val="00580DE7"/>
    <w:rsid w:val="00583E52"/>
    <w:rsid w:val="00583FFD"/>
    <w:rsid w:val="005845BB"/>
    <w:rsid w:val="0058519A"/>
    <w:rsid w:val="005856BD"/>
    <w:rsid w:val="005862D9"/>
    <w:rsid w:val="00586BCA"/>
    <w:rsid w:val="00590B28"/>
    <w:rsid w:val="00591067"/>
    <w:rsid w:val="005911BE"/>
    <w:rsid w:val="00591273"/>
    <w:rsid w:val="00591E9E"/>
    <w:rsid w:val="005927A4"/>
    <w:rsid w:val="00593152"/>
    <w:rsid w:val="005956A3"/>
    <w:rsid w:val="00595958"/>
    <w:rsid w:val="00595CAB"/>
    <w:rsid w:val="00597BBF"/>
    <w:rsid w:val="005A0948"/>
    <w:rsid w:val="005A10F2"/>
    <w:rsid w:val="005A21E0"/>
    <w:rsid w:val="005A28FF"/>
    <w:rsid w:val="005A2C09"/>
    <w:rsid w:val="005A2E7F"/>
    <w:rsid w:val="005A2FC3"/>
    <w:rsid w:val="005A3778"/>
    <w:rsid w:val="005A3DF8"/>
    <w:rsid w:val="005A5040"/>
    <w:rsid w:val="005A5549"/>
    <w:rsid w:val="005A7CF8"/>
    <w:rsid w:val="005B0EDA"/>
    <w:rsid w:val="005B121D"/>
    <w:rsid w:val="005B1680"/>
    <w:rsid w:val="005B41C9"/>
    <w:rsid w:val="005B423D"/>
    <w:rsid w:val="005B4853"/>
    <w:rsid w:val="005B4DBA"/>
    <w:rsid w:val="005B62C3"/>
    <w:rsid w:val="005B6CA1"/>
    <w:rsid w:val="005B770C"/>
    <w:rsid w:val="005C02A8"/>
    <w:rsid w:val="005C06ED"/>
    <w:rsid w:val="005C11B8"/>
    <w:rsid w:val="005C19E9"/>
    <w:rsid w:val="005C2609"/>
    <w:rsid w:val="005C2B30"/>
    <w:rsid w:val="005C412B"/>
    <w:rsid w:val="005C43EC"/>
    <w:rsid w:val="005C45DD"/>
    <w:rsid w:val="005C5460"/>
    <w:rsid w:val="005D1511"/>
    <w:rsid w:val="005D34AB"/>
    <w:rsid w:val="005D3F06"/>
    <w:rsid w:val="005D4B73"/>
    <w:rsid w:val="005D5802"/>
    <w:rsid w:val="005D5AA9"/>
    <w:rsid w:val="005D66E6"/>
    <w:rsid w:val="005D7119"/>
    <w:rsid w:val="005D76C8"/>
    <w:rsid w:val="005D7890"/>
    <w:rsid w:val="005E0AEA"/>
    <w:rsid w:val="005E19C1"/>
    <w:rsid w:val="005E2194"/>
    <w:rsid w:val="005E24F0"/>
    <w:rsid w:val="005E36FE"/>
    <w:rsid w:val="005E490F"/>
    <w:rsid w:val="005E4BC9"/>
    <w:rsid w:val="005E5314"/>
    <w:rsid w:val="005E7C78"/>
    <w:rsid w:val="005F04A7"/>
    <w:rsid w:val="005F114F"/>
    <w:rsid w:val="005F17D6"/>
    <w:rsid w:val="005F18C5"/>
    <w:rsid w:val="005F28E2"/>
    <w:rsid w:val="005F2A08"/>
    <w:rsid w:val="005F2EB5"/>
    <w:rsid w:val="005F36CC"/>
    <w:rsid w:val="005F3EB1"/>
    <w:rsid w:val="005F413E"/>
    <w:rsid w:val="005F42C7"/>
    <w:rsid w:val="005F466B"/>
    <w:rsid w:val="005F46D8"/>
    <w:rsid w:val="005F480F"/>
    <w:rsid w:val="005F5469"/>
    <w:rsid w:val="005F63F3"/>
    <w:rsid w:val="005F6D7C"/>
    <w:rsid w:val="005F6D7F"/>
    <w:rsid w:val="005F7174"/>
    <w:rsid w:val="00600AB5"/>
    <w:rsid w:val="00601EEF"/>
    <w:rsid w:val="00601F7B"/>
    <w:rsid w:val="0060255A"/>
    <w:rsid w:val="006032E5"/>
    <w:rsid w:val="00604307"/>
    <w:rsid w:val="0060487F"/>
    <w:rsid w:val="00604EAD"/>
    <w:rsid w:val="0060513F"/>
    <w:rsid w:val="0060694B"/>
    <w:rsid w:val="006075B2"/>
    <w:rsid w:val="006104FB"/>
    <w:rsid w:val="0061176D"/>
    <w:rsid w:val="0061200F"/>
    <w:rsid w:val="006121C7"/>
    <w:rsid w:val="00612756"/>
    <w:rsid w:val="00612A2F"/>
    <w:rsid w:val="00612AAE"/>
    <w:rsid w:val="00612FD9"/>
    <w:rsid w:val="006139DE"/>
    <w:rsid w:val="006139E0"/>
    <w:rsid w:val="00614D35"/>
    <w:rsid w:val="006156B4"/>
    <w:rsid w:val="00615DAF"/>
    <w:rsid w:val="00616E05"/>
    <w:rsid w:val="00617985"/>
    <w:rsid w:val="00620B77"/>
    <w:rsid w:val="0062131B"/>
    <w:rsid w:val="00621E26"/>
    <w:rsid w:val="0062263A"/>
    <w:rsid w:val="006227DF"/>
    <w:rsid w:val="006236C8"/>
    <w:rsid w:val="00624093"/>
    <w:rsid w:val="00625A84"/>
    <w:rsid w:val="00625BCC"/>
    <w:rsid w:val="00626079"/>
    <w:rsid w:val="00631698"/>
    <w:rsid w:val="00631E44"/>
    <w:rsid w:val="00633908"/>
    <w:rsid w:val="00634C57"/>
    <w:rsid w:val="00634CE7"/>
    <w:rsid w:val="006350D5"/>
    <w:rsid w:val="0063642C"/>
    <w:rsid w:val="00637858"/>
    <w:rsid w:val="006404A7"/>
    <w:rsid w:val="00640A38"/>
    <w:rsid w:val="00641787"/>
    <w:rsid w:val="0064179B"/>
    <w:rsid w:val="006420CF"/>
    <w:rsid w:val="00642489"/>
    <w:rsid w:val="00644055"/>
    <w:rsid w:val="00644137"/>
    <w:rsid w:val="0064478C"/>
    <w:rsid w:val="00645160"/>
    <w:rsid w:val="006451E4"/>
    <w:rsid w:val="00645B33"/>
    <w:rsid w:val="006503D1"/>
    <w:rsid w:val="006516CB"/>
    <w:rsid w:val="00653BD0"/>
    <w:rsid w:val="00654110"/>
    <w:rsid w:val="00655CDE"/>
    <w:rsid w:val="00656C5D"/>
    <w:rsid w:val="00656CFB"/>
    <w:rsid w:val="00657E87"/>
    <w:rsid w:val="00660D2D"/>
    <w:rsid w:val="00661EC9"/>
    <w:rsid w:val="00661EFC"/>
    <w:rsid w:val="00662469"/>
    <w:rsid w:val="00664205"/>
    <w:rsid w:val="00664449"/>
    <w:rsid w:val="00664647"/>
    <w:rsid w:val="00664803"/>
    <w:rsid w:val="00665624"/>
    <w:rsid w:val="00665982"/>
    <w:rsid w:val="00665BA4"/>
    <w:rsid w:val="00667856"/>
    <w:rsid w:val="00667AF2"/>
    <w:rsid w:val="00670489"/>
    <w:rsid w:val="00670D0A"/>
    <w:rsid w:val="006710C9"/>
    <w:rsid w:val="00672F35"/>
    <w:rsid w:val="006741CD"/>
    <w:rsid w:val="00674D89"/>
    <w:rsid w:val="00675E37"/>
    <w:rsid w:val="00676736"/>
    <w:rsid w:val="006769A4"/>
    <w:rsid w:val="00676D76"/>
    <w:rsid w:val="00676F9F"/>
    <w:rsid w:val="00677591"/>
    <w:rsid w:val="00677594"/>
    <w:rsid w:val="0068032F"/>
    <w:rsid w:val="00680C60"/>
    <w:rsid w:val="00680D37"/>
    <w:rsid w:val="0068174E"/>
    <w:rsid w:val="00681DCE"/>
    <w:rsid w:val="006820E4"/>
    <w:rsid w:val="0068260E"/>
    <w:rsid w:val="006846B3"/>
    <w:rsid w:val="00684D59"/>
    <w:rsid w:val="00684E25"/>
    <w:rsid w:val="006858A4"/>
    <w:rsid w:val="00686718"/>
    <w:rsid w:val="00686BFA"/>
    <w:rsid w:val="00686DED"/>
    <w:rsid w:val="006875A0"/>
    <w:rsid w:val="00687D27"/>
    <w:rsid w:val="00691943"/>
    <w:rsid w:val="00691F0D"/>
    <w:rsid w:val="00693550"/>
    <w:rsid w:val="00695065"/>
    <w:rsid w:val="00695BEF"/>
    <w:rsid w:val="006965F5"/>
    <w:rsid w:val="006966C7"/>
    <w:rsid w:val="006968C1"/>
    <w:rsid w:val="006977F6"/>
    <w:rsid w:val="00697A13"/>
    <w:rsid w:val="006A109C"/>
    <w:rsid w:val="006A3F54"/>
    <w:rsid w:val="006A6565"/>
    <w:rsid w:val="006A65B5"/>
    <w:rsid w:val="006A7691"/>
    <w:rsid w:val="006A7EE2"/>
    <w:rsid w:val="006B0514"/>
    <w:rsid w:val="006B0F92"/>
    <w:rsid w:val="006B16EF"/>
    <w:rsid w:val="006B1B9B"/>
    <w:rsid w:val="006B238C"/>
    <w:rsid w:val="006B2785"/>
    <w:rsid w:val="006B344A"/>
    <w:rsid w:val="006B3A36"/>
    <w:rsid w:val="006B58C9"/>
    <w:rsid w:val="006B5BE0"/>
    <w:rsid w:val="006B60ED"/>
    <w:rsid w:val="006B65DA"/>
    <w:rsid w:val="006B6CC5"/>
    <w:rsid w:val="006B74AC"/>
    <w:rsid w:val="006B78D8"/>
    <w:rsid w:val="006B79EA"/>
    <w:rsid w:val="006C09FA"/>
    <w:rsid w:val="006C0C5D"/>
    <w:rsid w:val="006C113F"/>
    <w:rsid w:val="006C123E"/>
    <w:rsid w:val="006C15A1"/>
    <w:rsid w:val="006C1752"/>
    <w:rsid w:val="006C28CA"/>
    <w:rsid w:val="006C2BBF"/>
    <w:rsid w:val="006C2FBD"/>
    <w:rsid w:val="006C3FFC"/>
    <w:rsid w:val="006C4355"/>
    <w:rsid w:val="006C440F"/>
    <w:rsid w:val="006C469D"/>
    <w:rsid w:val="006C46B5"/>
    <w:rsid w:val="006C484F"/>
    <w:rsid w:val="006C4CDD"/>
    <w:rsid w:val="006C52EC"/>
    <w:rsid w:val="006C56D4"/>
    <w:rsid w:val="006C5838"/>
    <w:rsid w:val="006C6681"/>
    <w:rsid w:val="006C683C"/>
    <w:rsid w:val="006C6924"/>
    <w:rsid w:val="006C6C1E"/>
    <w:rsid w:val="006C7076"/>
    <w:rsid w:val="006C7CA6"/>
    <w:rsid w:val="006D18B3"/>
    <w:rsid w:val="006D1E89"/>
    <w:rsid w:val="006D317E"/>
    <w:rsid w:val="006D3E8A"/>
    <w:rsid w:val="006D4F0A"/>
    <w:rsid w:val="006D61F6"/>
    <w:rsid w:val="006E1332"/>
    <w:rsid w:val="006E279A"/>
    <w:rsid w:val="006E313B"/>
    <w:rsid w:val="006E3420"/>
    <w:rsid w:val="006E3A45"/>
    <w:rsid w:val="006E4078"/>
    <w:rsid w:val="006E45D2"/>
    <w:rsid w:val="006E5161"/>
    <w:rsid w:val="006E53AD"/>
    <w:rsid w:val="006E58CB"/>
    <w:rsid w:val="006E6BA2"/>
    <w:rsid w:val="006E7227"/>
    <w:rsid w:val="006E7E74"/>
    <w:rsid w:val="006F0741"/>
    <w:rsid w:val="006F1C27"/>
    <w:rsid w:val="006F2A65"/>
    <w:rsid w:val="006F33B2"/>
    <w:rsid w:val="006F40DF"/>
    <w:rsid w:val="006F42BB"/>
    <w:rsid w:val="006F438E"/>
    <w:rsid w:val="006F440B"/>
    <w:rsid w:val="006F4866"/>
    <w:rsid w:val="006F48A3"/>
    <w:rsid w:val="006F5416"/>
    <w:rsid w:val="006F624B"/>
    <w:rsid w:val="006F6D87"/>
    <w:rsid w:val="006F71FB"/>
    <w:rsid w:val="006F7559"/>
    <w:rsid w:val="0070398A"/>
    <w:rsid w:val="00703DCB"/>
    <w:rsid w:val="00705242"/>
    <w:rsid w:val="007055E0"/>
    <w:rsid w:val="007056ED"/>
    <w:rsid w:val="007065C5"/>
    <w:rsid w:val="00706AA0"/>
    <w:rsid w:val="00706AD4"/>
    <w:rsid w:val="00707150"/>
    <w:rsid w:val="0070798D"/>
    <w:rsid w:val="007124D7"/>
    <w:rsid w:val="007129A5"/>
    <w:rsid w:val="00712C20"/>
    <w:rsid w:val="00713549"/>
    <w:rsid w:val="007140BE"/>
    <w:rsid w:val="00714224"/>
    <w:rsid w:val="00715502"/>
    <w:rsid w:val="00715E4D"/>
    <w:rsid w:val="00716F48"/>
    <w:rsid w:val="00717114"/>
    <w:rsid w:val="0071779F"/>
    <w:rsid w:val="00720D7B"/>
    <w:rsid w:val="007211F5"/>
    <w:rsid w:val="00722777"/>
    <w:rsid w:val="00723435"/>
    <w:rsid w:val="00723436"/>
    <w:rsid w:val="007240E2"/>
    <w:rsid w:val="007251D4"/>
    <w:rsid w:val="00725611"/>
    <w:rsid w:val="0072583E"/>
    <w:rsid w:val="00725BB5"/>
    <w:rsid w:val="00727C02"/>
    <w:rsid w:val="007302FF"/>
    <w:rsid w:val="00730AE8"/>
    <w:rsid w:val="00730F1B"/>
    <w:rsid w:val="0073186D"/>
    <w:rsid w:val="00732DEC"/>
    <w:rsid w:val="0073333D"/>
    <w:rsid w:val="007343D9"/>
    <w:rsid w:val="007351C8"/>
    <w:rsid w:val="00735448"/>
    <w:rsid w:val="00736841"/>
    <w:rsid w:val="00737DEC"/>
    <w:rsid w:val="0074004D"/>
    <w:rsid w:val="00741493"/>
    <w:rsid w:val="007424BA"/>
    <w:rsid w:val="007434E5"/>
    <w:rsid w:val="0074499B"/>
    <w:rsid w:val="007450BF"/>
    <w:rsid w:val="007471A1"/>
    <w:rsid w:val="007477BD"/>
    <w:rsid w:val="00747EE9"/>
    <w:rsid w:val="00750362"/>
    <w:rsid w:val="00750A71"/>
    <w:rsid w:val="0075158E"/>
    <w:rsid w:val="00752180"/>
    <w:rsid w:val="00752323"/>
    <w:rsid w:val="007532B7"/>
    <w:rsid w:val="00753CAB"/>
    <w:rsid w:val="00754A70"/>
    <w:rsid w:val="00754BC9"/>
    <w:rsid w:val="00755202"/>
    <w:rsid w:val="00755D3A"/>
    <w:rsid w:val="0075751D"/>
    <w:rsid w:val="007578D3"/>
    <w:rsid w:val="007602CF"/>
    <w:rsid w:val="00760391"/>
    <w:rsid w:val="007609C6"/>
    <w:rsid w:val="007615F3"/>
    <w:rsid w:val="0076175D"/>
    <w:rsid w:val="00761CB5"/>
    <w:rsid w:val="007622A9"/>
    <w:rsid w:val="0076264F"/>
    <w:rsid w:val="007629D5"/>
    <w:rsid w:val="007635F8"/>
    <w:rsid w:val="00763B85"/>
    <w:rsid w:val="007641B8"/>
    <w:rsid w:val="00764974"/>
    <w:rsid w:val="00764D18"/>
    <w:rsid w:val="0076521E"/>
    <w:rsid w:val="007661E9"/>
    <w:rsid w:val="00766460"/>
    <w:rsid w:val="00767062"/>
    <w:rsid w:val="00767777"/>
    <w:rsid w:val="00771972"/>
    <w:rsid w:val="00772279"/>
    <w:rsid w:val="00772DAB"/>
    <w:rsid w:val="00774D2C"/>
    <w:rsid w:val="007752BF"/>
    <w:rsid w:val="0077605B"/>
    <w:rsid w:val="00776169"/>
    <w:rsid w:val="00776527"/>
    <w:rsid w:val="00776618"/>
    <w:rsid w:val="00777040"/>
    <w:rsid w:val="007779DD"/>
    <w:rsid w:val="00777CE6"/>
    <w:rsid w:val="00780790"/>
    <w:rsid w:val="00780EF1"/>
    <w:rsid w:val="00781A91"/>
    <w:rsid w:val="0078260D"/>
    <w:rsid w:val="00785311"/>
    <w:rsid w:val="00785778"/>
    <w:rsid w:val="00786C87"/>
    <w:rsid w:val="00786D27"/>
    <w:rsid w:val="0078755E"/>
    <w:rsid w:val="007877C9"/>
    <w:rsid w:val="00790764"/>
    <w:rsid w:val="0079085F"/>
    <w:rsid w:val="00790E96"/>
    <w:rsid w:val="00791005"/>
    <w:rsid w:val="00793D78"/>
    <w:rsid w:val="0079453C"/>
    <w:rsid w:val="00794677"/>
    <w:rsid w:val="00795CC8"/>
    <w:rsid w:val="0079747A"/>
    <w:rsid w:val="007A0770"/>
    <w:rsid w:val="007A170B"/>
    <w:rsid w:val="007A20EB"/>
    <w:rsid w:val="007A282C"/>
    <w:rsid w:val="007A2A3A"/>
    <w:rsid w:val="007A33E2"/>
    <w:rsid w:val="007A3554"/>
    <w:rsid w:val="007A3CAF"/>
    <w:rsid w:val="007A4782"/>
    <w:rsid w:val="007A4E06"/>
    <w:rsid w:val="007A516D"/>
    <w:rsid w:val="007A5E65"/>
    <w:rsid w:val="007A65E1"/>
    <w:rsid w:val="007A71DE"/>
    <w:rsid w:val="007A7502"/>
    <w:rsid w:val="007A775D"/>
    <w:rsid w:val="007B0834"/>
    <w:rsid w:val="007B0CCA"/>
    <w:rsid w:val="007B0E83"/>
    <w:rsid w:val="007B11FA"/>
    <w:rsid w:val="007B1396"/>
    <w:rsid w:val="007B16D6"/>
    <w:rsid w:val="007B2011"/>
    <w:rsid w:val="007B27AE"/>
    <w:rsid w:val="007B2CFE"/>
    <w:rsid w:val="007B309B"/>
    <w:rsid w:val="007B3D5E"/>
    <w:rsid w:val="007B3DCB"/>
    <w:rsid w:val="007B3F31"/>
    <w:rsid w:val="007B5725"/>
    <w:rsid w:val="007B6689"/>
    <w:rsid w:val="007B6747"/>
    <w:rsid w:val="007B6F72"/>
    <w:rsid w:val="007C1F0C"/>
    <w:rsid w:val="007C1FFB"/>
    <w:rsid w:val="007C2106"/>
    <w:rsid w:val="007C2D94"/>
    <w:rsid w:val="007C361B"/>
    <w:rsid w:val="007C5F92"/>
    <w:rsid w:val="007C6227"/>
    <w:rsid w:val="007C682A"/>
    <w:rsid w:val="007C6BBD"/>
    <w:rsid w:val="007C6D89"/>
    <w:rsid w:val="007C6F5E"/>
    <w:rsid w:val="007C71B6"/>
    <w:rsid w:val="007D0382"/>
    <w:rsid w:val="007D1A1F"/>
    <w:rsid w:val="007D1D05"/>
    <w:rsid w:val="007D2E18"/>
    <w:rsid w:val="007D40DF"/>
    <w:rsid w:val="007D42E5"/>
    <w:rsid w:val="007D4458"/>
    <w:rsid w:val="007D50F3"/>
    <w:rsid w:val="007D5BC6"/>
    <w:rsid w:val="007D78E6"/>
    <w:rsid w:val="007E0535"/>
    <w:rsid w:val="007E0557"/>
    <w:rsid w:val="007E0D4A"/>
    <w:rsid w:val="007E1788"/>
    <w:rsid w:val="007E1B40"/>
    <w:rsid w:val="007E1EE3"/>
    <w:rsid w:val="007E20A0"/>
    <w:rsid w:val="007E2467"/>
    <w:rsid w:val="007E29B4"/>
    <w:rsid w:val="007E2F12"/>
    <w:rsid w:val="007E435A"/>
    <w:rsid w:val="007E49F7"/>
    <w:rsid w:val="007E4C70"/>
    <w:rsid w:val="007E576D"/>
    <w:rsid w:val="007E78B6"/>
    <w:rsid w:val="007E7E61"/>
    <w:rsid w:val="007F0845"/>
    <w:rsid w:val="007F20F3"/>
    <w:rsid w:val="007F2353"/>
    <w:rsid w:val="007F2390"/>
    <w:rsid w:val="007F2CAC"/>
    <w:rsid w:val="007F4740"/>
    <w:rsid w:val="007F595A"/>
    <w:rsid w:val="007F708D"/>
    <w:rsid w:val="008006B3"/>
    <w:rsid w:val="0080158A"/>
    <w:rsid w:val="00801E13"/>
    <w:rsid w:val="00802371"/>
    <w:rsid w:val="00802ABF"/>
    <w:rsid w:val="00802CEF"/>
    <w:rsid w:val="00803008"/>
    <w:rsid w:val="00803069"/>
    <w:rsid w:val="008062A6"/>
    <w:rsid w:val="0080717D"/>
    <w:rsid w:val="0080734C"/>
    <w:rsid w:val="0080780F"/>
    <w:rsid w:val="00807C82"/>
    <w:rsid w:val="008117CC"/>
    <w:rsid w:val="00812154"/>
    <w:rsid w:val="00813D58"/>
    <w:rsid w:val="00813DCA"/>
    <w:rsid w:val="008161A6"/>
    <w:rsid w:val="008165B8"/>
    <w:rsid w:val="00816905"/>
    <w:rsid w:val="00816D98"/>
    <w:rsid w:val="008179FC"/>
    <w:rsid w:val="00817A17"/>
    <w:rsid w:val="00817EC1"/>
    <w:rsid w:val="0082112D"/>
    <w:rsid w:val="00821DA9"/>
    <w:rsid w:val="00821FF6"/>
    <w:rsid w:val="00822574"/>
    <w:rsid w:val="00822F08"/>
    <w:rsid w:val="00825C4D"/>
    <w:rsid w:val="00826265"/>
    <w:rsid w:val="00826A08"/>
    <w:rsid w:val="00826AC0"/>
    <w:rsid w:val="00827186"/>
    <w:rsid w:val="00827C8E"/>
    <w:rsid w:val="00830569"/>
    <w:rsid w:val="00830AEA"/>
    <w:rsid w:val="00830E86"/>
    <w:rsid w:val="0083143E"/>
    <w:rsid w:val="008315D5"/>
    <w:rsid w:val="00831CDE"/>
    <w:rsid w:val="008337CB"/>
    <w:rsid w:val="00834304"/>
    <w:rsid w:val="00834FAA"/>
    <w:rsid w:val="008354FB"/>
    <w:rsid w:val="00836086"/>
    <w:rsid w:val="0083630F"/>
    <w:rsid w:val="00836A06"/>
    <w:rsid w:val="008374BC"/>
    <w:rsid w:val="00837E48"/>
    <w:rsid w:val="00840293"/>
    <w:rsid w:val="008402AD"/>
    <w:rsid w:val="008408D4"/>
    <w:rsid w:val="008417B5"/>
    <w:rsid w:val="00841901"/>
    <w:rsid w:val="00841FC4"/>
    <w:rsid w:val="00843541"/>
    <w:rsid w:val="008458BD"/>
    <w:rsid w:val="00846121"/>
    <w:rsid w:val="008461C2"/>
    <w:rsid w:val="008466C6"/>
    <w:rsid w:val="0084708F"/>
    <w:rsid w:val="008477C8"/>
    <w:rsid w:val="008478A6"/>
    <w:rsid w:val="008502F6"/>
    <w:rsid w:val="0085114D"/>
    <w:rsid w:val="008520A8"/>
    <w:rsid w:val="00852217"/>
    <w:rsid w:val="00852DB1"/>
    <w:rsid w:val="00853282"/>
    <w:rsid w:val="00854647"/>
    <w:rsid w:val="00855408"/>
    <w:rsid w:val="00856D65"/>
    <w:rsid w:val="008614E4"/>
    <w:rsid w:val="00861B41"/>
    <w:rsid w:val="00861B9F"/>
    <w:rsid w:val="00861BE3"/>
    <w:rsid w:val="008625D3"/>
    <w:rsid w:val="00863434"/>
    <w:rsid w:val="0086344F"/>
    <w:rsid w:val="008641AC"/>
    <w:rsid w:val="008641EA"/>
    <w:rsid w:val="00864A6C"/>
    <w:rsid w:val="00865E4C"/>
    <w:rsid w:val="0086796D"/>
    <w:rsid w:val="00867C6C"/>
    <w:rsid w:val="00867DAB"/>
    <w:rsid w:val="0087000B"/>
    <w:rsid w:val="008701E4"/>
    <w:rsid w:val="008704E9"/>
    <w:rsid w:val="00870ECD"/>
    <w:rsid w:val="0087347C"/>
    <w:rsid w:val="008734E7"/>
    <w:rsid w:val="0087368D"/>
    <w:rsid w:val="008740CC"/>
    <w:rsid w:val="00874FE8"/>
    <w:rsid w:val="00875305"/>
    <w:rsid w:val="00875A32"/>
    <w:rsid w:val="00876086"/>
    <w:rsid w:val="00876E83"/>
    <w:rsid w:val="008772BC"/>
    <w:rsid w:val="00880A0E"/>
    <w:rsid w:val="00881A67"/>
    <w:rsid w:val="00881CD7"/>
    <w:rsid w:val="00882911"/>
    <w:rsid w:val="008829C4"/>
    <w:rsid w:val="00885D40"/>
    <w:rsid w:val="00885EE2"/>
    <w:rsid w:val="008873D4"/>
    <w:rsid w:val="00887B96"/>
    <w:rsid w:val="00890C49"/>
    <w:rsid w:val="00891CEA"/>
    <w:rsid w:val="00891E07"/>
    <w:rsid w:val="00891EDF"/>
    <w:rsid w:val="00892872"/>
    <w:rsid w:val="0089296D"/>
    <w:rsid w:val="00893E85"/>
    <w:rsid w:val="00893EBE"/>
    <w:rsid w:val="00894031"/>
    <w:rsid w:val="00894327"/>
    <w:rsid w:val="00894C5D"/>
    <w:rsid w:val="00895508"/>
    <w:rsid w:val="008967E9"/>
    <w:rsid w:val="00896A5C"/>
    <w:rsid w:val="008972D2"/>
    <w:rsid w:val="0089754C"/>
    <w:rsid w:val="008A0ADD"/>
    <w:rsid w:val="008A0C39"/>
    <w:rsid w:val="008A0D27"/>
    <w:rsid w:val="008A1C59"/>
    <w:rsid w:val="008A1FBA"/>
    <w:rsid w:val="008A2105"/>
    <w:rsid w:val="008A2E4C"/>
    <w:rsid w:val="008A37E2"/>
    <w:rsid w:val="008A388E"/>
    <w:rsid w:val="008A394E"/>
    <w:rsid w:val="008A3CBA"/>
    <w:rsid w:val="008A48EB"/>
    <w:rsid w:val="008A4A76"/>
    <w:rsid w:val="008A4B59"/>
    <w:rsid w:val="008A539C"/>
    <w:rsid w:val="008A63E1"/>
    <w:rsid w:val="008A66B7"/>
    <w:rsid w:val="008A68BB"/>
    <w:rsid w:val="008A7127"/>
    <w:rsid w:val="008A76B8"/>
    <w:rsid w:val="008B3A80"/>
    <w:rsid w:val="008B3C07"/>
    <w:rsid w:val="008B3F7B"/>
    <w:rsid w:val="008B4895"/>
    <w:rsid w:val="008B6106"/>
    <w:rsid w:val="008B7C02"/>
    <w:rsid w:val="008B7D2B"/>
    <w:rsid w:val="008B7EF9"/>
    <w:rsid w:val="008C0049"/>
    <w:rsid w:val="008C0E88"/>
    <w:rsid w:val="008C1717"/>
    <w:rsid w:val="008C3D6B"/>
    <w:rsid w:val="008C4B50"/>
    <w:rsid w:val="008C6F26"/>
    <w:rsid w:val="008C7569"/>
    <w:rsid w:val="008D0DBD"/>
    <w:rsid w:val="008D117E"/>
    <w:rsid w:val="008D127E"/>
    <w:rsid w:val="008D1CA8"/>
    <w:rsid w:val="008D1E6A"/>
    <w:rsid w:val="008D2A16"/>
    <w:rsid w:val="008D33F5"/>
    <w:rsid w:val="008D35E4"/>
    <w:rsid w:val="008D4E52"/>
    <w:rsid w:val="008D6C3A"/>
    <w:rsid w:val="008E0001"/>
    <w:rsid w:val="008E1268"/>
    <w:rsid w:val="008E292B"/>
    <w:rsid w:val="008E2C57"/>
    <w:rsid w:val="008E31FF"/>
    <w:rsid w:val="008E3287"/>
    <w:rsid w:val="008E550B"/>
    <w:rsid w:val="008E6DCB"/>
    <w:rsid w:val="008E6F06"/>
    <w:rsid w:val="008E7B8E"/>
    <w:rsid w:val="008E7FC9"/>
    <w:rsid w:val="008F029B"/>
    <w:rsid w:val="008F0D42"/>
    <w:rsid w:val="008F2A5D"/>
    <w:rsid w:val="008F3636"/>
    <w:rsid w:val="008F3FC9"/>
    <w:rsid w:val="008F48A3"/>
    <w:rsid w:val="008F5383"/>
    <w:rsid w:val="008F585B"/>
    <w:rsid w:val="008F609D"/>
    <w:rsid w:val="008F7D34"/>
    <w:rsid w:val="009003A8"/>
    <w:rsid w:val="00900977"/>
    <w:rsid w:val="009021DA"/>
    <w:rsid w:val="00902500"/>
    <w:rsid w:val="00902A83"/>
    <w:rsid w:val="00902EFF"/>
    <w:rsid w:val="00903A8E"/>
    <w:rsid w:val="0090432C"/>
    <w:rsid w:val="00904F96"/>
    <w:rsid w:val="009052A3"/>
    <w:rsid w:val="00905314"/>
    <w:rsid w:val="009056D7"/>
    <w:rsid w:val="00905B8D"/>
    <w:rsid w:val="00906401"/>
    <w:rsid w:val="009065CB"/>
    <w:rsid w:val="009067EA"/>
    <w:rsid w:val="00906B79"/>
    <w:rsid w:val="0090786F"/>
    <w:rsid w:val="0091001E"/>
    <w:rsid w:val="00910C18"/>
    <w:rsid w:val="009110F7"/>
    <w:rsid w:val="0091155E"/>
    <w:rsid w:val="00912437"/>
    <w:rsid w:val="00912A92"/>
    <w:rsid w:val="00915D07"/>
    <w:rsid w:val="00916286"/>
    <w:rsid w:val="009162AE"/>
    <w:rsid w:val="00917251"/>
    <w:rsid w:val="0091728D"/>
    <w:rsid w:val="009203CC"/>
    <w:rsid w:val="00920EC4"/>
    <w:rsid w:val="0092180B"/>
    <w:rsid w:val="00921F14"/>
    <w:rsid w:val="00923CB0"/>
    <w:rsid w:val="00923D8C"/>
    <w:rsid w:val="00924871"/>
    <w:rsid w:val="00924AC8"/>
    <w:rsid w:val="0092508F"/>
    <w:rsid w:val="00925429"/>
    <w:rsid w:val="0092597A"/>
    <w:rsid w:val="00926520"/>
    <w:rsid w:val="00926CF0"/>
    <w:rsid w:val="009273A9"/>
    <w:rsid w:val="0093033E"/>
    <w:rsid w:val="009305FC"/>
    <w:rsid w:val="00930FB1"/>
    <w:rsid w:val="0093139F"/>
    <w:rsid w:val="00931E5F"/>
    <w:rsid w:val="00932443"/>
    <w:rsid w:val="00932B32"/>
    <w:rsid w:val="00933F4A"/>
    <w:rsid w:val="009341F1"/>
    <w:rsid w:val="0093475A"/>
    <w:rsid w:val="00934FF2"/>
    <w:rsid w:val="00935BD4"/>
    <w:rsid w:val="00935DFE"/>
    <w:rsid w:val="00935FC6"/>
    <w:rsid w:val="009373B2"/>
    <w:rsid w:val="00937AE2"/>
    <w:rsid w:val="0094061F"/>
    <w:rsid w:val="00940F0F"/>
    <w:rsid w:val="00941BC7"/>
    <w:rsid w:val="00941D6E"/>
    <w:rsid w:val="0094416B"/>
    <w:rsid w:val="0094427A"/>
    <w:rsid w:val="00944C7C"/>
    <w:rsid w:val="00945245"/>
    <w:rsid w:val="00945523"/>
    <w:rsid w:val="00946F8B"/>
    <w:rsid w:val="009474EF"/>
    <w:rsid w:val="00950921"/>
    <w:rsid w:val="00951A15"/>
    <w:rsid w:val="00951D68"/>
    <w:rsid w:val="00952B7B"/>
    <w:rsid w:val="00954F39"/>
    <w:rsid w:val="00955C0E"/>
    <w:rsid w:val="0095664B"/>
    <w:rsid w:val="009568DC"/>
    <w:rsid w:val="00957300"/>
    <w:rsid w:val="00957445"/>
    <w:rsid w:val="0095759C"/>
    <w:rsid w:val="0096108D"/>
    <w:rsid w:val="009618EE"/>
    <w:rsid w:val="009624D2"/>
    <w:rsid w:val="009628D9"/>
    <w:rsid w:val="00962BAE"/>
    <w:rsid w:val="009633D9"/>
    <w:rsid w:val="009637AE"/>
    <w:rsid w:val="009640F6"/>
    <w:rsid w:val="00964776"/>
    <w:rsid w:val="00964A4E"/>
    <w:rsid w:val="00964B35"/>
    <w:rsid w:val="009651C7"/>
    <w:rsid w:val="00965797"/>
    <w:rsid w:val="00965A10"/>
    <w:rsid w:val="009670A3"/>
    <w:rsid w:val="009674BE"/>
    <w:rsid w:val="00970EFF"/>
    <w:rsid w:val="00970FB5"/>
    <w:rsid w:val="009716DE"/>
    <w:rsid w:val="00971710"/>
    <w:rsid w:val="00971B87"/>
    <w:rsid w:val="00971C77"/>
    <w:rsid w:val="00972FCD"/>
    <w:rsid w:val="009741AE"/>
    <w:rsid w:val="009741FC"/>
    <w:rsid w:val="00974422"/>
    <w:rsid w:val="00974923"/>
    <w:rsid w:val="00975909"/>
    <w:rsid w:val="009773D6"/>
    <w:rsid w:val="00977C3D"/>
    <w:rsid w:val="00980A5D"/>
    <w:rsid w:val="00980D3D"/>
    <w:rsid w:val="0098103E"/>
    <w:rsid w:val="009823BF"/>
    <w:rsid w:val="00983101"/>
    <w:rsid w:val="00983E41"/>
    <w:rsid w:val="00985D9D"/>
    <w:rsid w:val="00986246"/>
    <w:rsid w:val="00986B72"/>
    <w:rsid w:val="0098717C"/>
    <w:rsid w:val="00987A30"/>
    <w:rsid w:val="00990312"/>
    <w:rsid w:val="009912E7"/>
    <w:rsid w:val="0099182E"/>
    <w:rsid w:val="00992CF3"/>
    <w:rsid w:val="00993194"/>
    <w:rsid w:val="0099321E"/>
    <w:rsid w:val="00993DA6"/>
    <w:rsid w:val="00994868"/>
    <w:rsid w:val="00994D28"/>
    <w:rsid w:val="00994F2C"/>
    <w:rsid w:val="009957CC"/>
    <w:rsid w:val="009968D6"/>
    <w:rsid w:val="00997953"/>
    <w:rsid w:val="009A0BFF"/>
    <w:rsid w:val="009A10A0"/>
    <w:rsid w:val="009A1CAB"/>
    <w:rsid w:val="009A2359"/>
    <w:rsid w:val="009A2440"/>
    <w:rsid w:val="009A24F1"/>
    <w:rsid w:val="009A4D57"/>
    <w:rsid w:val="009A5121"/>
    <w:rsid w:val="009A51A5"/>
    <w:rsid w:val="009A60D1"/>
    <w:rsid w:val="009A6225"/>
    <w:rsid w:val="009A64F5"/>
    <w:rsid w:val="009B00D2"/>
    <w:rsid w:val="009B05B3"/>
    <w:rsid w:val="009B284F"/>
    <w:rsid w:val="009B3764"/>
    <w:rsid w:val="009B52AC"/>
    <w:rsid w:val="009B59EA"/>
    <w:rsid w:val="009B66CE"/>
    <w:rsid w:val="009B6FD3"/>
    <w:rsid w:val="009B7257"/>
    <w:rsid w:val="009B7DB2"/>
    <w:rsid w:val="009C15A4"/>
    <w:rsid w:val="009C1750"/>
    <w:rsid w:val="009C2E29"/>
    <w:rsid w:val="009C3CDE"/>
    <w:rsid w:val="009C3E8F"/>
    <w:rsid w:val="009C554B"/>
    <w:rsid w:val="009C7126"/>
    <w:rsid w:val="009C719E"/>
    <w:rsid w:val="009C7799"/>
    <w:rsid w:val="009D07A9"/>
    <w:rsid w:val="009D0AE2"/>
    <w:rsid w:val="009D0EBB"/>
    <w:rsid w:val="009D3483"/>
    <w:rsid w:val="009D3ACD"/>
    <w:rsid w:val="009D4F21"/>
    <w:rsid w:val="009D587D"/>
    <w:rsid w:val="009D7731"/>
    <w:rsid w:val="009E1120"/>
    <w:rsid w:val="009E1393"/>
    <w:rsid w:val="009E1922"/>
    <w:rsid w:val="009E1A3D"/>
    <w:rsid w:val="009E3646"/>
    <w:rsid w:val="009E4715"/>
    <w:rsid w:val="009E4FEF"/>
    <w:rsid w:val="009E5273"/>
    <w:rsid w:val="009E57A8"/>
    <w:rsid w:val="009E5B85"/>
    <w:rsid w:val="009E5DDB"/>
    <w:rsid w:val="009E6140"/>
    <w:rsid w:val="009F0B4B"/>
    <w:rsid w:val="009F2921"/>
    <w:rsid w:val="009F3210"/>
    <w:rsid w:val="009F3399"/>
    <w:rsid w:val="009F38F8"/>
    <w:rsid w:val="009F4982"/>
    <w:rsid w:val="009F4CA7"/>
    <w:rsid w:val="009F5461"/>
    <w:rsid w:val="009F55BA"/>
    <w:rsid w:val="009F6257"/>
    <w:rsid w:val="009F7D36"/>
    <w:rsid w:val="00A00E71"/>
    <w:rsid w:val="00A012F7"/>
    <w:rsid w:val="00A0239B"/>
    <w:rsid w:val="00A0306F"/>
    <w:rsid w:val="00A0363E"/>
    <w:rsid w:val="00A03B10"/>
    <w:rsid w:val="00A03E2E"/>
    <w:rsid w:val="00A04616"/>
    <w:rsid w:val="00A04717"/>
    <w:rsid w:val="00A0495F"/>
    <w:rsid w:val="00A05EE4"/>
    <w:rsid w:val="00A06F99"/>
    <w:rsid w:val="00A10D66"/>
    <w:rsid w:val="00A113A4"/>
    <w:rsid w:val="00A1145C"/>
    <w:rsid w:val="00A120EA"/>
    <w:rsid w:val="00A14114"/>
    <w:rsid w:val="00A16413"/>
    <w:rsid w:val="00A16520"/>
    <w:rsid w:val="00A16545"/>
    <w:rsid w:val="00A16AED"/>
    <w:rsid w:val="00A16C37"/>
    <w:rsid w:val="00A16E1D"/>
    <w:rsid w:val="00A171D5"/>
    <w:rsid w:val="00A17559"/>
    <w:rsid w:val="00A17A15"/>
    <w:rsid w:val="00A17D5B"/>
    <w:rsid w:val="00A201E1"/>
    <w:rsid w:val="00A20FE1"/>
    <w:rsid w:val="00A21B4D"/>
    <w:rsid w:val="00A21C5E"/>
    <w:rsid w:val="00A23E43"/>
    <w:rsid w:val="00A2445C"/>
    <w:rsid w:val="00A24ED9"/>
    <w:rsid w:val="00A25216"/>
    <w:rsid w:val="00A2597D"/>
    <w:rsid w:val="00A2628E"/>
    <w:rsid w:val="00A266BF"/>
    <w:rsid w:val="00A2731E"/>
    <w:rsid w:val="00A307C2"/>
    <w:rsid w:val="00A309AC"/>
    <w:rsid w:val="00A30F65"/>
    <w:rsid w:val="00A3279E"/>
    <w:rsid w:val="00A35900"/>
    <w:rsid w:val="00A370BF"/>
    <w:rsid w:val="00A37556"/>
    <w:rsid w:val="00A40C06"/>
    <w:rsid w:val="00A40EAC"/>
    <w:rsid w:val="00A418BC"/>
    <w:rsid w:val="00A41FCF"/>
    <w:rsid w:val="00A42936"/>
    <w:rsid w:val="00A43CF8"/>
    <w:rsid w:val="00A43DF2"/>
    <w:rsid w:val="00A43DF7"/>
    <w:rsid w:val="00A445A8"/>
    <w:rsid w:val="00A44B0D"/>
    <w:rsid w:val="00A44D21"/>
    <w:rsid w:val="00A45087"/>
    <w:rsid w:val="00A45489"/>
    <w:rsid w:val="00A45CED"/>
    <w:rsid w:val="00A465E9"/>
    <w:rsid w:val="00A468E7"/>
    <w:rsid w:val="00A46DE0"/>
    <w:rsid w:val="00A5064D"/>
    <w:rsid w:val="00A50D73"/>
    <w:rsid w:val="00A5162C"/>
    <w:rsid w:val="00A52A88"/>
    <w:rsid w:val="00A52CAD"/>
    <w:rsid w:val="00A53918"/>
    <w:rsid w:val="00A53FC7"/>
    <w:rsid w:val="00A54974"/>
    <w:rsid w:val="00A55569"/>
    <w:rsid w:val="00A6092A"/>
    <w:rsid w:val="00A60AC1"/>
    <w:rsid w:val="00A615E5"/>
    <w:rsid w:val="00A623DF"/>
    <w:rsid w:val="00A626FF"/>
    <w:rsid w:val="00A62CE1"/>
    <w:rsid w:val="00A65469"/>
    <w:rsid w:val="00A65528"/>
    <w:rsid w:val="00A655D3"/>
    <w:rsid w:val="00A65711"/>
    <w:rsid w:val="00A662D9"/>
    <w:rsid w:val="00A6636F"/>
    <w:rsid w:val="00A6741E"/>
    <w:rsid w:val="00A6764C"/>
    <w:rsid w:val="00A7016A"/>
    <w:rsid w:val="00A7018D"/>
    <w:rsid w:val="00A7191D"/>
    <w:rsid w:val="00A722F9"/>
    <w:rsid w:val="00A72CD8"/>
    <w:rsid w:val="00A72D42"/>
    <w:rsid w:val="00A74C2A"/>
    <w:rsid w:val="00A75A21"/>
    <w:rsid w:val="00A75E40"/>
    <w:rsid w:val="00A77D1D"/>
    <w:rsid w:val="00A80911"/>
    <w:rsid w:val="00A80BD2"/>
    <w:rsid w:val="00A81652"/>
    <w:rsid w:val="00A83150"/>
    <w:rsid w:val="00A83398"/>
    <w:rsid w:val="00A83D6E"/>
    <w:rsid w:val="00A83F43"/>
    <w:rsid w:val="00A8521A"/>
    <w:rsid w:val="00A857C0"/>
    <w:rsid w:val="00A90F2C"/>
    <w:rsid w:val="00A90FED"/>
    <w:rsid w:val="00A9189D"/>
    <w:rsid w:val="00A91E71"/>
    <w:rsid w:val="00A925B1"/>
    <w:rsid w:val="00A934F9"/>
    <w:rsid w:val="00A93D06"/>
    <w:rsid w:val="00A940E3"/>
    <w:rsid w:val="00A95F1A"/>
    <w:rsid w:val="00A96116"/>
    <w:rsid w:val="00A9614E"/>
    <w:rsid w:val="00A96C0F"/>
    <w:rsid w:val="00AA0E80"/>
    <w:rsid w:val="00AA17CD"/>
    <w:rsid w:val="00AA212F"/>
    <w:rsid w:val="00AA2996"/>
    <w:rsid w:val="00AA2AF4"/>
    <w:rsid w:val="00AA2C80"/>
    <w:rsid w:val="00AA4282"/>
    <w:rsid w:val="00AA52BF"/>
    <w:rsid w:val="00AA559A"/>
    <w:rsid w:val="00AA58ED"/>
    <w:rsid w:val="00AA6C31"/>
    <w:rsid w:val="00AA7752"/>
    <w:rsid w:val="00AA7CE8"/>
    <w:rsid w:val="00AB1457"/>
    <w:rsid w:val="00AB22B9"/>
    <w:rsid w:val="00AB2AF1"/>
    <w:rsid w:val="00AB3EC7"/>
    <w:rsid w:val="00AB3FFA"/>
    <w:rsid w:val="00AB56A1"/>
    <w:rsid w:val="00AB5A64"/>
    <w:rsid w:val="00AB5CA1"/>
    <w:rsid w:val="00AB6456"/>
    <w:rsid w:val="00AB686D"/>
    <w:rsid w:val="00AC044E"/>
    <w:rsid w:val="00AC2118"/>
    <w:rsid w:val="00AC2395"/>
    <w:rsid w:val="00AC2960"/>
    <w:rsid w:val="00AC2AC4"/>
    <w:rsid w:val="00AC4284"/>
    <w:rsid w:val="00AC45BD"/>
    <w:rsid w:val="00AC4883"/>
    <w:rsid w:val="00AC4920"/>
    <w:rsid w:val="00AC50BB"/>
    <w:rsid w:val="00AC51CC"/>
    <w:rsid w:val="00AC6CAB"/>
    <w:rsid w:val="00AD0EE7"/>
    <w:rsid w:val="00AD168E"/>
    <w:rsid w:val="00AD306C"/>
    <w:rsid w:val="00AD44CD"/>
    <w:rsid w:val="00AD4C32"/>
    <w:rsid w:val="00AD5AD2"/>
    <w:rsid w:val="00AD6462"/>
    <w:rsid w:val="00AD66C5"/>
    <w:rsid w:val="00AD68C4"/>
    <w:rsid w:val="00AD71F9"/>
    <w:rsid w:val="00AE09B3"/>
    <w:rsid w:val="00AE12DC"/>
    <w:rsid w:val="00AE1A83"/>
    <w:rsid w:val="00AE2BA8"/>
    <w:rsid w:val="00AE30BE"/>
    <w:rsid w:val="00AE3222"/>
    <w:rsid w:val="00AE3E6A"/>
    <w:rsid w:val="00AE467A"/>
    <w:rsid w:val="00AE7269"/>
    <w:rsid w:val="00AE797C"/>
    <w:rsid w:val="00AE7CE7"/>
    <w:rsid w:val="00AE7FAB"/>
    <w:rsid w:val="00AF0DE4"/>
    <w:rsid w:val="00AF1E87"/>
    <w:rsid w:val="00AF206B"/>
    <w:rsid w:val="00AF436B"/>
    <w:rsid w:val="00AF5179"/>
    <w:rsid w:val="00AF5CC2"/>
    <w:rsid w:val="00AF6776"/>
    <w:rsid w:val="00AF6F98"/>
    <w:rsid w:val="00B00913"/>
    <w:rsid w:val="00B01593"/>
    <w:rsid w:val="00B01FF9"/>
    <w:rsid w:val="00B023F2"/>
    <w:rsid w:val="00B038CA"/>
    <w:rsid w:val="00B03FB8"/>
    <w:rsid w:val="00B05AE3"/>
    <w:rsid w:val="00B05F62"/>
    <w:rsid w:val="00B06DB4"/>
    <w:rsid w:val="00B0799C"/>
    <w:rsid w:val="00B10A4D"/>
    <w:rsid w:val="00B10C90"/>
    <w:rsid w:val="00B11002"/>
    <w:rsid w:val="00B110D0"/>
    <w:rsid w:val="00B121B2"/>
    <w:rsid w:val="00B141B6"/>
    <w:rsid w:val="00B14BC1"/>
    <w:rsid w:val="00B16DD1"/>
    <w:rsid w:val="00B16EB8"/>
    <w:rsid w:val="00B17E71"/>
    <w:rsid w:val="00B17FDE"/>
    <w:rsid w:val="00B20632"/>
    <w:rsid w:val="00B2379C"/>
    <w:rsid w:val="00B23D5D"/>
    <w:rsid w:val="00B2687D"/>
    <w:rsid w:val="00B3108D"/>
    <w:rsid w:val="00B3211D"/>
    <w:rsid w:val="00B32DDB"/>
    <w:rsid w:val="00B32F57"/>
    <w:rsid w:val="00B3345C"/>
    <w:rsid w:val="00B34528"/>
    <w:rsid w:val="00B34CC9"/>
    <w:rsid w:val="00B3504B"/>
    <w:rsid w:val="00B3563B"/>
    <w:rsid w:val="00B36BDC"/>
    <w:rsid w:val="00B37D3A"/>
    <w:rsid w:val="00B402FC"/>
    <w:rsid w:val="00B403C5"/>
    <w:rsid w:val="00B422E2"/>
    <w:rsid w:val="00B42D5F"/>
    <w:rsid w:val="00B43216"/>
    <w:rsid w:val="00B439DA"/>
    <w:rsid w:val="00B4411A"/>
    <w:rsid w:val="00B46604"/>
    <w:rsid w:val="00B47089"/>
    <w:rsid w:val="00B47587"/>
    <w:rsid w:val="00B47DD4"/>
    <w:rsid w:val="00B52151"/>
    <w:rsid w:val="00B52D70"/>
    <w:rsid w:val="00B530CD"/>
    <w:rsid w:val="00B53538"/>
    <w:rsid w:val="00B5365B"/>
    <w:rsid w:val="00B53C7D"/>
    <w:rsid w:val="00B53E56"/>
    <w:rsid w:val="00B55040"/>
    <w:rsid w:val="00B55A97"/>
    <w:rsid w:val="00B55F5E"/>
    <w:rsid w:val="00B5642C"/>
    <w:rsid w:val="00B56B6F"/>
    <w:rsid w:val="00B5752E"/>
    <w:rsid w:val="00B60AC1"/>
    <w:rsid w:val="00B61B92"/>
    <w:rsid w:val="00B61FF6"/>
    <w:rsid w:val="00B62316"/>
    <w:rsid w:val="00B6318A"/>
    <w:rsid w:val="00B63A11"/>
    <w:rsid w:val="00B63F4C"/>
    <w:rsid w:val="00B64425"/>
    <w:rsid w:val="00B64C24"/>
    <w:rsid w:val="00B65CEF"/>
    <w:rsid w:val="00B65E6B"/>
    <w:rsid w:val="00B6608F"/>
    <w:rsid w:val="00B66F84"/>
    <w:rsid w:val="00B677A6"/>
    <w:rsid w:val="00B679FB"/>
    <w:rsid w:val="00B70083"/>
    <w:rsid w:val="00B71FBF"/>
    <w:rsid w:val="00B72F87"/>
    <w:rsid w:val="00B734A0"/>
    <w:rsid w:val="00B73A14"/>
    <w:rsid w:val="00B748BD"/>
    <w:rsid w:val="00B75B39"/>
    <w:rsid w:val="00B7680F"/>
    <w:rsid w:val="00B76A3F"/>
    <w:rsid w:val="00B76D1E"/>
    <w:rsid w:val="00B772F3"/>
    <w:rsid w:val="00B77543"/>
    <w:rsid w:val="00B77584"/>
    <w:rsid w:val="00B80EC6"/>
    <w:rsid w:val="00B81288"/>
    <w:rsid w:val="00B8177E"/>
    <w:rsid w:val="00B81D70"/>
    <w:rsid w:val="00B833B9"/>
    <w:rsid w:val="00B83D4C"/>
    <w:rsid w:val="00B83E07"/>
    <w:rsid w:val="00B84CF6"/>
    <w:rsid w:val="00B85016"/>
    <w:rsid w:val="00B8561A"/>
    <w:rsid w:val="00B86643"/>
    <w:rsid w:val="00B868F7"/>
    <w:rsid w:val="00B876D2"/>
    <w:rsid w:val="00B87AED"/>
    <w:rsid w:val="00B90131"/>
    <w:rsid w:val="00B90B7C"/>
    <w:rsid w:val="00B92951"/>
    <w:rsid w:val="00B92D1D"/>
    <w:rsid w:val="00B92D7E"/>
    <w:rsid w:val="00B930CE"/>
    <w:rsid w:val="00B938C5"/>
    <w:rsid w:val="00B940A8"/>
    <w:rsid w:val="00B9554A"/>
    <w:rsid w:val="00B95940"/>
    <w:rsid w:val="00B95ACA"/>
    <w:rsid w:val="00B97ACC"/>
    <w:rsid w:val="00B97FE2"/>
    <w:rsid w:val="00BA1CF8"/>
    <w:rsid w:val="00BA3787"/>
    <w:rsid w:val="00BA433F"/>
    <w:rsid w:val="00BA46E8"/>
    <w:rsid w:val="00BA49E6"/>
    <w:rsid w:val="00BA4E19"/>
    <w:rsid w:val="00BA4E41"/>
    <w:rsid w:val="00BA6436"/>
    <w:rsid w:val="00BA684E"/>
    <w:rsid w:val="00BA6C2B"/>
    <w:rsid w:val="00BA7B64"/>
    <w:rsid w:val="00BB02A3"/>
    <w:rsid w:val="00BB0351"/>
    <w:rsid w:val="00BB15C3"/>
    <w:rsid w:val="00BB1AF4"/>
    <w:rsid w:val="00BB2202"/>
    <w:rsid w:val="00BB37D7"/>
    <w:rsid w:val="00BB3C6B"/>
    <w:rsid w:val="00BB3FD6"/>
    <w:rsid w:val="00BB453F"/>
    <w:rsid w:val="00BB46F3"/>
    <w:rsid w:val="00BB4A71"/>
    <w:rsid w:val="00BB4CB1"/>
    <w:rsid w:val="00BB4E54"/>
    <w:rsid w:val="00BB4F98"/>
    <w:rsid w:val="00BB5AB2"/>
    <w:rsid w:val="00BB5ABF"/>
    <w:rsid w:val="00BB6EA2"/>
    <w:rsid w:val="00BB7B5B"/>
    <w:rsid w:val="00BB7EB1"/>
    <w:rsid w:val="00BC003F"/>
    <w:rsid w:val="00BC00B3"/>
    <w:rsid w:val="00BC10AD"/>
    <w:rsid w:val="00BC19EB"/>
    <w:rsid w:val="00BC1DF4"/>
    <w:rsid w:val="00BC297E"/>
    <w:rsid w:val="00BC327F"/>
    <w:rsid w:val="00BC3512"/>
    <w:rsid w:val="00BC43D7"/>
    <w:rsid w:val="00BC50BE"/>
    <w:rsid w:val="00BC5332"/>
    <w:rsid w:val="00BC5715"/>
    <w:rsid w:val="00BC5C12"/>
    <w:rsid w:val="00BC7154"/>
    <w:rsid w:val="00BC731E"/>
    <w:rsid w:val="00BC7614"/>
    <w:rsid w:val="00BD25BB"/>
    <w:rsid w:val="00BD2AF8"/>
    <w:rsid w:val="00BD366B"/>
    <w:rsid w:val="00BD410B"/>
    <w:rsid w:val="00BD4A73"/>
    <w:rsid w:val="00BD4ED5"/>
    <w:rsid w:val="00BD5609"/>
    <w:rsid w:val="00BD5C0F"/>
    <w:rsid w:val="00BD6C75"/>
    <w:rsid w:val="00BD6D50"/>
    <w:rsid w:val="00BD73D2"/>
    <w:rsid w:val="00BD7B86"/>
    <w:rsid w:val="00BE0088"/>
    <w:rsid w:val="00BE0AD1"/>
    <w:rsid w:val="00BE0EF9"/>
    <w:rsid w:val="00BE10A1"/>
    <w:rsid w:val="00BE18B9"/>
    <w:rsid w:val="00BE190A"/>
    <w:rsid w:val="00BE2495"/>
    <w:rsid w:val="00BE24DD"/>
    <w:rsid w:val="00BE2527"/>
    <w:rsid w:val="00BE386D"/>
    <w:rsid w:val="00BE557B"/>
    <w:rsid w:val="00BE6E15"/>
    <w:rsid w:val="00BE7F5F"/>
    <w:rsid w:val="00BF02C8"/>
    <w:rsid w:val="00BF064A"/>
    <w:rsid w:val="00BF1578"/>
    <w:rsid w:val="00BF15CA"/>
    <w:rsid w:val="00BF1D12"/>
    <w:rsid w:val="00BF1D3A"/>
    <w:rsid w:val="00BF2B5B"/>
    <w:rsid w:val="00BF2D41"/>
    <w:rsid w:val="00BF32DC"/>
    <w:rsid w:val="00BF4329"/>
    <w:rsid w:val="00BF4E43"/>
    <w:rsid w:val="00BF5C4C"/>
    <w:rsid w:val="00C006D6"/>
    <w:rsid w:val="00C00BD7"/>
    <w:rsid w:val="00C01410"/>
    <w:rsid w:val="00C042D4"/>
    <w:rsid w:val="00C04B78"/>
    <w:rsid w:val="00C05287"/>
    <w:rsid w:val="00C052AA"/>
    <w:rsid w:val="00C058F5"/>
    <w:rsid w:val="00C05DF8"/>
    <w:rsid w:val="00C0636C"/>
    <w:rsid w:val="00C06EE3"/>
    <w:rsid w:val="00C07749"/>
    <w:rsid w:val="00C11244"/>
    <w:rsid w:val="00C11D48"/>
    <w:rsid w:val="00C13D0B"/>
    <w:rsid w:val="00C1493E"/>
    <w:rsid w:val="00C15DBD"/>
    <w:rsid w:val="00C16B15"/>
    <w:rsid w:val="00C2010D"/>
    <w:rsid w:val="00C20CB5"/>
    <w:rsid w:val="00C21430"/>
    <w:rsid w:val="00C21E61"/>
    <w:rsid w:val="00C21F94"/>
    <w:rsid w:val="00C234DB"/>
    <w:rsid w:val="00C2479A"/>
    <w:rsid w:val="00C24903"/>
    <w:rsid w:val="00C2590D"/>
    <w:rsid w:val="00C25D9C"/>
    <w:rsid w:val="00C27913"/>
    <w:rsid w:val="00C300E2"/>
    <w:rsid w:val="00C31F21"/>
    <w:rsid w:val="00C32631"/>
    <w:rsid w:val="00C33301"/>
    <w:rsid w:val="00C33311"/>
    <w:rsid w:val="00C3386C"/>
    <w:rsid w:val="00C33B68"/>
    <w:rsid w:val="00C35570"/>
    <w:rsid w:val="00C35A2A"/>
    <w:rsid w:val="00C36A79"/>
    <w:rsid w:val="00C36E37"/>
    <w:rsid w:val="00C401A9"/>
    <w:rsid w:val="00C401D2"/>
    <w:rsid w:val="00C4031A"/>
    <w:rsid w:val="00C405D4"/>
    <w:rsid w:val="00C4072D"/>
    <w:rsid w:val="00C407CF"/>
    <w:rsid w:val="00C40D33"/>
    <w:rsid w:val="00C416B3"/>
    <w:rsid w:val="00C419D5"/>
    <w:rsid w:val="00C41E3C"/>
    <w:rsid w:val="00C43D8F"/>
    <w:rsid w:val="00C4513B"/>
    <w:rsid w:val="00C475E8"/>
    <w:rsid w:val="00C476B8"/>
    <w:rsid w:val="00C479B8"/>
    <w:rsid w:val="00C50E79"/>
    <w:rsid w:val="00C525FB"/>
    <w:rsid w:val="00C5390B"/>
    <w:rsid w:val="00C54257"/>
    <w:rsid w:val="00C54697"/>
    <w:rsid w:val="00C550CE"/>
    <w:rsid w:val="00C553A5"/>
    <w:rsid w:val="00C55402"/>
    <w:rsid w:val="00C5603B"/>
    <w:rsid w:val="00C61F47"/>
    <w:rsid w:val="00C62828"/>
    <w:rsid w:val="00C64139"/>
    <w:rsid w:val="00C719A3"/>
    <w:rsid w:val="00C71D2F"/>
    <w:rsid w:val="00C72984"/>
    <w:rsid w:val="00C73885"/>
    <w:rsid w:val="00C73AE4"/>
    <w:rsid w:val="00C73C93"/>
    <w:rsid w:val="00C7435A"/>
    <w:rsid w:val="00C747B1"/>
    <w:rsid w:val="00C755F9"/>
    <w:rsid w:val="00C80FE0"/>
    <w:rsid w:val="00C815EF"/>
    <w:rsid w:val="00C8174E"/>
    <w:rsid w:val="00C81E37"/>
    <w:rsid w:val="00C82191"/>
    <w:rsid w:val="00C83134"/>
    <w:rsid w:val="00C832F3"/>
    <w:rsid w:val="00C845A4"/>
    <w:rsid w:val="00C85545"/>
    <w:rsid w:val="00C855B5"/>
    <w:rsid w:val="00C85F0E"/>
    <w:rsid w:val="00C90107"/>
    <w:rsid w:val="00C90CF4"/>
    <w:rsid w:val="00C92144"/>
    <w:rsid w:val="00C922DE"/>
    <w:rsid w:val="00C92843"/>
    <w:rsid w:val="00C9295C"/>
    <w:rsid w:val="00C92EB6"/>
    <w:rsid w:val="00C93389"/>
    <w:rsid w:val="00C94CDD"/>
    <w:rsid w:val="00C95774"/>
    <w:rsid w:val="00C97B65"/>
    <w:rsid w:val="00CA0346"/>
    <w:rsid w:val="00CA09B7"/>
    <w:rsid w:val="00CA1BD6"/>
    <w:rsid w:val="00CA2441"/>
    <w:rsid w:val="00CA37FF"/>
    <w:rsid w:val="00CA423A"/>
    <w:rsid w:val="00CA47BC"/>
    <w:rsid w:val="00CA6AB4"/>
    <w:rsid w:val="00CA7255"/>
    <w:rsid w:val="00CA7432"/>
    <w:rsid w:val="00CB2351"/>
    <w:rsid w:val="00CB3C4F"/>
    <w:rsid w:val="00CB4930"/>
    <w:rsid w:val="00CB4C63"/>
    <w:rsid w:val="00CB5599"/>
    <w:rsid w:val="00CB5A48"/>
    <w:rsid w:val="00CB5E10"/>
    <w:rsid w:val="00CB5F3F"/>
    <w:rsid w:val="00CB613B"/>
    <w:rsid w:val="00CB6152"/>
    <w:rsid w:val="00CB64E1"/>
    <w:rsid w:val="00CC0834"/>
    <w:rsid w:val="00CC20FE"/>
    <w:rsid w:val="00CC2E7D"/>
    <w:rsid w:val="00CC32A4"/>
    <w:rsid w:val="00CC519B"/>
    <w:rsid w:val="00CC5BF7"/>
    <w:rsid w:val="00CC5DBF"/>
    <w:rsid w:val="00CC612B"/>
    <w:rsid w:val="00CC655F"/>
    <w:rsid w:val="00CC6FE5"/>
    <w:rsid w:val="00CC72D7"/>
    <w:rsid w:val="00CC7458"/>
    <w:rsid w:val="00CC76BD"/>
    <w:rsid w:val="00CC7A87"/>
    <w:rsid w:val="00CD07BE"/>
    <w:rsid w:val="00CD1084"/>
    <w:rsid w:val="00CD10A5"/>
    <w:rsid w:val="00CD1129"/>
    <w:rsid w:val="00CD1A80"/>
    <w:rsid w:val="00CD1CB5"/>
    <w:rsid w:val="00CD2076"/>
    <w:rsid w:val="00CD24CE"/>
    <w:rsid w:val="00CD29B5"/>
    <w:rsid w:val="00CD2B78"/>
    <w:rsid w:val="00CD3D73"/>
    <w:rsid w:val="00CD3FAB"/>
    <w:rsid w:val="00CD5434"/>
    <w:rsid w:val="00CD5456"/>
    <w:rsid w:val="00CD5C3E"/>
    <w:rsid w:val="00CD6331"/>
    <w:rsid w:val="00CE0217"/>
    <w:rsid w:val="00CE14BE"/>
    <w:rsid w:val="00CE164F"/>
    <w:rsid w:val="00CE17A4"/>
    <w:rsid w:val="00CE1BA9"/>
    <w:rsid w:val="00CE29EE"/>
    <w:rsid w:val="00CE2D8F"/>
    <w:rsid w:val="00CE3E48"/>
    <w:rsid w:val="00CE47B8"/>
    <w:rsid w:val="00CE4B4F"/>
    <w:rsid w:val="00CE62FA"/>
    <w:rsid w:val="00CE670B"/>
    <w:rsid w:val="00CE6833"/>
    <w:rsid w:val="00CF0257"/>
    <w:rsid w:val="00CF03A8"/>
    <w:rsid w:val="00CF2E4D"/>
    <w:rsid w:val="00CF4205"/>
    <w:rsid w:val="00CF4908"/>
    <w:rsid w:val="00CF51EC"/>
    <w:rsid w:val="00CF521C"/>
    <w:rsid w:val="00CF545D"/>
    <w:rsid w:val="00CF5873"/>
    <w:rsid w:val="00CF73AE"/>
    <w:rsid w:val="00D0085A"/>
    <w:rsid w:val="00D0242D"/>
    <w:rsid w:val="00D02651"/>
    <w:rsid w:val="00D02716"/>
    <w:rsid w:val="00D0332D"/>
    <w:rsid w:val="00D03A72"/>
    <w:rsid w:val="00D040DD"/>
    <w:rsid w:val="00D04134"/>
    <w:rsid w:val="00D05C65"/>
    <w:rsid w:val="00D065FC"/>
    <w:rsid w:val="00D06B56"/>
    <w:rsid w:val="00D06D68"/>
    <w:rsid w:val="00D075BE"/>
    <w:rsid w:val="00D107EE"/>
    <w:rsid w:val="00D10C15"/>
    <w:rsid w:val="00D11476"/>
    <w:rsid w:val="00D12C25"/>
    <w:rsid w:val="00D133B4"/>
    <w:rsid w:val="00D13986"/>
    <w:rsid w:val="00D14C5B"/>
    <w:rsid w:val="00D15FED"/>
    <w:rsid w:val="00D16712"/>
    <w:rsid w:val="00D208FD"/>
    <w:rsid w:val="00D20FFB"/>
    <w:rsid w:val="00D214EF"/>
    <w:rsid w:val="00D215B0"/>
    <w:rsid w:val="00D218B6"/>
    <w:rsid w:val="00D21A0D"/>
    <w:rsid w:val="00D21D6D"/>
    <w:rsid w:val="00D21D83"/>
    <w:rsid w:val="00D22142"/>
    <w:rsid w:val="00D235B7"/>
    <w:rsid w:val="00D23FAE"/>
    <w:rsid w:val="00D24853"/>
    <w:rsid w:val="00D25098"/>
    <w:rsid w:val="00D2554F"/>
    <w:rsid w:val="00D25F28"/>
    <w:rsid w:val="00D26071"/>
    <w:rsid w:val="00D269B9"/>
    <w:rsid w:val="00D27973"/>
    <w:rsid w:val="00D27F47"/>
    <w:rsid w:val="00D31537"/>
    <w:rsid w:val="00D31E1E"/>
    <w:rsid w:val="00D3222A"/>
    <w:rsid w:val="00D322A0"/>
    <w:rsid w:val="00D32824"/>
    <w:rsid w:val="00D334E2"/>
    <w:rsid w:val="00D35AD6"/>
    <w:rsid w:val="00D35BBB"/>
    <w:rsid w:val="00D35E1A"/>
    <w:rsid w:val="00D36DFB"/>
    <w:rsid w:val="00D36E1C"/>
    <w:rsid w:val="00D373AF"/>
    <w:rsid w:val="00D40556"/>
    <w:rsid w:val="00D419C9"/>
    <w:rsid w:val="00D41F74"/>
    <w:rsid w:val="00D42FF0"/>
    <w:rsid w:val="00D43ED2"/>
    <w:rsid w:val="00D442B3"/>
    <w:rsid w:val="00D44896"/>
    <w:rsid w:val="00D464E4"/>
    <w:rsid w:val="00D46B51"/>
    <w:rsid w:val="00D478B9"/>
    <w:rsid w:val="00D50F46"/>
    <w:rsid w:val="00D5238B"/>
    <w:rsid w:val="00D5384E"/>
    <w:rsid w:val="00D544E7"/>
    <w:rsid w:val="00D5560A"/>
    <w:rsid w:val="00D56FBF"/>
    <w:rsid w:val="00D57677"/>
    <w:rsid w:val="00D57B8D"/>
    <w:rsid w:val="00D60415"/>
    <w:rsid w:val="00D60516"/>
    <w:rsid w:val="00D60E3C"/>
    <w:rsid w:val="00D63BE5"/>
    <w:rsid w:val="00D6475F"/>
    <w:rsid w:val="00D653A0"/>
    <w:rsid w:val="00D66223"/>
    <w:rsid w:val="00D667B8"/>
    <w:rsid w:val="00D70289"/>
    <w:rsid w:val="00D70822"/>
    <w:rsid w:val="00D70A58"/>
    <w:rsid w:val="00D72076"/>
    <w:rsid w:val="00D726A9"/>
    <w:rsid w:val="00D743E0"/>
    <w:rsid w:val="00D75AC1"/>
    <w:rsid w:val="00D77252"/>
    <w:rsid w:val="00D77807"/>
    <w:rsid w:val="00D8084C"/>
    <w:rsid w:val="00D81809"/>
    <w:rsid w:val="00D82435"/>
    <w:rsid w:val="00D82EF1"/>
    <w:rsid w:val="00D83C22"/>
    <w:rsid w:val="00D84F43"/>
    <w:rsid w:val="00D85114"/>
    <w:rsid w:val="00D85821"/>
    <w:rsid w:val="00D8598C"/>
    <w:rsid w:val="00D87C06"/>
    <w:rsid w:val="00D915EA"/>
    <w:rsid w:val="00D919ED"/>
    <w:rsid w:val="00D922A1"/>
    <w:rsid w:val="00D928BE"/>
    <w:rsid w:val="00D95302"/>
    <w:rsid w:val="00D95C5D"/>
    <w:rsid w:val="00D97D00"/>
    <w:rsid w:val="00DA096C"/>
    <w:rsid w:val="00DA0FE3"/>
    <w:rsid w:val="00DA1AB6"/>
    <w:rsid w:val="00DA544C"/>
    <w:rsid w:val="00DA5F8E"/>
    <w:rsid w:val="00DA6364"/>
    <w:rsid w:val="00DA7114"/>
    <w:rsid w:val="00DA7C0C"/>
    <w:rsid w:val="00DB08A9"/>
    <w:rsid w:val="00DB2DFA"/>
    <w:rsid w:val="00DB2EC8"/>
    <w:rsid w:val="00DB3419"/>
    <w:rsid w:val="00DB459B"/>
    <w:rsid w:val="00DB47FD"/>
    <w:rsid w:val="00DB5E9A"/>
    <w:rsid w:val="00DB657E"/>
    <w:rsid w:val="00DB6DFF"/>
    <w:rsid w:val="00DB7342"/>
    <w:rsid w:val="00DB7486"/>
    <w:rsid w:val="00DB7F95"/>
    <w:rsid w:val="00DC17D0"/>
    <w:rsid w:val="00DC2390"/>
    <w:rsid w:val="00DC2B41"/>
    <w:rsid w:val="00DC435B"/>
    <w:rsid w:val="00DC53D8"/>
    <w:rsid w:val="00DC56FE"/>
    <w:rsid w:val="00DC5B3B"/>
    <w:rsid w:val="00DC6C2D"/>
    <w:rsid w:val="00DC75F3"/>
    <w:rsid w:val="00DC7B1A"/>
    <w:rsid w:val="00DD04B0"/>
    <w:rsid w:val="00DD07EC"/>
    <w:rsid w:val="00DD129F"/>
    <w:rsid w:val="00DD18CA"/>
    <w:rsid w:val="00DD1A3F"/>
    <w:rsid w:val="00DD29B5"/>
    <w:rsid w:val="00DD32DD"/>
    <w:rsid w:val="00DD5287"/>
    <w:rsid w:val="00DD7944"/>
    <w:rsid w:val="00DE0D8B"/>
    <w:rsid w:val="00DE1237"/>
    <w:rsid w:val="00DE140F"/>
    <w:rsid w:val="00DE2491"/>
    <w:rsid w:val="00DE586E"/>
    <w:rsid w:val="00DE7AC8"/>
    <w:rsid w:val="00DF1FFF"/>
    <w:rsid w:val="00DF2C5D"/>
    <w:rsid w:val="00DF3643"/>
    <w:rsid w:val="00DF42FF"/>
    <w:rsid w:val="00DF4369"/>
    <w:rsid w:val="00DF4423"/>
    <w:rsid w:val="00DF4ADF"/>
    <w:rsid w:val="00DF5D1E"/>
    <w:rsid w:val="00DF6CA7"/>
    <w:rsid w:val="00DF77E4"/>
    <w:rsid w:val="00DF7F88"/>
    <w:rsid w:val="00E01C0E"/>
    <w:rsid w:val="00E0368F"/>
    <w:rsid w:val="00E03D73"/>
    <w:rsid w:val="00E03DEA"/>
    <w:rsid w:val="00E03F9A"/>
    <w:rsid w:val="00E04694"/>
    <w:rsid w:val="00E04EE2"/>
    <w:rsid w:val="00E129E7"/>
    <w:rsid w:val="00E12ABE"/>
    <w:rsid w:val="00E12B1E"/>
    <w:rsid w:val="00E12C45"/>
    <w:rsid w:val="00E1444C"/>
    <w:rsid w:val="00E17262"/>
    <w:rsid w:val="00E17D21"/>
    <w:rsid w:val="00E20016"/>
    <w:rsid w:val="00E2009B"/>
    <w:rsid w:val="00E20BB9"/>
    <w:rsid w:val="00E20BCC"/>
    <w:rsid w:val="00E2207E"/>
    <w:rsid w:val="00E2251C"/>
    <w:rsid w:val="00E22D9E"/>
    <w:rsid w:val="00E2363D"/>
    <w:rsid w:val="00E23C6A"/>
    <w:rsid w:val="00E24DEF"/>
    <w:rsid w:val="00E253A2"/>
    <w:rsid w:val="00E25809"/>
    <w:rsid w:val="00E260F6"/>
    <w:rsid w:val="00E27127"/>
    <w:rsid w:val="00E27233"/>
    <w:rsid w:val="00E31771"/>
    <w:rsid w:val="00E31A3E"/>
    <w:rsid w:val="00E31FEC"/>
    <w:rsid w:val="00E32080"/>
    <w:rsid w:val="00E32D52"/>
    <w:rsid w:val="00E3309D"/>
    <w:rsid w:val="00E343C7"/>
    <w:rsid w:val="00E3724A"/>
    <w:rsid w:val="00E375EC"/>
    <w:rsid w:val="00E378B1"/>
    <w:rsid w:val="00E404B9"/>
    <w:rsid w:val="00E404FD"/>
    <w:rsid w:val="00E417BE"/>
    <w:rsid w:val="00E4186B"/>
    <w:rsid w:val="00E41CD5"/>
    <w:rsid w:val="00E426FA"/>
    <w:rsid w:val="00E43133"/>
    <w:rsid w:val="00E4372D"/>
    <w:rsid w:val="00E43A9E"/>
    <w:rsid w:val="00E453F9"/>
    <w:rsid w:val="00E45D7D"/>
    <w:rsid w:val="00E4623F"/>
    <w:rsid w:val="00E4665D"/>
    <w:rsid w:val="00E47854"/>
    <w:rsid w:val="00E47EBA"/>
    <w:rsid w:val="00E50156"/>
    <w:rsid w:val="00E5076C"/>
    <w:rsid w:val="00E50D2E"/>
    <w:rsid w:val="00E53470"/>
    <w:rsid w:val="00E539F6"/>
    <w:rsid w:val="00E54698"/>
    <w:rsid w:val="00E54FB4"/>
    <w:rsid w:val="00E55791"/>
    <w:rsid w:val="00E55E1A"/>
    <w:rsid w:val="00E578A2"/>
    <w:rsid w:val="00E60043"/>
    <w:rsid w:val="00E601BA"/>
    <w:rsid w:val="00E61740"/>
    <w:rsid w:val="00E61EB5"/>
    <w:rsid w:val="00E6324D"/>
    <w:rsid w:val="00E64F0C"/>
    <w:rsid w:val="00E65084"/>
    <w:rsid w:val="00E6519D"/>
    <w:rsid w:val="00E66062"/>
    <w:rsid w:val="00E6660E"/>
    <w:rsid w:val="00E66F7C"/>
    <w:rsid w:val="00E67305"/>
    <w:rsid w:val="00E67696"/>
    <w:rsid w:val="00E702BD"/>
    <w:rsid w:val="00E71A58"/>
    <w:rsid w:val="00E71C23"/>
    <w:rsid w:val="00E72A26"/>
    <w:rsid w:val="00E72A7A"/>
    <w:rsid w:val="00E7335A"/>
    <w:rsid w:val="00E747DC"/>
    <w:rsid w:val="00E74A2D"/>
    <w:rsid w:val="00E75C94"/>
    <w:rsid w:val="00E76B9B"/>
    <w:rsid w:val="00E76E61"/>
    <w:rsid w:val="00E80CA3"/>
    <w:rsid w:val="00E8209B"/>
    <w:rsid w:val="00E82618"/>
    <w:rsid w:val="00E845C1"/>
    <w:rsid w:val="00E84A1C"/>
    <w:rsid w:val="00E84E09"/>
    <w:rsid w:val="00E90CA8"/>
    <w:rsid w:val="00E90FF9"/>
    <w:rsid w:val="00E91301"/>
    <w:rsid w:val="00E930A1"/>
    <w:rsid w:val="00E93820"/>
    <w:rsid w:val="00E94A86"/>
    <w:rsid w:val="00E953F6"/>
    <w:rsid w:val="00E96143"/>
    <w:rsid w:val="00E96833"/>
    <w:rsid w:val="00E97506"/>
    <w:rsid w:val="00EA0C68"/>
    <w:rsid w:val="00EA1D0E"/>
    <w:rsid w:val="00EA2841"/>
    <w:rsid w:val="00EA29D4"/>
    <w:rsid w:val="00EA32BC"/>
    <w:rsid w:val="00EA35A7"/>
    <w:rsid w:val="00EA3868"/>
    <w:rsid w:val="00EA3B32"/>
    <w:rsid w:val="00EA3D05"/>
    <w:rsid w:val="00EA4402"/>
    <w:rsid w:val="00EA4B8D"/>
    <w:rsid w:val="00EA513E"/>
    <w:rsid w:val="00EA7419"/>
    <w:rsid w:val="00EB0E32"/>
    <w:rsid w:val="00EB1DE7"/>
    <w:rsid w:val="00EB1E61"/>
    <w:rsid w:val="00EB2251"/>
    <w:rsid w:val="00EB267D"/>
    <w:rsid w:val="00EB4511"/>
    <w:rsid w:val="00EB48D7"/>
    <w:rsid w:val="00EB4A8E"/>
    <w:rsid w:val="00EB4ABD"/>
    <w:rsid w:val="00EB4BC5"/>
    <w:rsid w:val="00EB5BF7"/>
    <w:rsid w:val="00EB5E79"/>
    <w:rsid w:val="00EB663E"/>
    <w:rsid w:val="00EB6FAC"/>
    <w:rsid w:val="00EB7BAC"/>
    <w:rsid w:val="00EC03D7"/>
    <w:rsid w:val="00EC13A7"/>
    <w:rsid w:val="00EC2EB6"/>
    <w:rsid w:val="00ED0EF0"/>
    <w:rsid w:val="00ED12B9"/>
    <w:rsid w:val="00ED16B8"/>
    <w:rsid w:val="00ED19F0"/>
    <w:rsid w:val="00ED1BDE"/>
    <w:rsid w:val="00ED1DF0"/>
    <w:rsid w:val="00ED2386"/>
    <w:rsid w:val="00ED2EA1"/>
    <w:rsid w:val="00ED3F10"/>
    <w:rsid w:val="00ED4604"/>
    <w:rsid w:val="00ED4D04"/>
    <w:rsid w:val="00ED5907"/>
    <w:rsid w:val="00ED5F5B"/>
    <w:rsid w:val="00ED62C6"/>
    <w:rsid w:val="00ED64C1"/>
    <w:rsid w:val="00ED7A13"/>
    <w:rsid w:val="00ED7D0E"/>
    <w:rsid w:val="00EE1D34"/>
    <w:rsid w:val="00EE3446"/>
    <w:rsid w:val="00EE3E78"/>
    <w:rsid w:val="00EE41FD"/>
    <w:rsid w:val="00EE460E"/>
    <w:rsid w:val="00EE46FE"/>
    <w:rsid w:val="00EE4B1B"/>
    <w:rsid w:val="00EE5FBA"/>
    <w:rsid w:val="00EE6648"/>
    <w:rsid w:val="00EE6E06"/>
    <w:rsid w:val="00EE7179"/>
    <w:rsid w:val="00EF0626"/>
    <w:rsid w:val="00EF150D"/>
    <w:rsid w:val="00EF1F5A"/>
    <w:rsid w:val="00EF3C94"/>
    <w:rsid w:val="00EF47BF"/>
    <w:rsid w:val="00EF59B1"/>
    <w:rsid w:val="00EF5A13"/>
    <w:rsid w:val="00EF5FF9"/>
    <w:rsid w:val="00EF7CC7"/>
    <w:rsid w:val="00F00866"/>
    <w:rsid w:val="00F0160B"/>
    <w:rsid w:val="00F0193E"/>
    <w:rsid w:val="00F021DA"/>
    <w:rsid w:val="00F0293D"/>
    <w:rsid w:val="00F03F8D"/>
    <w:rsid w:val="00F04811"/>
    <w:rsid w:val="00F0488C"/>
    <w:rsid w:val="00F073ED"/>
    <w:rsid w:val="00F07C4C"/>
    <w:rsid w:val="00F10F11"/>
    <w:rsid w:val="00F11159"/>
    <w:rsid w:val="00F12CFB"/>
    <w:rsid w:val="00F13FDB"/>
    <w:rsid w:val="00F15AAA"/>
    <w:rsid w:val="00F15BEF"/>
    <w:rsid w:val="00F17898"/>
    <w:rsid w:val="00F2079F"/>
    <w:rsid w:val="00F207C2"/>
    <w:rsid w:val="00F20FCA"/>
    <w:rsid w:val="00F21337"/>
    <w:rsid w:val="00F215AC"/>
    <w:rsid w:val="00F219A1"/>
    <w:rsid w:val="00F231DB"/>
    <w:rsid w:val="00F23826"/>
    <w:rsid w:val="00F23E20"/>
    <w:rsid w:val="00F24407"/>
    <w:rsid w:val="00F24CDD"/>
    <w:rsid w:val="00F24FAA"/>
    <w:rsid w:val="00F24FBC"/>
    <w:rsid w:val="00F25040"/>
    <w:rsid w:val="00F27071"/>
    <w:rsid w:val="00F27331"/>
    <w:rsid w:val="00F27797"/>
    <w:rsid w:val="00F27EE5"/>
    <w:rsid w:val="00F307CB"/>
    <w:rsid w:val="00F30C65"/>
    <w:rsid w:val="00F32649"/>
    <w:rsid w:val="00F33523"/>
    <w:rsid w:val="00F3364D"/>
    <w:rsid w:val="00F349BF"/>
    <w:rsid w:val="00F34DDC"/>
    <w:rsid w:val="00F36596"/>
    <w:rsid w:val="00F37A39"/>
    <w:rsid w:val="00F37EDC"/>
    <w:rsid w:val="00F37F05"/>
    <w:rsid w:val="00F414BC"/>
    <w:rsid w:val="00F421A3"/>
    <w:rsid w:val="00F437CC"/>
    <w:rsid w:val="00F44537"/>
    <w:rsid w:val="00F46185"/>
    <w:rsid w:val="00F46423"/>
    <w:rsid w:val="00F4696A"/>
    <w:rsid w:val="00F47067"/>
    <w:rsid w:val="00F51B5B"/>
    <w:rsid w:val="00F525EB"/>
    <w:rsid w:val="00F52CB5"/>
    <w:rsid w:val="00F52E3F"/>
    <w:rsid w:val="00F53652"/>
    <w:rsid w:val="00F53A68"/>
    <w:rsid w:val="00F54330"/>
    <w:rsid w:val="00F5487D"/>
    <w:rsid w:val="00F54934"/>
    <w:rsid w:val="00F55890"/>
    <w:rsid w:val="00F55A92"/>
    <w:rsid w:val="00F62BFF"/>
    <w:rsid w:val="00F6393F"/>
    <w:rsid w:val="00F63AAE"/>
    <w:rsid w:val="00F63D70"/>
    <w:rsid w:val="00F63DDE"/>
    <w:rsid w:val="00F63FB7"/>
    <w:rsid w:val="00F6421B"/>
    <w:rsid w:val="00F647F1"/>
    <w:rsid w:val="00F649D2"/>
    <w:rsid w:val="00F6602B"/>
    <w:rsid w:val="00F67C31"/>
    <w:rsid w:val="00F7150B"/>
    <w:rsid w:val="00F717E4"/>
    <w:rsid w:val="00F71DE6"/>
    <w:rsid w:val="00F72D71"/>
    <w:rsid w:val="00F7381C"/>
    <w:rsid w:val="00F73A0C"/>
    <w:rsid w:val="00F7549F"/>
    <w:rsid w:val="00F756DB"/>
    <w:rsid w:val="00F767A8"/>
    <w:rsid w:val="00F839D3"/>
    <w:rsid w:val="00F84E7D"/>
    <w:rsid w:val="00F85066"/>
    <w:rsid w:val="00F8565E"/>
    <w:rsid w:val="00F86333"/>
    <w:rsid w:val="00F87A4D"/>
    <w:rsid w:val="00F90CF1"/>
    <w:rsid w:val="00F910B3"/>
    <w:rsid w:val="00F9354B"/>
    <w:rsid w:val="00F93688"/>
    <w:rsid w:val="00F939F3"/>
    <w:rsid w:val="00F9644E"/>
    <w:rsid w:val="00F97A39"/>
    <w:rsid w:val="00FA0105"/>
    <w:rsid w:val="00FA05A0"/>
    <w:rsid w:val="00FA17CC"/>
    <w:rsid w:val="00FA1F01"/>
    <w:rsid w:val="00FA26DF"/>
    <w:rsid w:val="00FA32BC"/>
    <w:rsid w:val="00FA4CB7"/>
    <w:rsid w:val="00FA5112"/>
    <w:rsid w:val="00FA523B"/>
    <w:rsid w:val="00FA5526"/>
    <w:rsid w:val="00FA5D4D"/>
    <w:rsid w:val="00FA6489"/>
    <w:rsid w:val="00FA6CB6"/>
    <w:rsid w:val="00FA70D3"/>
    <w:rsid w:val="00FA7AEC"/>
    <w:rsid w:val="00FB01A3"/>
    <w:rsid w:val="00FB0AEA"/>
    <w:rsid w:val="00FB0EE2"/>
    <w:rsid w:val="00FB1A79"/>
    <w:rsid w:val="00FB208B"/>
    <w:rsid w:val="00FB2B2D"/>
    <w:rsid w:val="00FB542E"/>
    <w:rsid w:val="00FB564F"/>
    <w:rsid w:val="00FB6D71"/>
    <w:rsid w:val="00FB7DBB"/>
    <w:rsid w:val="00FC05F8"/>
    <w:rsid w:val="00FC0E5F"/>
    <w:rsid w:val="00FC1266"/>
    <w:rsid w:val="00FC1A95"/>
    <w:rsid w:val="00FC1ED4"/>
    <w:rsid w:val="00FC2C40"/>
    <w:rsid w:val="00FC3BEC"/>
    <w:rsid w:val="00FC440B"/>
    <w:rsid w:val="00FC56DE"/>
    <w:rsid w:val="00FC64DE"/>
    <w:rsid w:val="00FC684B"/>
    <w:rsid w:val="00FC7D98"/>
    <w:rsid w:val="00FD025C"/>
    <w:rsid w:val="00FD0F85"/>
    <w:rsid w:val="00FD1135"/>
    <w:rsid w:val="00FD3265"/>
    <w:rsid w:val="00FD3CF7"/>
    <w:rsid w:val="00FD4916"/>
    <w:rsid w:val="00FD4D12"/>
    <w:rsid w:val="00FD4F73"/>
    <w:rsid w:val="00FD595E"/>
    <w:rsid w:val="00FD67AF"/>
    <w:rsid w:val="00FD6CA9"/>
    <w:rsid w:val="00FE27C7"/>
    <w:rsid w:val="00FE2C7E"/>
    <w:rsid w:val="00FE2F78"/>
    <w:rsid w:val="00FE3137"/>
    <w:rsid w:val="00FE346B"/>
    <w:rsid w:val="00FE48E4"/>
    <w:rsid w:val="00FE494D"/>
    <w:rsid w:val="00FE634C"/>
    <w:rsid w:val="00FE6E69"/>
    <w:rsid w:val="00FE6F59"/>
    <w:rsid w:val="00FF1136"/>
    <w:rsid w:val="00FF3D76"/>
    <w:rsid w:val="00FF3F14"/>
    <w:rsid w:val="00FF5B8C"/>
    <w:rsid w:val="00FF63E6"/>
    <w:rsid w:val="00FF7B09"/>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5:docId w15:val="{4AD56707-B834-43C7-B213-46CC73DE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character" w:customStyle="1" w:styleId="tlid-translation">
    <w:name w:val="tlid-translation"/>
    <w:basedOn w:val="Standardnpsmoodstavce"/>
    <w:rsid w:val="00166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4427001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967394828">
      <w:bodyDiv w:val="1"/>
      <w:marLeft w:val="0"/>
      <w:marRight w:val="0"/>
      <w:marTop w:val="0"/>
      <w:marBottom w:val="0"/>
      <w:divBdr>
        <w:top w:val="none" w:sz="0" w:space="0" w:color="auto"/>
        <w:left w:val="none" w:sz="0" w:space="0" w:color="auto"/>
        <w:bottom w:val="none" w:sz="0" w:space="0" w:color="auto"/>
        <w:right w:val="none" w:sz="0" w:space="0" w:color="auto"/>
      </w:divBdr>
    </w:div>
    <w:div w:id="111845364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333796159">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16055724">
      <w:bodyDiv w:val="1"/>
      <w:marLeft w:val="0"/>
      <w:marRight w:val="0"/>
      <w:marTop w:val="0"/>
      <w:marBottom w:val="0"/>
      <w:divBdr>
        <w:top w:val="none" w:sz="0" w:space="0" w:color="auto"/>
        <w:left w:val="none" w:sz="0" w:space="0" w:color="auto"/>
        <w:bottom w:val="none" w:sz="0" w:space="0" w:color="auto"/>
        <w:right w:val="none" w:sz="0" w:space="0" w:color="auto"/>
      </w:divBdr>
    </w:div>
    <w:div w:id="1467579904">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35038106">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36" Type="http://schemas.microsoft.com/office/2016/09/relationships/commentsIds" Target="commentsIds.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JKAM%20CSU\PUBLIKACE\PUBLIKACE\2019\QMakro\1.pololet&#237;%202019\ENGL-verze-1.pol\Odv&#283;tv&#237;%20grafy-1-pol-2019-ENG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JKAM%20CSU\PUBLIKACE\PUBLIKACE\2019\QMakro\1.pololet&#237;%202019\ENGL-verze-1.pol\Odv&#283;tv&#237;%20grafy-1-pol-2019-ENGL.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JKAM%20CSU\PUBLIKACE\PUBLIKACE\2019\QMakro\1.pololet&#237;%202019\ENGL-verze-1.pol\Odv&#283;tv&#237;%20grafy-1-pol-2019-ENG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JKAM%20CSU\PUBLIKACE\PUBLIKACE\2019\QMakro\1.pololet&#237;%202019\ENGL-verze-1.pol\Odv&#283;tv&#237;%20grafy-1-pol-2019-ENG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2768470688525411E-2"/>
          <c:y val="1.6203558522131581E-2"/>
          <c:w val="0.94015567663973465"/>
          <c:h val="0.71950593410789765"/>
        </c:manualLayout>
      </c:layout>
      <c:barChart>
        <c:barDir val="col"/>
        <c:grouping val="stacked"/>
        <c:varyColors val="0"/>
        <c:ser>
          <c:idx val="0"/>
          <c:order val="0"/>
          <c:tx>
            <c:strRef>
              <c:f>'GRAF příspěvky IPP'!$A$27</c:f>
              <c:strCache>
                <c:ptCount val="1"/>
                <c:pt idx="0">
                  <c:v>Manufacture of transport equipment (29+30)</c:v>
                </c:pt>
              </c:strCache>
            </c:strRef>
          </c:tx>
          <c:spPr>
            <a:solidFill>
              <a:srgbClr val="E8AFB2"/>
            </a:solidFill>
          </c:spPr>
          <c:invertIfNegative val="0"/>
          <c:cat>
            <c:multiLvlStrRef>
              <c:f>'GRAF příspěvky IPP'!$B$25:$AI$26</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'GRAF příspěvky IPP'!$B$27:$AI$27</c:f>
              <c:numCache>
                <c:formatCode>0.0</c:formatCode>
                <c:ptCount val="34"/>
                <c:pt idx="0">
                  <c:v>5.2078736853779173</c:v>
                </c:pt>
                <c:pt idx="1">
                  <c:v>4.1223648273779991</c:v>
                </c:pt>
                <c:pt idx="2">
                  <c:v>3.63477216157156</c:v>
                </c:pt>
                <c:pt idx="3">
                  <c:v>3.2216361743132538</c:v>
                </c:pt>
                <c:pt idx="4">
                  <c:v>2.2277089061298581</c:v>
                </c:pt>
                <c:pt idx="5">
                  <c:v>1.0445407965040034</c:v>
                </c:pt>
                <c:pt idx="6">
                  <c:v>-0.44415991740409522</c:v>
                </c:pt>
                <c:pt idx="7">
                  <c:v>-1.7046426167277111</c:v>
                </c:pt>
                <c:pt idx="8">
                  <c:v>-2.8402152771046563</c:v>
                </c:pt>
                <c:pt idx="9">
                  <c:v>-1.1163342815363446</c:v>
                </c:pt>
                <c:pt idx="10">
                  <c:v>0.6644282664004616</c:v>
                </c:pt>
                <c:pt idx="11">
                  <c:v>1.8881189084849743</c:v>
                </c:pt>
                <c:pt idx="12">
                  <c:v>3.5567942882522487</c:v>
                </c:pt>
                <c:pt idx="13">
                  <c:v>2.2505867525367846</c:v>
                </c:pt>
                <c:pt idx="14">
                  <c:v>1.7903943475924651</c:v>
                </c:pt>
                <c:pt idx="15">
                  <c:v>1.535644409665273</c:v>
                </c:pt>
                <c:pt idx="16">
                  <c:v>1.5449159659659168</c:v>
                </c:pt>
                <c:pt idx="17">
                  <c:v>2.1749281656592205</c:v>
                </c:pt>
                <c:pt idx="18">
                  <c:v>2.3300582377623109</c:v>
                </c:pt>
                <c:pt idx="19">
                  <c:v>2.8883547821003916</c:v>
                </c:pt>
                <c:pt idx="20">
                  <c:v>3.2974613335821723</c:v>
                </c:pt>
                <c:pt idx="21">
                  <c:v>2.7788016600022574</c:v>
                </c:pt>
                <c:pt idx="22">
                  <c:v>1.4641693240331413</c:v>
                </c:pt>
                <c:pt idx="23">
                  <c:v>1.0301621596218218</c:v>
                </c:pt>
                <c:pt idx="24">
                  <c:v>1.8188073708028707</c:v>
                </c:pt>
                <c:pt idx="25">
                  <c:v>2.0559452389437172</c:v>
                </c:pt>
                <c:pt idx="26">
                  <c:v>1.5681820744985684</c:v>
                </c:pt>
                <c:pt idx="27">
                  <c:v>1.6876490608562387</c:v>
                </c:pt>
                <c:pt idx="28">
                  <c:v>0.71498061102748001</c:v>
                </c:pt>
                <c:pt idx="29">
                  <c:v>0.55805449948842001</c:v>
                </c:pt>
                <c:pt idx="30">
                  <c:v>0.241155060823256</c:v>
                </c:pt>
                <c:pt idx="31">
                  <c:v>0.99609085179209589</c:v>
                </c:pt>
                <c:pt idx="32">
                  <c:v>-8.6132710841522284E-2</c:v>
                </c:pt>
                <c:pt idx="33">
                  <c:v>0.56916600963666997</c:v>
                </c:pt>
              </c:numCache>
            </c:numRef>
          </c:val>
          <c:extLst>
            <c:ext xmlns:c16="http://schemas.microsoft.com/office/drawing/2014/chart" uri="{C3380CC4-5D6E-409C-BE32-E72D297353CC}">
              <c16:uniqueId val="{00000000-67C8-411F-86A5-A0EBBB2CED68}"/>
            </c:ext>
          </c:extLst>
        </c:ser>
        <c:ser>
          <c:idx val="1"/>
          <c:order val="1"/>
          <c:tx>
            <c:strRef>
              <c:f>'GRAF příspěvky IPP'!$A$28</c:f>
              <c:strCache>
                <c:ptCount val="1"/>
                <c:pt idx="0">
                  <c:v>Rubber, electro technical ind. (22+27)</c:v>
                </c:pt>
              </c:strCache>
            </c:strRef>
          </c:tx>
          <c:spPr>
            <a:solidFill>
              <a:srgbClr val="BD1B21"/>
            </a:solidFill>
          </c:spPr>
          <c:invertIfNegative val="0"/>
          <c:cat>
            <c:multiLvlStrRef>
              <c:f>'GRAF příspěvky IPP'!$B$25:$AI$26</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'GRAF příspěvky IPP'!$B$28:$AI$28</c:f>
              <c:numCache>
                <c:formatCode>0.0</c:formatCode>
                <c:ptCount val="34"/>
                <c:pt idx="0">
                  <c:v>1.8195799141685121</c:v>
                </c:pt>
                <c:pt idx="1">
                  <c:v>1.4264054755235898</c:v>
                </c:pt>
                <c:pt idx="2">
                  <c:v>0.48607353269968806</c:v>
                </c:pt>
                <c:pt idx="3">
                  <c:v>0.58156552967788966</c:v>
                </c:pt>
                <c:pt idx="4">
                  <c:v>0.85798481430169571</c:v>
                </c:pt>
                <c:pt idx="5">
                  <c:v>0.68171577064529831</c:v>
                </c:pt>
                <c:pt idx="6">
                  <c:v>1.072037862747427</c:v>
                </c:pt>
                <c:pt idx="7">
                  <c:v>-0.46173310094024295</c:v>
                </c:pt>
                <c:pt idx="8">
                  <c:v>-0.34213672064681983</c:v>
                </c:pt>
                <c:pt idx="9">
                  <c:v>-0.29940942958869421</c:v>
                </c:pt>
                <c:pt idx="10">
                  <c:v>0.37461822657534871</c:v>
                </c:pt>
                <c:pt idx="11">
                  <c:v>0.67650313777163307</c:v>
                </c:pt>
                <c:pt idx="12">
                  <c:v>1.189030233896462</c:v>
                </c:pt>
                <c:pt idx="13">
                  <c:v>1.3176011911030265</c:v>
                </c:pt>
                <c:pt idx="14">
                  <c:v>0.16521296223436649</c:v>
                </c:pt>
                <c:pt idx="15">
                  <c:v>0.7937264559340933</c:v>
                </c:pt>
                <c:pt idx="16">
                  <c:v>1.0321564707423598</c:v>
                </c:pt>
                <c:pt idx="17">
                  <c:v>1.2396893147517036</c:v>
                </c:pt>
                <c:pt idx="18">
                  <c:v>1.4257126645761891</c:v>
                </c:pt>
                <c:pt idx="19">
                  <c:v>0.62646054654871031</c:v>
                </c:pt>
                <c:pt idx="20">
                  <c:v>0.70239864046330858</c:v>
                </c:pt>
                <c:pt idx="21">
                  <c:v>0.14957031030982187</c:v>
                </c:pt>
                <c:pt idx="22">
                  <c:v>0.27646532302098098</c:v>
                </c:pt>
                <c:pt idx="23">
                  <c:v>0.42916912474109054</c:v>
                </c:pt>
                <c:pt idx="24">
                  <c:v>0.91361476755678694</c:v>
                </c:pt>
                <c:pt idx="25">
                  <c:v>1.458720321695594</c:v>
                </c:pt>
                <c:pt idx="26">
                  <c:v>0.87170226971120912</c:v>
                </c:pt>
                <c:pt idx="27">
                  <c:v>1.646875240438054</c:v>
                </c:pt>
                <c:pt idx="28">
                  <c:v>0.99783080896461818</c:v>
                </c:pt>
                <c:pt idx="29">
                  <c:v>0.32849870801825526</c:v>
                </c:pt>
                <c:pt idx="30">
                  <c:v>0.43596693830578048</c:v>
                </c:pt>
                <c:pt idx="31">
                  <c:v>-6.0458230769583426E-2</c:v>
                </c:pt>
                <c:pt idx="32">
                  <c:v>-4.4370934847998464E-2</c:v>
                </c:pt>
                <c:pt idx="33">
                  <c:v>0.60878990989004989</c:v>
                </c:pt>
              </c:numCache>
            </c:numRef>
          </c:val>
          <c:extLst>
            <c:ext xmlns:c16="http://schemas.microsoft.com/office/drawing/2014/chart" uri="{C3380CC4-5D6E-409C-BE32-E72D297353CC}">
              <c16:uniqueId val="{00000001-67C8-411F-86A5-A0EBBB2CED68}"/>
            </c:ext>
          </c:extLst>
        </c:ser>
        <c:ser>
          <c:idx val="2"/>
          <c:order val="2"/>
          <c:tx>
            <c:strRef>
              <c:f>'GRAF příspěvky IPP'!$A$29</c:f>
              <c:strCache>
                <c:ptCount val="1"/>
                <c:pt idx="0">
                  <c:v>Machinery (28)</c:v>
                </c:pt>
              </c:strCache>
            </c:strRef>
          </c:tx>
          <c:spPr>
            <a:solidFill>
              <a:srgbClr val="BFE3F7"/>
            </a:solidFill>
          </c:spPr>
          <c:invertIfNegative val="0"/>
          <c:cat>
            <c:multiLvlStrRef>
              <c:f>'GRAF příspěvky IPP'!$B$25:$AI$26</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'GRAF příspěvky IPP'!$B$29:$AI$29</c:f>
              <c:numCache>
                <c:formatCode>0.0</c:formatCode>
                <c:ptCount val="34"/>
                <c:pt idx="0">
                  <c:v>1.2645058188207068</c:v>
                </c:pt>
                <c:pt idx="1">
                  <c:v>1.2866524900119543</c:v>
                </c:pt>
                <c:pt idx="2">
                  <c:v>0.321758166889757</c:v>
                </c:pt>
                <c:pt idx="3">
                  <c:v>0.69985382932741536</c:v>
                </c:pt>
                <c:pt idx="4">
                  <c:v>0.51520520797066272</c:v>
                </c:pt>
                <c:pt idx="5">
                  <c:v>0.26610955621310539</c:v>
                </c:pt>
                <c:pt idx="6">
                  <c:v>0.23285855695515315</c:v>
                </c:pt>
                <c:pt idx="7">
                  <c:v>-0.14103398862933006</c:v>
                </c:pt>
                <c:pt idx="8">
                  <c:v>8.1772139521772438E-2</c:v>
                </c:pt>
                <c:pt idx="9">
                  <c:v>0.2046260235658918</c:v>
                </c:pt>
                <c:pt idx="10">
                  <c:v>-2.2418720279356572E-2</c:v>
                </c:pt>
                <c:pt idx="11">
                  <c:v>0.65142852885825009</c:v>
                </c:pt>
                <c:pt idx="12">
                  <c:v>0.21304347589519865</c:v>
                </c:pt>
                <c:pt idx="13">
                  <c:v>0.40549290927749476</c:v>
                </c:pt>
                <c:pt idx="14">
                  <c:v>0.20916730701816877</c:v>
                </c:pt>
                <c:pt idx="15">
                  <c:v>0.32933361982312465</c:v>
                </c:pt>
                <c:pt idx="16">
                  <c:v>0.27334106694035171</c:v>
                </c:pt>
                <c:pt idx="17">
                  <c:v>0.29428298533741609</c:v>
                </c:pt>
                <c:pt idx="18">
                  <c:v>0.38533015320769515</c:v>
                </c:pt>
                <c:pt idx="19">
                  <c:v>1.9183488529804775E-2</c:v>
                </c:pt>
                <c:pt idx="20">
                  <c:v>0.36307045023871931</c:v>
                </c:pt>
                <c:pt idx="21">
                  <c:v>-6.7572945378872373E-2</c:v>
                </c:pt>
                <c:pt idx="22">
                  <c:v>0.19574075945275773</c:v>
                </c:pt>
                <c:pt idx="23">
                  <c:v>0.31979046599858157</c:v>
                </c:pt>
                <c:pt idx="24">
                  <c:v>0.3600654733750322</c:v>
                </c:pt>
                <c:pt idx="25">
                  <c:v>1.0705741294559918</c:v>
                </c:pt>
                <c:pt idx="26">
                  <c:v>0.84942343358716554</c:v>
                </c:pt>
                <c:pt idx="27">
                  <c:v>0.80110319510701655</c:v>
                </c:pt>
                <c:pt idx="28">
                  <c:v>0.47293555109852903</c:v>
                </c:pt>
                <c:pt idx="29">
                  <c:v>0.14495560013543887</c:v>
                </c:pt>
                <c:pt idx="30">
                  <c:v>0.18781910745101171</c:v>
                </c:pt>
                <c:pt idx="31">
                  <c:v>-0.19409151970696684</c:v>
                </c:pt>
                <c:pt idx="32">
                  <c:v>3.9832749225266383E-2</c:v>
                </c:pt>
                <c:pt idx="33">
                  <c:v>-0.15377082422268057</c:v>
                </c:pt>
              </c:numCache>
            </c:numRef>
          </c:val>
          <c:extLst>
            <c:ext xmlns:c16="http://schemas.microsoft.com/office/drawing/2014/chart" uri="{C3380CC4-5D6E-409C-BE32-E72D297353CC}">
              <c16:uniqueId val="{00000002-67C8-411F-86A5-A0EBBB2CED68}"/>
            </c:ext>
          </c:extLst>
        </c:ser>
        <c:ser>
          <c:idx val="3"/>
          <c:order val="3"/>
          <c:tx>
            <c:strRef>
              <c:f>'GRAF příspěvky IPP'!$A$30</c:f>
              <c:strCache>
                <c:ptCount val="1"/>
                <c:pt idx="0">
                  <c:v>Fabricated metal product industry (25)</c:v>
                </c:pt>
              </c:strCache>
            </c:strRef>
          </c:tx>
          <c:spPr>
            <a:solidFill>
              <a:srgbClr val="48AEE7"/>
            </a:solidFill>
          </c:spPr>
          <c:invertIfNegative val="0"/>
          <c:cat>
            <c:multiLvlStrRef>
              <c:f>'GRAF příspěvky IPP'!$B$25:$AI$26</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'GRAF příspěvky IPP'!$B$30:$AI$30</c:f>
              <c:numCache>
                <c:formatCode>0.0</c:formatCode>
                <c:ptCount val="34"/>
                <c:pt idx="0">
                  <c:v>1.3551101221058057</c:v>
                </c:pt>
                <c:pt idx="1">
                  <c:v>0.61003571461144745</c:v>
                </c:pt>
                <c:pt idx="2">
                  <c:v>6.5190052068116996E-2</c:v>
                </c:pt>
                <c:pt idx="3">
                  <c:v>-5.751285551196901E-2</c:v>
                </c:pt>
                <c:pt idx="4">
                  <c:v>-6.6831949774716279E-2</c:v>
                </c:pt>
                <c:pt idx="5">
                  <c:v>-7.2108739074927916E-2</c:v>
                </c:pt>
                <c:pt idx="6">
                  <c:v>0.10129802746367376</c:v>
                </c:pt>
                <c:pt idx="7">
                  <c:v>-0.16202794402787471</c:v>
                </c:pt>
                <c:pt idx="8">
                  <c:v>-7.7218113950844339E-2</c:v>
                </c:pt>
                <c:pt idx="9">
                  <c:v>9.8842007123154413E-2</c:v>
                </c:pt>
                <c:pt idx="10">
                  <c:v>0.38425831802453603</c:v>
                </c:pt>
                <c:pt idx="11">
                  <c:v>0.56826070473463075</c:v>
                </c:pt>
                <c:pt idx="12">
                  <c:v>0.72466030311448937</c:v>
                </c:pt>
                <c:pt idx="13">
                  <c:v>0.64070763768823902</c:v>
                </c:pt>
                <c:pt idx="14">
                  <c:v>0.13471783746278831</c:v>
                </c:pt>
                <c:pt idx="15">
                  <c:v>0.34715049391068614</c:v>
                </c:pt>
                <c:pt idx="16">
                  <c:v>0.7002997305470311</c:v>
                </c:pt>
                <c:pt idx="17">
                  <c:v>0.78598516282691366</c:v>
                </c:pt>
                <c:pt idx="18">
                  <c:v>0.92607458938072496</c:v>
                </c:pt>
                <c:pt idx="19">
                  <c:v>0.625152359437114</c:v>
                </c:pt>
                <c:pt idx="20">
                  <c:v>0.76444806762191553</c:v>
                </c:pt>
                <c:pt idx="21">
                  <c:v>0.38468982602991308</c:v>
                </c:pt>
                <c:pt idx="22">
                  <c:v>0.20052528439839029</c:v>
                </c:pt>
                <c:pt idx="23">
                  <c:v>0.2505464784956295</c:v>
                </c:pt>
                <c:pt idx="24">
                  <c:v>0.5110945332466369</c:v>
                </c:pt>
                <c:pt idx="25">
                  <c:v>0.91827111587790722</c:v>
                </c:pt>
                <c:pt idx="26">
                  <c:v>0.82344311009183468</c:v>
                </c:pt>
                <c:pt idx="27">
                  <c:v>0.97625242210301566</c:v>
                </c:pt>
                <c:pt idx="28">
                  <c:v>0.6543071266859497</c:v>
                </c:pt>
                <c:pt idx="29">
                  <c:v>0.44356446133900607</c:v>
                </c:pt>
                <c:pt idx="30">
                  <c:v>0.43396631024153715</c:v>
                </c:pt>
                <c:pt idx="31">
                  <c:v>0.16096354460868348</c:v>
                </c:pt>
                <c:pt idx="32">
                  <c:v>0.15874233353306155</c:v>
                </c:pt>
                <c:pt idx="33">
                  <c:v>-0.11206939884452095</c:v>
                </c:pt>
              </c:numCache>
            </c:numRef>
          </c:val>
          <c:extLst>
            <c:ext xmlns:c16="http://schemas.microsoft.com/office/drawing/2014/chart" uri="{C3380CC4-5D6E-409C-BE32-E72D297353CC}">
              <c16:uniqueId val="{00000003-67C8-411F-86A5-A0EBBB2CED68}"/>
            </c:ext>
          </c:extLst>
        </c:ser>
        <c:ser>
          <c:idx val="4"/>
          <c:order val="4"/>
          <c:tx>
            <c:strRef>
              <c:f>'GRAF příspěvky IPP'!$A$31</c:f>
              <c:strCache>
                <c:ptCount val="1"/>
                <c:pt idx="0">
                  <c:v>Manufact. of PC, electron.&amp; optic.prod.(26)</c:v>
                </c:pt>
              </c:strCache>
            </c:strRef>
          </c:tx>
          <c:spPr>
            <a:solidFill>
              <a:srgbClr val="FDDEB3"/>
            </a:solidFill>
          </c:spPr>
          <c:invertIfNegative val="0"/>
          <c:cat>
            <c:multiLvlStrRef>
              <c:f>'GRAF příspěvky IPP'!$B$25:$AI$26</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'GRAF příspěvky IPP'!$B$31:$AI$31</c:f>
              <c:numCache>
                <c:formatCode>0.0</c:formatCode>
                <c:ptCount val="34"/>
                <c:pt idx="0">
                  <c:v>0.46663673326552113</c:v>
                </c:pt>
                <c:pt idx="1">
                  <c:v>0.23034504225594873</c:v>
                </c:pt>
                <c:pt idx="2">
                  <c:v>-0.24128462562357822</c:v>
                </c:pt>
                <c:pt idx="3">
                  <c:v>-0.7801555412140766</c:v>
                </c:pt>
                <c:pt idx="4">
                  <c:v>-0.63255602460385418</c:v>
                </c:pt>
                <c:pt idx="5">
                  <c:v>-0.77384972458303802</c:v>
                </c:pt>
                <c:pt idx="6">
                  <c:v>-0.66432699677878693</c:v>
                </c:pt>
                <c:pt idx="7">
                  <c:v>-0.43948160779128104</c:v>
                </c:pt>
                <c:pt idx="8">
                  <c:v>0.1743274886505129</c:v>
                </c:pt>
                <c:pt idx="9">
                  <c:v>0.20848577844563423</c:v>
                </c:pt>
                <c:pt idx="10">
                  <c:v>0.28708284874337209</c:v>
                </c:pt>
                <c:pt idx="11">
                  <c:v>0.3710677945253662</c:v>
                </c:pt>
                <c:pt idx="12">
                  <c:v>0.25462016960863021</c:v>
                </c:pt>
                <c:pt idx="13">
                  <c:v>0.35946957764943493</c:v>
                </c:pt>
                <c:pt idx="14">
                  <c:v>0.24902596442701128</c:v>
                </c:pt>
                <c:pt idx="15">
                  <c:v>0.43266401321765158</c:v>
                </c:pt>
                <c:pt idx="16">
                  <c:v>0.10098933939964477</c:v>
                </c:pt>
                <c:pt idx="17">
                  <c:v>1.4989983457542287E-2</c:v>
                </c:pt>
                <c:pt idx="18">
                  <c:v>4.8131776575975969E-2</c:v>
                </c:pt>
                <c:pt idx="19">
                  <c:v>-7.7003986202186223E-2</c:v>
                </c:pt>
                <c:pt idx="20">
                  <c:v>2.5800791974177746E-4</c:v>
                </c:pt>
                <c:pt idx="21">
                  <c:v>4.8125354447826493E-2</c:v>
                </c:pt>
                <c:pt idx="22">
                  <c:v>5.4761934658599951E-2</c:v>
                </c:pt>
                <c:pt idx="23">
                  <c:v>0.16221619241546678</c:v>
                </c:pt>
                <c:pt idx="24">
                  <c:v>0.1266562574913582</c:v>
                </c:pt>
                <c:pt idx="25">
                  <c:v>0.37648265280216536</c:v>
                </c:pt>
                <c:pt idx="26">
                  <c:v>0.23505971681229232</c:v>
                </c:pt>
                <c:pt idx="27">
                  <c:v>0.23512493906047929</c:v>
                </c:pt>
                <c:pt idx="28">
                  <c:v>0.40852046691006588</c:v>
                </c:pt>
                <c:pt idx="29">
                  <c:v>0.15013350076420762</c:v>
                </c:pt>
                <c:pt idx="30">
                  <c:v>0.63609897194166687</c:v>
                </c:pt>
                <c:pt idx="31">
                  <c:v>0.30625066072387308</c:v>
                </c:pt>
                <c:pt idx="32">
                  <c:v>0.17124652555112596</c:v>
                </c:pt>
                <c:pt idx="33">
                  <c:v>0.23737796471102149</c:v>
                </c:pt>
              </c:numCache>
            </c:numRef>
          </c:val>
          <c:extLst>
            <c:ext xmlns:c16="http://schemas.microsoft.com/office/drawing/2014/chart" uri="{C3380CC4-5D6E-409C-BE32-E72D297353CC}">
              <c16:uniqueId val="{00000004-67C8-411F-86A5-A0EBBB2CED68}"/>
            </c:ext>
          </c:extLst>
        </c:ser>
        <c:ser>
          <c:idx val="5"/>
          <c:order val="5"/>
          <c:tx>
            <c:strRef>
              <c:f>'GRAF příspěvky IPP'!$A$32</c:f>
              <c:strCache>
                <c:ptCount val="1"/>
                <c:pt idx="0">
                  <c:v>Chemical &amp; pharmaceutical ind. (20+21)</c:v>
                </c:pt>
              </c:strCache>
            </c:strRef>
          </c:tx>
          <c:spPr>
            <a:solidFill>
              <a:srgbClr val="F8A124"/>
            </a:solidFill>
          </c:spPr>
          <c:invertIfNegative val="0"/>
          <c:cat>
            <c:multiLvlStrRef>
              <c:f>'GRAF příspěvky IPP'!$B$25:$AI$26</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'GRAF příspěvky IPP'!$B$32:$AI$32</c:f>
              <c:numCache>
                <c:formatCode>0.0</c:formatCode>
                <c:ptCount val="34"/>
                <c:pt idx="0">
                  <c:v>0.11043784960432593</c:v>
                </c:pt>
                <c:pt idx="1">
                  <c:v>-0.10773555193592807</c:v>
                </c:pt>
                <c:pt idx="2">
                  <c:v>-0.35112289109297956</c:v>
                </c:pt>
                <c:pt idx="3">
                  <c:v>-0.27826739460014194</c:v>
                </c:pt>
                <c:pt idx="4">
                  <c:v>8.4154385689483149E-2</c:v>
                </c:pt>
                <c:pt idx="5">
                  <c:v>-9.8833863523717924E-2</c:v>
                </c:pt>
                <c:pt idx="6">
                  <c:v>0.29519930148431078</c:v>
                </c:pt>
                <c:pt idx="7">
                  <c:v>8.1663941155752748E-2</c:v>
                </c:pt>
                <c:pt idx="8">
                  <c:v>-0.16442793114609983</c:v>
                </c:pt>
                <c:pt idx="9">
                  <c:v>2.7522300233105406E-2</c:v>
                </c:pt>
                <c:pt idx="10">
                  <c:v>-0.19879397802963492</c:v>
                </c:pt>
                <c:pt idx="11">
                  <c:v>0.22116665497939436</c:v>
                </c:pt>
                <c:pt idx="12">
                  <c:v>0.41666566499041086</c:v>
                </c:pt>
                <c:pt idx="13">
                  <c:v>0.29995274809874523</c:v>
                </c:pt>
                <c:pt idx="14">
                  <c:v>0.37241621238378653</c:v>
                </c:pt>
                <c:pt idx="15">
                  <c:v>0.12288921584121683</c:v>
                </c:pt>
                <c:pt idx="16">
                  <c:v>7.7350431314437765E-2</c:v>
                </c:pt>
                <c:pt idx="17">
                  <c:v>0.23593761593130141</c:v>
                </c:pt>
                <c:pt idx="18">
                  <c:v>-0.16669952986343833</c:v>
                </c:pt>
                <c:pt idx="19">
                  <c:v>-0.33320285815360856</c:v>
                </c:pt>
                <c:pt idx="20">
                  <c:v>-0.42004567083081795</c:v>
                </c:pt>
                <c:pt idx="21">
                  <c:v>-0.42026397840181545</c:v>
                </c:pt>
                <c:pt idx="22">
                  <c:v>-0.10965943805062672</c:v>
                </c:pt>
                <c:pt idx="23">
                  <c:v>0.23764174190673226</c:v>
                </c:pt>
                <c:pt idx="24">
                  <c:v>0.52969781101036639</c:v>
                </c:pt>
                <c:pt idx="25">
                  <c:v>0.81629581332897672</c:v>
                </c:pt>
                <c:pt idx="26">
                  <c:v>0.6490077008448305</c:v>
                </c:pt>
                <c:pt idx="27">
                  <c:v>0.50550039995300478</c:v>
                </c:pt>
                <c:pt idx="28">
                  <c:v>0.39836280707384325</c:v>
                </c:pt>
                <c:pt idx="29">
                  <c:v>8.2845416120803733E-2</c:v>
                </c:pt>
                <c:pt idx="30">
                  <c:v>-5.1307367148888089E-2</c:v>
                </c:pt>
                <c:pt idx="31">
                  <c:v>-6.7155755843787732E-2</c:v>
                </c:pt>
                <c:pt idx="32">
                  <c:v>0.13204723424870374</c:v>
                </c:pt>
                <c:pt idx="33">
                  <c:v>5.7929421674661752E-2</c:v>
                </c:pt>
              </c:numCache>
            </c:numRef>
          </c:val>
          <c:extLst>
            <c:ext xmlns:c16="http://schemas.microsoft.com/office/drawing/2014/chart" uri="{C3380CC4-5D6E-409C-BE32-E72D297353CC}">
              <c16:uniqueId val="{00000005-67C8-411F-86A5-A0EBBB2CED68}"/>
            </c:ext>
          </c:extLst>
        </c:ser>
        <c:ser>
          <c:idx val="6"/>
          <c:order val="6"/>
          <c:tx>
            <c:strRef>
              <c:f>'GRAF příspěvky IPP'!$A$33</c:f>
              <c:strCache>
                <c:ptCount val="1"/>
                <c:pt idx="0">
                  <c:v>Remaining manufacturing industries</c:v>
                </c:pt>
              </c:strCache>
            </c:strRef>
          </c:tx>
          <c:spPr>
            <a:solidFill>
              <a:schemeClr val="bg1">
                <a:lumMod val="85000"/>
              </a:schemeClr>
            </a:solidFill>
          </c:spPr>
          <c:invertIfNegative val="0"/>
          <c:cat>
            <c:multiLvlStrRef>
              <c:f>'GRAF příspěvky IPP'!$B$25:$AI$26</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'GRAF příspěvky IPP'!$B$33:$AI$33</c:f>
              <c:numCache>
                <c:formatCode>0.0</c:formatCode>
                <c:ptCount val="34"/>
                <c:pt idx="0">
                  <c:v>0.37508837128330663</c:v>
                </c:pt>
                <c:pt idx="1">
                  <c:v>-0.21037755903978828</c:v>
                </c:pt>
                <c:pt idx="2">
                  <c:v>-1.5665549835303834</c:v>
                </c:pt>
                <c:pt idx="3">
                  <c:v>-0.30113263223400749</c:v>
                </c:pt>
                <c:pt idx="4">
                  <c:v>-1.2532623819644888</c:v>
                </c:pt>
                <c:pt idx="5">
                  <c:v>-0.98265973266456896</c:v>
                </c:pt>
                <c:pt idx="6">
                  <c:v>-0.65808893522855194</c:v>
                </c:pt>
                <c:pt idx="7">
                  <c:v>-1.438830240844355</c:v>
                </c:pt>
                <c:pt idx="8">
                  <c:v>-0.15438392162535836</c:v>
                </c:pt>
                <c:pt idx="9">
                  <c:v>-0.1010162046774119</c:v>
                </c:pt>
                <c:pt idx="10">
                  <c:v>0.61701582414311873</c:v>
                </c:pt>
                <c:pt idx="11">
                  <c:v>1.4236339159262776</c:v>
                </c:pt>
                <c:pt idx="12">
                  <c:v>1.2365453413042746</c:v>
                </c:pt>
                <c:pt idx="13">
                  <c:v>1.2187062503030797</c:v>
                </c:pt>
                <c:pt idx="14">
                  <c:v>0.52934645905596123</c:v>
                </c:pt>
                <c:pt idx="15">
                  <c:v>1.3518228558832672</c:v>
                </c:pt>
                <c:pt idx="16">
                  <c:v>0.99830218869293896</c:v>
                </c:pt>
                <c:pt idx="17">
                  <c:v>0.90243657634684482</c:v>
                </c:pt>
                <c:pt idx="18">
                  <c:v>0.97767572263994862</c:v>
                </c:pt>
                <c:pt idx="19">
                  <c:v>-0.2213241477378568</c:v>
                </c:pt>
                <c:pt idx="20">
                  <c:v>3.756973895839455E-2</c:v>
                </c:pt>
                <c:pt idx="21">
                  <c:v>-0.30016704241037895</c:v>
                </c:pt>
                <c:pt idx="22">
                  <c:v>4.1230596798874086E-2</c:v>
                </c:pt>
                <c:pt idx="23">
                  <c:v>0.57694869576716468</c:v>
                </c:pt>
                <c:pt idx="24">
                  <c:v>0.33188448583663555</c:v>
                </c:pt>
                <c:pt idx="25">
                  <c:v>1.4323707076505112</c:v>
                </c:pt>
                <c:pt idx="26">
                  <c:v>0.74281336901524297</c:v>
                </c:pt>
                <c:pt idx="27">
                  <c:v>0.99254851716260917</c:v>
                </c:pt>
                <c:pt idx="28">
                  <c:v>1.1174634788597479</c:v>
                </c:pt>
                <c:pt idx="29">
                  <c:v>0.68730212314303363</c:v>
                </c:pt>
                <c:pt idx="30">
                  <c:v>1.0593660710107344</c:v>
                </c:pt>
                <c:pt idx="31">
                  <c:v>0.53559797352607164</c:v>
                </c:pt>
                <c:pt idx="32">
                  <c:v>-0.32120195616733443</c:v>
                </c:pt>
                <c:pt idx="33">
                  <c:v>-0.24355661954204572</c:v>
                </c:pt>
              </c:numCache>
            </c:numRef>
          </c:val>
          <c:extLst>
            <c:ext xmlns:c16="http://schemas.microsoft.com/office/drawing/2014/chart" uri="{C3380CC4-5D6E-409C-BE32-E72D297353CC}">
              <c16:uniqueId val="{00000006-67C8-411F-86A5-A0EBBB2CED68}"/>
            </c:ext>
          </c:extLst>
        </c:ser>
        <c:ser>
          <c:idx val="7"/>
          <c:order val="7"/>
          <c:tx>
            <c:strRef>
              <c:f>'GRAF příspěvky IPP'!$A$34</c:f>
              <c:strCache>
                <c:ptCount val="1"/>
                <c:pt idx="0">
                  <c:v>Mining and energetics (B)</c:v>
                </c:pt>
              </c:strCache>
            </c:strRef>
          </c:tx>
          <c:spPr>
            <a:solidFill>
              <a:srgbClr val="808080"/>
            </a:solidFill>
          </c:spPr>
          <c:invertIfNegative val="0"/>
          <c:cat>
            <c:multiLvlStrRef>
              <c:f>'GRAF příspěvky IPP'!$B$25:$AI$26</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'GRAF příspěvky IPP'!$B$34:$AI$34</c:f>
              <c:numCache>
                <c:formatCode>0.0</c:formatCode>
                <c:ptCount val="34"/>
                <c:pt idx="0">
                  <c:v>-0.42452386212609627</c:v>
                </c:pt>
                <c:pt idx="1">
                  <c:v>0.37437263889478795</c:v>
                </c:pt>
                <c:pt idx="2">
                  <c:v>-0.30609467148217906</c:v>
                </c:pt>
                <c:pt idx="3">
                  <c:v>-6.2790064258354317E-2</c:v>
                </c:pt>
                <c:pt idx="4">
                  <c:v>4.5234196251372455E-2</c:v>
                </c:pt>
                <c:pt idx="5">
                  <c:v>0.33849893288383998</c:v>
                </c:pt>
                <c:pt idx="6">
                  <c:v>-0.14594055443913137</c:v>
                </c:pt>
                <c:pt idx="7">
                  <c:v>-1.0820656656400016</c:v>
                </c:pt>
                <c:pt idx="8">
                  <c:v>-0.90111641450271041</c:v>
                </c:pt>
                <c:pt idx="9">
                  <c:v>-1.4080716141653054</c:v>
                </c:pt>
                <c:pt idx="10">
                  <c:v>-0.87454103397784222</c:v>
                </c:pt>
                <c:pt idx="11">
                  <c:v>0.52275262781946252</c:v>
                </c:pt>
                <c:pt idx="12">
                  <c:v>-0.48831445126169903</c:v>
                </c:pt>
                <c:pt idx="13">
                  <c:v>-0.36279609225680959</c:v>
                </c:pt>
                <c:pt idx="14">
                  <c:v>-0.47490528997454834</c:v>
                </c:pt>
                <c:pt idx="15">
                  <c:v>-0.68045051057538275</c:v>
                </c:pt>
                <c:pt idx="16">
                  <c:v>0.14603886659731855</c:v>
                </c:pt>
                <c:pt idx="17">
                  <c:v>-0.34005382041093413</c:v>
                </c:pt>
                <c:pt idx="18">
                  <c:v>-0.37898483167936881</c:v>
                </c:pt>
                <c:pt idx="19">
                  <c:v>-1.1248323803223828</c:v>
                </c:pt>
                <c:pt idx="20">
                  <c:v>-0.66857701045346751</c:v>
                </c:pt>
                <c:pt idx="21">
                  <c:v>0.10137361870125999</c:v>
                </c:pt>
                <c:pt idx="22">
                  <c:v>-0.46808235891211047</c:v>
                </c:pt>
                <c:pt idx="23">
                  <c:v>0.50534236475350525</c:v>
                </c:pt>
                <c:pt idx="24">
                  <c:v>0.66795249028030279</c:v>
                </c:pt>
                <c:pt idx="25">
                  <c:v>-0.18424188685486914</c:v>
                </c:pt>
                <c:pt idx="26">
                  <c:v>0.78008174883886461</c:v>
                </c:pt>
                <c:pt idx="27">
                  <c:v>0.73049787951958134</c:v>
                </c:pt>
                <c:pt idx="28">
                  <c:v>-0.53969025522024028</c:v>
                </c:pt>
                <c:pt idx="29">
                  <c:v>1.0074058690830029E-2</c:v>
                </c:pt>
                <c:pt idx="30">
                  <c:v>0.78184758817491351</c:v>
                </c:pt>
                <c:pt idx="31">
                  <c:v>0.32771546096960669</c:v>
                </c:pt>
                <c:pt idx="32">
                  <c:v>0.21153377089868669</c:v>
                </c:pt>
                <c:pt idx="33">
                  <c:v>4.5623603496844023E-2</c:v>
                </c:pt>
              </c:numCache>
            </c:numRef>
          </c:val>
          <c:extLst>
            <c:ext xmlns:c16="http://schemas.microsoft.com/office/drawing/2014/chart" uri="{C3380CC4-5D6E-409C-BE32-E72D297353CC}">
              <c16:uniqueId val="{00000007-67C8-411F-86A5-A0EBBB2CED68}"/>
            </c:ext>
          </c:extLst>
        </c:ser>
        <c:dLbls>
          <c:showLegendKey val="0"/>
          <c:showVal val="0"/>
          <c:showCatName val="0"/>
          <c:showSerName val="0"/>
          <c:showPercent val="0"/>
          <c:showBubbleSize val="0"/>
        </c:dLbls>
        <c:gapWidth val="32"/>
        <c:overlap val="100"/>
        <c:axId val="112768128"/>
        <c:axId val="112769664"/>
      </c:barChart>
      <c:lineChart>
        <c:grouping val="standard"/>
        <c:varyColors val="0"/>
        <c:ser>
          <c:idx val="8"/>
          <c:order val="8"/>
          <c:tx>
            <c:strRef>
              <c:f>'GRAF příspěvky IPP'!$A$35</c:f>
              <c:strCache>
                <c:ptCount val="1"/>
                <c:pt idx="0">
                  <c:v>Total industry (CZ NACE B to D)</c:v>
                </c:pt>
              </c:strCache>
            </c:strRef>
          </c:tx>
          <c:spPr>
            <a:ln w="19050">
              <a:solidFill>
                <a:schemeClr val="tx1">
                  <a:lumMod val="95000"/>
                  <a:lumOff val="5000"/>
                </a:schemeClr>
              </a:solidFill>
            </a:ln>
          </c:spPr>
          <c:marker>
            <c:symbol val="none"/>
          </c:marker>
          <c:cat>
            <c:multiLvlStrRef>
              <c:f>'GRAF příspěvky IPP'!$B$25:$AI$26</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'GRAF příspěvky IPP'!$B$35:$AI$35</c:f>
              <c:numCache>
                <c:formatCode>0.0</c:formatCode>
                <c:ptCount val="34"/>
                <c:pt idx="0">
                  <c:v>10.174708632500002</c:v>
                </c:pt>
                <c:pt idx="1">
                  <c:v>7.7320630777000119</c:v>
                </c:pt>
                <c:pt idx="2">
                  <c:v>2.0427367415000015</c:v>
                </c:pt>
                <c:pt idx="3">
                  <c:v>3.0231970455000097</c:v>
                </c:pt>
                <c:pt idx="4">
                  <c:v>1.7776371540000124</c:v>
                </c:pt>
                <c:pt idx="5">
                  <c:v>0.4034129963999939</c:v>
                </c:pt>
                <c:pt idx="6">
                  <c:v>-0.21112265520000073</c:v>
                </c:pt>
                <c:pt idx="7">
                  <c:v>-5.3481512234450435</c:v>
                </c:pt>
                <c:pt idx="8">
                  <c:v>-4.2233987508042041</c:v>
                </c:pt>
                <c:pt idx="9">
                  <c:v>-2.3853554205999736</c:v>
                </c:pt>
                <c:pt idx="10">
                  <c:v>1.2316497516000036</c:v>
                </c:pt>
                <c:pt idx="11">
                  <c:v>6.3229322730999886</c:v>
                </c:pt>
                <c:pt idx="12">
                  <c:v>7.1030450258000162</c:v>
                </c:pt>
                <c:pt idx="13">
                  <c:v>6.1297209743999961</c:v>
                </c:pt>
                <c:pt idx="14">
                  <c:v>2.9753758001999988</c:v>
                </c:pt>
                <c:pt idx="15">
                  <c:v>4.2327805536999303</c:v>
                </c:pt>
                <c:pt idx="16">
                  <c:v>4.8733940601999999</c:v>
                </c:pt>
                <c:pt idx="17">
                  <c:v>5.3081959839000072</c:v>
                </c:pt>
                <c:pt idx="18">
                  <c:v>5.5472987826000359</c:v>
                </c:pt>
                <c:pt idx="19">
                  <c:v>2.4027878041999866</c:v>
                </c:pt>
                <c:pt idx="20">
                  <c:v>4.0765835574999674</c:v>
                </c:pt>
                <c:pt idx="21">
                  <c:v>2.6745568033000122</c:v>
                </c:pt>
                <c:pt idx="22">
                  <c:v>1.6551514254000079</c:v>
                </c:pt>
                <c:pt idx="23">
                  <c:v>3.5118172236999929</c:v>
                </c:pt>
                <c:pt idx="24">
                  <c:v>5.2597731895999891</c:v>
                </c:pt>
                <c:pt idx="25">
                  <c:v>7.9444180928999941</c:v>
                </c:pt>
                <c:pt idx="26">
                  <c:v>6.5197134234000087</c:v>
                </c:pt>
                <c:pt idx="27">
                  <c:v>7.5755516541999981</c:v>
                </c:pt>
                <c:pt idx="28">
                  <c:v>4.2247105953999942</c:v>
                </c:pt>
                <c:pt idx="29">
                  <c:v>2.4054283676999955</c:v>
                </c:pt>
                <c:pt idx="30">
                  <c:v>3.7249126808000117</c:v>
                </c:pt>
                <c:pt idx="31">
                  <c:v>2.0049129852999927</c:v>
                </c:pt>
                <c:pt idx="32">
                  <c:v>0.26169701159998915</c:v>
                </c:pt>
                <c:pt idx="33">
                  <c:v>1.0094900667999998</c:v>
                </c:pt>
              </c:numCache>
            </c:numRef>
          </c:val>
          <c:smooth val="0"/>
          <c:extLst>
            <c:ext xmlns:c16="http://schemas.microsoft.com/office/drawing/2014/chart" uri="{C3380CC4-5D6E-409C-BE32-E72D297353CC}">
              <c16:uniqueId val="{00000008-67C8-411F-86A5-A0EBBB2CED68}"/>
            </c:ext>
          </c:extLst>
        </c:ser>
        <c:dLbls>
          <c:showLegendKey val="0"/>
          <c:showVal val="0"/>
          <c:showCatName val="0"/>
          <c:showSerName val="0"/>
          <c:showPercent val="0"/>
          <c:showBubbleSize val="0"/>
        </c:dLbls>
        <c:marker val="1"/>
        <c:smooth val="0"/>
        <c:axId val="112768128"/>
        <c:axId val="112769664"/>
      </c:lineChart>
      <c:catAx>
        <c:axId val="112768128"/>
        <c:scaling>
          <c:orientation val="minMax"/>
        </c:scaling>
        <c:delete val="0"/>
        <c:axPos val="b"/>
        <c:numFmt formatCode="General" sourceLinked="1"/>
        <c:majorTickMark val="out"/>
        <c:minorTickMark val="none"/>
        <c:tickLblPos val="low"/>
        <c:txPr>
          <a:bodyPr/>
          <a:lstStyle/>
          <a:p>
            <a:pPr>
              <a:defRPr sz="800">
                <a:latin typeface="Arial" pitchFamily="34" charset="0"/>
                <a:cs typeface="Arial" pitchFamily="34" charset="0"/>
              </a:defRPr>
            </a:pPr>
            <a:endParaRPr lang="cs-CZ"/>
          </a:p>
        </c:txPr>
        <c:crossAx val="112769664"/>
        <c:crosses val="autoZero"/>
        <c:auto val="1"/>
        <c:lblAlgn val="ctr"/>
        <c:lblOffset val="0"/>
        <c:noMultiLvlLbl val="0"/>
      </c:catAx>
      <c:valAx>
        <c:axId val="112769664"/>
        <c:scaling>
          <c:orientation val="minMax"/>
          <c:max val="11"/>
          <c:min val="-6"/>
        </c:scaling>
        <c:delete val="0"/>
        <c:axPos val="l"/>
        <c:majorGridlines>
          <c:spPr>
            <a:ln>
              <a:solidFill>
                <a:srgbClr val="BEBEBE"/>
              </a:solidFill>
            </a:ln>
          </c:spPr>
        </c:majorGridlines>
        <c:numFmt formatCode="0" sourceLinked="0"/>
        <c:majorTickMark val="out"/>
        <c:minorTickMark val="none"/>
        <c:tickLblPos val="nextTo"/>
        <c:txPr>
          <a:bodyPr/>
          <a:lstStyle/>
          <a:p>
            <a:pPr>
              <a:defRPr sz="800">
                <a:latin typeface="Arial" pitchFamily="34" charset="0"/>
                <a:cs typeface="Arial" pitchFamily="34" charset="0"/>
              </a:defRPr>
            </a:pPr>
            <a:endParaRPr lang="cs-CZ"/>
          </a:p>
        </c:txPr>
        <c:crossAx val="112768128"/>
        <c:crosses val="autoZero"/>
        <c:crossBetween val="between"/>
        <c:majorUnit val="1"/>
      </c:valAx>
      <c:spPr>
        <a:noFill/>
        <a:ln w="6350">
          <a:solidFill>
            <a:prstClr val="black">
              <a:lumMod val="95000"/>
              <a:lumOff val="5000"/>
            </a:prstClr>
          </a:solidFill>
        </a:ln>
      </c:spPr>
    </c:plotArea>
    <c:legend>
      <c:legendPos val="r"/>
      <c:layout>
        <c:manualLayout>
          <c:xMode val="edge"/>
          <c:yMode val="edge"/>
          <c:x val="6.6144662545040119E-3"/>
          <c:y val="0.82449970264252692"/>
          <c:w val="0.9845479662961012"/>
          <c:h val="0.16188919209533759"/>
        </c:manualLayout>
      </c:layout>
      <c:overlay val="0"/>
      <c:spPr>
        <a:ln w="6350">
          <a:solidFill>
            <a:prstClr val="black">
              <a:lumMod val="95000"/>
              <a:lumOff val="5000"/>
            </a:prstClr>
          </a:solidFill>
        </a:ln>
      </c:spPr>
      <c:txPr>
        <a:bodyPr/>
        <a:lstStyle/>
        <a:p>
          <a:pPr>
            <a:defRPr sz="800">
              <a:latin typeface="Arial" pitchFamily="34" charset="0"/>
              <a:cs typeface="Arial" pitchFamily="34" charset="0"/>
            </a:defRPr>
          </a:pPr>
          <a:endParaRPr lang="cs-CZ"/>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2277854581154255E-2"/>
          <c:y val="1.643251153889452E-2"/>
          <c:w val="0.90094328257138756"/>
          <c:h val="0.71690251041314867"/>
        </c:manualLayout>
      </c:layout>
      <c:barChart>
        <c:barDir val="col"/>
        <c:grouping val="clustered"/>
        <c:varyColors val="0"/>
        <c:ser>
          <c:idx val="0"/>
          <c:order val="0"/>
          <c:tx>
            <c:strRef>
              <c:f>'výkonnost odvětví 2'!$A$31</c:f>
              <c:strCache>
                <c:ptCount val="1"/>
                <c:pt idx="0">
                  <c:v>Total industry orders (both foreign and domestic)</c:v>
                </c:pt>
              </c:strCache>
            </c:strRef>
          </c:tx>
          <c:spPr>
            <a:solidFill>
              <a:schemeClr val="bg1">
                <a:lumMod val="65000"/>
              </a:schemeClr>
            </a:solidFill>
            <a:ln w="12700">
              <a:noFill/>
              <a:prstDash val="solid"/>
            </a:ln>
          </c:spPr>
          <c:invertIfNegative val="0"/>
          <c:cat>
            <c:multiLvlStrRef>
              <c:f>'výkonnost odvětví 2'!$B$29:$AI$30</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2'!$B$31:$AI$31</c:f>
              <c:numCache>
                <c:formatCode>#\ ##0.0__</c:formatCode>
                <c:ptCount val="34"/>
                <c:pt idx="0">
                  <c:v>12.043107093421796</c:v>
                </c:pt>
                <c:pt idx="1">
                  <c:v>5.329290402096305</c:v>
                </c:pt>
                <c:pt idx="2">
                  <c:v>-1.5038236293274423</c:v>
                </c:pt>
                <c:pt idx="3">
                  <c:v>0.49985199872995167</c:v>
                </c:pt>
                <c:pt idx="4">
                  <c:v>7.8919882289544319</c:v>
                </c:pt>
                <c:pt idx="5">
                  <c:v>0.24363263911027389</c:v>
                </c:pt>
                <c:pt idx="6">
                  <c:v>2.6780600325356119</c:v>
                </c:pt>
                <c:pt idx="7">
                  <c:v>-2.2927798243121345</c:v>
                </c:pt>
                <c:pt idx="8">
                  <c:v>-6.7566875441004868</c:v>
                </c:pt>
                <c:pt idx="9">
                  <c:v>-0.77743908810788298</c:v>
                </c:pt>
                <c:pt idx="10">
                  <c:v>12.110592029586002</c:v>
                </c:pt>
                <c:pt idx="11">
                  <c:v>12.611542535334834</c:v>
                </c:pt>
                <c:pt idx="12">
                  <c:v>18.454576257258609</c:v>
                </c:pt>
                <c:pt idx="13">
                  <c:v>13.812603337719324</c:v>
                </c:pt>
                <c:pt idx="14">
                  <c:v>11.164927309703884</c:v>
                </c:pt>
                <c:pt idx="15">
                  <c:v>7.3250322249586759</c:v>
                </c:pt>
                <c:pt idx="16">
                  <c:v>8.5397251010390391</c:v>
                </c:pt>
                <c:pt idx="17">
                  <c:v>6.4894834031568251</c:v>
                </c:pt>
                <c:pt idx="18">
                  <c:v>4.1045761314248068</c:v>
                </c:pt>
                <c:pt idx="19">
                  <c:v>6.0151063810169205</c:v>
                </c:pt>
                <c:pt idx="20">
                  <c:v>1.3550678522953064</c:v>
                </c:pt>
                <c:pt idx="21">
                  <c:v>10.856046878525433</c:v>
                </c:pt>
                <c:pt idx="22">
                  <c:v>1.6431282237439291</c:v>
                </c:pt>
                <c:pt idx="23">
                  <c:v>6.7220844736941103</c:v>
                </c:pt>
                <c:pt idx="24">
                  <c:v>10.841479121555906</c:v>
                </c:pt>
                <c:pt idx="25">
                  <c:v>4.5315942367003714</c:v>
                </c:pt>
                <c:pt idx="26">
                  <c:v>6.9082617878945598</c:v>
                </c:pt>
                <c:pt idx="27">
                  <c:v>7.5112613571588724</c:v>
                </c:pt>
                <c:pt idx="28">
                  <c:v>1.6339188767607453</c:v>
                </c:pt>
                <c:pt idx="29">
                  <c:v>4.6301209797549205</c:v>
                </c:pt>
                <c:pt idx="30">
                  <c:v>3.6945404784506337</c:v>
                </c:pt>
                <c:pt idx="31">
                  <c:v>4.2467023509658759</c:v>
                </c:pt>
                <c:pt idx="32">
                  <c:v>3.3476432191151559</c:v>
                </c:pt>
                <c:pt idx="33">
                  <c:v>1.6929588558610646</c:v>
                </c:pt>
              </c:numCache>
            </c:numRef>
          </c:val>
          <c:extLst>
            <c:ext xmlns:c16="http://schemas.microsoft.com/office/drawing/2014/chart" uri="{C3380CC4-5D6E-409C-BE32-E72D297353CC}">
              <c16:uniqueId val="{00000000-784F-45E8-A099-6088B894C30D}"/>
            </c:ext>
          </c:extLst>
        </c:ser>
        <c:dLbls>
          <c:showLegendKey val="0"/>
          <c:showVal val="0"/>
          <c:showCatName val="0"/>
          <c:showSerName val="0"/>
          <c:showPercent val="0"/>
          <c:showBubbleSize val="0"/>
        </c:dLbls>
        <c:gapWidth val="34"/>
        <c:overlap val="28"/>
        <c:axId val="139174272"/>
        <c:axId val="139175808"/>
      </c:barChart>
      <c:lineChart>
        <c:grouping val="standard"/>
        <c:varyColors val="0"/>
        <c:ser>
          <c:idx val="2"/>
          <c:order val="1"/>
          <c:tx>
            <c:strRef>
              <c:f>'výkonnost odvětví 2'!$A$32</c:f>
              <c:strCache>
                <c:ptCount val="1"/>
                <c:pt idx="0">
                  <c:v>Total industry orders (domestic only)</c:v>
                </c:pt>
              </c:strCache>
            </c:strRef>
          </c:tx>
          <c:spPr>
            <a:ln w="15875">
              <a:solidFill>
                <a:srgbClr val="BD1B21"/>
              </a:solidFill>
              <a:prstDash val="solid"/>
            </a:ln>
          </c:spPr>
          <c:marker>
            <c:symbol val="none"/>
          </c:marker>
          <c:cat>
            <c:multiLvlStrRef>
              <c:f>'výkonnost odvětví 2'!$B$29:$AI$30</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2'!$B$32:$AI$32</c:f>
              <c:numCache>
                <c:formatCode>#\ ##0.0__</c:formatCode>
                <c:ptCount val="34"/>
                <c:pt idx="0">
                  <c:v>2.8145814762462464</c:v>
                </c:pt>
                <c:pt idx="1">
                  <c:v>-0.65160361804250044</c:v>
                </c:pt>
                <c:pt idx="2">
                  <c:v>-11.671782921579478</c:v>
                </c:pt>
                <c:pt idx="3">
                  <c:v>-10.696553890943122</c:v>
                </c:pt>
                <c:pt idx="4">
                  <c:v>2.6214056871317126</c:v>
                </c:pt>
                <c:pt idx="5">
                  <c:v>-9.2467743432498821</c:v>
                </c:pt>
                <c:pt idx="6">
                  <c:v>-2.8571545096936291</c:v>
                </c:pt>
                <c:pt idx="7">
                  <c:v>-4.0487324448534139</c:v>
                </c:pt>
                <c:pt idx="8">
                  <c:v>-7.112663177047466</c:v>
                </c:pt>
                <c:pt idx="9">
                  <c:v>-0.59561460542927591</c:v>
                </c:pt>
                <c:pt idx="10">
                  <c:v>9.3847374388735147</c:v>
                </c:pt>
                <c:pt idx="11">
                  <c:v>7.0782158358476011</c:v>
                </c:pt>
                <c:pt idx="12">
                  <c:v>14.18383964594139</c:v>
                </c:pt>
                <c:pt idx="13">
                  <c:v>7.7929541685002164</c:v>
                </c:pt>
                <c:pt idx="14">
                  <c:v>16.845115352064937</c:v>
                </c:pt>
                <c:pt idx="15">
                  <c:v>9.6787104542652713</c:v>
                </c:pt>
                <c:pt idx="16">
                  <c:v>4.341961301010727</c:v>
                </c:pt>
                <c:pt idx="17">
                  <c:v>10.024449168168019</c:v>
                </c:pt>
                <c:pt idx="18">
                  <c:v>-4.7604240586837108</c:v>
                </c:pt>
                <c:pt idx="19">
                  <c:v>0.56107209694786775</c:v>
                </c:pt>
                <c:pt idx="20">
                  <c:v>0.20304376106223287</c:v>
                </c:pt>
                <c:pt idx="21">
                  <c:v>4.9376200007964286</c:v>
                </c:pt>
                <c:pt idx="22">
                  <c:v>-0.65834656713856532</c:v>
                </c:pt>
                <c:pt idx="23">
                  <c:v>2.873089889380708</c:v>
                </c:pt>
                <c:pt idx="24">
                  <c:v>16.722989365311648</c:v>
                </c:pt>
                <c:pt idx="25">
                  <c:v>11.567742610098009</c:v>
                </c:pt>
                <c:pt idx="26">
                  <c:v>14.702871802754672</c:v>
                </c:pt>
                <c:pt idx="27">
                  <c:v>15.641374658030259</c:v>
                </c:pt>
                <c:pt idx="28">
                  <c:v>-0.54655499165191657</c:v>
                </c:pt>
                <c:pt idx="29">
                  <c:v>3.3862320433243838</c:v>
                </c:pt>
                <c:pt idx="30">
                  <c:v>4.5707977831681177</c:v>
                </c:pt>
                <c:pt idx="31">
                  <c:v>4.8009732818449038</c:v>
                </c:pt>
                <c:pt idx="32">
                  <c:v>6.3141947655327044</c:v>
                </c:pt>
                <c:pt idx="33">
                  <c:v>4.9946009901120618</c:v>
                </c:pt>
              </c:numCache>
            </c:numRef>
          </c:val>
          <c:smooth val="0"/>
          <c:extLst>
            <c:ext xmlns:c16="http://schemas.microsoft.com/office/drawing/2014/chart" uri="{C3380CC4-5D6E-409C-BE32-E72D297353CC}">
              <c16:uniqueId val="{00000001-784F-45E8-A099-6088B894C30D}"/>
            </c:ext>
          </c:extLst>
        </c:ser>
        <c:ser>
          <c:idx val="5"/>
          <c:order val="2"/>
          <c:tx>
            <c:strRef>
              <c:f>'výkonnost odvětví 2'!$A$33</c:f>
              <c:strCache>
                <c:ptCount val="1"/>
                <c:pt idx="0">
                  <c:v>Total orders (motor vehicles)</c:v>
                </c:pt>
              </c:strCache>
            </c:strRef>
          </c:tx>
          <c:spPr>
            <a:ln w="15875">
              <a:solidFill>
                <a:srgbClr val="0071BC"/>
              </a:solidFill>
              <a:prstDash val="solid"/>
            </a:ln>
          </c:spPr>
          <c:marker>
            <c:symbol val="none"/>
          </c:marker>
          <c:cat>
            <c:multiLvlStrRef>
              <c:f>'výkonnost odvětví 2'!$B$29:$AI$30</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2'!$B$33:$AI$33</c:f>
              <c:numCache>
                <c:formatCode>#\ ##0.0__</c:formatCode>
                <c:ptCount val="34"/>
                <c:pt idx="0">
                  <c:v>11.429400379513879</c:v>
                </c:pt>
                <c:pt idx="1">
                  <c:v>9.2048286805521258</c:v>
                </c:pt>
                <c:pt idx="2">
                  <c:v>4.4139955552265207</c:v>
                </c:pt>
                <c:pt idx="3">
                  <c:v>5.3718735076924133</c:v>
                </c:pt>
                <c:pt idx="4">
                  <c:v>19.54636851917148</c:v>
                </c:pt>
                <c:pt idx="5">
                  <c:v>4.6887564118292033</c:v>
                </c:pt>
                <c:pt idx="6">
                  <c:v>1.3322326875189248</c:v>
                </c:pt>
                <c:pt idx="7">
                  <c:v>-2.0219087809167178</c:v>
                </c:pt>
                <c:pt idx="8">
                  <c:v>-15.423726227988496</c:v>
                </c:pt>
                <c:pt idx="9">
                  <c:v>-3.0233686336023169</c:v>
                </c:pt>
                <c:pt idx="10">
                  <c:v>24.654149056071944</c:v>
                </c:pt>
                <c:pt idx="11">
                  <c:v>18.470996489023392</c:v>
                </c:pt>
                <c:pt idx="12">
                  <c:v>33.791068906341536</c:v>
                </c:pt>
                <c:pt idx="13">
                  <c:v>22.39294364855138</c:v>
                </c:pt>
                <c:pt idx="14">
                  <c:v>16.969041222835131</c:v>
                </c:pt>
                <c:pt idx="15">
                  <c:v>12.211301534151133</c:v>
                </c:pt>
                <c:pt idx="16">
                  <c:v>15.316352438277931</c:v>
                </c:pt>
                <c:pt idx="17">
                  <c:v>5.584343456517459</c:v>
                </c:pt>
                <c:pt idx="18">
                  <c:v>13.898535777390734</c:v>
                </c:pt>
                <c:pt idx="19">
                  <c:v>18.975191723154538</c:v>
                </c:pt>
                <c:pt idx="20">
                  <c:v>11.460497347422447</c:v>
                </c:pt>
                <c:pt idx="21">
                  <c:v>33.085131031292235</c:v>
                </c:pt>
                <c:pt idx="22">
                  <c:v>5.912380139380474</c:v>
                </c:pt>
                <c:pt idx="23">
                  <c:v>12.001000805244416</c:v>
                </c:pt>
                <c:pt idx="24">
                  <c:v>7.9804719471503205</c:v>
                </c:pt>
                <c:pt idx="25">
                  <c:v>-1.7592612473364966</c:v>
                </c:pt>
                <c:pt idx="26">
                  <c:v>3.8626497182263222</c:v>
                </c:pt>
                <c:pt idx="27">
                  <c:v>0.37376710568412364</c:v>
                </c:pt>
                <c:pt idx="28">
                  <c:v>0.60861960894675349</c:v>
                </c:pt>
                <c:pt idx="29">
                  <c:v>3.6675371997157811</c:v>
                </c:pt>
                <c:pt idx="30">
                  <c:v>0.69699979014031044</c:v>
                </c:pt>
                <c:pt idx="31">
                  <c:v>1.0371076901644045</c:v>
                </c:pt>
                <c:pt idx="32">
                  <c:v>3.1937048433042747</c:v>
                </c:pt>
                <c:pt idx="33">
                  <c:v>3.5625333267092998</c:v>
                </c:pt>
              </c:numCache>
            </c:numRef>
          </c:val>
          <c:smooth val="0"/>
          <c:extLst>
            <c:ext xmlns:c16="http://schemas.microsoft.com/office/drawing/2014/chart" uri="{C3380CC4-5D6E-409C-BE32-E72D297353CC}">
              <c16:uniqueId val="{00000002-784F-45E8-A099-6088B894C30D}"/>
            </c:ext>
          </c:extLst>
        </c:ser>
        <c:ser>
          <c:idx val="3"/>
          <c:order val="3"/>
          <c:tx>
            <c:strRef>
              <c:f>'výkonnost odvětví 2'!$A$34</c:f>
              <c:strCache>
                <c:ptCount val="1"/>
                <c:pt idx="0">
                  <c:v>Balance of confidence indicator in industry*</c:v>
                </c:pt>
              </c:strCache>
            </c:strRef>
          </c:tx>
          <c:spPr>
            <a:ln w="19050">
              <a:noFill/>
              <a:prstDash val="sysDash"/>
            </a:ln>
          </c:spPr>
          <c:marker>
            <c:symbol val="diamond"/>
            <c:size val="5"/>
            <c:spPr>
              <a:solidFill>
                <a:srgbClr val="FFFF00"/>
              </a:solidFill>
              <a:ln>
                <a:solidFill>
                  <a:prstClr val="black">
                    <a:lumMod val="95000"/>
                    <a:lumOff val="5000"/>
                  </a:prstClr>
                </a:solidFill>
              </a:ln>
            </c:spPr>
          </c:marker>
          <c:cat>
            <c:multiLvlStrRef>
              <c:f>'výkonnost odvětví 2'!$B$29:$AI$30</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2'!$B$34:$AI$34</c:f>
              <c:numCache>
                <c:formatCode>0.0</c:formatCode>
                <c:ptCount val="34"/>
                <c:pt idx="0">
                  <c:v>12.200000000000001</c:v>
                </c:pt>
                <c:pt idx="1">
                  <c:v>5.8999999999999995</c:v>
                </c:pt>
                <c:pt idx="2">
                  <c:v>2.4333333333333331</c:v>
                </c:pt>
                <c:pt idx="3">
                  <c:v>1.8</c:v>
                </c:pt>
                <c:pt idx="4">
                  <c:v>1.5666666666666667</c:v>
                </c:pt>
                <c:pt idx="5">
                  <c:v>-2.5666666666666669</c:v>
                </c:pt>
                <c:pt idx="6">
                  <c:v>-8.9</c:v>
                </c:pt>
                <c:pt idx="7">
                  <c:v>-10.200000000000001</c:v>
                </c:pt>
                <c:pt idx="8">
                  <c:v>-8.9</c:v>
                </c:pt>
                <c:pt idx="9">
                  <c:v>-10</c:v>
                </c:pt>
                <c:pt idx="10">
                  <c:v>-6.2333333333333334</c:v>
                </c:pt>
                <c:pt idx="11">
                  <c:v>1.7000000000000002</c:v>
                </c:pt>
                <c:pt idx="12">
                  <c:v>2.3333333333333335</c:v>
                </c:pt>
                <c:pt idx="13">
                  <c:v>3.6333333333333329</c:v>
                </c:pt>
                <c:pt idx="14">
                  <c:v>2.5333333333333332</c:v>
                </c:pt>
                <c:pt idx="15">
                  <c:v>2.6666666666666665</c:v>
                </c:pt>
                <c:pt idx="16">
                  <c:v>3</c:v>
                </c:pt>
                <c:pt idx="17">
                  <c:v>3.7666666666666671</c:v>
                </c:pt>
                <c:pt idx="18">
                  <c:v>3.7666666666666671</c:v>
                </c:pt>
                <c:pt idx="19">
                  <c:v>0.76666666666666661</c:v>
                </c:pt>
                <c:pt idx="20">
                  <c:v>3.5666666666666664</c:v>
                </c:pt>
                <c:pt idx="21">
                  <c:v>1.9000000000000001</c:v>
                </c:pt>
                <c:pt idx="22">
                  <c:v>3.7666666666666671</c:v>
                </c:pt>
                <c:pt idx="23">
                  <c:v>5.333333333333333</c:v>
                </c:pt>
                <c:pt idx="24">
                  <c:v>3.3333333333333335</c:v>
                </c:pt>
                <c:pt idx="25">
                  <c:v>0.83333333333333337</c:v>
                </c:pt>
                <c:pt idx="26">
                  <c:v>3.8666666666666667</c:v>
                </c:pt>
                <c:pt idx="27">
                  <c:v>5.8</c:v>
                </c:pt>
                <c:pt idx="28">
                  <c:v>3.9</c:v>
                </c:pt>
                <c:pt idx="29">
                  <c:v>3.4333333333333336</c:v>
                </c:pt>
                <c:pt idx="30">
                  <c:v>1.9666666666666666</c:v>
                </c:pt>
                <c:pt idx="31">
                  <c:v>1.8666666666666665</c:v>
                </c:pt>
                <c:pt idx="32">
                  <c:v>-0.33333333333333331</c:v>
                </c:pt>
                <c:pt idx="33">
                  <c:v>-1.5666666666666667</c:v>
                </c:pt>
              </c:numCache>
            </c:numRef>
          </c:val>
          <c:smooth val="0"/>
          <c:extLst>
            <c:ext xmlns:c16="http://schemas.microsoft.com/office/drawing/2014/chart" uri="{C3380CC4-5D6E-409C-BE32-E72D297353CC}">
              <c16:uniqueId val="{00000003-784F-45E8-A099-6088B894C30D}"/>
            </c:ext>
          </c:extLst>
        </c:ser>
        <c:dLbls>
          <c:showLegendKey val="0"/>
          <c:showVal val="0"/>
          <c:showCatName val="0"/>
          <c:showSerName val="0"/>
          <c:showPercent val="0"/>
          <c:showBubbleSize val="0"/>
        </c:dLbls>
        <c:marker val="1"/>
        <c:smooth val="0"/>
        <c:axId val="139174272"/>
        <c:axId val="139175808"/>
      </c:lineChart>
      <c:lineChart>
        <c:grouping val="standard"/>
        <c:varyColors val="0"/>
        <c:ser>
          <c:idx val="1"/>
          <c:order val="4"/>
          <c:tx>
            <c:strRef>
              <c:f>'výkonnost odvětví 2'!$A$35</c:f>
              <c:strCache>
                <c:ptCount val="1"/>
                <c:pt idx="0">
                  <c:v>Utilisation of production capacities in total industry (right axis)*</c:v>
                </c:pt>
              </c:strCache>
            </c:strRef>
          </c:tx>
          <c:spPr>
            <a:ln w="15875">
              <a:solidFill>
                <a:srgbClr val="00B050"/>
              </a:solidFill>
              <a:prstDash val="solid"/>
            </a:ln>
          </c:spPr>
          <c:marker>
            <c:symbol val="none"/>
          </c:marker>
          <c:cat>
            <c:multiLvlStrRef>
              <c:f>'výkonnost odvětví 2'!$B$29:$AI$30</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2'!$B$35:$AI$35</c:f>
              <c:numCache>
                <c:formatCode>#\ ##0.0</c:formatCode>
                <c:ptCount val="34"/>
                <c:pt idx="0">
                  <c:v>83.7</c:v>
                </c:pt>
                <c:pt idx="1">
                  <c:v>85.5</c:v>
                </c:pt>
                <c:pt idx="2">
                  <c:v>84.7</c:v>
                </c:pt>
                <c:pt idx="3">
                  <c:v>82.8</c:v>
                </c:pt>
                <c:pt idx="4">
                  <c:v>84.6</c:v>
                </c:pt>
                <c:pt idx="5">
                  <c:v>83.6</c:v>
                </c:pt>
                <c:pt idx="6">
                  <c:v>81.2</c:v>
                </c:pt>
                <c:pt idx="7">
                  <c:v>81.2</c:v>
                </c:pt>
                <c:pt idx="8">
                  <c:v>80.900000000000006</c:v>
                </c:pt>
                <c:pt idx="9">
                  <c:v>82.2</c:v>
                </c:pt>
                <c:pt idx="10">
                  <c:v>80.7</c:v>
                </c:pt>
                <c:pt idx="11">
                  <c:v>82.2</c:v>
                </c:pt>
                <c:pt idx="12">
                  <c:v>81.2</c:v>
                </c:pt>
                <c:pt idx="13">
                  <c:v>83.5</c:v>
                </c:pt>
                <c:pt idx="14">
                  <c:v>82.8</c:v>
                </c:pt>
                <c:pt idx="15">
                  <c:v>84.4</c:v>
                </c:pt>
                <c:pt idx="16">
                  <c:v>86.2</c:v>
                </c:pt>
                <c:pt idx="17">
                  <c:v>85</c:v>
                </c:pt>
                <c:pt idx="18">
                  <c:v>85.6</c:v>
                </c:pt>
                <c:pt idx="19">
                  <c:v>83.9</c:v>
                </c:pt>
                <c:pt idx="20">
                  <c:v>84.5</c:v>
                </c:pt>
                <c:pt idx="21">
                  <c:v>84.7</c:v>
                </c:pt>
                <c:pt idx="22">
                  <c:v>84.7</c:v>
                </c:pt>
                <c:pt idx="23">
                  <c:v>84.1</c:v>
                </c:pt>
                <c:pt idx="24">
                  <c:v>84.9</c:v>
                </c:pt>
                <c:pt idx="25">
                  <c:v>83.1</c:v>
                </c:pt>
                <c:pt idx="26">
                  <c:v>84.4</c:v>
                </c:pt>
                <c:pt idx="27">
                  <c:v>84.3</c:v>
                </c:pt>
                <c:pt idx="28">
                  <c:v>85.8</c:v>
                </c:pt>
                <c:pt idx="29">
                  <c:v>85.4</c:v>
                </c:pt>
                <c:pt idx="30">
                  <c:v>86.2</c:v>
                </c:pt>
                <c:pt idx="31">
                  <c:v>85.8</c:v>
                </c:pt>
                <c:pt idx="32">
                  <c:v>85.8</c:v>
                </c:pt>
                <c:pt idx="33">
                  <c:v>85.9</c:v>
                </c:pt>
              </c:numCache>
            </c:numRef>
          </c:val>
          <c:smooth val="0"/>
          <c:extLst>
            <c:ext xmlns:c16="http://schemas.microsoft.com/office/drawing/2014/chart" uri="{C3380CC4-5D6E-409C-BE32-E72D297353CC}">
              <c16:uniqueId val="{00000004-784F-45E8-A099-6088B894C30D}"/>
            </c:ext>
          </c:extLst>
        </c:ser>
        <c:ser>
          <c:idx val="4"/>
          <c:order val="5"/>
          <c:tx>
            <c:strRef>
              <c:f>'výkonnost odvětví 2'!$A$36</c:f>
              <c:strCache>
                <c:ptCount val="1"/>
                <c:pt idx="0">
                  <c:v>Utilisation of production capacities in motor vehicles industry (right axis)*</c:v>
                </c:pt>
              </c:strCache>
            </c:strRef>
          </c:tx>
          <c:spPr>
            <a:ln w="15875">
              <a:solidFill>
                <a:srgbClr val="00B050"/>
              </a:solidFill>
              <a:prstDash val="sysDash"/>
            </a:ln>
          </c:spPr>
          <c:marker>
            <c:symbol val="none"/>
          </c:marker>
          <c:cat>
            <c:multiLvlStrRef>
              <c:f>'výkonnost odvětví 2'!$B$29:$AI$30</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2'!$B$36:$AI$36</c:f>
              <c:numCache>
                <c:formatCode>0.0</c:formatCode>
                <c:ptCount val="34"/>
                <c:pt idx="0">
                  <c:v>92.5</c:v>
                </c:pt>
                <c:pt idx="1">
                  <c:v>92.3</c:v>
                </c:pt>
                <c:pt idx="2">
                  <c:v>92.4</c:v>
                </c:pt>
                <c:pt idx="3">
                  <c:v>91.8</c:v>
                </c:pt>
                <c:pt idx="4">
                  <c:v>92.3</c:v>
                </c:pt>
                <c:pt idx="5">
                  <c:v>89.5</c:v>
                </c:pt>
                <c:pt idx="6">
                  <c:v>85.9</c:v>
                </c:pt>
                <c:pt idx="7">
                  <c:v>86.1</c:v>
                </c:pt>
                <c:pt idx="8">
                  <c:v>86.4</c:v>
                </c:pt>
                <c:pt idx="9">
                  <c:v>89.9</c:v>
                </c:pt>
                <c:pt idx="10">
                  <c:v>80.2</c:v>
                </c:pt>
                <c:pt idx="11">
                  <c:v>84.8</c:v>
                </c:pt>
                <c:pt idx="12">
                  <c:v>78.900000000000006</c:v>
                </c:pt>
                <c:pt idx="13">
                  <c:v>85</c:v>
                </c:pt>
                <c:pt idx="14">
                  <c:v>87.1</c:v>
                </c:pt>
                <c:pt idx="15">
                  <c:v>89.2</c:v>
                </c:pt>
                <c:pt idx="16">
                  <c:v>92.8</c:v>
                </c:pt>
                <c:pt idx="17">
                  <c:v>91.1</c:v>
                </c:pt>
                <c:pt idx="18">
                  <c:v>93.1</c:v>
                </c:pt>
                <c:pt idx="19">
                  <c:v>88.7</c:v>
                </c:pt>
                <c:pt idx="20">
                  <c:v>91.6</c:v>
                </c:pt>
                <c:pt idx="21">
                  <c:v>90.3</c:v>
                </c:pt>
                <c:pt idx="22">
                  <c:v>93.1</c:v>
                </c:pt>
                <c:pt idx="23">
                  <c:v>90.9</c:v>
                </c:pt>
                <c:pt idx="24">
                  <c:v>93.2</c:v>
                </c:pt>
                <c:pt idx="25">
                  <c:v>87.3</c:v>
                </c:pt>
                <c:pt idx="26">
                  <c:v>90.7</c:v>
                </c:pt>
                <c:pt idx="27">
                  <c:v>90.5</c:v>
                </c:pt>
                <c:pt idx="28">
                  <c:v>91.1</c:v>
                </c:pt>
                <c:pt idx="29">
                  <c:v>91.6</c:v>
                </c:pt>
                <c:pt idx="30">
                  <c:v>92.1</c:v>
                </c:pt>
                <c:pt idx="31">
                  <c:v>93</c:v>
                </c:pt>
                <c:pt idx="32">
                  <c:v>92.8</c:v>
                </c:pt>
                <c:pt idx="33">
                  <c:v>93.6</c:v>
                </c:pt>
              </c:numCache>
            </c:numRef>
          </c:val>
          <c:smooth val="0"/>
          <c:extLst>
            <c:ext xmlns:c16="http://schemas.microsoft.com/office/drawing/2014/chart" uri="{C3380CC4-5D6E-409C-BE32-E72D297353CC}">
              <c16:uniqueId val="{00000005-784F-45E8-A099-6088B894C30D}"/>
            </c:ext>
          </c:extLst>
        </c:ser>
        <c:dLbls>
          <c:showLegendKey val="0"/>
          <c:showVal val="0"/>
          <c:showCatName val="0"/>
          <c:showSerName val="0"/>
          <c:showPercent val="0"/>
          <c:showBubbleSize val="0"/>
        </c:dLbls>
        <c:marker val="1"/>
        <c:smooth val="0"/>
        <c:axId val="146478208"/>
        <c:axId val="139177344"/>
      </c:lineChart>
      <c:catAx>
        <c:axId val="139174272"/>
        <c:scaling>
          <c:orientation val="minMax"/>
        </c:scaling>
        <c:delete val="0"/>
        <c:axPos val="b"/>
        <c:numFmt formatCode="General" sourceLinked="1"/>
        <c:majorTickMark val="out"/>
        <c:minorTickMark val="none"/>
        <c:tickLblPos val="low"/>
        <c:spPr>
          <a:ln w="9525">
            <a:solidFill>
              <a:schemeClr val="tx1"/>
            </a:solidFill>
            <a:prstDash val="solid"/>
          </a:ln>
        </c:spPr>
        <c:txPr>
          <a:bodyPr rot="0" vert="horz"/>
          <a:lstStyle/>
          <a:p>
            <a:pPr>
              <a:defRPr/>
            </a:pPr>
            <a:endParaRPr lang="cs-CZ"/>
          </a:p>
        </c:txPr>
        <c:crossAx val="139175808"/>
        <c:crossesAt val="0"/>
        <c:auto val="0"/>
        <c:lblAlgn val="ctr"/>
        <c:lblOffset val="0"/>
        <c:tickLblSkip val="1"/>
        <c:tickMarkSkip val="4"/>
        <c:noMultiLvlLbl val="0"/>
      </c:catAx>
      <c:valAx>
        <c:axId val="139175808"/>
        <c:scaling>
          <c:orientation val="minMax"/>
          <c:max val="36"/>
          <c:min val="-16"/>
        </c:scaling>
        <c:delete val="0"/>
        <c:axPos val="l"/>
        <c:majorGridlines>
          <c:spPr>
            <a:ln w="6350">
              <a:solidFill>
                <a:schemeClr val="bg1">
                  <a:lumMod val="75000"/>
                </a:schemeClr>
              </a:solidFill>
            </a:ln>
          </c:spPr>
        </c:majorGridlines>
        <c:numFmt formatCode="0" sourceLinked="0"/>
        <c:majorTickMark val="out"/>
        <c:minorTickMark val="none"/>
        <c:tickLblPos val="nextTo"/>
        <c:spPr>
          <a:ln w="9525">
            <a:solidFill>
              <a:schemeClr val="tx1"/>
            </a:solidFill>
            <a:prstDash val="solid"/>
          </a:ln>
        </c:spPr>
        <c:txPr>
          <a:bodyPr rot="0" vert="horz"/>
          <a:lstStyle/>
          <a:p>
            <a:pPr>
              <a:defRPr/>
            </a:pPr>
            <a:endParaRPr lang="cs-CZ"/>
          </a:p>
        </c:txPr>
        <c:crossAx val="139174272"/>
        <c:crosses val="autoZero"/>
        <c:crossBetween val="between"/>
        <c:majorUnit val="4"/>
      </c:valAx>
      <c:valAx>
        <c:axId val="139177344"/>
        <c:scaling>
          <c:orientation val="minMax"/>
          <c:max val="100"/>
          <c:min val="0"/>
        </c:scaling>
        <c:delete val="0"/>
        <c:axPos val="r"/>
        <c:numFmt formatCode="0" sourceLinked="0"/>
        <c:majorTickMark val="out"/>
        <c:minorTickMark val="none"/>
        <c:tickLblPos val="nextTo"/>
        <c:crossAx val="146478208"/>
        <c:crosses val="max"/>
        <c:crossBetween val="between"/>
      </c:valAx>
      <c:catAx>
        <c:axId val="146478208"/>
        <c:scaling>
          <c:orientation val="minMax"/>
        </c:scaling>
        <c:delete val="1"/>
        <c:axPos val="b"/>
        <c:numFmt formatCode="General" sourceLinked="1"/>
        <c:majorTickMark val="out"/>
        <c:minorTickMark val="none"/>
        <c:tickLblPos val="none"/>
        <c:crossAx val="139177344"/>
        <c:crosses val="autoZero"/>
        <c:auto val="1"/>
        <c:lblAlgn val="ctr"/>
        <c:lblOffset val="100"/>
        <c:noMultiLvlLbl val="0"/>
      </c:catAx>
      <c:spPr>
        <a:solidFill>
          <a:srgbClr val="FFFFFF"/>
        </a:solidFill>
        <a:ln w="9525">
          <a:solidFill>
            <a:schemeClr val="tx1"/>
          </a:solidFill>
        </a:ln>
      </c:spPr>
    </c:plotArea>
    <c:legend>
      <c:legendPos val="b"/>
      <c:layout>
        <c:manualLayout>
          <c:xMode val="edge"/>
          <c:yMode val="edge"/>
          <c:x val="5.0859191107750522E-2"/>
          <c:y val="0.82177304964539011"/>
          <c:w val="0.88856460066664811"/>
          <c:h val="0.1676418439716312"/>
        </c:manualLayout>
      </c:layout>
      <c:overlay val="0"/>
      <c:spPr>
        <a:noFill/>
        <a:ln w="6350">
          <a:solidFill>
            <a:schemeClr val="tx1"/>
          </a:solidFill>
        </a:ln>
      </c:spPr>
    </c:legend>
    <c:plotVisOnly val="1"/>
    <c:dispBlanksAs val="gap"/>
    <c:showDLblsOverMax val="0"/>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15040945877997E-2"/>
          <c:y val="1.6563187842952781E-2"/>
          <c:w val="0.92847707700101312"/>
          <c:h val="0.69473242160519411"/>
        </c:manualLayout>
      </c:layout>
      <c:barChart>
        <c:barDir val="col"/>
        <c:grouping val="stacked"/>
        <c:varyColors val="0"/>
        <c:ser>
          <c:idx val="1"/>
          <c:order val="1"/>
          <c:tx>
            <c:strRef>
              <c:f>'výkonnost odvětví 3'!$Y$10</c:f>
              <c:strCache>
                <c:ptCount val="1"/>
                <c:pt idx="0">
                  <c:v>Building construction (contribution in p.p.)</c:v>
                </c:pt>
              </c:strCache>
            </c:strRef>
          </c:tx>
          <c:spPr>
            <a:solidFill>
              <a:srgbClr val="A6CDE9"/>
            </a:solidFill>
            <a:ln w="19050">
              <a:noFill/>
              <a:prstDash val="solid"/>
            </a:ln>
          </c:spPr>
          <c:invertIfNegative val="0"/>
          <c:cat>
            <c:multiLvlStrRef>
              <c:f>'výkonnost odvětví 3'!$V$15:$W$48</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3'!$Y$15:$Y$48</c:f>
              <c:numCache>
                <c:formatCode>0.0</c:formatCode>
                <c:ptCount val="34"/>
                <c:pt idx="0">
                  <c:v>6.2253471794327551</c:v>
                </c:pt>
                <c:pt idx="1">
                  <c:v>-1.1597331222501712</c:v>
                </c:pt>
                <c:pt idx="2">
                  <c:v>-4.2621030613208717</c:v>
                </c:pt>
                <c:pt idx="3">
                  <c:v>1.4298809490954008</c:v>
                </c:pt>
                <c:pt idx="4">
                  <c:v>-5.3023237552943012</c:v>
                </c:pt>
                <c:pt idx="5">
                  <c:v>-1.6015070985845303</c:v>
                </c:pt>
                <c:pt idx="6">
                  <c:v>-3.513940190700036</c:v>
                </c:pt>
                <c:pt idx="7">
                  <c:v>-6.7547773118798933</c:v>
                </c:pt>
                <c:pt idx="8">
                  <c:v>-7.4505405993252012</c:v>
                </c:pt>
                <c:pt idx="9">
                  <c:v>-7.6447037851662101</c:v>
                </c:pt>
                <c:pt idx="10">
                  <c:v>-1.0659022928518138</c:v>
                </c:pt>
                <c:pt idx="11">
                  <c:v>-1.9501565735716926</c:v>
                </c:pt>
                <c:pt idx="12">
                  <c:v>12.56681679281154</c:v>
                </c:pt>
                <c:pt idx="13">
                  <c:v>3.6352209593086169</c:v>
                </c:pt>
                <c:pt idx="14">
                  <c:v>-0.45250277847858089</c:v>
                </c:pt>
                <c:pt idx="15">
                  <c:v>-0.36686423022789266</c:v>
                </c:pt>
                <c:pt idx="16">
                  <c:v>6.127543917347853</c:v>
                </c:pt>
                <c:pt idx="17">
                  <c:v>5.164404138620128</c:v>
                </c:pt>
                <c:pt idx="18">
                  <c:v>0.83141650988233495</c:v>
                </c:pt>
                <c:pt idx="19">
                  <c:v>-1.797566845400477</c:v>
                </c:pt>
                <c:pt idx="20">
                  <c:v>-4.9826565284471647</c:v>
                </c:pt>
                <c:pt idx="21">
                  <c:v>-5.0877138737219081</c:v>
                </c:pt>
                <c:pt idx="22">
                  <c:v>0.80057303879562347</c:v>
                </c:pt>
                <c:pt idx="23">
                  <c:v>4.0255408231775744</c:v>
                </c:pt>
                <c:pt idx="24">
                  <c:v>2.3649506702570338</c:v>
                </c:pt>
                <c:pt idx="25">
                  <c:v>10.127641812245482</c:v>
                </c:pt>
                <c:pt idx="26">
                  <c:v>3.4978562345759912</c:v>
                </c:pt>
                <c:pt idx="27">
                  <c:v>2.6837763524711615</c:v>
                </c:pt>
                <c:pt idx="28">
                  <c:v>13.598952347475393</c:v>
                </c:pt>
                <c:pt idx="29">
                  <c:v>6.2933444870787278</c:v>
                </c:pt>
                <c:pt idx="30">
                  <c:v>7.6965069412532285</c:v>
                </c:pt>
                <c:pt idx="31">
                  <c:v>2.4809864732566731</c:v>
                </c:pt>
                <c:pt idx="32">
                  <c:v>1.6044519199183462</c:v>
                </c:pt>
                <c:pt idx="33">
                  <c:v>2.17736534922259</c:v>
                </c:pt>
              </c:numCache>
            </c:numRef>
          </c:val>
          <c:extLst>
            <c:ext xmlns:c16="http://schemas.microsoft.com/office/drawing/2014/chart" uri="{C3380CC4-5D6E-409C-BE32-E72D297353CC}">
              <c16:uniqueId val="{00000000-A501-42B7-B0CE-12B7D4AB9A5A}"/>
            </c:ext>
          </c:extLst>
        </c:ser>
        <c:ser>
          <c:idx val="2"/>
          <c:order val="2"/>
          <c:tx>
            <c:strRef>
              <c:f>'výkonnost odvětví 3'!$Z$10</c:f>
              <c:strCache>
                <c:ptCount val="1"/>
                <c:pt idx="0">
                  <c:v>Civil engineering construction (contribution in p.p.)</c:v>
                </c:pt>
              </c:strCache>
            </c:strRef>
          </c:tx>
          <c:spPr>
            <a:solidFill>
              <a:srgbClr val="E8AFB2"/>
            </a:solidFill>
            <a:ln w="19050">
              <a:noFill/>
              <a:prstDash val="solid"/>
            </a:ln>
          </c:spPr>
          <c:invertIfNegative val="0"/>
          <c:cat>
            <c:multiLvlStrRef>
              <c:f>'výkonnost odvětví 3'!$V$15:$W$48</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3'!$Z$15:$Z$48</c:f>
              <c:numCache>
                <c:formatCode>0.0</c:formatCode>
                <c:ptCount val="34"/>
                <c:pt idx="0">
                  <c:v>-0.78188106773263832</c:v>
                </c:pt>
                <c:pt idx="1">
                  <c:v>-4.0315428216413887</c:v>
                </c:pt>
                <c:pt idx="2">
                  <c:v>-4.8160517766484885</c:v>
                </c:pt>
                <c:pt idx="3">
                  <c:v>-1.9030520226553096</c:v>
                </c:pt>
                <c:pt idx="4">
                  <c:v>-4.5309950993656098</c:v>
                </c:pt>
                <c:pt idx="5">
                  <c:v>-3.3697664637722933</c:v>
                </c:pt>
                <c:pt idx="6">
                  <c:v>-2.1469085914124069</c:v>
                </c:pt>
                <c:pt idx="7">
                  <c:v>-2.7470685083037565</c:v>
                </c:pt>
                <c:pt idx="8">
                  <c:v>-3.1398706332841959</c:v>
                </c:pt>
                <c:pt idx="9">
                  <c:v>-4.0056430294225027</c:v>
                </c:pt>
                <c:pt idx="10">
                  <c:v>-3.8787162548316361</c:v>
                </c:pt>
                <c:pt idx="11">
                  <c:v>-0.65841186002818719</c:v>
                </c:pt>
                <c:pt idx="12">
                  <c:v>0.47786890208341798</c:v>
                </c:pt>
                <c:pt idx="13">
                  <c:v>1.9373005816972999</c:v>
                </c:pt>
                <c:pt idx="14">
                  <c:v>2.904796622048623</c:v>
                </c:pt>
                <c:pt idx="15">
                  <c:v>1.4962921293093394</c:v>
                </c:pt>
                <c:pt idx="16">
                  <c:v>3.0736722117337725</c:v>
                </c:pt>
                <c:pt idx="17">
                  <c:v>6.8071777084313689</c:v>
                </c:pt>
                <c:pt idx="18">
                  <c:v>7.0167829844998799</c:v>
                </c:pt>
                <c:pt idx="19">
                  <c:v>2.7188479808082135</c:v>
                </c:pt>
                <c:pt idx="20">
                  <c:v>-1.2745226201404676</c:v>
                </c:pt>
                <c:pt idx="21">
                  <c:v>-5.1422429279786392</c:v>
                </c:pt>
                <c:pt idx="22">
                  <c:v>-6.7342170705917956</c:v>
                </c:pt>
                <c:pt idx="23">
                  <c:v>-5.6651468564900309</c:v>
                </c:pt>
                <c:pt idx="24">
                  <c:v>-3.1957336147350528</c:v>
                </c:pt>
                <c:pt idx="25">
                  <c:v>-1.1415552133203699</c:v>
                </c:pt>
                <c:pt idx="26">
                  <c:v>-1.446931160346911</c:v>
                </c:pt>
                <c:pt idx="27">
                  <c:v>0.24076577813659988</c:v>
                </c:pt>
                <c:pt idx="28">
                  <c:v>1.7523515783067747</c:v>
                </c:pt>
                <c:pt idx="29">
                  <c:v>1.2044692300441482</c:v>
                </c:pt>
                <c:pt idx="30">
                  <c:v>4.715390604078415</c:v>
                </c:pt>
                <c:pt idx="31">
                  <c:v>1.8987412296744284</c:v>
                </c:pt>
                <c:pt idx="32">
                  <c:v>0.84015682786469548</c:v>
                </c:pt>
                <c:pt idx="33">
                  <c:v>1.8096790908822258</c:v>
                </c:pt>
              </c:numCache>
            </c:numRef>
          </c:val>
          <c:extLst>
            <c:ext xmlns:c16="http://schemas.microsoft.com/office/drawing/2014/chart" uri="{C3380CC4-5D6E-409C-BE32-E72D297353CC}">
              <c16:uniqueId val="{00000001-A501-42B7-B0CE-12B7D4AB9A5A}"/>
            </c:ext>
          </c:extLst>
        </c:ser>
        <c:dLbls>
          <c:showLegendKey val="0"/>
          <c:showVal val="0"/>
          <c:showCatName val="0"/>
          <c:showSerName val="0"/>
          <c:showPercent val="0"/>
          <c:showBubbleSize val="0"/>
        </c:dLbls>
        <c:gapWidth val="32"/>
        <c:overlap val="100"/>
        <c:axId val="147432960"/>
        <c:axId val="147434496"/>
      </c:barChart>
      <c:lineChart>
        <c:grouping val="standard"/>
        <c:varyColors val="0"/>
        <c:ser>
          <c:idx val="0"/>
          <c:order val="0"/>
          <c:tx>
            <c:strRef>
              <c:f>'výkonnost odvětví 3'!$X$10</c:f>
              <c:strCache>
                <c:ptCount val="1"/>
                <c:pt idx="0">
                  <c:v>Total construction ouput</c:v>
                </c:pt>
              </c:strCache>
            </c:strRef>
          </c:tx>
          <c:spPr>
            <a:ln>
              <a:noFill/>
            </a:ln>
          </c:spPr>
          <c:marker>
            <c:symbol val="dash"/>
            <c:size val="7"/>
            <c:spPr>
              <a:solidFill>
                <a:schemeClr val="tx1">
                  <a:lumMod val="95000"/>
                  <a:lumOff val="5000"/>
                </a:schemeClr>
              </a:solidFill>
              <a:ln>
                <a:noFill/>
              </a:ln>
            </c:spPr>
          </c:marker>
          <c:cat>
            <c:multiLvlStrRef>
              <c:f>'výkonnost odvětví 3'!$V$15:$W$48</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3'!$X$15:$X$48</c:f>
              <c:numCache>
                <c:formatCode>0.0</c:formatCode>
                <c:ptCount val="34"/>
                <c:pt idx="0">
                  <c:v>5.4557821324321623</c:v>
                </c:pt>
                <c:pt idx="1">
                  <c:v>-5.1731765784549708</c:v>
                </c:pt>
                <c:pt idx="2">
                  <c:v>-9.0565785023449337</c:v>
                </c:pt>
                <c:pt idx="3">
                  <c:v>-0.49376283937078824</c:v>
                </c:pt>
                <c:pt idx="4">
                  <c:v>-9.8157930981707153</c:v>
                </c:pt>
                <c:pt idx="5">
                  <c:v>-4.9423595765509987</c:v>
                </c:pt>
                <c:pt idx="6">
                  <c:v>-5.6526218343779533</c:v>
                </c:pt>
                <c:pt idx="7">
                  <c:v>-9.4988263446711017</c:v>
                </c:pt>
                <c:pt idx="8">
                  <c:v>-10.574598901416195</c:v>
                </c:pt>
                <c:pt idx="9">
                  <c:v>-11.627981895654287</c:v>
                </c:pt>
                <c:pt idx="10">
                  <c:v>-4.9359698629361333</c:v>
                </c:pt>
                <c:pt idx="11">
                  <c:v>-2.622028528480115</c:v>
                </c:pt>
                <c:pt idx="12">
                  <c:v>13.064880633808968</c:v>
                </c:pt>
                <c:pt idx="13">
                  <c:v>5.5567149112452796</c:v>
                </c:pt>
                <c:pt idx="14">
                  <c:v>2.4476299290684125</c:v>
                </c:pt>
                <c:pt idx="15">
                  <c:v>1.1192070418559581</c:v>
                </c:pt>
                <c:pt idx="16">
                  <c:v>9.1967253231964463</c:v>
                </c:pt>
                <c:pt idx="17">
                  <c:v>11.978904772286668</c:v>
                </c:pt>
                <c:pt idx="18">
                  <c:v>7.8499700759570885</c:v>
                </c:pt>
                <c:pt idx="19">
                  <c:v>0.93639063161241154</c:v>
                </c:pt>
                <c:pt idx="20">
                  <c:v>-6.2678973340206454</c:v>
                </c:pt>
                <c:pt idx="21">
                  <c:v>-10.227830277521477</c:v>
                </c:pt>
                <c:pt idx="22">
                  <c:v>-5.9107342052114831</c:v>
                </c:pt>
                <c:pt idx="23">
                  <c:v>-1.649208802201926</c:v>
                </c:pt>
                <c:pt idx="24">
                  <c:v>-0.84275819971591659</c:v>
                </c:pt>
                <c:pt idx="25">
                  <c:v>8.9951369278572741</c:v>
                </c:pt>
                <c:pt idx="26">
                  <c:v>2.0562867293753015</c:v>
                </c:pt>
                <c:pt idx="27">
                  <c:v>2.9379733268088302</c:v>
                </c:pt>
                <c:pt idx="28">
                  <c:v>15.349768758938438</c:v>
                </c:pt>
                <c:pt idx="29">
                  <c:v>7.4981477706511441</c:v>
                </c:pt>
                <c:pt idx="30">
                  <c:v>12.407397843296962</c:v>
                </c:pt>
                <c:pt idx="31">
                  <c:v>4.3053975524044716</c:v>
                </c:pt>
                <c:pt idx="32">
                  <c:v>2.4498670295558753</c:v>
                </c:pt>
                <c:pt idx="33">
                  <c:v>3.9682737617767714</c:v>
                </c:pt>
              </c:numCache>
            </c:numRef>
          </c:val>
          <c:smooth val="0"/>
          <c:extLst>
            <c:ext xmlns:c16="http://schemas.microsoft.com/office/drawing/2014/chart" uri="{C3380CC4-5D6E-409C-BE32-E72D297353CC}">
              <c16:uniqueId val="{00000002-A501-42B7-B0CE-12B7D4AB9A5A}"/>
            </c:ext>
          </c:extLst>
        </c:ser>
        <c:dLbls>
          <c:showLegendKey val="0"/>
          <c:showVal val="0"/>
          <c:showCatName val="0"/>
          <c:showSerName val="0"/>
          <c:showPercent val="0"/>
          <c:showBubbleSize val="0"/>
        </c:dLbls>
        <c:marker val="1"/>
        <c:smooth val="0"/>
        <c:axId val="147432960"/>
        <c:axId val="147434496"/>
      </c:lineChart>
      <c:lineChart>
        <c:grouping val="standard"/>
        <c:varyColors val="0"/>
        <c:ser>
          <c:idx val="3"/>
          <c:order val="3"/>
          <c:tx>
            <c:strRef>
              <c:f>'výkonnost odvětví 3'!$AA$10</c:f>
              <c:strCache>
                <c:ptCount val="1"/>
                <c:pt idx="0">
                  <c:v>New construction orders (right axis)</c:v>
                </c:pt>
              </c:strCache>
            </c:strRef>
          </c:tx>
          <c:spPr>
            <a:ln w="15875">
              <a:solidFill>
                <a:srgbClr val="984807"/>
              </a:solidFill>
              <a:prstDash val="solid"/>
            </a:ln>
          </c:spPr>
          <c:marker>
            <c:symbol val="none"/>
          </c:marker>
          <c:cat>
            <c:multiLvlStrRef>
              <c:f>'výkonnost odvětví 3'!$V$15:$W$48</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3'!$AA$15:$AA$48</c:f>
              <c:numCache>
                <c:formatCode>0.0</c:formatCode>
                <c:ptCount val="34"/>
                <c:pt idx="0">
                  <c:v>37.795405718063137</c:v>
                </c:pt>
                <c:pt idx="1">
                  <c:v>-23.565672566981206</c:v>
                </c:pt>
                <c:pt idx="2">
                  <c:v>-23.360716461156017</c:v>
                </c:pt>
                <c:pt idx="3">
                  <c:v>-9.1653963414634205</c:v>
                </c:pt>
                <c:pt idx="4">
                  <c:v>-46.3220596465979</c:v>
                </c:pt>
                <c:pt idx="5">
                  <c:v>-13.7148006307727</c:v>
                </c:pt>
                <c:pt idx="6">
                  <c:v>-7.6729748888363787</c:v>
                </c:pt>
                <c:pt idx="7">
                  <c:v>7.5624082232011745</c:v>
                </c:pt>
                <c:pt idx="8">
                  <c:v>-17.695687793252404</c:v>
                </c:pt>
                <c:pt idx="9">
                  <c:v>-1.584773641063137</c:v>
                </c:pt>
                <c:pt idx="10">
                  <c:v>-1.3308205951467045</c:v>
                </c:pt>
                <c:pt idx="11">
                  <c:v>16.153096050706978</c:v>
                </c:pt>
                <c:pt idx="12">
                  <c:v>67.509727626459153</c:v>
                </c:pt>
                <c:pt idx="13">
                  <c:v>18.978644382544104</c:v>
                </c:pt>
                <c:pt idx="14">
                  <c:v>34.050931384107542</c:v>
                </c:pt>
                <c:pt idx="15">
                  <c:v>-1</c:v>
                </c:pt>
                <c:pt idx="16">
                  <c:v>-3.1547956675580053</c:v>
                </c:pt>
                <c:pt idx="17">
                  <c:v>9.7504961091663205</c:v>
                </c:pt>
                <c:pt idx="18">
                  <c:v>-1.097606022761255</c:v>
                </c:pt>
                <c:pt idx="19">
                  <c:v>-2.3987783410040464</c:v>
                </c:pt>
                <c:pt idx="20">
                  <c:v>-6.6406358945753823</c:v>
                </c:pt>
                <c:pt idx="21">
                  <c:v>-0.49977652269311079</c:v>
                </c:pt>
                <c:pt idx="22">
                  <c:v>-7.0322087253454839</c:v>
                </c:pt>
                <c:pt idx="23">
                  <c:v>10.122126124559955</c:v>
                </c:pt>
                <c:pt idx="24">
                  <c:v>16.177217458847437</c:v>
                </c:pt>
                <c:pt idx="25">
                  <c:v>9.5350878984013008</c:v>
                </c:pt>
                <c:pt idx="26">
                  <c:v>-1.2817324431350698</c:v>
                </c:pt>
                <c:pt idx="27">
                  <c:v>15.620806693503823</c:v>
                </c:pt>
                <c:pt idx="28">
                  <c:v>30.10697387368856</c:v>
                </c:pt>
                <c:pt idx="29">
                  <c:v>32.836878110611963</c:v>
                </c:pt>
                <c:pt idx="30">
                  <c:v>5.2768249907951201</c:v>
                </c:pt>
                <c:pt idx="31">
                  <c:v>1.8944565811032277</c:v>
                </c:pt>
                <c:pt idx="32">
                  <c:v>15.580283026326185</c:v>
                </c:pt>
                <c:pt idx="33">
                  <c:v>-9.9448521673238588</c:v>
                </c:pt>
              </c:numCache>
            </c:numRef>
          </c:val>
          <c:smooth val="0"/>
          <c:extLst>
            <c:ext xmlns:c16="http://schemas.microsoft.com/office/drawing/2014/chart" uri="{C3380CC4-5D6E-409C-BE32-E72D297353CC}">
              <c16:uniqueId val="{00000003-A501-42B7-B0CE-12B7D4AB9A5A}"/>
            </c:ext>
          </c:extLst>
        </c:ser>
        <c:ser>
          <c:idx val="4"/>
          <c:order val="4"/>
          <c:tx>
            <c:strRef>
              <c:f>'výkonnost odvětví 3'!$AB$10</c:f>
              <c:strCache>
                <c:ptCount val="1"/>
                <c:pt idx="0">
                  <c:v>Growth barriers of businesses: none (right axis)*</c:v>
                </c:pt>
              </c:strCache>
            </c:strRef>
          </c:tx>
          <c:spPr>
            <a:ln w="15875">
              <a:solidFill>
                <a:srgbClr val="00B050"/>
              </a:solidFill>
            </a:ln>
          </c:spPr>
          <c:marker>
            <c:symbol val="none"/>
          </c:marker>
          <c:cat>
            <c:multiLvlStrRef>
              <c:f>'výkonnost odvětví 3'!$V$15:$W$48</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3'!$AB$15:$AB$48</c:f>
              <c:numCache>
                <c:formatCode>#\ ##0.0</c:formatCode>
                <c:ptCount val="34"/>
                <c:pt idx="0">
                  <c:v>17.099999999999998</c:v>
                </c:pt>
                <c:pt idx="1">
                  <c:v>8.0666666666666664</c:v>
                </c:pt>
                <c:pt idx="2">
                  <c:v>6.6333333333333329</c:v>
                </c:pt>
                <c:pt idx="3">
                  <c:v>6.333333333333333</c:v>
                </c:pt>
                <c:pt idx="4">
                  <c:v>4.7</c:v>
                </c:pt>
                <c:pt idx="5">
                  <c:v>9.0666666666666682</c:v>
                </c:pt>
                <c:pt idx="6">
                  <c:v>6.5666666666666664</c:v>
                </c:pt>
                <c:pt idx="7">
                  <c:v>6.0666666666666664</c:v>
                </c:pt>
                <c:pt idx="8">
                  <c:v>5.7666666666666666</c:v>
                </c:pt>
                <c:pt idx="9">
                  <c:v>5.3666666666666671</c:v>
                </c:pt>
                <c:pt idx="10">
                  <c:v>4.833333333333333</c:v>
                </c:pt>
                <c:pt idx="11">
                  <c:v>4.6333333333333329</c:v>
                </c:pt>
                <c:pt idx="12">
                  <c:v>4.8</c:v>
                </c:pt>
                <c:pt idx="13">
                  <c:v>6.1000000000000005</c:v>
                </c:pt>
                <c:pt idx="14">
                  <c:v>10.899999999999999</c:v>
                </c:pt>
                <c:pt idx="15">
                  <c:v>11.433333333333332</c:v>
                </c:pt>
                <c:pt idx="16">
                  <c:v>8.6999999999999993</c:v>
                </c:pt>
                <c:pt idx="17">
                  <c:v>9.0666666666666682</c:v>
                </c:pt>
                <c:pt idx="18">
                  <c:v>8.5666666666666664</c:v>
                </c:pt>
                <c:pt idx="19">
                  <c:v>10.4</c:v>
                </c:pt>
                <c:pt idx="20">
                  <c:v>12.166666666666666</c:v>
                </c:pt>
                <c:pt idx="21">
                  <c:v>10.866666666666665</c:v>
                </c:pt>
                <c:pt idx="22">
                  <c:v>10.5</c:v>
                </c:pt>
                <c:pt idx="23">
                  <c:v>10.533333333333333</c:v>
                </c:pt>
                <c:pt idx="24">
                  <c:v>10.966666666666669</c:v>
                </c:pt>
                <c:pt idx="25">
                  <c:v>11.733333333333334</c:v>
                </c:pt>
                <c:pt idx="26">
                  <c:v>12.433333333333335</c:v>
                </c:pt>
                <c:pt idx="27">
                  <c:v>11.066666666666668</c:v>
                </c:pt>
                <c:pt idx="28">
                  <c:v>14.066666666666668</c:v>
                </c:pt>
                <c:pt idx="29">
                  <c:v>17</c:v>
                </c:pt>
                <c:pt idx="30">
                  <c:v>16.733333333333334</c:v>
                </c:pt>
                <c:pt idx="31">
                  <c:v>16.366666666666667</c:v>
                </c:pt>
                <c:pt idx="32">
                  <c:v>17.733333333333334</c:v>
                </c:pt>
                <c:pt idx="33">
                  <c:v>17.666666666666668</c:v>
                </c:pt>
              </c:numCache>
            </c:numRef>
          </c:val>
          <c:smooth val="0"/>
          <c:extLst>
            <c:ext xmlns:c16="http://schemas.microsoft.com/office/drawing/2014/chart" uri="{C3380CC4-5D6E-409C-BE32-E72D297353CC}">
              <c16:uniqueId val="{00000004-A501-42B7-B0CE-12B7D4AB9A5A}"/>
            </c:ext>
          </c:extLst>
        </c:ser>
        <c:ser>
          <c:idx val="5"/>
          <c:order val="5"/>
          <c:tx>
            <c:strRef>
              <c:f>'výkonnost odvětví 3'!$AC$10</c:f>
              <c:strCache>
                <c:ptCount val="1"/>
                <c:pt idx="0">
                  <c:v>Growth barrier: shortage of labour (right axis)*</c:v>
                </c:pt>
              </c:strCache>
            </c:strRef>
          </c:tx>
          <c:spPr>
            <a:ln w="15875">
              <a:solidFill>
                <a:srgbClr val="00B050"/>
              </a:solidFill>
              <a:prstDash val="sysDash"/>
            </a:ln>
          </c:spPr>
          <c:marker>
            <c:symbol val="none"/>
          </c:marker>
          <c:cat>
            <c:multiLvlStrRef>
              <c:f>'výkonnost odvětví 3'!$V$15:$W$48</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3'!$AC$15:$AC$48</c:f>
              <c:numCache>
                <c:formatCode>#\ ##0.0</c:formatCode>
                <c:ptCount val="34"/>
                <c:pt idx="0">
                  <c:v>1</c:v>
                </c:pt>
                <c:pt idx="1">
                  <c:v>0.96666666666666679</c:v>
                </c:pt>
                <c:pt idx="2">
                  <c:v>1.4333333333333333</c:v>
                </c:pt>
                <c:pt idx="3">
                  <c:v>1.3</c:v>
                </c:pt>
                <c:pt idx="4">
                  <c:v>1.6333333333333335</c:v>
                </c:pt>
                <c:pt idx="5">
                  <c:v>1.9666666666666666</c:v>
                </c:pt>
                <c:pt idx="6">
                  <c:v>1.3333333333333333</c:v>
                </c:pt>
                <c:pt idx="7">
                  <c:v>1.0333333333333334</c:v>
                </c:pt>
                <c:pt idx="8">
                  <c:v>1.3333333333333333</c:v>
                </c:pt>
                <c:pt idx="9">
                  <c:v>0.76666666666666661</c:v>
                </c:pt>
                <c:pt idx="10">
                  <c:v>0.79999999999999993</c:v>
                </c:pt>
                <c:pt idx="11">
                  <c:v>1.3</c:v>
                </c:pt>
                <c:pt idx="12">
                  <c:v>1.7</c:v>
                </c:pt>
                <c:pt idx="13">
                  <c:v>2.1</c:v>
                </c:pt>
                <c:pt idx="14">
                  <c:v>2.6666666666666665</c:v>
                </c:pt>
                <c:pt idx="15">
                  <c:v>3.1666666666666665</c:v>
                </c:pt>
                <c:pt idx="16">
                  <c:v>6.5999999999999988</c:v>
                </c:pt>
                <c:pt idx="17">
                  <c:v>7.9333333333333336</c:v>
                </c:pt>
                <c:pt idx="18">
                  <c:v>7.333333333333333</c:v>
                </c:pt>
                <c:pt idx="19">
                  <c:v>7.5</c:v>
                </c:pt>
                <c:pt idx="20">
                  <c:v>5.8666666666666671</c:v>
                </c:pt>
                <c:pt idx="21">
                  <c:v>6.5666666666666673</c:v>
                </c:pt>
                <c:pt idx="22">
                  <c:v>7.666666666666667</c:v>
                </c:pt>
                <c:pt idx="23">
                  <c:v>10.066666666666668</c:v>
                </c:pt>
                <c:pt idx="24">
                  <c:v>11.966666666666667</c:v>
                </c:pt>
                <c:pt idx="25">
                  <c:v>14.766666666666666</c:v>
                </c:pt>
                <c:pt idx="26">
                  <c:v>20.633333333333329</c:v>
                </c:pt>
                <c:pt idx="27">
                  <c:v>22.133333333333336</c:v>
                </c:pt>
                <c:pt idx="28">
                  <c:v>24.433333333333334</c:v>
                </c:pt>
                <c:pt idx="29">
                  <c:v>28.333333333333332</c:v>
                </c:pt>
                <c:pt idx="30">
                  <c:v>32.966666666666661</c:v>
                </c:pt>
                <c:pt idx="31">
                  <c:v>40.699999999999996</c:v>
                </c:pt>
                <c:pt idx="32">
                  <c:v>41.733333333333327</c:v>
                </c:pt>
                <c:pt idx="33">
                  <c:v>46.199999999999996</c:v>
                </c:pt>
              </c:numCache>
            </c:numRef>
          </c:val>
          <c:smooth val="0"/>
          <c:extLst>
            <c:ext xmlns:c16="http://schemas.microsoft.com/office/drawing/2014/chart" uri="{C3380CC4-5D6E-409C-BE32-E72D297353CC}">
              <c16:uniqueId val="{00000005-A501-42B7-B0CE-12B7D4AB9A5A}"/>
            </c:ext>
          </c:extLst>
        </c:ser>
        <c:ser>
          <c:idx val="6"/>
          <c:order val="6"/>
          <c:tx>
            <c:strRef>
              <c:f>'výkonnost odvětví 3'!$AD$10</c:f>
              <c:strCache>
                <c:ptCount val="1"/>
                <c:pt idx="0">
                  <c:v>Balance of confidence indicator in construction (right axis)*</c:v>
                </c:pt>
              </c:strCache>
            </c:strRef>
          </c:tx>
          <c:spPr>
            <a:ln>
              <a:noFill/>
            </a:ln>
          </c:spPr>
          <c:marker>
            <c:symbol val="diamond"/>
            <c:size val="5"/>
            <c:spPr>
              <a:solidFill>
                <a:srgbClr val="FFFF00"/>
              </a:solidFill>
              <a:ln>
                <a:solidFill>
                  <a:prstClr val="black">
                    <a:lumMod val="95000"/>
                    <a:lumOff val="5000"/>
                  </a:prstClr>
                </a:solidFill>
              </a:ln>
            </c:spPr>
          </c:marker>
          <c:cat>
            <c:multiLvlStrRef>
              <c:f>'výkonnost odvětví 3'!$V$15:$W$48</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3'!$AD$15:$AD$48</c:f>
              <c:numCache>
                <c:formatCode>0.0</c:formatCode>
                <c:ptCount val="34"/>
                <c:pt idx="0">
                  <c:v>-40</c:v>
                </c:pt>
                <c:pt idx="1">
                  <c:v>-40.333333333333336</c:v>
                </c:pt>
                <c:pt idx="2">
                  <c:v>-39.166666666666664</c:v>
                </c:pt>
                <c:pt idx="3">
                  <c:v>-39.333333333333336</c:v>
                </c:pt>
                <c:pt idx="4">
                  <c:v>-46</c:v>
                </c:pt>
                <c:pt idx="5">
                  <c:v>-45.333333333333336</c:v>
                </c:pt>
                <c:pt idx="6">
                  <c:v>-43.5</c:v>
                </c:pt>
                <c:pt idx="7">
                  <c:v>-44.666666666666664</c:v>
                </c:pt>
                <c:pt idx="8">
                  <c:v>-46</c:v>
                </c:pt>
                <c:pt idx="9">
                  <c:v>-53.333333333333336</c:v>
                </c:pt>
                <c:pt idx="10">
                  <c:v>-49.5</c:v>
                </c:pt>
                <c:pt idx="11">
                  <c:v>-50.833333333333336</c:v>
                </c:pt>
                <c:pt idx="12">
                  <c:v>-45.166666666666664</c:v>
                </c:pt>
                <c:pt idx="13">
                  <c:v>-38.333333333333336</c:v>
                </c:pt>
                <c:pt idx="14">
                  <c:v>-32</c:v>
                </c:pt>
                <c:pt idx="15">
                  <c:v>-25.166666666666668</c:v>
                </c:pt>
                <c:pt idx="16">
                  <c:v>-20.833333333333332</c:v>
                </c:pt>
                <c:pt idx="17">
                  <c:v>-16.333333333333332</c:v>
                </c:pt>
                <c:pt idx="18">
                  <c:v>-18.666666666666668</c:v>
                </c:pt>
                <c:pt idx="19">
                  <c:v>-15.666666666666666</c:v>
                </c:pt>
                <c:pt idx="20">
                  <c:v>-17.166666666666668</c:v>
                </c:pt>
                <c:pt idx="21">
                  <c:v>-24</c:v>
                </c:pt>
                <c:pt idx="22">
                  <c:v>-26.666666666666668</c:v>
                </c:pt>
                <c:pt idx="23">
                  <c:v>-25.833333333333332</c:v>
                </c:pt>
                <c:pt idx="24">
                  <c:v>-24.5</c:v>
                </c:pt>
                <c:pt idx="25">
                  <c:v>-22.666666666666668</c:v>
                </c:pt>
                <c:pt idx="26">
                  <c:v>-19.833333333333332</c:v>
                </c:pt>
                <c:pt idx="27">
                  <c:v>-15.166666666666666</c:v>
                </c:pt>
                <c:pt idx="28">
                  <c:v>-9.6666666666666661</c:v>
                </c:pt>
                <c:pt idx="29">
                  <c:v>-5.666666666666667</c:v>
                </c:pt>
                <c:pt idx="30">
                  <c:v>-3.1666666666666665</c:v>
                </c:pt>
                <c:pt idx="31">
                  <c:v>0.83333333333333337</c:v>
                </c:pt>
                <c:pt idx="32">
                  <c:v>4.666666666666667</c:v>
                </c:pt>
                <c:pt idx="33">
                  <c:v>3.8333333333333335</c:v>
                </c:pt>
              </c:numCache>
            </c:numRef>
          </c:val>
          <c:smooth val="0"/>
          <c:extLst>
            <c:ext xmlns:c16="http://schemas.microsoft.com/office/drawing/2014/chart" uri="{C3380CC4-5D6E-409C-BE32-E72D297353CC}">
              <c16:uniqueId val="{00000006-A501-42B7-B0CE-12B7D4AB9A5A}"/>
            </c:ext>
          </c:extLst>
        </c:ser>
        <c:dLbls>
          <c:showLegendKey val="0"/>
          <c:showVal val="0"/>
          <c:showCatName val="0"/>
          <c:showSerName val="0"/>
          <c:showPercent val="0"/>
          <c:showBubbleSize val="0"/>
        </c:dLbls>
        <c:marker val="1"/>
        <c:smooth val="0"/>
        <c:axId val="147650816"/>
        <c:axId val="147649280"/>
      </c:lineChart>
      <c:catAx>
        <c:axId val="147432960"/>
        <c:scaling>
          <c:orientation val="minMax"/>
        </c:scaling>
        <c:delete val="0"/>
        <c:axPos val="b"/>
        <c:numFmt formatCode="General" sourceLinked="1"/>
        <c:majorTickMark val="out"/>
        <c:minorTickMark val="none"/>
        <c:tickLblPos val="low"/>
        <c:spPr>
          <a:ln w="9525">
            <a:solidFill>
              <a:schemeClr val="tx1"/>
            </a:solidFill>
            <a:prstDash val="solid"/>
          </a:ln>
        </c:spPr>
        <c:txPr>
          <a:bodyPr rot="0" vert="horz"/>
          <a:lstStyle/>
          <a:p>
            <a:pPr>
              <a:defRPr/>
            </a:pPr>
            <a:endParaRPr lang="cs-CZ"/>
          </a:p>
        </c:txPr>
        <c:crossAx val="147434496"/>
        <c:crossesAt val="0"/>
        <c:auto val="0"/>
        <c:lblAlgn val="ctr"/>
        <c:lblOffset val="0"/>
        <c:tickLblSkip val="1"/>
        <c:tickMarkSkip val="4"/>
        <c:noMultiLvlLbl val="0"/>
      </c:catAx>
      <c:valAx>
        <c:axId val="147434496"/>
        <c:scaling>
          <c:orientation val="minMax"/>
          <c:max val="25"/>
          <c:min val="-30"/>
        </c:scaling>
        <c:delete val="0"/>
        <c:axPos val="l"/>
        <c:majorGridlines>
          <c:spPr>
            <a:ln w="6350">
              <a:solidFill>
                <a:schemeClr val="bg1">
                  <a:lumMod val="75000"/>
                </a:schemeClr>
              </a:solidFill>
            </a:ln>
          </c:spPr>
        </c:majorGridlines>
        <c:numFmt formatCode="0" sourceLinked="0"/>
        <c:majorTickMark val="out"/>
        <c:minorTickMark val="none"/>
        <c:tickLblPos val="nextTo"/>
        <c:spPr>
          <a:ln w="9525">
            <a:solidFill>
              <a:schemeClr val="tx1"/>
            </a:solidFill>
            <a:prstDash val="solid"/>
          </a:ln>
        </c:spPr>
        <c:txPr>
          <a:bodyPr rot="0" vert="horz"/>
          <a:lstStyle/>
          <a:p>
            <a:pPr>
              <a:defRPr/>
            </a:pPr>
            <a:endParaRPr lang="cs-CZ"/>
          </a:p>
        </c:txPr>
        <c:crossAx val="147432960"/>
        <c:crosses val="autoZero"/>
        <c:crossBetween val="between"/>
        <c:majorUnit val="5"/>
      </c:valAx>
      <c:valAx>
        <c:axId val="147649280"/>
        <c:scaling>
          <c:orientation val="minMax"/>
          <c:max val="50"/>
          <c:min val="-60"/>
        </c:scaling>
        <c:delete val="0"/>
        <c:axPos val="r"/>
        <c:numFmt formatCode="0" sourceLinked="0"/>
        <c:majorTickMark val="out"/>
        <c:minorTickMark val="none"/>
        <c:tickLblPos val="nextTo"/>
        <c:crossAx val="147650816"/>
        <c:crosses val="max"/>
        <c:crossBetween val="between"/>
        <c:majorUnit val="10"/>
      </c:valAx>
      <c:catAx>
        <c:axId val="147650816"/>
        <c:scaling>
          <c:orientation val="minMax"/>
        </c:scaling>
        <c:delete val="1"/>
        <c:axPos val="b"/>
        <c:numFmt formatCode="General" sourceLinked="1"/>
        <c:majorTickMark val="out"/>
        <c:minorTickMark val="none"/>
        <c:tickLblPos val="none"/>
        <c:crossAx val="147649280"/>
        <c:crosses val="autoZero"/>
        <c:auto val="1"/>
        <c:lblAlgn val="ctr"/>
        <c:lblOffset val="100"/>
        <c:noMultiLvlLbl val="0"/>
      </c:catAx>
      <c:spPr>
        <a:solidFill>
          <a:srgbClr val="FFFFFF"/>
        </a:solidFill>
        <a:ln w="9525">
          <a:solidFill>
            <a:schemeClr val="tx1"/>
          </a:solidFill>
        </a:ln>
      </c:spPr>
    </c:plotArea>
    <c:legend>
      <c:legendPos val="b"/>
      <c:layout>
        <c:manualLayout>
          <c:xMode val="edge"/>
          <c:yMode val="edge"/>
          <c:x val="5.1996990600997529E-2"/>
          <c:y val="0.80052427012441341"/>
          <c:w val="0.89198450558410203"/>
          <c:h val="0.19696394718329002"/>
        </c:manualLayout>
      </c:layout>
      <c:overlay val="0"/>
      <c:spPr>
        <a:noFill/>
        <a:ln w="6350">
          <a:solidFill>
            <a:schemeClr val="tx1"/>
          </a:solidFill>
        </a:ln>
      </c:spPr>
    </c:legend>
    <c:plotVisOnly val="1"/>
    <c:dispBlanksAs val="gap"/>
    <c:showDLblsOverMax val="0"/>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3337294494629933E-2"/>
          <c:y val="1.6432335801879864E-2"/>
          <c:w val="0.91372590696101663"/>
          <c:h val="0.75458469148421803"/>
        </c:manualLayout>
      </c:layout>
      <c:barChart>
        <c:barDir val="col"/>
        <c:grouping val="clustered"/>
        <c:varyColors val="0"/>
        <c:ser>
          <c:idx val="0"/>
          <c:order val="0"/>
          <c:tx>
            <c:strRef>
              <c:f>'výkonnost odvětví 4'!$B$52</c:f>
              <c:strCache>
                <c:ptCount val="1"/>
                <c:pt idx="0">
                  <c:v>Total services</c:v>
                </c:pt>
              </c:strCache>
            </c:strRef>
          </c:tx>
          <c:spPr>
            <a:solidFill>
              <a:srgbClr val="BEBEBE"/>
            </a:solidFill>
          </c:spPr>
          <c:invertIfNegative val="0"/>
          <c:cat>
            <c:multiLvlStrRef>
              <c:f>'výkonnost odvětví 4'!$G$50:$AN$51</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4'!$G$52:$AN$52</c:f>
              <c:numCache>
                <c:formatCode>##0.0</c:formatCode>
                <c:ptCount val="34"/>
                <c:pt idx="0">
                  <c:v>97.408341476700002</c:v>
                </c:pt>
                <c:pt idx="1">
                  <c:v>97.673223460000003</c:v>
                </c:pt>
                <c:pt idx="2">
                  <c:v>95.615114413300006</c:v>
                </c:pt>
                <c:pt idx="3">
                  <c:v>96.523836689999996</c:v>
                </c:pt>
                <c:pt idx="4">
                  <c:v>97.055498293300005</c:v>
                </c:pt>
                <c:pt idx="5">
                  <c:v>96.470807876699993</c:v>
                </c:pt>
                <c:pt idx="6">
                  <c:v>96.767490219999999</c:v>
                </c:pt>
                <c:pt idx="7">
                  <c:v>95.497615596700001</c:v>
                </c:pt>
                <c:pt idx="8">
                  <c:v>96.612751270000004</c:v>
                </c:pt>
                <c:pt idx="9">
                  <c:v>95.725248463300005</c:v>
                </c:pt>
                <c:pt idx="10">
                  <c:v>95.402295673300003</c:v>
                </c:pt>
                <c:pt idx="11">
                  <c:v>97.041291946699999</c:v>
                </c:pt>
                <c:pt idx="12">
                  <c:v>95.941201626700007</c:v>
                </c:pt>
                <c:pt idx="13">
                  <c:v>97.145665609999995</c:v>
                </c:pt>
                <c:pt idx="14">
                  <c:v>97.712548416700002</c:v>
                </c:pt>
                <c:pt idx="15">
                  <c:v>98.138023976699998</c:v>
                </c:pt>
                <c:pt idx="16">
                  <c:v>98.971396589999998</c:v>
                </c:pt>
                <c:pt idx="17">
                  <c:v>99.880066310000004</c:v>
                </c:pt>
                <c:pt idx="18">
                  <c:v>100.4636147633</c:v>
                </c:pt>
                <c:pt idx="19">
                  <c:v>100.68492234</c:v>
                </c:pt>
                <c:pt idx="20">
                  <c:v>99.67624653</c:v>
                </c:pt>
                <c:pt idx="21">
                  <c:v>99.824075149999999</c:v>
                </c:pt>
                <c:pt idx="22">
                  <c:v>101.6277266833</c:v>
                </c:pt>
                <c:pt idx="23">
                  <c:v>103.0943828967</c:v>
                </c:pt>
                <c:pt idx="24">
                  <c:v>103.8295094333</c:v>
                </c:pt>
                <c:pt idx="25">
                  <c:v>105.0216821067</c:v>
                </c:pt>
                <c:pt idx="26">
                  <c:v>105.22416738</c:v>
                </c:pt>
                <c:pt idx="27">
                  <c:v>106.6191803767</c:v>
                </c:pt>
                <c:pt idx="28">
                  <c:v>108.3697590133</c:v>
                </c:pt>
                <c:pt idx="29">
                  <c:v>108.44953795000001</c:v>
                </c:pt>
                <c:pt idx="30">
                  <c:v>109.0935050467</c:v>
                </c:pt>
                <c:pt idx="31">
                  <c:v>108.45909383670001</c:v>
                </c:pt>
                <c:pt idx="32">
                  <c:v>110.20549541</c:v>
                </c:pt>
                <c:pt idx="33">
                  <c:v>110.0235730233</c:v>
                </c:pt>
              </c:numCache>
            </c:numRef>
          </c:val>
          <c:extLst>
            <c:ext xmlns:c16="http://schemas.microsoft.com/office/drawing/2014/chart" uri="{C3380CC4-5D6E-409C-BE32-E72D297353CC}">
              <c16:uniqueId val="{00000000-7CA3-44ED-9C5D-2DB8040C10AA}"/>
            </c:ext>
          </c:extLst>
        </c:ser>
        <c:dLbls>
          <c:showLegendKey val="0"/>
          <c:showVal val="0"/>
          <c:showCatName val="0"/>
          <c:showSerName val="0"/>
          <c:showPercent val="0"/>
          <c:showBubbleSize val="0"/>
        </c:dLbls>
        <c:gapWidth val="31"/>
        <c:axId val="155616768"/>
        <c:axId val="155618304"/>
      </c:barChart>
      <c:lineChart>
        <c:grouping val="standard"/>
        <c:varyColors val="0"/>
        <c:ser>
          <c:idx val="1"/>
          <c:order val="1"/>
          <c:tx>
            <c:strRef>
              <c:f>'výkonnost odvětví 4'!$B$53</c:f>
              <c:strCache>
                <c:ptCount val="1"/>
                <c:pt idx="0">
                  <c:v>Transporting and storage</c:v>
                </c:pt>
              </c:strCache>
            </c:strRef>
          </c:tx>
          <c:spPr>
            <a:ln w="19050">
              <a:solidFill>
                <a:srgbClr val="BD1B21"/>
              </a:solidFill>
              <a:prstDash val="solid"/>
            </a:ln>
          </c:spPr>
          <c:marker>
            <c:symbol val="none"/>
          </c:marker>
          <c:cat>
            <c:multiLvlStrRef>
              <c:f>'výkonnost odvětví 4'!$G$50:$AN$51</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4'!$G$53:$AN$53</c:f>
              <c:numCache>
                <c:formatCode>##0.0</c:formatCode>
                <c:ptCount val="34"/>
                <c:pt idx="0">
                  <c:v>92.210011063300001</c:v>
                </c:pt>
                <c:pt idx="1">
                  <c:v>92.474497493300007</c:v>
                </c:pt>
                <c:pt idx="2">
                  <c:v>91.734237136700003</c:v>
                </c:pt>
                <c:pt idx="3">
                  <c:v>93.153898639999994</c:v>
                </c:pt>
                <c:pt idx="4">
                  <c:v>93.059891160000006</c:v>
                </c:pt>
                <c:pt idx="5">
                  <c:v>94.331590070000004</c:v>
                </c:pt>
                <c:pt idx="6">
                  <c:v>95.441342079999998</c:v>
                </c:pt>
                <c:pt idx="7">
                  <c:v>91.637415166699995</c:v>
                </c:pt>
                <c:pt idx="8">
                  <c:v>95.377032940000007</c:v>
                </c:pt>
                <c:pt idx="9">
                  <c:v>96.793121366700007</c:v>
                </c:pt>
                <c:pt idx="10">
                  <c:v>96.932984579999996</c:v>
                </c:pt>
                <c:pt idx="11">
                  <c:v>100.9396146967</c:v>
                </c:pt>
                <c:pt idx="12">
                  <c:v>98.534688753300003</c:v>
                </c:pt>
                <c:pt idx="13">
                  <c:v>99.283679430000007</c:v>
                </c:pt>
                <c:pt idx="14">
                  <c:v>100.26162911670001</c:v>
                </c:pt>
                <c:pt idx="15">
                  <c:v>100.3678235733</c:v>
                </c:pt>
                <c:pt idx="16">
                  <c:v>98.917278916699999</c:v>
                </c:pt>
                <c:pt idx="17">
                  <c:v>99.292593073299997</c:v>
                </c:pt>
                <c:pt idx="18">
                  <c:v>100.89777098</c:v>
                </c:pt>
                <c:pt idx="19">
                  <c:v>100.89235703</c:v>
                </c:pt>
                <c:pt idx="20">
                  <c:v>99.603183426699999</c:v>
                </c:pt>
                <c:pt idx="21">
                  <c:v>100.40261469329999</c:v>
                </c:pt>
                <c:pt idx="22">
                  <c:v>101.26453315000001</c:v>
                </c:pt>
                <c:pt idx="23">
                  <c:v>103.9548502967</c:v>
                </c:pt>
                <c:pt idx="24">
                  <c:v>104.40231455999999</c:v>
                </c:pt>
                <c:pt idx="25">
                  <c:v>104.1461293067</c:v>
                </c:pt>
                <c:pt idx="26">
                  <c:v>105.0382679933</c:v>
                </c:pt>
                <c:pt idx="27">
                  <c:v>106.5770284167</c:v>
                </c:pt>
                <c:pt idx="28">
                  <c:v>110.15857635330001</c:v>
                </c:pt>
                <c:pt idx="29">
                  <c:v>110.73474345</c:v>
                </c:pt>
                <c:pt idx="30">
                  <c:v>110.35349596</c:v>
                </c:pt>
                <c:pt idx="31">
                  <c:v>108.8676015833</c:v>
                </c:pt>
                <c:pt idx="32">
                  <c:v>111.4287534833</c:v>
                </c:pt>
                <c:pt idx="33">
                  <c:v>110.26574304330001</c:v>
                </c:pt>
              </c:numCache>
            </c:numRef>
          </c:val>
          <c:smooth val="0"/>
          <c:extLst>
            <c:ext xmlns:c16="http://schemas.microsoft.com/office/drawing/2014/chart" uri="{C3380CC4-5D6E-409C-BE32-E72D297353CC}">
              <c16:uniqueId val="{00000001-7CA3-44ED-9C5D-2DB8040C10AA}"/>
            </c:ext>
          </c:extLst>
        </c:ser>
        <c:ser>
          <c:idx val="2"/>
          <c:order val="2"/>
          <c:tx>
            <c:strRef>
              <c:f>'výkonnost odvětví 4'!$B$54</c:f>
              <c:strCache>
                <c:ptCount val="1"/>
                <c:pt idx="0">
                  <c:v>Accommodation, food service activities</c:v>
                </c:pt>
              </c:strCache>
            </c:strRef>
          </c:tx>
          <c:spPr>
            <a:ln w="19050">
              <a:solidFill>
                <a:srgbClr val="F8A124"/>
              </a:solidFill>
              <a:prstDash val="solid"/>
            </a:ln>
          </c:spPr>
          <c:marker>
            <c:symbol val="none"/>
          </c:marker>
          <c:cat>
            <c:multiLvlStrRef>
              <c:f>'výkonnost odvětví 4'!$G$50:$AN$51</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4'!$G$54:$AN$54</c:f>
              <c:numCache>
                <c:formatCode>##0.0</c:formatCode>
                <c:ptCount val="34"/>
                <c:pt idx="0">
                  <c:v>95.718670136699998</c:v>
                </c:pt>
                <c:pt idx="1">
                  <c:v>96.548342236699995</c:v>
                </c:pt>
                <c:pt idx="2">
                  <c:v>94.814050850000001</c:v>
                </c:pt>
                <c:pt idx="3">
                  <c:v>94.660125796700001</c:v>
                </c:pt>
                <c:pt idx="4">
                  <c:v>93.776267693299999</c:v>
                </c:pt>
                <c:pt idx="5">
                  <c:v>93.242880263299995</c:v>
                </c:pt>
                <c:pt idx="6">
                  <c:v>92.942876706700005</c:v>
                </c:pt>
                <c:pt idx="7">
                  <c:v>92.760785166700003</c:v>
                </c:pt>
                <c:pt idx="8">
                  <c:v>93.421747873300006</c:v>
                </c:pt>
                <c:pt idx="9">
                  <c:v>92.951178133300004</c:v>
                </c:pt>
                <c:pt idx="10">
                  <c:v>93.656029356700003</c:v>
                </c:pt>
                <c:pt idx="11">
                  <c:v>92.960213803299993</c:v>
                </c:pt>
                <c:pt idx="12">
                  <c:v>93.364144249999995</c:v>
                </c:pt>
                <c:pt idx="13">
                  <c:v>93.485621039999998</c:v>
                </c:pt>
                <c:pt idx="14">
                  <c:v>94.020559879999993</c:v>
                </c:pt>
                <c:pt idx="15">
                  <c:v>96.910029949999995</c:v>
                </c:pt>
                <c:pt idx="16">
                  <c:v>97.350410176699995</c:v>
                </c:pt>
                <c:pt idx="17">
                  <c:v>100.0926208967</c:v>
                </c:pt>
                <c:pt idx="18">
                  <c:v>100.9442236933</c:v>
                </c:pt>
                <c:pt idx="19">
                  <c:v>101.61274523669999</c:v>
                </c:pt>
                <c:pt idx="20">
                  <c:v>102.5644864233</c:v>
                </c:pt>
                <c:pt idx="21">
                  <c:v>103.55460004</c:v>
                </c:pt>
                <c:pt idx="22">
                  <c:v>108.0853410333</c:v>
                </c:pt>
                <c:pt idx="23">
                  <c:v>110.33791934</c:v>
                </c:pt>
                <c:pt idx="24">
                  <c:v>113.63843531329999</c:v>
                </c:pt>
                <c:pt idx="25">
                  <c:v>116.4049086867</c:v>
                </c:pt>
                <c:pt idx="26">
                  <c:v>116.2571430567</c:v>
                </c:pt>
                <c:pt idx="27">
                  <c:v>117.15596084329999</c:v>
                </c:pt>
                <c:pt idx="28">
                  <c:v>116.9576648967</c:v>
                </c:pt>
                <c:pt idx="29">
                  <c:v>117.0004329267</c:v>
                </c:pt>
                <c:pt idx="30">
                  <c:v>117.43490011</c:v>
                </c:pt>
                <c:pt idx="31">
                  <c:v>117.74022512000001</c:v>
                </c:pt>
                <c:pt idx="32">
                  <c:v>118.8522381367</c:v>
                </c:pt>
                <c:pt idx="33">
                  <c:v>118.9930466233</c:v>
                </c:pt>
              </c:numCache>
            </c:numRef>
          </c:val>
          <c:smooth val="0"/>
          <c:extLst>
            <c:ext xmlns:c16="http://schemas.microsoft.com/office/drawing/2014/chart" uri="{C3380CC4-5D6E-409C-BE32-E72D297353CC}">
              <c16:uniqueId val="{00000002-7CA3-44ED-9C5D-2DB8040C10AA}"/>
            </c:ext>
          </c:extLst>
        </c:ser>
        <c:ser>
          <c:idx val="3"/>
          <c:order val="3"/>
          <c:tx>
            <c:strRef>
              <c:f>'výkonnost odvětví 4'!$B$55</c:f>
              <c:strCache>
                <c:ptCount val="1"/>
                <c:pt idx="0">
                  <c:v>Information and communication activities</c:v>
                </c:pt>
              </c:strCache>
            </c:strRef>
          </c:tx>
          <c:spPr>
            <a:ln w="19050">
              <a:solidFill>
                <a:srgbClr val="48AEE7"/>
              </a:solidFill>
            </a:ln>
          </c:spPr>
          <c:marker>
            <c:symbol val="none"/>
          </c:marker>
          <c:cat>
            <c:multiLvlStrRef>
              <c:f>'výkonnost odvětví 4'!$G$50:$AN$51</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4'!$G$55:$AN$55</c:f>
              <c:numCache>
                <c:formatCode>##0.0</c:formatCode>
                <c:ptCount val="34"/>
                <c:pt idx="0">
                  <c:v>94.331796929999996</c:v>
                </c:pt>
                <c:pt idx="1">
                  <c:v>93.926248043300006</c:v>
                </c:pt>
                <c:pt idx="2">
                  <c:v>93.410856240000001</c:v>
                </c:pt>
                <c:pt idx="3">
                  <c:v>93.127078573299997</c:v>
                </c:pt>
                <c:pt idx="4">
                  <c:v>94.589829010000003</c:v>
                </c:pt>
                <c:pt idx="5">
                  <c:v>93.935713879999994</c:v>
                </c:pt>
                <c:pt idx="6">
                  <c:v>94.961086193300005</c:v>
                </c:pt>
                <c:pt idx="7">
                  <c:v>92.964281736700002</c:v>
                </c:pt>
                <c:pt idx="8">
                  <c:v>92.784363040000002</c:v>
                </c:pt>
                <c:pt idx="9">
                  <c:v>93.858123226700002</c:v>
                </c:pt>
                <c:pt idx="10">
                  <c:v>92.935331973299995</c:v>
                </c:pt>
                <c:pt idx="11">
                  <c:v>93.07724374</c:v>
                </c:pt>
                <c:pt idx="12">
                  <c:v>92.812725093300003</c:v>
                </c:pt>
                <c:pt idx="13">
                  <c:v>94.719704980000003</c:v>
                </c:pt>
                <c:pt idx="14">
                  <c:v>95.671175149999996</c:v>
                </c:pt>
                <c:pt idx="15">
                  <c:v>95.9042947067</c:v>
                </c:pt>
                <c:pt idx="16">
                  <c:v>98.619002113299999</c:v>
                </c:pt>
                <c:pt idx="17">
                  <c:v>99.336667526699998</c:v>
                </c:pt>
                <c:pt idx="18">
                  <c:v>99.878350310000002</c:v>
                </c:pt>
                <c:pt idx="19">
                  <c:v>102.1659800433</c:v>
                </c:pt>
                <c:pt idx="20">
                  <c:v>100.1542872667</c:v>
                </c:pt>
                <c:pt idx="21">
                  <c:v>100.1541973067</c:v>
                </c:pt>
                <c:pt idx="22">
                  <c:v>101.5419151</c:v>
                </c:pt>
                <c:pt idx="23">
                  <c:v>103.61662317</c:v>
                </c:pt>
                <c:pt idx="24">
                  <c:v>103.24120451</c:v>
                </c:pt>
                <c:pt idx="25">
                  <c:v>105.8681786233</c:v>
                </c:pt>
                <c:pt idx="26">
                  <c:v>105.70023114</c:v>
                </c:pt>
                <c:pt idx="27">
                  <c:v>107.5343500267</c:v>
                </c:pt>
                <c:pt idx="28">
                  <c:v>110.5575188633</c:v>
                </c:pt>
                <c:pt idx="29">
                  <c:v>110.0745657267</c:v>
                </c:pt>
                <c:pt idx="30">
                  <c:v>113.26740821</c:v>
                </c:pt>
                <c:pt idx="31">
                  <c:v>113.3240934633</c:v>
                </c:pt>
                <c:pt idx="32">
                  <c:v>115.85762151669999</c:v>
                </c:pt>
                <c:pt idx="33">
                  <c:v>117.16059919</c:v>
                </c:pt>
              </c:numCache>
            </c:numRef>
          </c:val>
          <c:smooth val="0"/>
          <c:extLst>
            <c:ext xmlns:c16="http://schemas.microsoft.com/office/drawing/2014/chart" uri="{C3380CC4-5D6E-409C-BE32-E72D297353CC}">
              <c16:uniqueId val="{00000003-7CA3-44ED-9C5D-2DB8040C10AA}"/>
            </c:ext>
          </c:extLst>
        </c:ser>
        <c:ser>
          <c:idx val="4"/>
          <c:order val="4"/>
          <c:tx>
            <c:strRef>
              <c:f>'výkonnost odvětví 4'!$B$56</c:f>
              <c:strCache>
                <c:ptCount val="1"/>
                <c:pt idx="0">
                  <c:v>Real estate activities</c:v>
                </c:pt>
              </c:strCache>
            </c:strRef>
          </c:tx>
          <c:spPr>
            <a:ln w="19050">
              <a:solidFill>
                <a:srgbClr val="7DBB2D"/>
              </a:solidFill>
            </a:ln>
          </c:spPr>
          <c:marker>
            <c:symbol val="none"/>
          </c:marker>
          <c:cat>
            <c:multiLvlStrRef>
              <c:f>'výkonnost odvětví 4'!$G$50:$AN$51</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4'!$G$56:$AN$56</c:f>
              <c:numCache>
                <c:formatCode>##0.0</c:formatCode>
                <c:ptCount val="34"/>
                <c:pt idx="0">
                  <c:v>109.75940683330001</c:v>
                </c:pt>
                <c:pt idx="1">
                  <c:v>108.1235870033</c:v>
                </c:pt>
                <c:pt idx="2">
                  <c:v>106.9661465133</c:v>
                </c:pt>
                <c:pt idx="3">
                  <c:v>105.50815548999999</c:v>
                </c:pt>
                <c:pt idx="4">
                  <c:v>103.75922661</c:v>
                </c:pt>
                <c:pt idx="5">
                  <c:v>102.94533345000001</c:v>
                </c:pt>
                <c:pt idx="6">
                  <c:v>101.2251304033</c:v>
                </c:pt>
                <c:pt idx="7">
                  <c:v>102.0329600667</c:v>
                </c:pt>
                <c:pt idx="8">
                  <c:v>101.7413418167</c:v>
                </c:pt>
                <c:pt idx="9">
                  <c:v>99.857792506699994</c:v>
                </c:pt>
                <c:pt idx="10">
                  <c:v>100.16564681</c:v>
                </c:pt>
                <c:pt idx="11">
                  <c:v>99.115132873299999</c:v>
                </c:pt>
                <c:pt idx="12">
                  <c:v>98.881896746699994</c:v>
                </c:pt>
                <c:pt idx="13">
                  <c:v>99.888891349999994</c:v>
                </c:pt>
                <c:pt idx="14">
                  <c:v>99.787170353299999</c:v>
                </c:pt>
                <c:pt idx="15">
                  <c:v>99.2056797133</c:v>
                </c:pt>
                <c:pt idx="16">
                  <c:v>99.247011976699994</c:v>
                </c:pt>
                <c:pt idx="17">
                  <c:v>99.815255413299994</c:v>
                </c:pt>
                <c:pt idx="18">
                  <c:v>100.2707147333</c:v>
                </c:pt>
                <c:pt idx="19">
                  <c:v>100.66701788</c:v>
                </c:pt>
                <c:pt idx="20">
                  <c:v>100.45642703</c:v>
                </c:pt>
                <c:pt idx="21">
                  <c:v>100.3814015167</c:v>
                </c:pt>
                <c:pt idx="22">
                  <c:v>101.7128348967</c:v>
                </c:pt>
                <c:pt idx="23">
                  <c:v>101.20694154669999</c:v>
                </c:pt>
                <c:pt idx="24">
                  <c:v>102.6310566033</c:v>
                </c:pt>
                <c:pt idx="25">
                  <c:v>103.4044068467</c:v>
                </c:pt>
                <c:pt idx="26">
                  <c:v>102.3258486033</c:v>
                </c:pt>
                <c:pt idx="27">
                  <c:v>102.68216545</c:v>
                </c:pt>
                <c:pt idx="28">
                  <c:v>101.8807956567</c:v>
                </c:pt>
                <c:pt idx="29">
                  <c:v>101.66419071</c:v>
                </c:pt>
                <c:pt idx="30">
                  <c:v>101.32271497000001</c:v>
                </c:pt>
                <c:pt idx="31">
                  <c:v>101.1211816367</c:v>
                </c:pt>
                <c:pt idx="32">
                  <c:v>101.7330508733</c:v>
                </c:pt>
                <c:pt idx="33">
                  <c:v>100.97507813999999</c:v>
                </c:pt>
              </c:numCache>
            </c:numRef>
          </c:val>
          <c:smooth val="0"/>
          <c:extLst>
            <c:ext xmlns:c16="http://schemas.microsoft.com/office/drawing/2014/chart" uri="{C3380CC4-5D6E-409C-BE32-E72D297353CC}">
              <c16:uniqueId val="{00000004-7CA3-44ED-9C5D-2DB8040C10AA}"/>
            </c:ext>
          </c:extLst>
        </c:ser>
        <c:ser>
          <c:idx val="5"/>
          <c:order val="5"/>
          <c:tx>
            <c:strRef>
              <c:f>'výkonnost odvětví 4'!$B$57</c:f>
              <c:strCache>
                <c:ptCount val="1"/>
                <c:pt idx="0">
                  <c:v>Professional, scientific and technic. activities</c:v>
                </c:pt>
              </c:strCache>
            </c:strRef>
          </c:tx>
          <c:spPr>
            <a:ln w="19050">
              <a:solidFill>
                <a:srgbClr val="0071BC"/>
              </a:solidFill>
            </a:ln>
          </c:spPr>
          <c:marker>
            <c:symbol val="none"/>
          </c:marker>
          <c:cat>
            <c:multiLvlStrRef>
              <c:f>'výkonnost odvětví 4'!$G$50:$AN$51</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4'!$G$57:$AN$57</c:f>
              <c:numCache>
                <c:formatCode>##0.0</c:formatCode>
                <c:ptCount val="34"/>
                <c:pt idx="0">
                  <c:v>110.3599323233</c:v>
                </c:pt>
                <c:pt idx="1">
                  <c:v>110.9959443833</c:v>
                </c:pt>
                <c:pt idx="2">
                  <c:v>105.1258649067</c:v>
                </c:pt>
                <c:pt idx="3">
                  <c:v>104.91580485</c:v>
                </c:pt>
                <c:pt idx="4">
                  <c:v>107.5432417433</c:v>
                </c:pt>
                <c:pt idx="5">
                  <c:v>104.6911563467</c:v>
                </c:pt>
                <c:pt idx="6">
                  <c:v>105.1031939267</c:v>
                </c:pt>
                <c:pt idx="7">
                  <c:v>103.9203424233</c:v>
                </c:pt>
                <c:pt idx="8">
                  <c:v>102.27832457</c:v>
                </c:pt>
                <c:pt idx="9">
                  <c:v>96.831860270000007</c:v>
                </c:pt>
                <c:pt idx="10">
                  <c:v>95.386709839999995</c:v>
                </c:pt>
                <c:pt idx="11">
                  <c:v>98.122475890000004</c:v>
                </c:pt>
                <c:pt idx="12">
                  <c:v>95.471230079999998</c:v>
                </c:pt>
                <c:pt idx="13">
                  <c:v>97.15151444</c:v>
                </c:pt>
                <c:pt idx="14">
                  <c:v>97.239541669999994</c:v>
                </c:pt>
                <c:pt idx="15">
                  <c:v>97.369149546700001</c:v>
                </c:pt>
                <c:pt idx="16">
                  <c:v>100.22249622</c:v>
                </c:pt>
                <c:pt idx="17">
                  <c:v>101.0636779667</c:v>
                </c:pt>
                <c:pt idx="18">
                  <c:v>100.12507582000001</c:v>
                </c:pt>
                <c:pt idx="19">
                  <c:v>98.588749989999997</c:v>
                </c:pt>
                <c:pt idx="20">
                  <c:v>97.316872116699997</c:v>
                </c:pt>
                <c:pt idx="21">
                  <c:v>96.183428083300001</c:v>
                </c:pt>
                <c:pt idx="22">
                  <c:v>98.710106699999997</c:v>
                </c:pt>
                <c:pt idx="23">
                  <c:v>98.210333550000001</c:v>
                </c:pt>
                <c:pt idx="24">
                  <c:v>98.773410503299999</c:v>
                </c:pt>
                <c:pt idx="25">
                  <c:v>99.792214959999995</c:v>
                </c:pt>
                <c:pt idx="26">
                  <c:v>100.2527886367</c:v>
                </c:pt>
                <c:pt idx="27">
                  <c:v>101.43994791670001</c:v>
                </c:pt>
                <c:pt idx="28">
                  <c:v>102.02185652999999</c:v>
                </c:pt>
                <c:pt idx="29">
                  <c:v>101.81103997</c:v>
                </c:pt>
                <c:pt idx="30">
                  <c:v>102.0630089733</c:v>
                </c:pt>
                <c:pt idx="31">
                  <c:v>101.69281847000001</c:v>
                </c:pt>
                <c:pt idx="32">
                  <c:v>102.9783561</c:v>
                </c:pt>
                <c:pt idx="33">
                  <c:v>103.1495911767</c:v>
                </c:pt>
              </c:numCache>
            </c:numRef>
          </c:val>
          <c:smooth val="0"/>
          <c:extLst>
            <c:ext xmlns:c16="http://schemas.microsoft.com/office/drawing/2014/chart" uri="{C3380CC4-5D6E-409C-BE32-E72D297353CC}">
              <c16:uniqueId val="{00000005-7CA3-44ED-9C5D-2DB8040C10AA}"/>
            </c:ext>
          </c:extLst>
        </c:ser>
        <c:ser>
          <c:idx val="6"/>
          <c:order val="6"/>
          <c:tx>
            <c:strRef>
              <c:f>'výkonnost odvětví 4'!$B$58</c:f>
              <c:strCache>
                <c:ptCount val="1"/>
                <c:pt idx="0">
                  <c:v>Administrative and support service activities</c:v>
                </c:pt>
              </c:strCache>
            </c:strRef>
          </c:tx>
          <c:spPr>
            <a:ln w="19050">
              <a:solidFill>
                <a:srgbClr val="E6E100"/>
              </a:solidFill>
            </a:ln>
          </c:spPr>
          <c:marker>
            <c:symbol val="none"/>
          </c:marker>
          <c:cat>
            <c:multiLvlStrRef>
              <c:f>'výkonnost odvětví 4'!$G$50:$AN$51</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4'!$G$58:$AN$58</c:f>
              <c:numCache>
                <c:formatCode>##0.0</c:formatCode>
                <c:ptCount val="34"/>
                <c:pt idx="0">
                  <c:v>88.544117630000002</c:v>
                </c:pt>
                <c:pt idx="1">
                  <c:v>89.908680899999993</c:v>
                </c:pt>
                <c:pt idx="2">
                  <c:v>90.222559869999998</c:v>
                </c:pt>
                <c:pt idx="3">
                  <c:v>91.598159106699995</c:v>
                </c:pt>
                <c:pt idx="4">
                  <c:v>92.38608893</c:v>
                </c:pt>
                <c:pt idx="5">
                  <c:v>91.842137219999998</c:v>
                </c:pt>
                <c:pt idx="6">
                  <c:v>92.732469313300001</c:v>
                </c:pt>
                <c:pt idx="7">
                  <c:v>91.119310633300003</c:v>
                </c:pt>
                <c:pt idx="8">
                  <c:v>92.957828620000001</c:v>
                </c:pt>
                <c:pt idx="9">
                  <c:v>92.226183166699997</c:v>
                </c:pt>
                <c:pt idx="10">
                  <c:v>92.988140283299998</c:v>
                </c:pt>
                <c:pt idx="11">
                  <c:v>93.720316330000003</c:v>
                </c:pt>
                <c:pt idx="12">
                  <c:v>93.829048929999999</c:v>
                </c:pt>
                <c:pt idx="13">
                  <c:v>95.858928270000007</c:v>
                </c:pt>
                <c:pt idx="14">
                  <c:v>96.239180056699993</c:v>
                </c:pt>
                <c:pt idx="15">
                  <c:v>97.672813213300003</c:v>
                </c:pt>
                <c:pt idx="16">
                  <c:v>98.020516613300003</c:v>
                </c:pt>
                <c:pt idx="17">
                  <c:v>99.877625893300007</c:v>
                </c:pt>
                <c:pt idx="18">
                  <c:v>100.8795175967</c:v>
                </c:pt>
                <c:pt idx="19">
                  <c:v>101.2223399033</c:v>
                </c:pt>
                <c:pt idx="20">
                  <c:v>101.2763999567</c:v>
                </c:pt>
                <c:pt idx="21">
                  <c:v>102.2068470533</c:v>
                </c:pt>
                <c:pt idx="22">
                  <c:v>104.3674129167</c:v>
                </c:pt>
                <c:pt idx="23">
                  <c:v>106.69489278</c:v>
                </c:pt>
                <c:pt idx="24">
                  <c:v>108.22513141330001</c:v>
                </c:pt>
                <c:pt idx="25">
                  <c:v>110.3681802967</c:v>
                </c:pt>
                <c:pt idx="26">
                  <c:v>110.19853381670001</c:v>
                </c:pt>
                <c:pt idx="27">
                  <c:v>112.0499243167</c:v>
                </c:pt>
                <c:pt idx="28">
                  <c:v>112.58998151670001</c:v>
                </c:pt>
                <c:pt idx="29">
                  <c:v>113.2015186667</c:v>
                </c:pt>
                <c:pt idx="30">
                  <c:v>113.8356959333</c:v>
                </c:pt>
                <c:pt idx="31">
                  <c:v>112.73271750000001</c:v>
                </c:pt>
                <c:pt idx="32">
                  <c:v>113.3026821533</c:v>
                </c:pt>
                <c:pt idx="33">
                  <c:v>112.6662643267</c:v>
                </c:pt>
              </c:numCache>
            </c:numRef>
          </c:val>
          <c:smooth val="0"/>
          <c:extLst>
            <c:ext xmlns:c16="http://schemas.microsoft.com/office/drawing/2014/chart" uri="{C3380CC4-5D6E-409C-BE32-E72D297353CC}">
              <c16:uniqueId val="{00000006-7CA3-44ED-9C5D-2DB8040C10AA}"/>
            </c:ext>
          </c:extLst>
        </c:ser>
        <c:dLbls>
          <c:showLegendKey val="0"/>
          <c:showVal val="0"/>
          <c:showCatName val="0"/>
          <c:showSerName val="0"/>
          <c:showPercent val="0"/>
          <c:showBubbleSize val="0"/>
        </c:dLbls>
        <c:marker val="1"/>
        <c:smooth val="0"/>
        <c:axId val="155616768"/>
        <c:axId val="155618304"/>
      </c:lineChart>
      <c:lineChart>
        <c:grouping val="standard"/>
        <c:varyColors val="0"/>
        <c:ser>
          <c:idx val="7"/>
          <c:order val="7"/>
          <c:tx>
            <c:strRef>
              <c:f>'výkonnost odvětví 4'!$B$59</c:f>
              <c:strCache>
                <c:ptCount val="1"/>
                <c:pt idx="0">
                  <c:v>Balance of confidence in services (right axis)</c:v>
                </c:pt>
              </c:strCache>
            </c:strRef>
          </c:tx>
          <c:spPr>
            <a:ln>
              <a:noFill/>
            </a:ln>
          </c:spPr>
          <c:marker>
            <c:symbol val="diamond"/>
            <c:size val="5"/>
            <c:spPr>
              <a:solidFill>
                <a:srgbClr val="FFFF00"/>
              </a:solidFill>
              <a:ln>
                <a:solidFill>
                  <a:schemeClr val="tx1">
                    <a:lumMod val="95000"/>
                    <a:lumOff val="5000"/>
                  </a:schemeClr>
                </a:solidFill>
              </a:ln>
            </c:spPr>
          </c:marker>
          <c:cat>
            <c:multiLvlStrRef>
              <c:f>'výkonnost odvětví 4'!$G$50:$AN$51</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2011</c:v>
                  </c:pt>
                  <c:pt idx="4">
                    <c:v>2012</c:v>
                  </c:pt>
                  <c:pt idx="8">
                    <c:v>2013</c:v>
                  </c:pt>
                  <c:pt idx="12">
                    <c:v>2014</c:v>
                  </c:pt>
                  <c:pt idx="16">
                    <c:v>2015</c:v>
                  </c:pt>
                  <c:pt idx="20">
                    <c:v>2016</c:v>
                  </c:pt>
                  <c:pt idx="24">
                    <c:v>2017</c:v>
                  </c:pt>
                  <c:pt idx="28">
                    <c:v>2018</c:v>
                  </c:pt>
                  <c:pt idx="32">
                    <c:v>2019</c:v>
                  </c:pt>
                </c:lvl>
              </c:multiLvlStrCache>
            </c:multiLvlStrRef>
          </c:cat>
          <c:val>
            <c:numRef>
              <c:f>'výkonnost odvětví 4'!$G$59:$AN$59</c:f>
              <c:numCache>
                <c:formatCode>0.0</c:formatCode>
                <c:ptCount val="34"/>
                <c:pt idx="0">
                  <c:v>26.766666666666666</c:v>
                </c:pt>
                <c:pt idx="1">
                  <c:v>28.566666666666666</c:v>
                </c:pt>
                <c:pt idx="2">
                  <c:v>26.766666666666666</c:v>
                </c:pt>
                <c:pt idx="3">
                  <c:v>23.2</c:v>
                </c:pt>
                <c:pt idx="4">
                  <c:v>26.333333333333332</c:v>
                </c:pt>
                <c:pt idx="5">
                  <c:v>25.666666666666668</c:v>
                </c:pt>
                <c:pt idx="6">
                  <c:v>23.866666666666664</c:v>
                </c:pt>
                <c:pt idx="7">
                  <c:v>23.3</c:v>
                </c:pt>
                <c:pt idx="8">
                  <c:v>23.666666666666668</c:v>
                </c:pt>
                <c:pt idx="9">
                  <c:v>22.233333333333334</c:v>
                </c:pt>
                <c:pt idx="10">
                  <c:v>22.366666666666664</c:v>
                </c:pt>
                <c:pt idx="11">
                  <c:v>26.333333333333332</c:v>
                </c:pt>
                <c:pt idx="12">
                  <c:v>26.900000000000002</c:v>
                </c:pt>
                <c:pt idx="13">
                  <c:v>26.666666666666668</c:v>
                </c:pt>
                <c:pt idx="14">
                  <c:v>29.233333333333334</c:v>
                </c:pt>
                <c:pt idx="15">
                  <c:v>31.666666666666668</c:v>
                </c:pt>
                <c:pt idx="16">
                  <c:v>29.466666666666669</c:v>
                </c:pt>
                <c:pt idx="17">
                  <c:v>29.133333333333336</c:v>
                </c:pt>
                <c:pt idx="18">
                  <c:v>30.633333333333336</c:v>
                </c:pt>
                <c:pt idx="19">
                  <c:v>32.466666666666669</c:v>
                </c:pt>
                <c:pt idx="20">
                  <c:v>33.56666666666667</c:v>
                </c:pt>
                <c:pt idx="21">
                  <c:v>32.43333333333333</c:v>
                </c:pt>
                <c:pt idx="22">
                  <c:v>33.666666666666664</c:v>
                </c:pt>
                <c:pt idx="23">
                  <c:v>36.700000000000003</c:v>
                </c:pt>
                <c:pt idx="24">
                  <c:v>35.299999999999997</c:v>
                </c:pt>
                <c:pt idx="25">
                  <c:v>37.366666666666667</c:v>
                </c:pt>
                <c:pt idx="26">
                  <c:v>37.533333333333331</c:v>
                </c:pt>
                <c:pt idx="27">
                  <c:v>35.9</c:v>
                </c:pt>
                <c:pt idx="28">
                  <c:v>37.199999999999996</c:v>
                </c:pt>
                <c:pt idx="29">
                  <c:v>37.56666666666667</c:v>
                </c:pt>
                <c:pt idx="30">
                  <c:v>38.1</c:v>
                </c:pt>
                <c:pt idx="31">
                  <c:v>39</c:v>
                </c:pt>
                <c:pt idx="32">
                  <c:v>38</c:v>
                </c:pt>
                <c:pt idx="33">
                  <c:v>34.700000000000003</c:v>
                </c:pt>
              </c:numCache>
            </c:numRef>
          </c:val>
          <c:smooth val="0"/>
          <c:extLst>
            <c:ext xmlns:c16="http://schemas.microsoft.com/office/drawing/2014/chart" uri="{C3380CC4-5D6E-409C-BE32-E72D297353CC}">
              <c16:uniqueId val="{00000007-7CA3-44ED-9C5D-2DB8040C10AA}"/>
            </c:ext>
          </c:extLst>
        </c:ser>
        <c:dLbls>
          <c:showLegendKey val="0"/>
          <c:showVal val="0"/>
          <c:showCatName val="0"/>
          <c:showSerName val="0"/>
          <c:showPercent val="0"/>
          <c:showBubbleSize val="0"/>
        </c:dLbls>
        <c:marker val="1"/>
        <c:smooth val="0"/>
        <c:axId val="155625728"/>
        <c:axId val="155624192"/>
      </c:lineChart>
      <c:catAx>
        <c:axId val="155616768"/>
        <c:scaling>
          <c:orientation val="minMax"/>
        </c:scaling>
        <c:delete val="0"/>
        <c:axPos val="b"/>
        <c:numFmt formatCode="General" sourceLinked="1"/>
        <c:majorTickMark val="out"/>
        <c:minorTickMark val="none"/>
        <c:tickLblPos val="low"/>
        <c:spPr>
          <a:ln w="9525">
            <a:solidFill>
              <a:schemeClr val="tx1"/>
            </a:solidFill>
            <a:prstDash val="solid"/>
          </a:ln>
        </c:spPr>
        <c:txPr>
          <a:bodyPr rot="0" vert="horz"/>
          <a:lstStyle/>
          <a:p>
            <a:pPr>
              <a:defRPr/>
            </a:pPr>
            <a:endParaRPr lang="cs-CZ"/>
          </a:p>
        </c:txPr>
        <c:crossAx val="155618304"/>
        <c:crossesAt val="100"/>
        <c:auto val="0"/>
        <c:lblAlgn val="ctr"/>
        <c:lblOffset val="0"/>
        <c:tickLblSkip val="1"/>
        <c:tickMarkSkip val="4"/>
        <c:noMultiLvlLbl val="0"/>
      </c:catAx>
      <c:valAx>
        <c:axId val="155618304"/>
        <c:scaling>
          <c:orientation val="minMax"/>
          <c:max val="120"/>
          <c:min val="80"/>
        </c:scaling>
        <c:delete val="0"/>
        <c:axPos val="l"/>
        <c:majorGridlines>
          <c:spPr>
            <a:ln w="6350">
              <a:solidFill>
                <a:schemeClr val="bg1">
                  <a:lumMod val="75000"/>
                </a:schemeClr>
              </a:solidFill>
            </a:ln>
          </c:spPr>
        </c:majorGridlines>
        <c:numFmt formatCode="0" sourceLinked="0"/>
        <c:majorTickMark val="out"/>
        <c:minorTickMark val="none"/>
        <c:tickLblPos val="nextTo"/>
        <c:spPr>
          <a:ln w="9525">
            <a:solidFill>
              <a:schemeClr val="tx1"/>
            </a:solidFill>
            <a:prstDash val="solid"/>
          </a:ln>
        </c:spPr>
        <c:txPr>
          <a:bodyPr rot="0" vert="horz"/>
          <a:lstStyle/>
          <a:p>
            <a:pPr>
              <a:defRPr/>
            </a:pPr>
            <a:endParaRPr lang="cs-CZ"/>
          </a:p>
        </c:txPr>
        <c:crossAx val="155616768"/>
        <c:crosses val="autoZero"/>
        <c:crossBetween val="between"/>
        <c:majorUnit val="5"/>
      </c:valAx>
      <c:valAx>
        <c:axId val="155624192"/>
        <c:scaling>
          <c:orientation val="minMax"/>
          <c:max val="40"/>
          <c:min val="0"/>
        </c:scaling>
        <c:delete val="0"/>
        <c:axPos val="r"/>
        <c:numFmt formatCode="0" sourceLinked="0"/>
        <c:majorTickMark val="out"/>
        <c:minorTickMark val="none"/>
        <c:tickLblPos val="nextTo"/>
        <c:crossAx val="155625728"/>
        <c:crosses val="max"/>
        <c:crossBetween val="between"/>
      </c:valAx>
      <c:catAx>
        <c:axId val="155625728"/>
        <c:scaling>
          <c:orientation val="minMax"/>
        </c:scaling>
        <c:delete val="1"/>
        <c:axPos val="b"/>
        <c:numFmt formatCode="General" sourceLinked="1"/>
        <c:majorTickMark val="out"/>
        <c:minorTickMark val="none"/>
        <c:tickLblPos val="none"/>
        <c:crossAx val="155624192"/>
        <c:crosses val="autoZero"/>
        <c:auto val="1"/>
        <c:lblAlgn val="ctr"/>
        <c:lblOffset val="100"/>
        <c:noMultiLvlLbl val="0"/>
      </c:catAx>
      <c:spPr>
        <a:solidFill>
          <a:srgbClr val="FFFFFF"/>
        </a:solidFill>
        <a:ln w="9525">
          <a:solidFill>
            <a:schemeClr val="tx1"/>
          </a:solidFill>
        </a:ln>
      </c:spPr>
    </c:plotArea>
    <c:legend>
      <c:legendPos val="b"/>
      <c:layout>
        <c:manualLayout>
          <c:xMode val="edge"/>
          <c:yMode val="edge"/>
          <c:x val="5.3601471024259609E-3"/>
          <c:y val="0.86232191595384278"/>
          <c:w val="0.98609519085971031"/>
          <c:h val="0.13393680940894773"/>
        </c:manualLayout>
      </c:layout>
      <c:overlay val="0"/>
      <c:spPr>
        <a:noFill/>
        <a:ln w="6350">
          <a:solidFill>
            <a:schemeClr val="tx1"/>
          </a:solidFill>
        </a:ln>
      </c:spPr>
    </c:legend>
    <c:plotVisOnly val="1"/>
    <c:dispBlanksAs val="gap"/>
    <c:showDLblsOverMax val="0"/>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0.41072</cdr:x>
      <cdr:y>0.0237</cdr:y>
    </cdr:from>
    <cdr:to>
      <cdr:x>0.4599</cdr:x>
      <cdr:y>0.04988</cdr:y>
    </cdr:to>
    <cdr:sp macro="" textlink="">
      <cdr:nvSpPr>
        <cdr:cNvPr id="2" name="Přímá spojovací šipka 1"/>
        <cdr:cNvSpPr/>
      </cdr:nvSpPr>
      <cdr:spPr>
        <a:xfrm xmlns:a="http://schemas.openxmlformats.org/drawingml/2006/main" flipH="1" flipV="1">
          <a:off x="1947326" y="86007"/>
          <a:ext cx="233167" cy="94968"/>
        </a:xfrm>
        <a:prstGeom xmlns:a="http://schemas.openxmlformats.org/drawingml/2006/main" prst="straightConnector1">
          <a:avLst/>
        </a:prstGeom>
        <a:noFill xmlns:a="http://schemas.openxmlformats.org/drawingml/2006/main"/>
        <a:ln xmlns:a="http://schemas.openxmlformats.org/drawingml/2006/main" w="6350" cap="flat" cmpd="sng" algn="ctr">
          <a:solidFill>
            <a:srgbClr val="984807"/>
          </a:solidFill>
          <a:prstDash val="solid"/>
          <a:tailEnd type="arrow"/>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cs-CZ"/>
        </a:p>
      </cdr:txBody>
    </cdr:sp>
  </cdr:relSizeAnchor>
  <cdr:relSizeAnchor xmlns:cdr="http://schemas.openxmlformats.org/drawingml/2006/chartDrawing">
    <cdr:from>
      <cdr:x>0.47234</cdr:x>
      <cdr:y>0.03333</cdr:y>
    </cdr:from>
    <cdr:to>
      <cdr:x>0.52292</cdr:x>
      <cdr:y>0.06113</cdr:y>
    </cdr:to>
    <cdr:sp macro="" textlink="">
      <cdr:nvSpPr>
        <cdr:cNvPr id="3" name="TextovéPole 2"/>
        <cdr:cNvSpPr txBox="1"/>
      </cdr:nvSpPr>
      <cdr:spPr>
        <a:xfrm xmlns:a="http://schemas.openxmlformats.org/drawingml/2006/main" flipH="1">
          <a:off x="2239488" y="120931"/>
          <a:ext cx="239812" cy="100867"/>
        </a:xfrm>
        <a:prstGeom xmlns:a="http://schemas.openxmlformats.org/drawingml/2006/main" prst="rect">
          <a:avLst/>
        </a:prstGeom>
        <a:noFill xmlns:a="http://schemas.openxmlformats.org/drawingml/2006/main"/>
      </cdr:spPr>
      <cdr:txBody>
        <a:bodyPr xmlns:a="http://schemas.openxmlformats.org/drawingml/2006/main" wrap="square" lIns="0" tIns="0" rIns="0" bIns="0"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800">
              <a:solidFill>
                <a:srgbClr val="984807"/>
              </a:solidFill>
              <a:latin typeface="Arial" pitchFamily="34" charset="0"/>
              <a:cs typeface="Arial" pitchFamily="34" charset="0"/>
            </a:rPr>
            <a:t>67,5</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09846-3438-4748-BD66-714436045F99}">
  <ds:schemaRefs>
    <ds:schemaRef ds:uri="http://schemas.openxmlformats.org/officeDocument/2006/bibliography"/>
  </ds:schemaRefs>
</ds:datastoreItem>
</file>

<file path=customXml/itemProps2.xml><?xml version="1.0" encoding="utf-8"?>
<ds:datastoreItem xmlns:ds="http://schemas.openxmlformats.org/officeDocument/2006/customXml" ds:itemID="{7D028ED1-00CE-4D16-A872-6BBF1B438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7</TotalTime>
  <Pages>7</Pages>
  <Words>2893</Words>
  <Characters>17075</Characters>
  <Application>Microsoft Office Word</Application>
  <DocSecurity>0</DocSecurity>
  <Lines>142</Lines>
  <Paragraphs>39</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19929</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Karolína Súkupová</dc:creator>
  <cp:lastModifiedBy>Mgr. Karolína Zábojníková</cp:lastModifiedBy>
  <cp:revision>4</cp:revision>
  <cp:lastPrinted>2019-10-10T11:46:00Z</cp:lastPrinted>
  <dcterms:created xsi:type="dcterms:W3CDTF">2019-10-11T13:27:00Z</dcterms:created>
  <dcterms:modified xsi:type="dcterms:W3CDTF">2019-10-11T13:43:00Z</dcterms:modified>
</cp:coreProperties>
</file>