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CB4" w:rsidRPr="00654093" w:rsidRDefault="00813CB4" w:rsidP="00492991">
      <w:pPr>
        <w:pStyle w:val="Textpoznpodarou"/>
        <w:jc w:val="both"/>
        <w:rPr>
          <w:sz w:val="2"/>
          <w:szCs w:val="2"/>
        </w:rPr>
      </w:pPr>
    </w:p>
    <w:p w:rsidR="00DD0726" w:rsidRPr="00E22561" w:rsidRDefault="00F76217" w:rsidP="00631EEC">
      <w:pPr>
        <w:pStyle w:val="Nadpis1"/>
        <w:numPr>
          <w:ilvl w:val="0"/>
          <w:numId w:val="24"/>
        </w:numPr>
        <w:jc w:val="both"/>
        <w:rPr>
          <w:lang w:val="en-GB"/>
        </w:rPr>
      </w:pPr>
      <w:bookmarkStart w:id="0" w:name="_Toc469299932"/>
      <w:bookmarkStart w:id="1" w:name="_Toc493683636"/>
      <w:bookmarkStart w:id="2" w:name="_Toc469299933"/>
      <w:r w:rsidRPr="00E22561">
        <w:rPr>
          <w:lang w:val="en-GB"/>
        </w:rPr>
        <w:t>External Economic Relations</w:t>
      </w:r>
      <w:bookmarkEnd w:id="0"/>
      <w:bookmarkEnd w:id="1"/>
    </w:p>
    <w:tbl>
      <w:tblPr>
        <w:tblW w:w="4963" w:type="pct"/>
        <w:tblInd w:w="108" w:type="dxa"/>
        <w:tblLayout w:type="fixed"/>
        <w:tblLook w:val="00A0"/>
      </w:tblPr>
      <w:tblGrid>
        <w:gridCol w:w="1985"/>
        <w:gridCol w:w="282"/>
        <w:gridCol w:w="1135"/>
        <w:gridCol w:w="143"/>
        <w:gridCol w:w="2533"/>
        <w:gridCol w:w="3703"/>
      </w:tblGrid>
      <w:tr w:rsidR="009F62C9" w:rsidRPr="00A74192" w:rsidTr="009F62C9">
        <w:trPr>
          <w:trHeight w:val="1722"/>
        </w:trPr>
        <w:tc>
          <w:tcPr>
            <w:tcW w:w="1015" w:type="pct"/>
          </w:tcPr>
          <w:p w:rsidR="009F62C9" w:rsidRPr="00F76217" w:rsidRDefault="009F62C9" w:rsidP="006C36F4">
            <w:pPr>
              <w:spacing w:line="240" w:lineRule="auto"/>
              <w:rPr>
                <w:sz w:val="16"/>
                <w:szCs w:val="16"/>
                <w:lang w:val="en-GB"/>
              </w:rPr>
            </w:pPr>
            <w:r w:rsidRPr="00F76217">
              <w:rPr>
                <w:sz w:val="16"/>
                <w:szCs w:val="16"/>
                <w:lang w:val="en-GB"/>
              </w:rPr>
              <w:t xml:space="preserve">The current account of the balance of payments again attained a surplus.  </w:t>
            </w:r>
          </w:p>
        </w:tc>
        <w:tc>
          <w:tcPr>
            <w:tcW w:w="144" w:type="pct"/>
          </w:tcPr>
          <w:p w:rsidR="009F62C9" w:rsidRPr="00F76217" w:rsidRDefault="009F62C9" w:rsidP="00260FBE">
            <w:pPr>
              <w:pStyle w:val="Textpoznpodarou"/>
              <w:jc w:val="both"/>
              <w:rPr>
                <w:color w:val="FF0000"/>
                <w:highlight w:val="yellow"/>
                <w:lang w:val="en-GB"/>
              </w:rPr>
            </w:pPr>
          </w:p>
        </w:tc>
        <w:tc>
          <w:tcPr>
            <w:tcW w:w="3841" w:type="pct"/>
            <w:gridSpan w:val="4"/>
          </w:tcPr>
          <w:p w:rsidR="009F62C9" w:rsidRDefault="009F62C9" w:rsidP="00260FBE">
            <w:pPr>
              <w:pStyle w:val="Textpoznpodarou"/>
              <w:jc w:val="both"/>
              <w:rPr>
                <w:spacing w:val="-4"/>
                <w:lang w:val="en-GB"/>
              </w:rPr>
            </w:pPr>
            <w:r>
              <w:rPr>
                <w:spacing w:val="-4"/>
                <w:lang w:val="en-GB"/>
              </w:rPr>
              <w:t xml:space="preserve">The balance of the current account of the balance of payments reached 90.0 CZK </w:t>
            </w:r>
            <w:proofErr w:type="spellStart"/>
            <w:r>
              <w:rPr>
                <w:spacing w:val="-4"/>
                <w:lang w:val="en-GB"/>
              </w:rPr>
              <w:t>bn</w:t>
            </w:r>
            <w:proofErr w:type="spellEnd"/>
            <w:r>
              <w:rPr>
                <w:spacing w:val="-4"/>
                <w:lang w:val="en-GB"/>
              </w:rPr>
              <w:t xml:space="preserve"> in H</w:t>
            </w:r>
            <w:r w:rsidRPr="00F76217">
              <w:rPr>
                <w:spacing w:val="-4"/>
                <w:lang w:val="en-GB"/>
              </w:rPr>
              <w:t>1</w:t>
            </w:r>
            <w:r>
              <w:rPr>
                <w:spacing w:val="-4"/>
                <w:lang w:val="en-GB"/>
              </w:rPr>
              <w:t xml:space="preserve"> </w:t>
            </w:r>
            <w:r w:rsidRPr="00F76217">
              <w:rPr>
                <w:spacing w:val="-4"/>
                <w:lang w:val="en-GB"/>
              </w:rPr>
              <w:t>2017</w:t>
            </w:r>
            <w:r>
              <w:rPr>
                <w:spacing w:val="-4"/>
                <w:lang w:val="en-GB"/>
              </w:rPr>
              <w:t xml:space="preserve"> and lowered by 8.3 CZK </w:t>
            </w:r>
            <w:proofErr w:type="spellStart"/>
            <w:r>
              <w:rPr>
                <w:spacing w:val="-4"/>
                <w:lang w:val="en-GB"/>
              </w:rPr>
              <w:t>bn</w:t>
            </w:r>
            <w:proofErr w:type="spellEnd"/>
            <w:r>
              <w:rPr>
                <w:spacing w:val="-4"/>
                <w:lang w:val="en-GB"/>
              </w:rPr>
              <w:t xml:space="preserve"> </w:t>
            </w:r>
            <w:proofErr w:type="gramStart"/>
            <w:r>
              <w:rPr>
                <w:spacing w:val="-4"/>
                <w:lang w:val="en-GB"/>
              </w:rPr>
              <w:t>year-on-year</w:t>
            </w:r>
            <w:proofErr w:type="gramEnd"/>
            <w:r>
              <w:rPr>
                <w:spacing w:val="-4"/>
                <w:lang w:val="en-GB"/>
              </w:rPr>
              <w:t xml:space="preserve">. The surplus of trade with goods remained practically unchanged and reached </w:t>
            </w:r>
            <w:r w:rsidRPr="00F76217">
              <w:rPr>
                <w:spacing w:val="-4"/>
                <w:lang w:val="en-GB"/>
              </w:rPr>
              <w:t>165</w:t>
            </w:r>
            <w:r>
              <w:rPr>
                <w:spacing w:val="-4"/>
                <w:lang w:val="en-GB"/>
              </w:rPr>
              <w:t>.</w:t>
            </w:r>
            <w:r w:rsidRPr="00F76217">
              <w:rPr>
                <w:spacing w:val="-4"/>
                <w:lang w:val="en-GB"/>
              </w:rPr>
              <w:t xml:space="preserve">5 </w:t>
            </w:r>
            <w:proofErr w:type="spellStart"/>
            <w:r>
              <w:rPr>
                <w:spacing w:val="-4"/>
                <w:lang w:val="en-GB"/>
              </w:rPr>
              <w:t>bn</w:t>
            </w:r>
            <w:proofErr w:type="spellEnd"/>
            <w:r w:rsidRPr="00F76217">
              <w:rPr>
                <w:spacing w:val="-4"/>
                <w:lang w:val="en-GB"/>
              </w:rPr>
              <w:t xml:space="preserve">, </w:t>
            </w:r>
            <w:r>
              <w:rPr>
                <w:spacing w:val="-4"/>
                <w:lang w:val="en-GB"/>
              </w:rPr>
              <w:t xml:space="preserve">surplus of the trade with services increased by </w:t>
            </w:r>
            <w:r w:rsidRPr="00F76217">
              <w:rPr>
                <w:spacing w:val="-4"/>
                <w:lang w:val="en-GB"/>
              </w:rPr>
              <w:t>7</w:t>
            </w:r>
            <w:r>
              <w:rPr>
                <w:spacing w:val="-4"/>
                <w:lang w:val="en-GB"/>
              </w:rPr>
              <w:t>.</w:t>
            </w:r>
            <w:r w:rsidRPr="00F76217">
              <w:rPr>
                <w:spacing w:val="-4"/>
                <w:lang w:val="en-GB"/>
              </w:rPr>
              <w:t xml:space="preserve">6 </w:t>
            </w:r>
            <w:r>
              <w:rPr>
                <w:spacing w:val="-4"/>
                <w:lang w:val="en-GB"/>
              </w:rPr>
              <w:t>CZK bn</w:t>
            </w:r>
            <w:r w:rsidRPr="00F76217">
              <w:rPr>
                <w:spacing w:val="-4"/>
                <w:lang w:val="en-GB"/>
              </w:rPr>
              <w:t xml:space="preserve">. </w:t>
            </w:r>
            <w:r>
              <w:rPr>
                <w:spacing w:val="-4"/>
                <w:lang w:val="en-GB"/>
              </w:rPr>
              <w:t xml:space="preserve">The balance of primary incomes worked in the direction of the deficit </w:t>
            </w:r>
            <w:r w:rsidRPr="00F76217">
              <w:rPr>
                <w:spacing w:val="-4"/>
                <w:lang w:val="en-GB"/>
              </w:rPr>
              <w:t>(</w:t>
            </w:r>
            <w:r>
              <w:rPr>
                <w:spacing w:val="-4"/>
                <w:lang w:val="en-GB"/>
              </w:rPr>
              <w:t xml:space="preserve">reached </w:t>
            </w:r>
            <w:r w:rsidRPr="00F76217">
              <w:rPr>
                <w:spacing w:val="-4"/>
                <w:lang w:val="en-GB"/>
              </w:rPr>
              <w:t>102</w:t>
            </w:r>
            <w:r>
              <w:rPr>
                <w:spacing w:val="-4"/>
                <w:lang w:val="en-GB"/>
              </w:rPr>
              <w:t>.</w:t>
            </w:r>
            <w:r w:rsidRPr="00F76217">
              <w:rPr>
                <w:spacing w:val="-4"/>
                <w:lang w:val="en-GB"/>
              </w:rPr>
              <w:t>1 </w:t>
            </w:r>
            <w:r>
              <w:rPr>
                <w:spacing w:val="-4"/>
                <w:lang w:val="en-GB"/>
              </w:rPr>
              <w:t xml:space="preserve">CZK </w:t>
            </w:r>
            <w:proofErr w:type="spellStart"/>
            <w:r>
              <w:rPr>
                <w:spacing w:val="-4"/>
                <w:lang w:val="en-GB"/>
              </w:rPr>
              <w:t>bn</w:t>
            </w:r>
            <w:proofErr w:type="spellEnd"/>
            <w:r>
              <w:rPr>
                <w:spacing w:val="-4"/>
                <w:lang w:val="en-GB"/>
              </w:rPr>
              <w:t xml:space="preserve">, year-on-year it lowered by </w:t>
            </w:r>
            <w:r w:rsidRPr="00F76217">
              <w:rPr>
                <w:spacing w:val="-4"/>
                <w:lang w:val="en-GB"/>
              </w:rPr>
              <w:t>9</w:t>
            </w:r>
            <w:r>
              <w:rPr>
                <w:spacing w:val="-4"/>
                <w:lang w:val="en-GB"/>
              </w:rPr>
              <w:t>.</w:t>
            </w:r>
            <w:r w:rsidRPr="00F76217">
              <w:rPr>
                <w:spacing w:val="-4"/>
                <w:lang w:val="en-GB"/>
              </w:rPr>
              <w:t xml:space="preserve">5 </w:t>
            </w:r>
            <w:proofErr w:type="spellStart"/>
            <w:r>
              <w:rPr>
                <w:spacing w:val="-4"/>
                <w:lang w:val="en-GB"/>
              </w:rPr>
              <w:t>bn</w:t>
            </w:r>
            <w:proofErr w:type="spellEnd"/>
            <w:r w:rsidRPr="00F76217">
              <w:rPr>
                <w:spacing w:val="-4"/>
                <w:lang w:val="en-GB"/>
              </w:rPr>
              <w:t xml:space="preserve">), </w:t>
            </w:r>
            <w:r>
              <w:rPr>
                <w:spacing w:val="-4"/>
                <w:lang w:val="en-GB"/>
              </w:rPr>
              <w:t xml:space="preserve">the outflow of income from investment participated the most on this result. </w:t>
            </w:r>
            <w:r w:rsidRPr="00F76217">
              <w:rPr>
                <w:spacing w:val="-4"/>
                <w:lang w:val="en-GB"/>
              </w:rPr>
              <w:t>T</w:t>
            </w:r>
            <w:r>
              <w:rPr>
                <w:spacing w:val="-4"/>
                <w:lang w:val="en-GB"/>
              </w:rPr>
              <w:t xml:space="preserve">his outflow amounted to </w:t>
            </w:r>
            <w:r w:rsidRPr="00F76217">
              <w:rPr>
                <w:spacing w:val="-4"/>
                <w:lang w:val="en-GB"/>
              </w:rPr>
              <w:t>143</w:t>
            </w:r>
            <w:r>
              <w:rPr>
                <w:spacing w:val="-4"/>
                <w:lang w:val="en-GB"/>
              </w:rPr>
              <w:t>.</w:t>
            </w:r>
            <w:r w:rsidRPr="00F76217">
              <w:rPr>
                <w:spacing w:val="-4"/>
                <w:lang w:val="en-GB"/>
              </w:rPr>
              <w:t xml:space="preserve">7 </w:t>
            </w:r>
            <w:r>
              <w:rPr>
                <w:spacing w:val="-4"/>
                <w:lang w:val="en-GB"/>
              </w:rPr>
              <w:t xml:space="preserve">CZK </w:t>
            </w:r>
            <w:proofErr w:type="spellStart"/>
            <w:r>
              <w:rPr>
                <w:spacing w:val="-4"/>
                <w:lang w:val="en-GB"/>
              </w:rPr>
              <w:t>bn</w:t>
            </w:r>
            <w:proofErr w:type="spellEnd"/>
            <w:r>
              <w:rPr>
                <w:spacing w:val="-4"/>
                <w:lang w:val="en-GB"/>
              </w:rPr>
              <w:t xml:space="preserve"> in H1</w:t>
            </w:r>
            <w:r w:rsidRPr="00F76217">
              <w:rPr>
                <w:spacing w:val="-4"/>
                <w:lang w:val="en-GB"/>
              </w:rPr>
              <w:t xml:space="preserve">. </w:t>
            </w:r>
            <w:r>
              <w:rPr>
                <w:spacing w:val="-4"/>
                <w:lang w:val="en-GB"/>
              </w:rPr>
              <w:t xml:space="preserve">The deficit of the secondary incomes deepened by </w:t>
            </w:r>
            <w:r w:rsidRPr="00F76217">
              <w:rPr>
                <w:spacing w:val="-4"/>
                <w:lang w:val="en-GB"/>
              </w:rPr>
              <w:t>25</w:t>
            </w:r>
            <w:r>
              <w:rPr>
                <w:spacing w:val="-4"/>
                <w:lang w:val="en-GB"/>
              </w:rPr>
              <w:t>.</w:t>
            </w:r>
            <w:r w:rsidRPr="00F76217">
              <w:rPr>
                <w:spacing w:val="-4"/>
                <w:lang w:val="en-GB"/>
              </w:rPr>
              <w:t xml:space="preserve">7 </w:t>
            </w:r>
            <w:r>
              <w:rPr>
                <w:spacing w:val="-4"/>
                <w:lang w:val="en-GB"/>
              </w:rPr>
              <w:t xml:space="preserve">bn. The financial account balance ended in surplus of </w:t>
            </w:r>
            <w:r w:rsidRPr="00F76217">
              <w:rPr>
                <w:spacing w:val="-4"/>
                <w:lang w:val="en-GB"/>
              </w:rPr>
              <w:t>123</w:t>
            </w:r>
            <w:r>
              <w:rPr>
                <w:spacing w:val="-4"/>
                <w:lang w:val="en-GB"/>
              </w:rPr>
              <w:t>.</w:t>
            </w:r>
            <w:r w:rsidRPr="00F76217">
              <w:rPr>
                <w:spacing w:val="-4"/>
                <w:lang w:val="en-GB"/>
              </w:rPr>
              <w:t>6 </w:t>
            </w:r>
            <w:r>
              <w:rPr>
                <w:spacing w:val="-4"/>
                <w:lang w:val="en-GB"/>
              </w:rPr>
              <w:t xml:space="preserve">CZK </w:t>
            </w:r>
            <w:proofErr w:type="spellStart"/>
            <w:r>
              <w:rPr>
                <w:spacing w:val="-4"/>
                <w:lang w:val="en-GB"/>
              </w:rPr>
              <w:t>bn</w:t>
            </w:r>
            <w:proofErr w:type="spellEnd"/>
            <w:r>
              <w:rPr>
                <w:spacing w:val="-4"/>
                <w:lang w:val="en-GB"/>
              </w:rPr>
              <w:t xml:space="preserve"> in H1</w:t>
            </w:r>
            <w:r w:rsidRPr="00F76217">
              <w:rPr>
                <w:spacing w:val="-4"/>
                <w:lang w:val="en-GB"/>
              </w:rPr>
              <w:t xml:space="preserve"> (96</w:t>
            </w:r>
            <w:r>
              <w:rPr>
                <w:spacing w:val="-4"/>
                <w:lang w:val="en-GB"/>
              </w:rPr>
              <w:t>.</w:t>
            </w:r>
            <w:r w:rsidRPr="00F76217">
              <w:rPr>
                <w:spacing w:val="-4"/>
                <w:lang w:val="en-GB"/>
              </w:rPr>
              <w:t xml:space="preserve">3 </w:t>
            </w:r>
            <w:proofErr w:type="spellStart"/>
            <w:r>
              <w:rPr>
                <w:spacing w:val="-4"/>
                <w:lang w:val="en-GB"/>
              </w:rPr>
              <w:t>bn</w:t>
            </w:r>
            <w:proofErr w:type="spellEnd"/>
            <w:r>
              <w:rPr>
                <w:spacing w:val="-4"/>
                <w:lang w:val="en-GB"/>
              </w:rPr>
              <w:t xml:space="preserve"> in Q</w:t>
            </w:r>
            <w:r w:rsidRPr="00F76217">
              <w:rPr>
                <w:spacing w:val="-4"/>
                <w:lang w:val="en-GB"/>
              </w:rPr>
              <w:t>1</w:t>
            </w:r>
            <w:r>
              <w:rPr>
                <w:spacing w:val="-4"/>
                <w:lang w:val="en-GB"/>
              </w:rPr>
              <w:t xml:space="preserve"> and </w:t>
            </w:r>
            <w:r w:rsidRPr="00F76217">
              <w:rPr>
                <w:spacing w:val="-4"/>
                <w:lang w:val="en-GB"/>
              </w:rPr>
              <w:t>27</w:t>
            </w:r>
            <w:r>
              <w:rPr>
                <w:spacing w:val="-4"/>
                <w:lang w:val="en-GB"/>
              </w:rPr>
              <w:t>.</w:t>
            </w:r>
            <w:r w:rsidRPr="00F76217">
              <w:rPr>
                <w:spacing w:val="-4"/>
                <w:lang w:val="en-GB"/>
              </w:rPr>
              <w:t xml:space="preserve">3 </w:t>
            </w:r>
            <w:proofErr w:type="spellStart"/>
            <w:r>
              <w:rPr>
                <w:spacing w:val="-4"/>
                <w:lang w:val="en-GB"/>
              </w:rPr>
              <w:t>bn</w:t>
            </w:r>
            <w:proofErr w:type="spellEnd"/>
            <w:r>
              <w:rPr>
                <w:spacing w:val="-4"/>
                <w:lang w:val="en-GB"/>
              </w:rPr>
              <w:t xml:space="preserve"> in Q</w:t>
            </w:r>
            <w:r w:rsidRPr="00F76217">
              <w:rPr>
                <w:spacing w:val="-4"/>
                <w:lang w:val="en-GB"/>
              </w:rPr>
              <w:t xml:space="preserve">2). </w:t>
            </w:r>
            <w:r>
              <w:rPr>
                <w:spacing w:val="-4"/>
                <w:lang w:val="en-GB"/>
              </w:rPr>
              <w:t xml:space="preserve">The April end of the regime of intervention however created a break between Q1 and Q2. The flows on the financial account, whose size several times increased the long-term average in Q1, halted in Q2. The increase of the reserve assets still worked in the direction of surplus, however it was one tenth compared to Q1. </w:t>
            </w:r>
            <w:r w:rsidR="000E53BD" w:rsidRPr="000E53BD">
              <w:rPr>
                <w:spacing w:val="-5"/>
                <w:lang w:val="en-GB"/>
              </w:rPr>
              <w:t xml:space="preserve">The net inflow of portfolio investment decreased and amounted to 353.8 </w:t>
            </w:r>
            <w:proofErr w:type="spellStart"/>
            <w:r w:rsidR="000E53BD" w:rsidRPr="000E53BD">
              <w:rPr>
                <w:spacing w:val="-5"/>
                <w:lang w:val="en-GB"/>
              </w:rPr>
              <w:t>bn</w:t>
            </w:r>
            <w:proofErr w:type="spellEnd"/>
            <w:r w:rsidR="000E53BD" w:rsidRPr="000E53BD">
              <w:rPr>
                <w:spacing w:val="-5"/>
                <w:lang w:val="en-GB"/>
              </w:rPr>
              <w:t xml:space="preserve"> in Q1. The net inflow in the amount of 45.9 CZK </w:t>
            </w:r>
            <w:proofErr w:type="spellStart"/>
            <w:r w:rsidR="000E53BD" w:rsidRPr="000E53BD">
              <w:rPr>
                <w:spacing w:val="-5"/>
                <w:lang w:val="en-GB"/>
              </w:rPr>
              <w:t>bn</w:t>
            </w:r>
            <w:proofErr w:type="spellEnd"/>
            <w:r w:rsidR="000E53BD" w:rsidRPr="000E53BD">
              <w:rPr>
                <w:spacing w:val="-5"/>
                <w:lang w:val="en-GB"/>
              </w:rPr>
              <w:t xml:space="preserve"> manifested in Q2. The net inflow of other investment also reduced to less than one thirtieth quarter-on-quarter. </w:t>
            </w:r>
          </w:p>
          <w:p w:rsidR="009F62C9" w:rsidRPr="00F76217" w:rsidRDefault="009F62C9" w:rsidP="00260FBE">
            <w:pPr>
              <w:pStyle w:val="Textpoznpodarou"/>
              <w:jc w:val="both"/>
              <w:rPr>
                <w:spacing w:val="-4"/>
                <w:sz w:val="14"/>
                <w:szCs w:val="14"/>
                <w:highlight w:val="yellow"/>
                <w:lang w:val="en-GB"/>
              </w:rPr>
            </w:pPr>
          </w:p>
        </w:tc>
      </w:tr>
      <w:tr w:rsidR="009F62C9" w:rsidRPr="00A74192" w:rsidTr="009F62C9">
        <w:trPr>
          <w:trHeight w:val="663"/>
        </w:trPr>
        <w:tc>
          <w:tcPr>
            <w:tcW w:w="1015" w:type="pct"/>
          </w:tcPr>
          <w:p w:rsidR="009F62C9" w:rsidRPr="00F76217" w:rsidRDefault="009F62C9" w:rsidP="006C36F4">
            <w:pPr>
              <w:spacing w:line="240" w:lineRule="auto"/>
              <w:rPr>
                <w:sz w:val="16"/>
                <w:szCs w:val="16"/>
                <w:lang w:val="en-GB"/>
              </w:rPr>
            </w:pPr>
            <w:r w:rsidRPr="0062588B">
              <w:rPr>
                <w:sz w:val="16"/>
                <w:szCs w:val="16"/>
                <w:lang w:val="en-GB"/>
              </w:rPr>
              <w:t xml:space="preserve">Exports from the CR increased year-on-year. </w:t>
            </w:r>
          </w:p>
        </w:tc>
        <w:tc>
          <w:tcPr>
            <w:tcW w:w="144" w:type="pct"/>
          </w:tcPr>
          <w:p w:rsidR="009F62C9" w:rsidRPr="00F76217" w:rsidRDefault="009F62C9" w:rsidP="00260FBE">
            <w:pPr>
              <w:pStyle w:val="Textpoznpodarou"/>
              <w:jc w:val="both"/>
              <w:rPr>
                <w:color w:val="FF0000"/>
                <w:highlight w:val="yellow"/>
                <w:lang w:val="en-GB"/>
              </w:rPr>
            </w:pPr>
          </w:p>
        </w:tc>
        <w:tc>
          <w:tcPr>
            <w:tcW w:w="3841" w:type="pct"/>
            <w:gridSpan w:val="4"/>
          </w:tcPr>
          <w:p w:rsidR="009F62C9" w:rsidRPr="0062588B" w:rsidRDefault="009F62C9" w:rsidP="00486640">
            <w:pPr>
              <w:pStyle w:val="Textpoznpodarou"/>
              <w:jc w:val="both"/>
              <w:rPr>
                <w:spacing w:val="-4"/>
                <w:sz w:val="16"/>
                <w:szCs w:val="16"/>
                <w:lang w:val="en-GB"/>
              </w:rPr>
            </w:pPr>
            <w:r>
              <w:rPr>
                <w:spacing w:val="-4"/>
                <w:lang w:val="en-GB"/>
              </w:rPr>
              <w:t xml:space="preserve">There were goods exported from the CR in the value of </w:t>
            </w:r>
            <w:r w:rsidRPr="0062588B">
              <w:rPr>
                <w:spacing w:val="-4"/>
                <w:lang w:val="en-GB"/>
              </w:rPr>
              <w:t>1</w:t>
            </w:r>
            <w:r>
              <w:rPr>
                <w:spacing w:val="-4"/>
                <w:lang w:val="en-GB"/>
              </w:rPr>
              <w:t> </w:t>
            </w:r>
            <w:r w:rsidRPr="0062588B">
              <w:rPr>
                <w:spacing w:val="-4"/>
                <w:lang w:val="en-GB"/>
              </w:rPr>
              <w:t>796</w:t>
            </w:r>
            <w:r>
              <w:rPr>
                <w:spacing w:val="-4"/>
                <w:lang w:val="en-GB"/>
              </w:rPr>
              <w:t>.</w:t>
            </w:r>
            <w:r w:rsidRPr="0062588B">
              <w:rPr>
                <w:spacing w:val="-4"/>
                <w:lang w:val="en-GB"/>
              </w:rPr>
              <w:t>9 </w:t>
            </w:r>
            <w:r>
              <w:rPr>
                <w:spacing w:val="-4"/>
                <w:lang w:val="en-GB"/>
              </w:rPr>
              <w:t xml:space="preserve">CZK </w:t>
            </w:r>
            <w:proofErr w:type="spellStart"/>
            <w:r>
              <w:rPr>
                <w:spacing w:val="-4"/>
                <w:lang w:val="en-GB"/>
              </w:rPr>
              <w:t>bn</w:t>
            </w:r>
            <w:proofErr w:type="spellEnd"/>
            <w:r w:rsidRPr="0062588B">
              <w:rPr>
                <w:rStyle w:val="Znakapoznpodarou"/>
                <w:spacing w:val="-4"/>
                <w:lang w:val="en-GB"/>
              </w:rPr>
              <w:footnoteReference w:id="1"/>
            </w:r>
            <w:r w:rsidRPr="0062588B">
              <w:rPr>
                <w:spacing w:val="-4"/>
                <w:lang w:val="en-GB"/>
              </w:rPr>
              <w:t xml:space="preserve"> </w:t>
            </w:r>
            <w:r>
              <w:rPr>
                <w:spacing w:val="-4"/>
                <w:lang w:val="en-GB"/>
              </w:rPr>
              <w:t xml:space="preserve">during first half of the year 2017 and the same period of the preceding year was exceeded by </w:t>
            </w:r>
            <w:r w:rsidRPr="0062588B">
              <w:rPr>
                <w:spacing w:val="-4"/>
                <w:lang w:val="en-GB"/>
              </w:rPr>
              <w:t>111</w:t>
            </w:r>
            <w:r>
              <w:rPr>
                <w:spacing w:val="-4"/>
                <w:lang w:val="en-GB"/>
              </w:rPr>
              <w:t>.</w:t>
            </w:r>
            <w:r w:rsidRPr="0062588B">
              <w:rPr>
                <w:spacing w:val="-4"/>
                <w:lang w:val="en-GB"/>
              </w:rPr>
              <w:t xml:space="preserve">0 </w:t>
            </w:r>
            <w:r>
              <w:rPr>
                <w:spacing w:val="-4"/>
                <w:lang w:val="en-GB"/>
              </w:rPr>
              <w:t xml:space="preserve">CZK </w:t>
            </w:r>
            <w:proofErr w:type="spellStart"/>
            <w:r>
              <w:rPr>
                <w:spacing w:val="-4"/>
                <w:lang w:val="en-GB"/>
              </w:rPr>
              <w:t>bn</w:t>
            </w:r>
            <w:proofErr w:type="spellEnd"/>
            <w:r>
              <w:rPr>
                <w:spacing w:val="-4"/>
                <w:lang w:val="en-GB"/>
              </w:rPr>
              <w:t xml:space="preserve"> </w:t>
            </w:r>
            <w:r w:rsidRPr="0062588B">
              <w:rPr>
                <w:spacing w:val="-4"/>
                <w:lang w:val="en-GB"/>
              </w:rPr>
              <w:t>(6</w:t>
            </w:r>
            <w:r>
              <w:rPr>
                <w:spacing w:val="-4"/>
                <w:lang w:val="en-GB"/>
              </w:rPr>
              <w:t>.</w:t>
            </w:r>
            <w:r w:rsidRPr="0062588B">
              <w:rPr>
                <w:spacing w:val="-4"/>
                <w:lang w:val="en-GB"/>
              </w:rPr>
              <w:t>6</w:t>
            </w:r>
            <w:r>
              <w:rPr>
                <w:spacing w:val="-4"/>
                <w:lang w:val="en-GB"/>
              </w:rPr>
              <w:t>%</w:t>
            </w:r>
            <w:r w:rsidRPr="0062588B">
              <w:rPr>
                <w:spacing w:val="-4"/>
                <w:lang w:val="en-GB"/>
              </w:rPr>
              <w:t xml:space="preserve">). </w:t>
            </w:r>
            <w:r>
              <w:rPr>
                <w:spacing w:val="-4"/>
                <w:lang w:val="en-GB"/>
              </w:rPr>
              <w:t xml:space="preserve">A large part of the relatively strong year-on-year increase was achieved mainly thanks to the extraordinary Q1 </w:t>
            </w:r>
            <w:r w:rsidRPr="0062588B">
              <w:rPr>
                <w:spacing w:val="-4"/>
                <w:lang w:val="en-GB"/>
              </w:rPr>
              <w:t>(75</w:t>
            </w:r>
            <w:r>
              <w:rPr>
                <w:spacing w:val="-4"/>
                <w:lang w:val="en-GB"/>
              </w:rPr>
              <w:t>.</w:t>
            </w:r>
            <w:r w:rsidRPr="0062588B">
              <w:rPr>
                <w:spacing w:val="-4"/>
                <w:lang w:val="en-GB"/>
              </w:rPr>
              <w:t xml:space="preserve">4 </w:t>
            </w:r>
            <w:r>
              <w:rPr>
                <w:spacing w:val="-4"/>
                <w:lang w:val="en-GB"/>
              </w:rPr>
              <w:t xml:space="preserve">CZK </w:t>
            </w:r>
            <w:proofErr w:type="spellStart"/>
            <w:r>
              <w:rPr>
                <w:spacing w:val="-4"/>
                <w:lang w:val="en-GB"/>
              </w:rPr>
              <w:t>bn</w:t>
            </w:r>
            <w:proofErr w:type="spellEnd"/>
            <w:r w:rsidRPr="0062588B">
              <w:rPr>
                <w:spacing w:val="-4"/>
                <w:lang w:val="en-GB"/>
              </w:rPr>
              <w:t xml:space="preserve">). </w:t>
            </w:r>
            <w:r>
              <w:rPr>
                <w:spacing w:val="-4"/>
                <w:lang w:val="en-GB"/>
              </w:rPr>
              <w:t xml:space="preserve">The second quarter overtook the same period of the last year by </w:t>
            </w:r>
            <w:r w:rsidRPr="0062588B">
              <w:rPr>
                <w:spacing w:val="-4"/>
                <w:lang w:val="en-GB"/>
              </w:rPr>
              <w:t>35</w:t>
            </w:r>
            <w:r>
              <w:rPr>
                <w:spacing w:val="-4"/>
                <w:lang w:val="en-GB"/>
              </w:rPr>
              <w:t>.</w:t>
            </w:r>
            <w:r w:rsidRPr="0062588B">
              <w:rPr>
                <w:spacing w:val="-4"/>
                <w:lang w:val="en-GB"/>
              </w:rPr>
              <w:t xml:space="preserve">6 </w:t>
            </w:r>
            <w:r>
              <w:rPr>
                <w:spacing w:val="-4"/>
                <w:lang w:val="en-GB"/>
              </w:rPr>
              <w:t xml:space="preserve">CZK </w:t>
            </w:r>
            <w:proofErr w:type="spellStart"/>
            <w:r>
              <w:rPr>
                <w:spacing w:val="-4"/>
                <w:lang w:val="en-GB"/>
              </w:rPr>
              <w:t>bn</w:t>
            </w:r>
            <w:proofErr w:type="spellEnd"/>
            <w:r>
              <w:rPr>
                <w:spacing w:val="-4"/>
                <w:lang w:val="en-GB"/>
              </w:rPr>
              <w:t xml:space="preserve">, at the same time however it had four working days less. </w:t>
            </w:r>
            <w:r w:rsidRPr="0062588B">
              <w:rPr>
                <w:spacing w:val="-4"/>
                <w:lang w:val="en-GB"/>
              </w:rPr>
              <w:t xml:space="preserve"> </w:t>
            </w:r>
          </w:p>
          <w:p w:rsidR="009F62C9" w:rsidRDefault="009F62C9" w:rsidP="00260FBE">
            <w:pPr>
              <w:pStyle w:val="Textpoznpodarou"/>
              <w:jc w:val="both"/>
              <w:rPr>
                <w:spacing w:val="-4"/>
                <w:lang w:val="en-GB"/>
              </w:rPr>
            </w:pPr>
          </w:p>
        </w:tc>
      </w:tr>
      <w:tr w:rsidR="009F62C9" w:rsidRPr="00A74192" w:rsidTr="00260FBE">
        <w:trPr>
          <w:trHeight w:val="662"/>
        </w:trPr>
        <w:tc>
          <w:tcPr>
            <w:tcW w:w="1015" w:type="pct"/>
          </w:tcPr>
          <w:p w:rsidR="009F62C9" w:rsidRDefault="009F62C9" w:rsidP="006C36F4">
            <w:pPr>
              <w:spacing w:line="240" w:lineRule="auto"/>
              <w:rPr>
                <w:sz w:val="16"/>
                <w:szCs w:val="16"/>
                <w:lang w:val="en-GB"/>
              </w:rPr>
            </w:pPr>
            <w:r>
              <w:rPr>
                <w:sz w:val="16"/>
                <w:szCs w:val="16"/>
                <w:lang w:val="en-GB"/>
              </w:rPr>
              <w:t xml:space="preserve">Exports grew into the majority of the main export destinations. </w:t>
            </w:r>
          </w:p>
          <w:p w:rsidR="00844821" w:rsidRDefault="00844821" w:rsidP="006C36F4">
            <w:pPr>
              <w:spacing w:line="240" w:lineRule="auto"/>
              <w:rPr>
                <w:sz w:val="16"/>
                <w:szCs w:val="16"/>
                <w:lang w:val="en-GB"/>
              </w:rPr>
            </w:pPr>
          </w:p>
          <w:p w:rsidR="00844821" w:rsidRDefault="00844821" w:rsidP="006C36F4">
            <w:pPr>
              <w:spacing w:line="240" w:lineRule="auto"/>
              <w:rPr>
                <w:sz w:val="16"/>
                <w:szCs w:val="16"/>
                <w:lang w:val="en-GB"/>
              </w:rPr>
            </w:pPr>
          </w:p>
          <w:p w:rsidR="00844821" w:rsidRDefault="00844821" w:rsidP="006C36F4">
            <w:pPr>
              <w:spacing w:line="240" w:lineRule="auto"/>
              <w:rPr>
                <w:sz w:val="16"/>
                <w:szCs w:val="16"/>
                <w:lang w:val="en-GB"/>
              </w:rPr>
            </w:pPr>
          </w:p>
          <w:p w:rsidR="00844821" w:rsidRDefault="00844821" w:rsidP="006C36F4">
            <w:pPr>
              <w:spacing w:line="240" w:lineRule="auto"/>
              <w:rPr>
                <w:sz w:val="16"/>
                <w:szCs w:val="16"/>
                <w:lang w:val="en-GB"/>
              </w:rPr>
            </w:pPr>
          </w:p>
          <w:p w:rsidR="00844821" w:rsidRDefault="00844821" w:rsidP="006C36F4">
            <w:pPr>
              <w:spacing w:line="240" w:lineRule="auto"/>
              <w:rPr>
                <w:sz w:val="16"/>
                <w:szCs w:val="16"/>
                <w:lang w:val="en-GB"/>
              </w:rPr>
            </w:pPr>
          </w:p>
          <w:p w:rsidR="00844821" w:rsidRDefault="00844821" w:rsidP="006C36F4">
            <w:pPr>
              <w:spacing w:line="240" w:lineRule="auto"/>
              <w:rPr>
                <w:sz w:val="16"/>
                <w:szCs w:val="16"/>
                <w:lang w:val="en-GB"/>
              </w:rPr>
            </w:pPr>
          </w:p>
          <w:p w:rsidR="00844821" w:rsidRDefault="00844821" w:rsidP="006C36F4">
            <w:pPr>
              <w:spacing w:line="240" w:lineRule="auto"/>
              <w:rPr>
                <w:sz w:val="16"/>
                <w:szCs w:val="16"/>
                <w:lang w:val="en-GB"/>
              </w:rPr>
            </w:pPr>
          </w:p>
          <w:p w:rsidR="00844821" w:rsidRDefault="00844821" w:rsidP="006C36F4">
            <w:pPr>
              <w:spacing w:line="240" w:lineRule="auto"/>
              <w:rPr>
                <w:sz w:val="16"/>
                <w:szCs w:val="16"/>
                <w:lang w:val="en-GB"/>
              </w:rPr>
            </w:pPr>
          </w:p>
          <w:p w:rsidR="00844821" w:rsidRDefault="00844821" w:rsidP="006C36F4">
            <w:pPr>
              <w:spacing w:line="240" w:lineRule="auto"/>
              <w:rPr>
                <w:sz w:val="16"/>
                <w:szCs w:val="16"/>
                <w:lang w:val="en-GB"/>
              </w:rPr>
            </w:pPr>
          </w:p>
          <w:p w:rsidR="00844821" w:rsidRDefault="00844821" w:rsidP="006C36F4">
            <w:pPr>
              <w:spacing w:line="240" w:lineRule="auto"/>
              <w:rPr>
                <w:sz w:val="16"/>
                <w:szCs w:val="16"/>
                <w:lang w:val="en-GB"/>
              </w:rPr>
            </w:pPr>
          </w:p>
          <w:p w:rsidR="00844821" w:rsidRDefault="00844821" w:rsidP="006C36F4">
            <w:pPr>
              <w:spacing w:line="240" w:lineRule="auto"/>
              <w:rPr>
                <w:sz w:val="16"/>
                <w:szCs w:val="16"/>
                <w:lang w:val="en-GB"/>
              </w:rPr>
            </w:pPr>
          </w:p>
          <w:p w:rsidR="00844821" w:rsidRDefault="00844821" w:rsidP="006C36F4">
            <w:pPr>
              <w:spacing w:line="240" w:lineRule="auto"/>
              <w:rPr>
                <w:sz w:val="16"/>
                <w:szCs w:val="16"/>
                <w:lang w:val="en-GB"/>
              </w:rPr>
            </w:pPr>
          </w:p>
          <w:p w:rsidR="00844821" w:rsidRDefault="00844821" w:rsidP="006C36F4">
            <w:pPr>
              <w:spacing w:line="240" w:lineRule="auto"/>
              <w:rPr>
                <w:sz w:val="16"/>
                <w:szCs w:val="16"/>
                <w:lang w:val="en-GB"/>
              </w:rPr>
            </w:pPr>
          </w:p>
          <w:p w:rsidR="00844821" w:rsidRDefault="00844821" w:rsidP="006C36F4">
            <w:pPr>
              <w:spacing w:line="240" w:lineRule="auto"/>
              <w:rPr>
                <w:sz w:val="16"/>
                <w:szCs w:val="16"/>
                <w:lang w:val="en-GB"/>
              </w:rPr>
            </w:pPr>
          </w:p>
          <w:p w:rsidR="00844821" w:rsidRPr="00F76217" w:rsidRDefault="00844821" w:rsidP="006C36F4">
            <w:pPr>
              <w:spacing w:line="240" w:lineRule="auto"/>
              <w:rPr>
                <w:sz w:val="16"/>
                <w:szCs w:val="16"/>
                <w:lang w:val="en-GB"/>
              </w:rPr>
            </w:pPr>
            <w:r w:rsidRPr="002D34BF">
              <w:rPr>
                <w:sz w:val="16"/>
                <w:szCs w:val="16"/>
                <w:lang w:val="en-GB"/>
              </w:rPr>
              <w:t>The foreign trade with both motor vehicles and machinery thrived.</w:t>
            </w:r>
          </w:p>
        </w:tc>
        <w:tc>
          <w:tcPr>
            <w:tcW w:w="144" w:type="pct"/>
          </w:tcPr>
          <w:p w:rsidR="009F62C9" w:rsidRPr="00F76217" w:rsidRDefault="009F62C9" w:rsidP="00260FBE">
            <w:pPr>
              <w:pStyle w:val="Textpoznpodarou"/>
              <w:jc w:val="both"/>
              <w:rPr>
                <w:color w:val="FF0000"/>
                <w:highlight w:val="yellow"/>
                <w:lang w:val="en-GB"/>
              </w:rPr>
            </w:pPr>
          </w:p>
        </w:tc>
        <w:tc>
          <w:tcPr>
            <w:tcW w:w="3841" w:type="pct"/>
            <w:gridSpan w:val="4"/>
          </w:tcPr>
          <w:p w:rsidR="009F62C9" w:rsidRDefault="009F62C9" w:rsidP="00260FBE">
            <w:pPr>
              <w:pStyle w:val="Textpoznpodarou"/>
              <w:jc w:val="both"/>
              <w:rPr>
                <w:spacing w:val="-4"/>
                <w:lang w:val="en-GB"/>
              </w:rPr>
            </w:pPr>
            <w:r>
              <w:rPr>
                <w:spacing w:val="-4"/>
                <w:lang w:val="en-GB"/>
              </w:rPr>
              <w:t xml:space="preserve">The territorial structure of the Czech export did not practically differ in Q1 and Q2 </w:t>
            </w:r>
            <w:r w:rsidRPr="0062588B">
              <w:rPr>
                <w:spacing w:val="-4"/>
                <w:lang w:val="en-GB"/>
              </w:rPr>
              <w:t>2017</w:t>
            </w:r>
            <w:r>
              <w:rPr>
                <w:spacing w:val="-4"/>
                <w:lang w:val="en-GB"/>
              </w:rPr>
              <w:t xml:space="preserve"> from the same period of the preceding year. </w:t>
            </w:r>
            <w:r w:rsidRPr="0062588B">
              <w:rPr>
                <w:spacing w:val="-4"/>
                <w:lang w:val="en-GB"/>
              </w:rPr>
              <w:t>83</w:t>
            </w:r>
            <w:r>
              <w:rPr>
                <w:spacing w:val="-4"/>
                <w:lang w:val="en-GB"/>
              </w:rPr>
              <w:t>.</w:t>
            </w:r>
            <w:r w:rsidRPr="0062588B">
              <w:rPr>
                <w:spacing w:val="-4"/>
                <w:lang w:val="en-GB"/>
              </w:rPr>
              <w:t>9</w:t>
            </w:r>
            <w:r>
              <w:rPr>
                <w:spacing w:val="-4"/>
                <w:lang w:val="en-GB"/>
              </w:rPr>
              <w:t>%</w:t>
            </w:r>
            <w:r w:rsidRPr="0062588B">
              <w:rPr>
                <w:spacing w:val="-4"/>
                <w:lang w:val="en-GB"/>
              </w:rPr>
              <w:t xml:space="preserve"> </w:t>
            </w:r>
            <w:r>
              <w:rPr>
                <w:spacing w:val="-4"/>
                <w:lang w:val="en-GB"/>
              </w:rPr>
              <w:t xml:space="preserve">of exports headed to the EU and its value increased by 82.3 </w:t>
            </w:r>
            <w:proofErr w:type="spellStart"/>
            <w:r>
              <w:rPr>
                <w:spacing w:val="-4"/>
                <w:lang w:val="en-GB"/>
              </w:rPr>
              <w:t>bn</w:t>
            </w:r>
            <w:proofErr w:type="spellEnd"/>
            <w:r>
              <w:rPr>
                <w:spacing w:val="-4"/>
                <w:lang w:val="en-GB"/>
              </w:rPr>
              <w:t xml:space="preserve"> (5.8%) year-on-year. Apart from Slovakia, where it was exported by 6.7% less in H1 compared to the last year, the exports grew into the all main export destinations. The exports to Germany increased by 7.7% year-on-year, to Poland by 8.7% and to France by </w:t>
            </w:r>
            <w:r w:rsidRPr="0062588B">
              <w:rPr>
                <w:spacing w:val="-4"/>
                <w:lang w:val="en-GB"/>
              </w:rPr>
              <w:t>9</w:t>
            </w:r>
            <w:r>
              <w:rPr>
                <w:spacing w:val="-4"/>
                <w:lang w:val="en-GB"/>
              </w:rPr>
              <w:t>.</w:t>
            </w:r>
            <w:r w:rsidRPr="0062588B">
              <w:rPr>
                <w:spacing w:val="-4"/>
                <w:lang w:val="en-GB"/>
              </w:rPr>
              <w:t>2</w:t>
            </w:r>
            <w:r>
              <w:rPr>
                <w:spacing w:val="-4"/>
                <w:lang w:val="en-GB"/>
              </w:rPr>
              <w:t>%</w:t>
            </w:r>
            <w:r w:rsidRPr="0062588B">
              <w:rPr>
                <w:spacing w:val="-4"/>
                <w:lang w:val="en-GB"/>
              </w:rPr>
              <w:t xml:space="preserve">. </w:t>
            </w:r>
            <w:r>
              <w:rPr>
                <w:spacing w:val="-4"/>
                <w:lang w:val="en-GB"/>
              </w:rPr>
              <w:t xml:space="preserve">The smaller export destinations did not stay behind either. The exports grew strongly to Austria </w:t>
            </w:r>
            <w:r w:rsidRPr="0062588B">
              <w:rPr>
                <w:spacing w:val="-4"/>
                <w:lang w:val="en-GB"/>
              </w:rPr>
              <w:t>(12</w:t>
            </w:r>
            <w:r>
              <w:rPr>
                <w:spacing w:val="-4"/>
                <w:lang w:val="en-GB"/>
              </w:rPr>
              <w:t>.</w:t>
            </w:r>
            <w:r w:rsidRPr="0062588B">
              <w:rPr>
                <w:spacing w:val="-4"/>
                <w:lang w:val="en-GB"/>
              </w:rPr>
              <w:t>1</w:t>
            </w:r>
            <w:r>
              <w:rPr>
                <w:spacing w:val="-4"/>
                <w:lang w:val="en-GB"/>
              </w:rPr>
              <w:t>%</w:t>
            </w:r>
            <w:r w:rsidRPr="0062588B">
              <w:rPr>
                <w:spacing w:val="-4"/>
                <w:lang w:val="en-GB"/>
              </w:rPr>
              <w:t xml:space="preserve">) </w:t>
            </w:r>
            <w:r>
              <w:rPr>
                <w:spacing w:val="-4"/>
                <w:lang w:val="en-GB"/>
              </w:rPr>
              <w:t xml:space="preserve">as well as the Netherlands </w:t>
            </w:r>
            <w:r w:rsidRPr="0062588B">
              <w:rPr>
                <w:spacing w:val="-4"/>
                <w:lang w:val="en-GB"/>
              </w:rPr>
              <w:t>(14</w:t>
            </w:r>
            <w:r>
              <w:rPr>
                <w:spacing w:val="-4"/>
                <w:lang w:val="en-GB"/>
              </w:rPr>
              <w:t>.</w:t>
            </w:r>
            <w:r w:rsidRPr="0062588B">
              <w:rPr>
                <w:spacing w:val="-4"/>
                <w:lang w:val="en-GB"/>
              </w:rPr>
              <w:t>2</w:t>
            </w:r>
            <w:r>
              <w:rPr>
                <w:spacing w:val="-4"/>
                <w:lang w:val="en-GB"/>
              </w:rPr>
              <w:t>%</w:t>
            </w:r>
            <w:r w:rsidRPr="0062588B">
              <w:rPr>
                <w:spacing w:val="-4"/>
                <w:lang w:val="en-GB"/>
              </w:rPr>
              <w:t xml:space="preserve">). </w:t>
            </w:r>
            <w:r>
              <w:rPr>
                <w:spacing w:val="-4"/>
                <w:lang w:val="en-GB"/>
              </w:rPr>
              <w:t xml:space="preserve">The exports also strengthened into countries outside the EU. It reached </w:t>
            </w:r>
            <w:r w:rsidRPr="0062588B">
              <w:rPr>
                <w:spacing w:val="-4"/>
                <w:lang w:val="en-GB"/>
              </w:rPr>
              <w:t>287</w:t>
            </w:r>
            <w:r>
              <w:rPr>
                <w:spacing w:val="-4"/>
                <w:lang w:val="en-GB"/>
              </w:rPr>
              <w:t>.</w:t>
            </w:r>
            <w:r w:rsidRPr="0062588B">
              <w:rPr>
                <w:spacing w:val="-4"/>
                <w:lang w:val="en-GB"/>
              </w:rPr>
              <w:t xml:space="preserve">2 </w:t>
            </w:r>
            <w:r>
              <w:rPr>
                <w:spacing w:val="-4"/>
                <w:lang w:val="en-GB"/>
              </w:rPr>
              <w:t xml:space="preserve">CZK </w:t>
            </w:r>
            <w:proofErr w:type="spellStart"/>
            <w:r>
              <w:rPr>
                <w:spacing w:val="-4"/>
                <w:lang w:val="en-GB"/>
              </w:rPr>
              <w:t>bn</w:t>
            </w:r>
            <w:proofErr w:type="spellEnd"/>
            <w:r>
              <w:rPr>
                <w:spacing w:val="-4"/>
                <w:lang w:val="en-GB"/>
              </w:rPr>
              <w:t xml:space="preserve"> in H1 and increased by </w:t>
            </w:r>
            <w:r w:rsidRPr="0062588B">
              <w:rPr>
                <w:spacing w:val="-4"/>
                <w:lang w:val="en-GB"/>
              </w:rPr>
              <w:t>10</w:t>
            </w:r>
            <w:r>
              <w:rPr>
                <w:spacing w:val="-4"/>
                <w:lang w:val="en-GB"/>
              </w:rPr>
              <w:t>.</w:t>
            </w:r>
            <w:r w:rsidRPr="0062588B">
              <w:rPr>
                <w:spacing w:val="-4"/>
                <w:lang w:val="en-GB"/>
              </w:rPr>
              <w:t>9</w:t>
            </w:r>
            <w:r>
              <w:rPr>
                <w:spacing w:val="-4"/>
                <w:lang w:val="en-GB"/>
              </w:rPr>
              <w:t>% year-on-year</w:t>
            </w:r>
            <w:r w:rsidRPr="0062588B">
              <w:rPr>
                <w:spacing w:val="-4"/>
                <w:lang w:val="en-GB"/>
              </w:rPr>
              <w:t xml:space="preserve">. </w:t>
            </w:r>
            <w:r>
              <w:rPr>
                <w:spacing w:val="-4"/>
                <w:lang w:val="en-GB"/>
              </w:rPr>
              <w:t xml:space="preserve">The export into the United States arrived at </w:t>
            </w:r>
            <w:r w:rsidRPr="0062588B">
              <w:rPr>
                <w:spacing w:val="-4"/>
                <w:lang w:val="en-GB"/>
              </w:rPr>
              <w:t>39</w:t>
            </w:r>
            <w:r>
              <w:rPr>
                <w:spacing w:val="-4"/>
                <w:lang w:val="en-GB"/>
              </w:rPr>
              <w:t>.</w:t>
            </w:r>
            <w:r w:rsidRPr="0062588B">
              <w:rPr>
                <w:spacing w:val="-4"/>
                <w:lang w:val="en-GB"/>
              </w:rPr>
              <w:t xml:space="preserve">7 </w:t>
            </w:r>
            <w:proofErr w:type="spellStart"/>
            <w:r>
              <w:rPr>
                <w:spacing w:val="-4"/>
                <w:lang w:val="en-GB"/>
              </w:rPr>
              <w:t>bn</w:t>
            </w:r>
            <w:proofErr w:type="spellEnd"/>
            <w:r>
              <w:rPr>
                <w:spacing w:val="-4"/>
                <w:lang w:val="en-GB"/>
              </w:rPr>
              <w:t xml:space="preserve"> and went up by </w:t>
            </w:r>
            <w:r w:rsidRPr="0062588B">
              <w:rPr>
                <w:spacing w:val="-4"/>
                <w:lang w:val="en-GB"/>
              </w:rPr>
              <w:t>6</w:t>
            </w:r>
            <w:r>
              <w:rPr>
                <w:spacing w:val="-4"/>
                <w:lang w:val="en-GB"/>
              </w:rPr>
              <w:t>.</w:t>
            </w:r>
            <w:r w:rsidRPr="0062588B">
              <w:rPr>
                <w:spacing w:val="-4"/>
                <w:lang w:val="en-GB"/>
              </w:rPr>
              <w:t>1</w:t>
            </w:r>
            <w:r>
              <w:rPr>
                <w:spacing w:val="-4"/>
                <w:lang w:val="en-GB"/>
              </w:rPr>
              <w:t>%</w:t>
            </w:r>
            <w:r w:rsidRPr="0062588B">
              <w:rPr>
                <w:spacing w:val="-4"/>
                <w:lang w:val="en-GB"/>
              </w:rPr>
              <w:t xml:space="preserve">. </w:t>
            </w:r>
            <w:r>
              <w:rPr>
                <w:spacing w:val="-4"/>
                <w:lang w:val="en-GB"/>
              </w:rPr>
              <w:t xml:space="preserve">Exports into the Russian Federation reached twenty percent year-on-year addition, 20.6% more was exported to China. For Russia, it meant an increase of </w:t>
            </w:r>
            <w:r w:rsidRPr="0062588B">
              <w:rPr>
                <w:spacing w:val="-4"/>
                <w:lang w:val="en-GB"/>
              </w:rPr>
              <w:t>5</w:t>
            </w:r>
            <w:r>
              <w:rPr>
                <w:spacing w:val="-4"/>
                <w:lang w:val="en-GB"/>
              </w:rPr>
              <w:t>.</w:t>
            </w:r>
            <w:r w:rsidRPr="0062588B">
              <w:rPr>
                <w:spacing w:val="-4"/>
                <w:lang w:val="en-GB"/>
              </w:rPr>
              <w:t xml:space="preserve">8 </w:t>
            </w:r>
            <w:r>
              <w:rPr>
                <w:spacing w:val="-4"/>
                <w:lang w:val="en-GB"/>
              </w:rPr>
              <w:t xml:space="preserve">CZK </w:t>
            </w:r>
            <w:proofErr w:type="spellStart"/>
            <w:r>
              <w:rPr>
                <w:spacing w:val="-4"/>
                <w:lang w:val="en-GB"/>
              </w:rPr>
              <w:t>bn</w:t>
            </w:r>
            <w:proofErr w:type="spellEnd"/>
            <w:r>
              <w:rPr>
                <w:spacing w:val="-4"/>
                <w:lang w:val="en-GB"/>
              </w:rPr>
              <w:t xml:space="preserve">, 3.5 </w:t>
            </w:r>
            <w:proofErr w:type="spellStart"/>
            <w:r>
              <w:rPr>
                <w:spacing w:val="-4"/>
                <w:lang w:val="en-GB"/>
              </w:rPr>
              <w:t>bn</w:t>
            </w:r>
            <w:proofErr w:type="spellEnd"/>
            <w:r>
              <w:rPr>
                <w:spacing w:val="-4"/>
                <w:lang w:val="en-GB"/>
              </w:rPr>
              <w:t xml:space="preserve"> for China. </w:t>
            </w:r>
          </w:p>
          <w:p w:rsidR="00631EEC" w:rsidRDefault="00631EEC" w:rsidP="00260FBE">
            <w:pPr>
              <w:pStyle w:val="Textpoznpodarou"/>
              <w:jc w:val="both"/>
              <w:rPr>
                <w:spacing w:val="-4"/>
                <w:lang w:val="en-GB"/>
              </w:rPr>
            </w:pPr>
          </w:p>
          <w:p w:rsidR="00631EEC" w:rsidRPr="00844821" w:rsidRDefault="00844821" w:rsidP="00260FBE">
            <w:pPr>
              <w:pStyle w:val="Textpoznpodarou"/>
              <w:jc w:val="both"/>
              <w:rPr>
                <w:spacing w:val="-4"/>
                <w:sz w:val="16"/>
                <w:szCs w:val="16"/>
                <w:lang w:val="en-GB"/>
              </w:rPr>
            </w:pPr>
            <w:r w:rsidRPr="002D34BF">
              <w:rPr>
                <w:spacing w:val="-4"/>
                <w:lang w:val="en-GB"/>
              </w:rPr>
              <w:t>Motor</w:t>
            </w:r>
            <w:r>
              <w:rPr>
                <w:spacing w:val="-4"/>
                <w:lang w:val="en-GB"/>
              </w:rPr>
              <w:t xml:space="preserve"> vehicles, which comprised 29.4% of exports in H1, again reinforced their position a bit more. The value of their exports increased by 8.6% in comparison to the same period of the last year and reached </w:t>
            </w:r>
            <w:r w:rsidRPr="002D34BF">
              <w:rPr>
                <w:spacing w:val="-4"/>
                <w:lang w:val="en-GB"/>
              </w:rPr>
              <w:t>528</w:t>
            </w:r>
            <w:r>
              <w:rPr>
                <w:spacing w:val="-4"/>
                <w:lang w:val="en-GB"/>
              </w:rPr>
              <w:t>.</w:t>
            </w:r>
            <w:r w:rsidRPr="002D34BF">
              <w:rPr>
                <w:spacing w:val="-4"/>
                <w:lang w:val="en-GB"/>
              </w:rPr>
              <w:t xml:space="preserve">5 </w:t>
            </w:r>
            <w:r>
              <w:rPr>
                <w:spacing w:val="-4"/>
                <w:lang w:val="en-GB"/>
              </w:rPr>
              <w:t>CZK bn. Other divisions significant for the Czech exports also recorded strong increase of exports. E</w:t>
            </w:r>
            <w:r w:rsidRPr="002D34BF">
              <w:rPr>
                <w:spacing w:val="-4"/>
                <w:lang w:val="en-GB"/>
              </w:rPr>
              <w:t>xport</w:t>
            </w:r>
            <w:r>
              <w:rPr>
                <w:spacing w:val="-4"/>
                <w:lang w:val="en-GB"/>
              </w:rPr>
              <w:t xml:space="preserve"> of machinery and equipment increased by </w:t>
            </w:r>
            <w:r w:rsidRPr="002D34BF">
              <w:rPr>
                <w:spacing w:val="-4"/>
                <w:lang w:val="en-GB"/>
              </w:rPr>
              <w:t>8</w:t>
            </w:r>
            <w:r>
              <w:rPr>
                <w:spacing w:val="-4"/>
                <w:lang w:val="en-GB"/>
              </w:rPr>
              <w:t>.</w:t>
            </w:r>
            <w:r w:rsidRPr="002D34BF">
              <w:rPr>
                <w:spacing w:val="-4"/>
                <w:lang w:val="en-GB"/>
              </w:rPr>
              <w:t>9</w:t>
            </w:r>
            <w:r>
              <w:rPr>
                <w:spacing w:val="-4"/>
                <w:lang w:val="en-GB"/>
              </w:rPr>
              <w:t>%</w:t>
            </w:r>
            <w:r w:rsidRPr="002D34BF">
              <w:rPr>
                <w:spacing w:val="-4"/>
                <w:lang w:val="en-GB"/>
              </w:rPr>
              <w:t xml:space="preserve">, </w:t>
            </w:r>
            <w:r>
              <w:rPr>
                <w:spacing w:val="-4"/>
                <w:lang w:val="en-GB"/>
              </w:rPr>
              <w:t xml:space="preserve">computers, electronic and optical appliances by </w:t>
            </w:r>
            <w:r w:rsidRPr="002D34BF">
              <w:rPr>
                <w:spacing w:val="-4"/>
                <w:lang w:val="en-GB"/>
              </w:rPr>
              <w:t>5</w:t>
            </w:r>
            <w:r>
              <w:rPr>
                <w:spacing w:val="-4"/>
                <w:lang w:val="en-GB"/>
              </w:rPr>
              <w:t>.</w:t>
            </w:r>
            <w:r w:rsidRPr="002D34BF">
              <w:rPr>
                <w:spacing w:val="-4"/>
                <w:lang w:val="en-GB"/>
              </w:rPr>
              <w:t>5</w:t>
            </w:r>
            <w:r>
              <w:rPr>
                <w:spacing w:val="-4"/>
                <w:lang w:val="en-GB"/>
              </w:rPr>
              <w:t>%</w:t>
            </w:r>
            <w:r w:rsidRPr="002D34BF">
              <w:rPr>
                <w:spacing w:val="-4"/>
                <w:lang w:val="en-GB"/>
              </w:rPr>
              <w:t xml:space="preserve">. </w:t>
            </w:r>
            <w:r>
              <w:rPr>
                <w:spacing w:val="-4"/>
                <w:lang w:val="en-GB"/>
              </w:rPr>
              <w:t>Electrical appliances were exported more by 7.7%</w:t>
            </w:r>
            <w:r w:rsidRPr="002D34BF">
              <w:rPr>
                <w:spacing w:val="-4"/>
                <w:lang w:val="en-GB"/>
              </w:rPr>
              <w:t>. P</w:t>
            </w:r>
            <w:r>
              <w:rPr>
                <w:spacing w:val="-4"/>
                <w:lang w:val="en-GB"/>
              </w:rPr>
              <w:t xml:space="preserve">ositive trends of the exports of the chemicals and chemical products also continued and increased by 15.2% year-on-year. At the same time, it reached the level, which it held in </w:t>
            </w:r>
            <w:proofErr w:type="gramStart"/>
            <w:r>
              <w:rPr>
                <w:spacing w:val="-4"/>
                <w:lang w:val="en-GB"/>
              </w:rPr>
              <w:t>2014, that</w:t>
            </w:r>
            <w:proofErr w:type="gramEnd"/>
            <w:r>
              <w:rPr>
                <w:spacing w:val="-4"/>
                <w:lang w:val="en-GB"/>
              </w:rPr>
              <w:t xml:space="preserve"> is before the crash of the production capacities, which were renewed at the end of 2016. The manufacture of metal products (-6.3%) and food products (-3.7%) were the only two divisions, which recorded a year-on-year decline in H1. </w:t>
            </w:r>
          </w:p>
          <w:p w:rsidR="00631EEC" w:rsidRDefault="00631EEC" w:rsidP="00260FBE">
            <w:pPr>
              <w:pStyle w:val="Textpoznpodarou"/>
              <w:jc w:val="both"/>
              <w:rPr>
                <w:spacing w:val="-4"/>
                <w:lang w:val="en-GB"/>
              </w:rPr>
            </w:pPr>
          </w:p>
          <w:p w:rsidR="00631EEC" w:rsidRDefault="00631EEC" w:rsidP="00260FBE">
            <w:pPr>
              <w:pStyle w:val="Textpoznpodarou"/>
              <w:jc w:val="both"/>
              <w:rPr>
                <w:spacing w:val="-4"/>
                <w:lang w:val="en-GB"/>
              </w:rPr>
            </w:pPr>
          </w:p>
          <w:p w:rsidR="00631EEC" w:rsidRDefault="00631EEC" w:rsidP="00260FBE">
            <w:pPr>
              <w:pStyle w:val="Textpoznpodarou"/>
              <w:jc w:val="both"/>
              <w:rPr>
                <w:spacing w:val="-4"/>
                <w:lang w:val="en-GB"/>
              </w:rPr>
            </w:pPr>
          </w:p>
          <w:p w:rsidR="00631EEC" w:rsidRDefault="00631EEC" w:rsidP="00260FBE">
            <w:pPr>
              <w:pStyle w:val="Textpoznpodarou"/>
              <w:jc w:val="both"/>
              <w:rPr>
                <w:spacing w:val="-4"/>
                <w:lang w:val="en-GB"/>
              </w:rPr>
            </w:pPr>
          </w:p>
          <w:p w:rsidR="00631EEC" w:rsidRDefault="00631EEC" w:rsidP="00260FBE">
            <w:pPr>
              <w:pStyle w:val="Textpoznpodarou"/>
              <w:jc w:val="both"/>
              <w:rPr>
                <w:spacing w:val="-4"/>
                <w:lang w:val="en-GB"/>
              </w:rPr>
            </w:pPr>
          </w:p>
          <w:p w:rsidR="00631EEC" w:rsidRDefault="00631EEC" w:rsidP="00260FBE">
            <w:pPr>
              <w:pStyle w:val="Textpoznpodarou"/>
              <w:jc w:val="both"/>
              <w:rPr>
                <w:spacing w:val="-4"/>
                <w:lang w:val="en-GB"/>
              </w:rPr>
            </w:pPr>
          </w:p>
          <w:p w:rsidR="00631EEC" w:rsidRDefault="00631EEC" w:rsidP="00260FBE">
            <w:pPr>
              <w:pStyle w:val="Textpoznpodarou"/>
              <w:jc w:val="both"/>
              <w:rPr>
                <w:spacing w:val="-4"/>
                <w:lang w:val="en-GB"/>
              </w:rPr>
            </w:pPr>
          </w:p>
          <w:p w:rsidR="00631EEC" w:rsidRPr="009F62C9" w:rsidRDefault="00631EEC" w:rsidP="00260FBE">
            <w:pPr>
              <w:pStyle w:val="Textpoznpodarou"/>
              <w:jc w:val="both"/>
              <w:rPr>
                <w:spacing w:val="-4"/>
                <w:sz w:val="16"/>
                <w:szCs w:val="16"/>
                <w:lang w:val="en-GB"/>
              </w:rPr>
            </w:pPr>
          </w:p>
        </w:tc>
      </w:tr>
      <w:tr w:rsidR="009F62C9" w:rsidRPr="006647AD" w:rsidTr="00260FBE">
        <w:tc>
          <w:tcPr>
            <w:tcW w:w="1015" w:type="pct"/>
          </w:tcPr>
          <w:p w:rsidR="009F62C9" w:rsidRPr="006647AD" w:rsidRDefault="009F62C9" w:rsidP="00260FBE">
            <w:pPr>
              <w:spacing w:line="240" w:lineRule="auto"/>
              <w:rPr>
                <w:szCs w:val="20"/>
                <w:highlight w:val="yellow"/>
              </w:rPr>
            </w:pPr>
          </w:p>
        </w:tc>
        <w:tc>
          <w:tcPr>
            <w:tcW w:w="144" w:type="pct"/>
          </w:tcPr>
          <w:p w:rsidR="009F62C9" w:rsidRPr="006647AD" w:rsidRDefault="009F62C9" w:rsidP="00260FBE">
            <w:pPr>
              <w:pStyle w:val="Textpoznpodarou"/>
              <w:rPr>
                <w:color w:val="FF0000"/>
              </w:rPr>
            </w:pPr>
          </w:p>
        </w:tc>
        <w:tc>
          <w:tcPr>
            <w:tcW w:w="580" w:type="pct"/>
          </w:tcPr>
          <w:p w:rsidR="009F62C9" w:rsidRPr="00F76217" w:rsidRDefault="009F62C9" w:rsidP="00F76217">
            <w:pPr>
              <w:pStyle w:val="Textpoznpodarou"/>
              <w:rPr>
                <w:color w:val="FF0000"/>
                <w:spacing w:val="-4"/>
                <w:highlight w:val="yellow"/>
                <w:lang w:val="en-GB"/>
              </w:rPr>
            </w:pPr>
            <w:r w:rsidRPr="00F76217">
              <w:rPr>
                <w:spacing w:val="-4"/>
                <w:lang w:val="en-GB"/>
              </w:rPr>
              <w:t>Chart 9</w:t>
            </w:r>
          </w:p>
        </w:tc>
        <w:tc>
          <w:tcPr>
            <w:tcW w:w="3261" w:type="pct"/>
            <w:gridSpan w:val="3"/>
          </w:tcPr>
          <w:p w:rsidR="001077AE" w:rsidRDefault="009F62C9" w:rsidP="00F76217">
            <w:pPr>
              <w:pStyle w:val="Textpoznpodarou"/>
              <w:jc w:val="both"/>
              <w:rPr>
                <w:b/>
                <w:spacing w:val="-4"/>
                <w:lang w:val="en-GB"/>
              </w:rPr>
            </w:pPr>
            <w:r w:rsidRPr="00F76217">
              <w:rPr>
                <w:b/>
                <w:spacing w:val="-4"/>
                <w:lang w:val="en-GB"/>
              </w:rPr>
              <w:t xml:space="preserve">Current account of balance of payments </w:t>
            </w:r>
          </w:p>
          <w:p w:rsidR="009F62C9" w:rsidRPr="00F76217" w:rsidRDefault="009F62C9" w:rsidP="00F76217">
            <w:pPr>
              <w:pStyle w:val="Textpoznpodarou"/>
              <w:jc w:val="both"/>
              <w:rPr>
                <w:color w:val="FF0000"/>
                <w:spacing w:val="-4"/>
                <w:highlight w:val="yellow"/>
                <w:lang w:val="en-GB"/>
              </w:rPr>
            </w:pPr>
            <w:r w:rsidRPr="00F76217">
              <w:rPr>
                <w:spacing w:val="-4"/>
                <w:lang w:val="en-GB"/>
              </w:rPr>
              <w:t>(</w:t>
            </w:r>
            <w:proofErr w:type="spellStart"/>
            <w:r w:rsidRPr="00F76217">
              <w:rPr>
                <w:spacing w:val="-4"/>
                <w:lang w:val="en-GB"/>
              </w:rPr>
              <w:t>cumulation</w:t>
            </w:r>
            <w:proofErr w:type="spellEnd"/>
            <w:r w:rsidRPr="00F76217">
              <w:rPr>
                <w:spacing w:val="-4"/>
                <w:lang w:val="en-GB"/>
              </w:rPr>
              <w:t xml:space="preserve"> of Q1 and Q2 in </w:t>
            </w:r>
            <w:r>
              <w:rPr>
                <w:spacing w:val="-4"/>
                <w:lang w:val="en-GB"/>
              </w:rPr>
              <w:t xml:space="preserve">CZK </w:t>
            </w:r>
            <w:proofErr w:type="spellStart"/>
            <w:r>
              <w:rPr>
                <w:spacing w:val="-4"/>
                <w:lang w:val="en-GB"/>
              </w:rPr>
              <w:t>bn</w:t>
            </w:r>
            <w:proofErr w:type="spellEnd"/>
            <w:r w:rsidRPr="00F76217">
              <w:rPr>
                <w:spacing w:val="-4"/>
                <w:lang w:val="en-GB"/>
              </w:rPr>
              <w:t>)</w:t>
            </w:r>
          </w:p>
        </w:tc>
      </w:tr>
      <w:tr w:rsidR="009F62C9" w:rsidRPr="00A74192" w:rsidTr="00260FBE">
        <w:tc>
          <w:tcPr>
            <w:tcW w:w="1015" w:type="pct"/>
          </w:tcPr>
          <w:p w:rsidR="009F62C9" w:rsidRPr="002804BB" w:rsidRDefault="009F62C9" w:rsidP="00260FBE">
            <w:pPr>
              <w:spacing w:line="240" w:lineRule="auto"/>
              <w:rPr>
                <w:sz w:val="16"/>
                <w:szCs w:val="16"/>
                <w:highlight w:val="yellow"/>
              </w:rPr>
            </w:pPr>
          </w:p>
        </w:tc>
        <w:tc>
          <w:tcPr>
            <w:tcW w:w="144" w:type="pct"/>
          </w:tcPr>
          <w:p w:rsidR="009F62C9" w:rsidRPr="00A74192" w:rsidRDefault="009F62C9" w:rsidP="00260FBE">
            <w:pPr>
              <w:pStyle w:val="Textpoznpodarou"/>
              <w:rPr>
                <w:color w:val="FF0000"/>
              </w:rPr>
            </w:pPr>
          </w:p>
        </w:tc>
        <w:tc>
          <w:tcPr>
            <w:tcW w:w="3841" w:type="pct"/>
            <w:gridSpan w:val="4"/>
          </w:tcPr>
          <w:p w:rsidR="009F62C9" w:rsidRPr="00DC21E2" w:rsidRDefault="009F62C9" w:rsidP="00260FBE">
            <w:pPr>
              <w:pStyle w:val="Textpoznpodarou"/>
              <w:ind w:left="-73"/>
              <w:jc w:val="both"/>
              <w:rPr>
                <w:spacing w:val="-4"/>
                <w:sz w:val="16"/>
                <w:highlight w:val="yellow"/>
              </w:rPr>
            </w:pPr>
            <w:r w:rsidRPr="0068748C">
              <w:rPr>
                <w:noProof/>
                <w:spacing w:val="-4"/>
                <w:sz w:val="16"/>
              </w:rPr>
              <w:drawing>
                <wp:inline distT="0" distB="0" distL="0" distR="0">
                  <wp:extent cx="4737600" cy="3553200"/>
                  <wp:effectExtent l="0" t="0" r="0" b="0"/>
                  <wp:docPr id="2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62C9" w:rsidRDefault="009F62C9" w:rsidP="00260FBE">
            <w:pPr>
              <w:pStyle w:val="Textpoznpodarou"/>
              <w:ind w:left="-73"/>
              <w:jc w:val="right"/>
              <w:rPr>
                <w:spacing w:val="-4"/>
                <w:sz w:val="14"/>
                <w:szCs w:val="14"/>
              </w:rPr>
            </w:pPr>
            <w:proofErr w:type="spellStart"/>
            <w:r>
              <w:rPr>
                <w:spacing w:val="-4"/>
                <w:sz w:val="14"/>
                <w:szCs w:val="14"/>
              </w:rPr>
              <w:t>Source</w:t>
            </w:r>
            <w:proofErr w:type="spellEnd"/>
            <w:r w:rsidRPr="00DC21E2">
              <w:rPr>
                <w:spacing w:val="-4"/>
                <w:sz w:val="14"/>
                <w:szCs w:val="14"/>
              </w:rPr>
              <w:t xml:space="preserve">: </w:t>
            </w:r>
            <w:r>
              <w:rPr>
                <w:spacing w:val="-4"/>
                <w:sz w:val="14"/>
                <w:szCs w:val="14"/>
              </w:rPr>
              <w:t>CNB</w:t>
            </w:r>
          </w:p>
          <w:p w:rsidR="009F62C9" w:rsidRPr="00ED7C3C" w:rsidRDefault="009F62C9" w:rsidP="0068748C">
            <w:pPr>
              <w:pStyle w:val="Textpoznpodarou"/>
              <w:ind w:left="-73"/>
              <w:jc w:val="right"/>
              <w:rPr>
                <w:color w:val="FF0000"/>
                <w:spacing w:val="-4"/>
                <w:sz w:val="15"/>
                <w:szCs w:val="15"/>
                <w:highlight w:val="yellow"/>
              </w:rPr>
            </w:pPr>
          </w:p>
        </w:tc>
      </w:tr>
      <w:tr w:rsidR="009F62C9" w:rsidRPr="00A74192" w:rsidTr="00260FBE">
        <w:tc>
          <w:tcPr>
            <w:tcW w:w="1015" w:type="pct"/>
          </w:tcPr>
          <w:p w:rsidR="009F62C9" w:rsidRPr="007D5055" w:rsidRDefault="009F62C9" w:rsidP="00260FBE">
            <w:pPr>
              <w:spacing w:line="240" w:lineRule="auto"/>
              <w:rPr>
                <w:sz w:val="16"/>
                <w:szCs w:val="16"/>
                <w:highlight w:val="yellow"/>
                <w:lang w:val="en-GB"/>
              </w:rPr>
            </w:pPr>
            <w:r w:rsidRPr="007D5055">
              <w:rPr>
                <w:sz w:val="16"/>
                <w:szCs w:val="16"/>
                <w:lang w:val="en-GB"/>
              </w:rPr>
              <w:t xml:space="preserve">The value of imports also grew, among other things due to the increase of the prices of oil. </w:t>
            </w:r>
          </w:p>
        </w:tc>
        <w:tc>
          <w:tcPr>
            <w:tcW w:w="144" w:type="pct"/>
          </w:tcPr>
          <w:p w:rsidR="009F62C9" w:rsidRPr="007D5055" w:rsidRDefault="009F62C9" w:rsidP="00260FBE">
            <w:pPr>
              <w:pStyle w:val="Textpoznpodarou"/>
              <w:jc w:val="both"/>
              <w:rPr>
                <w:highlight w:val="yellow"/>
                <w:lang w:val="en-GB"/>
              </w:rPr>
            </w:pPr>
          </w:p>
        </w:tc>
        <w:tc>
          <w:tcPr>
            <w:tcW w:w="3841" w:type="pct"/>
            <w:gridSpan w:val="4"/>
          </w:tcPr>
          <w:p w:rsidR="009F62C9" w:rsidRPr="007D5055" w:rsidRDefault="009F62C9" w:rsidP="00260FBE">
            <w:pPr>
              <w:pStyle w:val="Textpoznpodarou"/>
              <w:jc w:val="both"/>
              <w:rPr>
                <w:spacing w:val="-4"/>
                <w:sz w:val="16"/>
                <w:szCs w:val="16"/>
                <w:lang w:val="en-GB"/>
              </w:rPr>
            </w:pPr>
            <w:r>
              <w:rPr>
                <w:spacing w:val="-4"/>
                <w:lang w:val="en-GB"/>
              </w:rPr>
              <w:t xml:space="preserve">The goods worth </w:t>
            </w:r>
            <w:r w:rsidRPr="007D5055">
              <w:rPr>
                <w:spacing w:val="-4"/>
                <w:lang w:val="en-GB"/>
              </w:rPr>
              <w:t>1</w:t>
            </w:r>
            <w:r>
              <w:rPr>
                <w:spacing w:val="-4"/>
                <w:lang w:val="en-GB"/>
              </w:rPr>
              <w:t> </w:t>
            </w:r>
            <w:r w:rsidRPr="007D5055">
              <w:rPr>
                <w:spacing w:val="-4"/>
                <w:lang w:val="en-GB"/>
              </w:rPr>
              <w:t>681</w:t>
            </w:r>
            <w:r>
              <w:rPr>
                <w:spacing w:val="-4"/>
                <w:lang w:val="en-GB"/>
              </w:rPr>
              <w:t>.</w:t>
            </w:r>
            <w:r w:rsidRPr="007D5055">
              <w:rPr>
                <w:spacing w:val="-4"/>
                <w:lang w:val="en-GB"/>
              </w:rPr>
              <w:t xml:space="preserve">6 </w:t>
            </w:r>
            <w:r>
              <w:rPr>
                <w:spacing w:val="-4"/>
                <w:lang w:val="en-GB"/>
              </w:rPr>
              <w:t xml:space="preserve">CZK </w:t>
            </w:r>
            <w:proofErr w:type="spellStart"/>
            <w:r>
              <w:rPr>
                <w:spacing w:val="-4"/>
                <w:lang w:val="en-GB"/>
              </w:rPr>
              <w:t>bn</w:t>
            </w:r>
            <w:proofErr w:type="spellEnd"/>
            <w:r>
              <w:rPr>
                <w:spacing w:val="-4"/>
                <w:lang w:val="en-GB"/>
              </w:rPr>
              <w:t xml:space="preserve"> were imported into the CR in H1</w:t>
            </w:r>
            <w:r w:rsidRPr="007D5055">
              <w:rPr>
                <w:spacing w:val="-4"/>
                <w:lang w:val="en-GB"/>
              </w:rPr>
              <w:t xml:space="preserve">, </w:t>
            </w:r>
            <w:r>
              <w:rPr>
                <w:spacing w:val="-4"/>
                <w:lang w:val="en-GB"/>
              </w:rPr>
              <w:t xml:space="preserve">which is by </w:t>
            </w:r>
            <w:r w:rsidRPr="007D5055">
              <w:rPr>
                <w:spacing w:val="-4"/>
                <w:lang w:val="en-GB"/>
              </w:rPr>
              <w:t>7</w:t>
            </w:r>
            <w:r>
              <w:rPr>
                <w:spacing w:val="-4"/>
                <w:lang w:val="en-GB"/>
              </w:rPr>
              <w:t>.</w:t>
            </w:r>
            <w:r w:rsidRPr="007D5055">
              <w:rPr>
                <w:spacing w:val="-4"/>
                <w:lang w:val="en-GB"/>
              </w:rPr>
              <w:t>6</w:t>
            </w:r>
            <w:r>
              <w:rPr>
                <w:spacing w:val="-4"/>
                <w:lang w:val="en-GB"/>
              </w:rPr>
              <w:t xml:space="preserve">% more in relation to the same period of the last year. Mostly the imports from countries outside the EU </w:t>
            </w:r>
            <w:proofErr w:type="gramStart"/>
            <w:r>
              <w:rPr>
                <w:spacing w:val="-4"/>
                <w:lang w:val="en-GB"/>
              </w:rPr>
              <w:t>grew,</w:t>
            </w:r>
            <w:proofErr w:type="gramEnd"/>
            <w:r>
              <w:rPr>
                <w:spacing w:val="-4"/>
                <w:lang w:val="en-GB"/>
              </w:rPr>
              <w:t xml:space="preserve"> where the oil and gas dominates, and whose growing prices also affected the nominal value of imports. The value of the imported oil and natural gas itself rose by 20.1 CZK </w:t>
            </w:r>
            <w:proofErr w:type="spellStart"/>
            <w:r>
              <w:rPr>
                <w:spacing w:val="-4"/>
                <w:lang w:val="en-GB"/>
              </w:rPr>
              <w:t>bn</w:t>
            </w:r>
            <w:proofErr w:type="spellEnd"/>
            <w:r>
              <w:rPr>
                <w:spacing w:val="-4"/>
                <w:lang w:val="en-GB"/>
              </w:rPr>
              <w:t xml:space="preserve"> </w:t>
            </w:r>
            <w:r w:rsidRPr="007D5055">
              <w:rPr>
                <w:spacing w:val="-4"/>
                <w:lang w:val="en-GB"/>
              </w:rPr>
              <w:t>(45</w:t>
            </w:r>
            <w:r>
              <w:rPr>
                <w:spacing w:val="-4"/>
                <w:lang w:val="en-GB"/>
              </w:rPr>
              <w:t>.</w:t>
            </w:r>
            <w:r w:rsidRPr="007D5055">
              <w:rPr>
                <w:spacing w:val="-4"/>
                <w:lang w:val="en-GB"/>
              </w:rPr>
              <w:t>7</w:t>
            </w:r>
            <w:r>
              <w:rPr>
                <w:spacing w:val="-4"/>
                <w:lang w:val="en-GB"/>
              </w:rPr>
              <w:t>%</w:t>
            </w:r>
            <w:r w:rsidRPr="007D5055">
              <w:rPr>
                <w:spacing w:val="-4"/>
                <w:lang w:val="en-GB"/>
              </w:rPr>
              <w:t>)</w:t>
            </w:r>
            <w:r>
              <w:rPr>
                <w:spacing w:val="-4"/>
                <w:lang w:val="en-GB"/>
              </w:rPr>
              <w:t xml:space="preserve"> year-on-year</w:t>
            </w:r>
            <w:r w:rsidRPr="007D5055">
              <w:rPr>
                <w:spacing w:val="-4"/>
                <w:lang w:val="en-GB"/>
              </w:rPr>
              <w:t xml:space="preserve">. </w:t>
            </w:r>
            <w:r>
              <w:rPr>
                <w:spacing w:val="-4"/>
                <w:lang w:val="en-GB"/>
              </w:rPr>
              <w:t xml:space="preserve">The import from Russia, which is the majority source of this commodity, went up by </w:t>
            </w:r>
            <w:r w:rsidRPr="007D5055">
              <w:rPr>
                <w:spacing w:val="-4"/>
                <w:lang w:val="en-GB"/>
              </w:rPr>
              <w:t>22</w:t>
            </w:r>
            <w:r>
              <w:rPr>
                <w:spacing w:val="-4"/>
                <w:lang w:val="en-GB"/>
              </w:rPr>
              <w:t>.</w:t>
            </w:r>
            <w:r w:rsidRPr="007D5055">
              <w:rPr>
                <w:spacing w:val="-4"/>
                <w:lang w:val="en-GB"/>
              </w:rPr>
              <w:t xml:space="preserve">0 </w:t>
            </w:r>
            <w:r>
              <w:rPr>
                <w:spacing w:val="-4"/>
                <w:lang w:val="en-GB"/>
              </w:rPr>
              <w:t xml:space="preserve">CZK </w:t>
            </w:r>
            <w:proofErr w:type="spellStart"/>
            <w:r>
              <w:rPr>
                <w:spacing w:val="-4"/>
                <w:lang w:val="en-GB"/>
              </w:rPr>
              <w:t>bn</w:t>
            </w:r>
            <w:proofErr w:type="spellEnd"/>
            <w:r>
              <w:rPr>
                <w:spacing w:val="-4"/>
                <w:lang w:val="en-GB"/>
              </w:rPr>
              <w:t xml:space="preserve"> </w:t>
            </w:r>
            <w:r w:rsidRPr="007D5055">
              <w:rPr>
                <w:spacing w:val="-4"/>
                <w:lang w:val="en-GB"/>
              </w:rPr>
              <w:t>(55</w:t>
            </w:r>
            <w:r>
              <w:rPr>
                <w:spacing w:val="-4"/>
                <w:lang w:val="en-GB"/>
              </w:rPr>
              <w:t>.</w:t>
            </w:r>
            <w:r w:rsidRPr="007D5055">
              <w:rPr>
                <w:spacing w:val="-4"/>
                <w:lang w:val="en-GB"/>
              </w:rPr>
              <w:t>3</w:t>
            </w:r>
            <w:r>
              <w:rPr>
                <w:spacing w:val="-4"/>
                <w:lang w:val="en-GB"/>
              </w:rPr>
              <w:t>%</w:t>
            </w:r>
            <w:r w:rsidRPr="007D5055">
              <w:rPr>
                <w:spacing w:val="-4"/>
                <w:lang w:val="en-GB"/>
              </w:rPr>
              <w:t xml:space="preserve">). </w:t>
            </w:r>
            <w:r>
              <w:rPr>
                <w:spacing w:val="-4"/>
                <w:lang w:val="en-GB"/>
              </w:rPr>
              <w:t xml:space="preserve">The imports of basic metals markedly grew </w:t>
            </w:r>
            <w:r w:rsidRPr="007D5055">
              <w:rPr>
                <w:spacing w:val="-4"/>
                <w:lang w:val="en-GB"/>
              </w:rPr>
              <w:t>(19</w:t>
            </w:r>
            <w:r>
              <w:rPr>
                <w:spacing w:val="-4"/>
                <w:lang w:val="en-GB"/>
              </w:rPr>
              <w:t>.</w:t>
            </w:r>
            <w:r w:rsidRPr="007D5055">
              <w:rPr>
                <w:spacing w:val="-4"/>
                <w:lang w:val="en-GB"/>
              </w:rPr>
              <w:t>5</w:t>
            </w:r>
            <w:r>
              <w:rPr>
                <w:spacing w:val="-4"/>
                <w:lang w:val="en-GB"/>
              </w:rPr>
              <w:t>%</w:t>
            </w:r>
            <w:r w:rsidRPr="007D5055">
              <w:rPr>
                <w:spacing w:val="-4"/>
                <w:lang w:val="en-GB"/>
              </w:rPr>
              <w:t>, 22</w:t>
            </w:r>
            <w:r>
              <w:rPr>
                <w:spacing w:val="-4"/>
                <w:lang w:val="en-GB"/>
              </w:rPr>
              <w:t>.</w:t>
            </w:r>
            <w:r w:rsidRPr="007D5055">
              <w:rPr>
                <w:spacing w:val="-4"/>
                <w:lang w:val="en-GB"/>
              </w:rPr>
              <w:t xml:space="preserve">2 </w:t>
            </w:r>
            <w:r>
              <w:rPr>
                <w:spacing w:val="-4"/>
                <w:lang w:val="en-GB"/>
              </w:rPr>
              <w:t xml:space="preserve">CZK </w:t>
            </w:r>
            <w:proofErr w:type="spellStart"/>
            <w:r>
              <w:rPr>
                <w:spacing w:val="-4"/>
                <w:lang w:val="en-GB"/>
              </w:rPr>
              <w:t>bn</w:t>
            </w:r>
            <w:proofErr w:type="spellEnd"/>
            <w:r w:rsidRPr="007D5055">
              <w:rPr>
                <w:spacing w:val="-4"/>
                <w:lang w:val="en-GB"/>
              </w:rPr>
              <w:t xml:space="preserve">), </w:t>
            </w:r>
            <w:r>
              <w:rPr>
                <w:spacing w:val="-4"/>
                <w:lang w:val="en-GB"/>
              </w:rPr>
              <w:t xml:space="preserve">motor vehicles experienced strong growth </w:t>
            </w:r>
            <w:r w:rsidRPr="007D5055">
              <w:rPr>
                <w:spacing w:val="-4"/>
                <w:lang w:val="en-GB"/>
              </w:rPr>
              <w:t>(11</w:t>
            </w:r>
            <w:r>
              <w:rPr>
                <w:spacing w:val="-4"/>
                <w:lang w:val="en-GB"/>
              </w:rPr>
              <w:t>.</w:t>
            </w:r>
            <w:r w:rsidRPr="007D5055">
              <w:rPr>
                <w:spacing w:val="-4"/>
                <w:lang w:val="en-GB"/>
              </w:rPr>
              <w:t>2</w:t>
            </w:r>
            <w:r>
              <w:rPr>
                <w:spacing w:val="-4"/>
                <w:lang w:val="en-GB"/>
              </w:rPr>
              <w:t>%</w:t>
            </w:r>
            <w:r w:rsidRPr="007D5055">
              <w:rPr>
                <w:spacing w:val="-4"/>
                <w:lang w:val="en-GB"/>
              </w:rPr>
              <w:t>, 28</w:t>
            </w:r>
            <w:r>
              <w:rPr>
                <w:spacing w:val="-4"/>
                <w:lang w:val="en-GB"/>
              </w:rPr>
              <w:t>.</w:t>
            </w:r>
            <w:r w:rsidRPr="007D5055">
              <w:rPr>
                <w:spacing w:val="-4"/>
                <w:lang w:val="en-GB"/>
              </w:rPr>
              <w:t xml:space="preserve">7 </w:t>
            </w:r>
            <w:proofErr w:type="spellStart"/>
            <w:r>
              <w:rPr>
                <w:spacing w:val="-4"/>
                <w:lang w:val="en-GB"/>
              </w:rPr>
              <w:t>bn</w:t>
            </w:r>
            <w:proofErr w:type="spellEnd"/>
            <w:r w:rsidRPr="007D5055">
              <w:rPr>
                <w:spacing w:val="-4"/>
                <w:lang w:val="en-GB"/>
              </w:rPr>
              <w:t xml:space="preserve">) </w:t>
            </w:r>
            <w:r>
              <w:rPr>
                <w:spacing w:val="-4"/>
                <w:lang w:val="en-GB"/>
              </w:rPr>
              <w:t xml:space="preserve">as well as the electrical equipment </w:t>
            </w:r>
            <w:r w:rsidRPr="007D5055">
              <w:rPr>
                <w:spacing w:val="-4"/>
                <w:lang w:val="en-GB"/>
              </w:rPr>
              <w:t>(10</w:t>
            </w:r>
            <w:r>
              <w:rPr>
                <w:spacing w:val="-4"/>
                <w:lang w:val="en-GB"/>
              </w:rPr>
              <w:t>.</w:t>
            </w:r>
            <w:r w:rsidRPr="007D5055">
              <w:rPr>
                <w:spacing w:val="-4"/>
                <w:lang w:val="en-GB"/>
              </w:rPr>
              <w:t>0</w:t>
            </w:r>
            <w:r>
              <w:rPr>
                <w:spacing w:val="-4"/>
                <w:lang w:val="en-GB"/>
              </w:rPr>
              <w:t>%</w:t>
            </w:r>
            <w:r w:rsidRPr="007D5055">
              <w:rPr>
                <w:spacing w:val="-4"/>
                <w:lang w:val="en-GB"/>
              </w:rPr>
              <w:t>, 11</w:t>
            </w:r>
            <w:r>
              <w:rPr>
                <w:spacing w:val="-4"/>
                <w:lang w:val="en-GB"/>
              </w:rPr>
              <w:t>.</w:t>
            </w:r>
            <w:r w:rsidRPr="007D5055">
              <w:rPr>
                <w:spacing w:val="-4"/>
                <w:lang w:val="en-GB"/>
              </w:rPr>
              <w:t xml:space="preserve">6 </w:t>
            </w:r>
            <w:proofErr w:type="spellStart"/>
            <w:r>
              <w:rPr>
                <w:spacing w:val="-4"/>
                <w:lang w:val="en-GB"/>
              </w:rPr>
              <w:t>bn</w:t>
            </w:r>
            <w:proofErr w:type="spellEnd"/>
            <w:r w:rsidRPr="007D5055">
              <w:rPr>
                <w:spacing w:val="-4"/>
                <w:lang w:val="en-GB"/>
              </w:rPr>
              <w:t xml:space="preserve">). </w:t>
            </w:r>
            <w:r>
              <w:rPr>
                <w:spacing w:val="-4"/>
                <w:lang w:val="en-GB"/>
              </w:rPr>
              <w:t xml:space="preserve">The value of imports of the metalworking products decreased by </w:t>
            </w:r>
            <w:r w:rsidRPr="007D5055">
              <w:rPr>
                <w:spacing w:val="-4"/>
                <w:lang w:val="en-GB"/>
              </w:rPr>
              <w:t>6</w:t>
            </w:r>
            <w:r>
              <w:rPr>
                <w:spacing w:val="-4"/>
                <w:lang w:val="en-GB"/>
              </w:rPr>
              <w:t>.</w:t>
            </w:r>
            <w:r w:rsidRPr="007D5055">
              <w:rPr>
                <w:spacing w:val="-4"/>
                <w:lang w:val="en-GB"/>
              </w:rPr>
              <w:t>2</w:t>
            </w:r>
            <w:r>
              <w:rPr>
                <w:spacing w:val="-4"/>
                <w:lang w:val="en-GB"/>
              </w:rPr>
              <w:t>%</w:t>
            </w:r>
            <w:r w:rsidRPr="007D5055">
              <w:rPr>
                <w:spacing w:val="-4"/>
                <w:lang w:val="en-GB"/>
              </w:rPr>
              <w:t xml:space="preserve"> (5</w:t>
            </w:r>
            <w:r>
              <w:rPr>
                <w:spacing w:val="-4"/>
                <w:lang w:val="en-GB"/>
              </w:rPr>
              <w:t>.</w:t>
            </w:r>
            <w:r w:rsidRPr="007D5055">
              <w:rPr>
                <w:spacing w:val="-4"/>
                <w:lang w:val="en-GB"/>
              </w:rPr>
              <w:t xml:space="preserve">5 </w:t>
            </w:r>
            <w:proofErr w:type="spellStart"/>
            <w:r>
              <w:rPr>
                <w:spacing w:val="-4"/>
                <w:lang w:val="en-GB"/>
              </w:rPr>
              <w:t>bn</w:t>
            </w:r>
            <w:proofErr w:type="spellEnd"/>
            <w:r w:rsidRPr="007D5055">
              <w:rPr>
                <w:spacing w:val="-4"/>
                <w:lang w:val="en-GB"/>
              </w:rPr>
              <w:t xml:space="preserve">), </w:t>
            </w:r>
            <w:r>
              <w:rPr>
                <w:spacing w:val="-4"/>
                <w:lang w:val="en-GB"/>
              </w:rPr>
              <w:t xml:space="preserve">for coke and refined oil products by </w:t>
            </w:r>
            <w:r w:rsidRPr="007D5055">
              <w:rPr>
                <w:spacing w:val="-4"/>
                <w:lang w:val="en-GB"/>
              </w:rPr>
              <w:t>10</w:t>
            </w:r>
            <w:r>
              <w:rPr>
                <w:spacing w:val="-4"/>
                <w:lang w:val="en-GB"/>
              </w:rPr>
              <w:t>.</w:t>
            </w:r>
            <w:r w:rsidRPr="007D5055">
              <w:rPr>
                <w:spacing w:val="-4"/>
                <w:lang w:val="en-GB"/>
              </w:rPr>
              <w:t>3</w:t>
            </w:r>
            <w:r>
              <w:rPr>
                <w:spacing w:val="-4"/>
                <w:lang w:val="en-GB"/>
              </w:rPr>
              <w:t>%</w:t>
            </w:r>
            <w:r w:rsidRPr="007D5055">
              <w:rPr>
                <w:spacing w:val="-4"/>
                <w:lang w:val="en-GB"/>
              </w:rPr>
              <w:t xml:space="preserve"> (2</w:t>
            </w:r>
            <w:r>
              <w:rPr>
                <w:spacing w:val="-4"/>
                <w:lang w:val="en-GB"/>
              </w:rPr>
              <w:t>.</w:t>
            </w:r>
            <w:r w:rsidRPr="007D5055">
              <w:rPr>
                <w:spacing w:val="-4"/>
                <w:lang w:val="en-GB"/>
              </w:rPr>
              <w:t xml:space="preserve">7 </w:t>
            </w:r>
            <w:proofErr w:type="spellStart"/>
            <w:r>
              <w:rPr>
                <w:spacing w:val="-4"/>
                <w:lang w:val="en-GB"/>
              </w:rPr>
              <w:t>bn</w:t>
            </w:r>
            <w:proofErr w:type="spellEnd"/>
            <w:r w:rsidRPr="007D5055">
              <w:rPr>
                <w:spacing w:val="-4"/>
                <w:lang w:val="en-GB"/>
              </w:rPr>
              <w:t>) a</w:t>
            </w:r>
            <w:r>
              <w:rPr>
                <w:spacing w:val="-4"/>
                <w:lang w:val="en-GB"/>
              </w:rPr>
              <w:t>nd slightly for the food products (</w:t>
            </w:r>
            <w:r w:rsidRPr="007D5055">
              <w:rPr>
                <w:spacing w:val="-4"/>
                <w:lang w:val="en-GB"/>
              </w:rPr>
              <w:t>-1</w:t>
            </w:r>
            <w:r>
              <w:rPr>
                <w:spacing w:val="-4"/>
                <w:lang w:val="en-GB"/>
              </w:rPr>
              <w:t>.</w:t>
            </w:r>
            <w:r w:rsidRPr="007D5055">
              <w:rPr>
                <w:spacing w:val="-4"/>
                <w:lang w:val="en-GB"/>
              </w:rPr>
              <w:t>6</w:t>
            </w:r>
            <w:r>
              <w:rPr>
                <w:spacing w:val="-4"/>
                <w:lang w:val="en-GB"/>
              </w:rPr>
              <w:t>%</w:t>
            </w:r>
            <w:r w:rsidRPr="007D5055">
              <w:rPr>
                <w:spacing w:val="-4"/>
                <w:lang w:val="en-GB"/>
              </w:rPr>
              <w:t>, 1</w:t>
            </w:r>
            <w:r>
              <w:rPr>
                <w:spacing w:val="-4"/>
                <w:lang w:val="en-GB"/>
              </w:rPr>
              <w:t>.</w:t>
            </w:r>
            <w:r w:rsidRPr="007D5055">
              <w:rPr>
                <w:spacing w:val="-4"/>
                <w:lang w:val="en-GB"/>
              </w:rPr>
              <w:t>2 </w:t>
            </w:r>
            <w:proofErr w:type="spellStart"/>
            <w:r>
              <w:rPr>
                <w:spacing w:val="-4"/>
                <w:lang w:val="en-GB"/>
              </w:rPr>
              <w:t>bn</w:t>
            </w:r>
            <w:proofErr w:type="spellEnd"/>
            <w:r w:rsidRPr="007D5055">
              <w:rPr>
                <w:spacing w:val="-4"/>
                <w:lang w:val="en-GB"/>
              </w:rPr>
              <w:t>).</w:t>
            </w:r>
          </w:p>
          <w:p w:rsidR="009F62C9" w:rsidRPr="007D5055" w:rsidRDefault="009F62C9" w:rsidP="00260FBE">
            <w:pPr>
              <w:pStyle w:val="Textpoznpodarou"/>
              <w:jc w:val="both"/>
              <w:rPr>
                <w:spacing w:val="-4"/>
                <w:sz w:val="14"/>
                <w:szCs w:val="14"/>
                <w:highlight w:val="yellow"/>
                <w:lang w:val="en-GB"/>
              </w:rPr>
            </w:pPr>
          </w:p>
        </w:tc>
      </w:tr>
      <w:tr w:rsidR="009F62C9" w:rsidRPr="00A74192" w:rsidTr="00260FBE">
        <w:tc>
          <w:tcPr>
            <w:tcW w:w="1015" w:type="pct"/>
          </w:tcPr>
          <w:p w:rsidR="009F62C9" w:rsidRPr="007D5055" w:rsidRDefault="009F62C9" w:rsidP="00260FBE">
            <w:pPr>
              <w:spacing w:line="240" w:lineRule="auto"/>
              <w:rPr>
                <w:sz w:val="16"/>
                <w:szCs w:val="16"/>
                <w:lang w:val="en-GB"/>
              </w:rPr>
            </w:pPr>
            <w:r w:rsidRPr="00CD7E3B">
              <w:rPr>
                <w:sz w:val="16"/>
                <w:szCs w:val="16"/>
                <w:lang w:val="en-GB"/>
              </w:rPr>
              <w:t xml:space="preserve">Foreign trade balance remains positive, even though slightly lower compared to the last year. </w:t>
            </w:r>
          </w:p>
        </w:tc>
        <w:tc>
          <w:tcPr>
            <w:tcW w:w="144" w:type="pct"/>
          </w:tcPr>
          <w:p w:rsidR="009F62C9" w:rsidRPr="007D5055" w:rsidRDefault="009F62C9" w:rsidP="00260FBE">
            <w:pPr>
              <w:pStyle w:val="Textpoznpodarou"/>
              <w:jc w:val="both"/>
              <w:rPr>
                <w:highlight w:val="yellow"/>
                <w:lang w:val="en-GB"/>
              </w:rPr>
            </w:pPr>
          </w:p>
        </w:tc>
        <w:tc>
          <w:tcPr>
            <w:tcW w:w="3841" w:type="pct"/>
            <w:gridSpan w:val="4"/>
          </w:tcPr>
          <w:p w:rsidR="009F62C9" w:rsidRDefault="009F62C9" w:rsidP="00260FBE">
            <w:pPr>
              <w:pStyle w:val="Textpoznpodarou"/>
              <w:jc w:val="both"/>
              <w:rPr>
                <w:spacing w:val="-4"/>
                <w:lang w:val="en-GB"/>
              </w:rPr>
            </w:pPr>
            <w:r>
              <w:rPr>
                <w:spacing w:val="-4"/>
                <w:lang w:val="en-GB"/>
              </w:rPr>
              <w:t xml:space="preserve">The foreign trade balance ended in surplus of 115.3 CZK </w:t>
            </w:r>
            <w:proofErr w:type="spellStart"/>
            <w:r>
              <w:rPr>
                <w:spacing w:val="-4"/>
                <w:lang w:val="en-GB"/>
              </w:rPr>
              <w:t>bn</w:t>
            </w:r>
            <w:proofErr w:type="spellEnd"/>
            <w:r>
              <w:rPr>
                <w:spacing w:val="-4"/>
                <w:lang w:val="en-GB"/>
              </w:rPr>
              <w:t xml:space="preserve"> in H1. This corresponds to the year-on-year decline of 7.2 bn. The deepening of the deficit of trade with countries outside the EU by 36.6 CZK </w:t>
            </w:r>
            <w:proofErr w:type="spellStart"/>
            <w:r>
              <w:rPr>
                <w:spacing w:val="-4"/>
                <w:lang w:val="en-GB"/>
              </w:rPr>
              <w:t>bn</w:t>
            </w:r>
            <w:proofErr w:type="spellEnd"/>
            <w:r>
              <w:rPr>
                <w:spacing w:val="-4"/>
                <w:lang w:val="en-GB"/>
              </w:rPr>
              <w:t xml:space="preserve"> stands behind this development, specifically mostly with Russia (deficit </w:t>
            </w:r>
            <w:r w:rsidRPr="00CD7E3B">
              <w:rPr>
                <w:spacing w:val="-4"/>
                <w:lang w:val="en-GB"/>
              </w:rPr>
              <w:t>27</w:t>
            </w:r>
            <w:r>
              <w:rPr>
                <w:spacing w:val="-4"/>
                <w:lang w:val="en-GB"/>
              </w:rPr>
              <w:t>.</w:t>
            </w:r>
            <w:r w:rsidRPr="00CD7E3B">
              <w:rPr>
                <w:spacing w:val="-4"/>
                <w:lang w:val="en-GB"/>
              </w:rPr>
              <w:t>0 </w:t>
            </w:r>
            <w:proofErr w:type="spellStart"/>
            <w:r>
              <w:rPr>
                <w:spacing w:val="-4"/>
                <w:lang w:val="en-GB"/>
              </w:rPr>
              <w:t>bn</w:t>
            </w:r>
            <w:proofErr w:type="spellEnd"/>
            <w:r>
              <w:rPr>
                <w:spacing w:val="-4"/>
                <w:lang w:val="en-GB"/>
              </w:rPr>
              <w:t xml:space="preserve">, deepened by </w:t>
            </w:r>
            <w:r w:rsidRPr="00CD7E3B">
              <w:rPr>
                <w:spacing w:val="-4"/>
                <w:lang w:val="en-GB"/>
              </w:rPr>
              <w:t>16</w:t>
            </w:r>
            <w:r>
              <w:rPr>
                <w:spacing w:val="-4"/>
                <w:lang w:val="en-GB"/>
              </w:rPr>
              <w:t>.</w:t>
            </w:r>
            <w:r w:rsidRPr="00CD7E3B">
              <w:rPr>
                <w:spacing w:val="-4"/>
                <w:lang w:val="en-GB"/>
              </w:rPr>
              <w:t xml:space="preserve">2 </w:t>
            </w:r>
            <w:r>
              <w:rPr>
                <w:spacing w:val="-4"/>
                <w:lang w:val="en-GB"/>
              </w:rPr>
              <w:t xml:space="preserve">CZK </w:t>
            </w:r>
            <w:proofErr w:type="spellStart"/>
            <w:r>
              <w:rPr>
                <w:spacing w:val="-4"/>
                <w:lang w:val="en-GB"/>
              </w:rPr>
              <w:t>bn</w:t>
            </w:r>
            <w:proofErr w:type="spellEnd"/>
            <w:r w:rsidRPr="00CD7E3B">
              <w:rPr>
                <w:spacing w:val="-4"/>
                <w:lang w:val="en-GB"/>
              </w:rPr>
              <w:t xml:space="preserve">). </w:t>
            </w:r>
            <w:r>
              <w:rPr>
                <w:spacing w:val="-4"/>
                <w:lang w:val="en-GB"/>
              </w:rPr>
              <w:t>The deficit with China also mildly deepened. The raising of oil prices is one of the reasons.</w:t>
            </w:r>
            <w:r w:rsidRPr="00CD7E3B">
              <w:rPr>
                <w:spacing w:val="-4"/>
                <w:lang w:val="en-GB"/>
              </w:rPr>
              <w:t xml:space="preserve"> </w:t>
            </w:r>
            <w:r>
              <w:rPr>
                <w:spacing w:val="-4"/>
                <w:lang w:val="en-GB"/>
              </w:rPr>
              <w:t xml:space="preserve">The deficit of trade with oil and natural gas widened by </w:t>
            </w:r>
            <w:r w:rsidRPr="00CD7E3B">
              <w:rPr>
                <w:spacing w:val="-4"/>
                <w:lang w:val="en-GB"/>
              </w:rPr>
              <w:t>26</w:t>
            </w:r>
            <w:r>
              <w:rPr>
                <w:spacing w:val="-4"/>
                <w:lang w:val="en-GB"/>
              </w:rPr>
              <w:t>.</w:t>
            </w:r>
            <w:r w:rsidRPr="00CD7E3B">
              <w:rPr>
                <w:spacing w:val="-4"/>
                <w:lang w:val="en-GB"/>
              </w:rPr>
              <w:t xml:space="preserve">5 </w:t>
            </w:r>
            <w:r>
              <w:rPr>
                <w:spacing w:val="-4"/>
                <w:lang w:val="en-GB"/>
              </w:rPr>
              <w:t xml:space="preserve">CZK </w:t>
            </w:r>
            <w:proofErr w:type="spellStart"/>
            <w:r>
              <w:rPr>
                <w:spacing w:val="-4"/>
                <w:lang w:val="en-GB"/>
              </w:rPr>
              <w:t>bn</w:t>
            </w:r>
            <w:proofErr w:type="spellEnd"/>
            <w:r>
              <w:rPr>
                <w:spacing w:val="-4"/>
                <w:lang w:val="en-GB"/>
              </w:rPr>
              <w:t xml:space="preserve">, with basic metals by </w:t>
            </w:r>
            <w:r w:rsidRPr="00CD7E3B">
              <w:rPr>
                <w:spacing w:val="-4"/>
                <w:lang w:val="en-GB"/>
              </w:rPr>
              <w:t>13</w:t>
            </w:r>
            <w:r>
              <w:rPr>
                <w:spacing w:val="-4"/>
                <w:lang w:val="en-GB"/>
              </w:rPr>
              <w:t>.</w:t>
            </w:r>
            <w:r w:rsidRPr="00CD7E3B">
              <w:rPr>
                <w:spacing w:val="-4"/>
                <w:lang w:val="en-GB"/>
              </w:rPr>
              <w:t xml:space="preserve">8 </w:t>
            </w:r>
            <w:r>
              <w:rPr>
                <w:spacing w:val="-4"/>
                <w:lang w:val="en-GB"/>
              </w:rPr>
              <w:t>bn</w:t>
            </w:r>
            <w:r w:rsidRPr="00CD7E3B">
              <w:rPr>
                <w:spacing w:val="-4"/>
                <w:lang w:val="en-GB"/>
              </w:rPr>
              <w:t xml:space="preserve">. </w:t>
            </w:r>
            <w:r>
              <w:rPr>
                <w:spacing w:val="-4"/>
                <w:lang w:val="en-GB"/>
              </w:rPr>
              <w:t xml:space="preserve">The long-term surplus of the trade with the motor vehicles or machinery on the contrary increased </w:t>
            </w:r>
            <w:r w:rsidRPr="00CD7E3B">
              <w:rPr>
                <w:spacing w:val="-4"/>
                <w:lang w:val="en-GB"/>
              </w:rPr>
              <w:t>(</w:t>
            </w:r>
            <w:r>
              <w:rPr>
                <w:spacing w:val="-4"/>
                <w:lang w:val="en-GB"/>
              </w:rPr>
              <w:t>by</w:t>
            </w:r>
            <w:r w:rsidRPr="00CD7E3B">
              <w:rPr>
                <w:spacing w:val="-4"/>
                <w:lang w:val="en-GB"/>
              </w:rPr>
              <w:t xml:space="preserve"> 13</w:t>
            </w:r>
            <w:r>
              <w:rPr>
                <w:spacing w:val="-4"/>
                <w:lang w:val="en-GB"/>
              </w:rPr>
              <w:t>.</w:t>
            </w:r>
            <w:r w:rsidRPr="00CD7E3B">
              <w:rPr>
                <w:spacing w:val="-4"/>
                <w:lang w:val="en-GB"/>
              </w:rPr>
              <w:t xml:space="preserve">1 </w:t>
            </w:r>
            <w:proofErr w:type="spellStart"/>
            <w:r>
              <w:rPr>
                <w:spacing w:val="-4"/>
                <w:lang w:val="en-GB"/>
              </w:rPr>
              <w:t>bn</w:t>
            </w:r>
            <w:proofErr w:type="spellEnd"/>
            <w:r>
              <w:rPr>
                <w:spacing w:val="-4"/>
                <w:lang w:val="en-GB"/>
              </w:rPr>
              <w:t xml:space="preserve"> and </w:t>
            </w:r>
            <w:r w:rsidRPr="00CD7E3B">
              <w:rPr>
                <w:spacing w:val="-4"/>
                <w:lang w:val="en-GB"/>
              </w:rPr>
              <w:t>10</w:t>
            </w:r>
            <w:r>
              <w:rPr>
                <w:spacing w:val="-4"/>
                <w:lang w:val="en-GB"/>
              </w:rPr>
              <w:t>.</w:t>
            </w:r>
            <w:r w:rsidRPr="00CD7E3B">
              <w:rPr>
                <w:spacing w:val="-4"/>
                <w:lang w:val="en-GB"/>
              </w:rPr>
              <w:t xml:space="preserve">6 </w:t>
            </w:r>
            <w:r>
              <w:rPr>
                <w:spacing w:val="-4"/>
                <w:lang w:val="en-GB"/>
              </w:rPr>
              <w:t xml:space="preserve">CZK </w:t>
            </w:r>
            <w:proofErr w:type="spellStart"/>
            <w:r>
              <w:rPr>
                <w:spacing w:val="-4"/>
                <w:lang w:val="en-GB"/>
              </w:rPr>
              <w:t>bn</w:t>
            </w:r>
            <w:proofErr w:type="spellEnd"/>
            <w:r w:rsidRPr="00CD7E3B">
              <w:rPr>
                <w:spacing w:val="-4"/>
                <w:lang w:val="en-GB"/>
              </w:rPr>
              <w:t>).</w:t>
            </w:r>
          </w:p>
          <w:p w:rsidR="009F62C9" w:rsidRDefault="009F62C9" w:rsidP="00260FBE">
            <w:pPr>
              <w:pStyle w:val="Textpoznpodarou"/>
              <w:jc w:val="both"/>
              <w:rPr>
                <w:spacing w:val="-4"/>
                <w:sz w:val="16"/>
                <w:szCs w:val="16"/>
                <w:lang w:val="en-GB"/>
              </w:rPr>
            </w:pPr>
          </w:p>
          <w:p w:rsidR="009F62C9" w:rsidRDefault="009F62C9" w:rsidP="00214DB7">
            <w:pPr>
              <w:pStyle w:val="Textpoznpodarou"/>
              <w:jc w:val="both"/>
              <w:rPr>
                <w:spacing w:val="-4"/>
                <w:sz w:val="16"/>
                <w:szCs w:val="16"/>
                <w:lang w:val="en-GB"/>
              </w:rPr>
            </w:pPr>
          </w:p>
          <w:p w:rsidR="00844821" w:rsidRDefault="00844821" w:rsidP="00214DB7">
            <w:pPr>
              <w:pStyle w:val="Textpoznpodarou"/>
              <w:jc w:val="both"/>
              <w:rPr>
                <w:spacing w:val="-4"/>
                <w:sz w:val="16"/>
                <w:szCs w:val="16"/>
                <w:lang w:val="en-GB"/>
              </w:rPr>
            </w:pPr>
          </w:p>
          <w:p w:rsidR="00844821" w:rsidRDefault="00844821" w:rsidP="00214DB7">
            <w:pPr>
              <w:pStyle w:val="Textpoznpodarou"/>
              <w:jc w:val="both"/>
              <w:rPr>
                <w:spacing w:val="-4"/>
                <w:sz w:val="16"/>
                <w:szCs w:val="16"/>
                <w:lang w:val="en-GB"/>
              </w:rPr>
            </w:pPr>
          </w:p>
          <w:p w:rsidR="00844821" w:rsidRDefault="00844821" w:rsidP="00214DB7">
            <w:pPr>
              <w:pStyle w:val="Textpoznpodarou"/>
              <w:jc w:val="both"/>
              <w:rPr>
                <w:spacing w:val="-4"/>
                <w:sz w:val="16"/>
                <w:szCs w:val="16"/>
                <w:lang w:val="en-GB"/>
              </w:rPr>
            </w:pPr>
          </w:p>
          <w:p w:rsidR="00844821" w:rsidRDefault="00844821" w:rsidP="00214DB7">
            <w:pPr>
              <w:pStyle w:val="Textpoznpodarou"/>
              <w:jc w:val="both"/>
              <w:rPr>
                <w:spacing w:val="-4"/>
                <w:sz w:val="16"/>
                <w:szCs w:val="16"/>
                <w:lang w:val="en-GB"/>
              </w:rPr>
            </w:pPr>
          </w:p>
          <w:p w:rsidR="00844821" w:rsidRDefault="00844821" w:rsidP="00214DB7">
            <w:pPr>
              <w:pStyle w:val="Textpoznpodarou"/>
              <w:jc w:val="both"/>
              <w:rPr>
                <w:spacing w:val="-4"/>
                <w:sz w:val="16"/>
                <w:szCs w:val="16"/>
                <w:lang w:val="en-GB"/>
              </w:rPr>
            </w:pPr>
          </w:p>
          <w:p w:rsidR="00844821" w:rsidRDefault="00844821" w:rsidP="00214DB7">
            <w:pPr>
              <w:pStyle w:val="Textpoznpodarou"/>
              <w:jc w:val="both"/>
              <w:rPr>
                <w:spacing w:val="-4"/>
                <w:sz w:val="16"/>
                <w:szCs w:val="16"/>
                <w:lang w:val="en-GB"/>
              </w:rPr>
            </w:pPr>
          </w:p>
          <w:p w:rsidR="00844821" w:rsidRDefault="00844821" w:rsidP="00214DB7">
            <w:pPr>
              <w:pStyle w:val="Textpoznpodarou"/>
              <w:jc w:val="both"/>
              <w:rPr>
                <w:spacing w:val="-4"/>
                <w:sz w:val="16"/>
                <w:szCs w:val="16"/>
                <w:lang w:val="en-GB"/>
              </w:rPr>
            </w:pPr>
          </w:p>
          <w:p w:rsidR="00844821" w:rsidRDefault="00844821" w:rsidP="00214DB7">
            <w:pPr>
              <w:pStyle w:val="Textpoznpodarou"/>
              <w:jc w:val="both"/>
              <w:rPr>
                <w:spacing w:val="-4"/>
                <w:sz w:val="16"/>
                <w:szCs w:val="16"/>
                <w:lang w:val="en-GB"/>
              </w:rPr>
            </w:pPr>
          </w:p>
          <w:p w:rsidR="00844821" w:rsidRDefault="00844821" w:rsidP="00214DB7">
            <w:pPr>
              <w:pStyle w:val="Textpoznpodarou"/>
              <w:jc w:val="both"/>
              <w:rPr>
                <w:spacing w:val="-4"/>
                <w:sz w:val="16"/>
                <w:szCs w:val="16"/>
                <w:lang w:val="en-GB"/>
              </w:rPr>
            </w:pPr>
          </w:p>
          <w:p w:rsidR="00844821" w:rsidRDefault="00844821" w:rsidP="00214DB7">
            <w:pPr>
              <w:pStyle w:val="Textpoznpodarou"/>
              <w:jc w:val="both"/>
              <w:rPr>
                <w:spacing w:val="-4"/>
                <w:sz w:val="16"/>
                <w:szCs w:val="16"/>
                <w:lang w:val="en-GB"/>
              </w:rPr>
            </w:pPr>
          </w:p>
          <w:p w:rsidR="00844821" w:rsidRDefault="00844821" w:rsidP="00214DB7">
            <w:pPr>
              <w:pStyle w:val="Textpoznpodarou"/>
              <w:jc w:val="both"/>
              <w:rPr>
                <w:spacing w:val="-4"/>
                <w:sz w:val="16"/>
                <w:szCs w:val="16"/>
                <w:lang w:val="en-GB"/>
              </w:rPr>
            </w:pPr>
          </w:p>
          <w:p w:rsidR="00844821" w:rsidRDefault="00844821" w:rsidP="00214DB7">
            <w:pPr>
              <w:pStyle w:val="Textpoznpodarou"/>
              <w:jc w:val="both"/>
              <w:rPr>
                <w:spacing w:val="-4"/>
                <w:sz w:val="16"/>
                <w:szCs w:val="16"/>
                <w:lang w:val="en-GB"/>
              </w:rPr>
            </w:pPr>
          </w:p>
          <w:p w:rsidR="00844821" w:rsidRDefault="00844821" w:rsidP="00214DB7">
            <w:pPr>
              <w:pStyle w:val="Textpoznpodarou"/>
              <w:jc w:val="both"/>
              <w:rPr>
                <w:spacing w:val="-4"/>
                <w:sz w:val="16"/>
                <w:szCs w:val="16"/>
                <w:lang w:val="en-GB"/>
              </w:rPr>
            </w:pPr>
          </w:p>
          <w:p w:rsidR="00844821" w:rsidRDefault="00844821" w:rsidP="00214DB7">
            <w:pPr>
              <w:pStyle w:val="Textpoznpodarou"/>
              <w:jc w:val="both"/>
              <w:rPr>
                <w:spacing w:val="-4"/>
                <w:sz w:val="16"/>
                <w:szCs w:val="16"/>
                <w:lang w:val="en-GB"/>
              </w:rPr>
            </w:pPr>
          </w:p>
          <w:p w:rsidR="00631EEC" w:rsidRDefault="00631EEC" w:rsidP="00214DB7">
            <w:pPr>
              <w:pStyle w:val="Textpoznpodarou"/>
              <w:jc w:val="both"/>
              <w:rPr>
                <w:spacing w:val="-4"/>
                <w:lang w:val="en-GB"/>
              </w:rPr>
            </w:pPr>
          </w:p>
        </w:tc>
      </w:tr>
      <w:tr w:rsidR="009F62C9" w:rsidRPr="00A74192" w:rsidTr="00260FBE">
        <w:tc>
          <w:tcPr>
            <w:tcW w:w="1015" w:type="pct"/>
          </w:tcPr>
          <w:p w:rsidR="009F62C9" w:rsidRPr="002804BB" w:rsidRDefault="009F62C9" w:rsidP="00260FBE">
            <w:pPr>
              <w:spacing w:line="240" w:lineRule="auto"/>
              <w:rPr>
                <w:sz w:val="16"/>
                <w:szCs w:val="16"/>
                <w:highlight w:val="yellow"/>
              </w:rPr>
            </w:pPr>
          </w:p>
        </w:tc>
        <w:tc>
          <w:tcPr>
            <w:tcW w:w="144" w:type="pct"/>
          </w:tcPr>
          <w:p w:rsidR="009F62C9" w:rsidRPr="00A74192" w:rsidRDefault="009F62C9" w:rsidP="00260FBE">
            <w:pPr>
              <w:pStyle w:val="Textpoznpodarou"/>
              <w:jc w:val="both"/>
            </w:pPr>
          </w:p>
        </w:tc>
        <w:tc>
          <w:tcPr>
            <w:tcW w:w="653" w:type="pct"/>
            <w:gridSpan w:val="2"/>
          </w:tcPr>
          <w:p w:rsidR="009F62C9" w:rsidRPr="00DC21E2" w:rsidRDefault="009F62C9" w:rsidP="00260FBE">
            <w:pPr>
              <w:pStyle w:val="Textpoznpodarou"/>
              <w:jc w:val="both"/>
              <w:rPr>
                <w:spacing w:val="-4"/>
                <w:sz w:val="16"/>
                <w:szCs w:val="16"/>
                <w:highlight w:val="yellow"/>
              </w:rPr>
            </w:pPr>
            <w:r>
              <w:rPr>
                <w:spacing w:val="-4"/>
              </w:rPr>
              <w:t xml:space="preserve">Chart </w:t>
            </w:r>
            <w:r w:rsidRPr="00DC21E2">
              <w:rPr>
                <w:spacing w:val="-4"/>
              </w:rPr>
              <w:t>10</w:t>
            </w:r>
          </w:p>
        </w:tc>
        <w:tc>
          <w:tcPr>
            <w:tcW w:w="3188" w:type="pct"/>
            <w:gridSpan w:val="2"/>
          </w:tcPr>
          <w:p w:rsidR="009F62C9" w:rsidRPr="00DC21E2" w:rsidRDefault="009F62C9" w:rsidP="00260FBE">
            <w:pPr>
              <w:pStyle w:val="Textpoznpodarou"/>
              <w:rPr>
                <w:spacing w:val="-4"/>
                <w:sz w:val="16"/>
                <w:szCs w:val="16"/>
                <w:highlight w:val="yellow"/>
              </w:rPr>
            </w:pPr>
            <w:r w:rsidRPr="0036045E">
              <w:rPr>
                <w:b/>
                <w:spacing w:val="-4"/>
                <w:lang w:val="en-GB"/>
              </w:rPr>
              <w:t xml:space="preserve">Balance of foreign trade* in foreign trade statistics </w:t>
            </w:r>
            <w:r w:rsidRPr="0036045E">
              <w:rPr>
                <w:spacing w:val="-4"/>
                <w:lang w:val="en-GB"/>
              </w:rPr>
              <w:t xml:space="preserve">(accumulation Q1 and Q2, in CZK </w:t>
            </w:r>
            <w:proofErr w:type="spellStart"/>
            <w:r w:rsidRPr="0036045E">
              <w:rPr>
                <w:spacing w:val="-4"/>
                <w:lang w:val="en-GB"/>
              </w:rPr>
              <w:t>bn</w:t>
            </w:r>
            <w:proofErr w:type="spellEnd"/>
            <w:r w:rsidRPr="0036045E">
              <w:rPr>
                <w:spacing w:val="-4"/>
                <w:lang w:val="en-GB"/>
              </w:rPr>
              <w:t xml:space="preserve">, selected divisions of the </w:t>
            </w:r>
            <w:r>
              <w:rPr>
                <w:spacing w:val="-4"/>
                <w:lang w:val="en-GB"/>
              </w:rPr>
              <w:t>CZ-CPA classification</w:t>
            </w:r>
            <w:r w:rsidRPr="00DC21E2">
              <w:rPr>
                <w:spacing w:val="-4"/>
              </w:rPr>
              <w:t>)</w:t>
            </w:r>
          </w:p>
        </w:tc>
      </w:tr>
      <w:tr w:rsidR="009F62C9" w:rsidRPr="00A74192" w:rsidTr="00260FBE">
        <w:tc>
          <w:tcPr>
            <w:tcW w:w="1015" w:type="pct"/>
          </w:tcPr>
          <w:p w:rsidR="009F62C9" w:rsidRPr="002804BB" w:rsidRDefault="009F62C9" w:rsidP="00260FBE">
            <w:pPr>
              <w:spacing w:line="240" w:lineRule="auto"/>
              <w:rPr>
                <w:sz w:val="16"/>
                <w:szCs w:val="16"/>
                <w:highlight w:val="yellow"/>
              </w:rPr>
            </w:pPr>
          </w:p>
        </w:tc>
        <w:tc>
          <w:tcPr>
            <w:tcW w:w="144" w:type="pct"/>
          </w:tcPr>
          <w:p w:rsidR="009F62C9" w:rsidRPr="00A74192" w:rsidRDefault="009F62C9" w:rsidP="00260FBE">
            <w:pPr>
              <w:pStyle w:val="Textpoznpodarou"/>
              <w:jc w:val="both"/>
            </w:pPr>
          </w:p>
        </w:tc>
        <w:tc>
          <w:tcPr>
            <w:tcW w:w="3841" w:type="pct"/>
            <w:gridSpan w:val="4"/>
          </w:tcPr>
          <w:p w:rsidR="009F62C9" w:rsidRPr="00DC21E2" w:rsidRDefault="009F62C9" w:rsidP="00260FBE">
            <w:pPr>
              <w:pStyle w:val="Textpoznpodarou"/>
              <w:ind w:left="-73"/>
              <w:jc w:val="right"/>
              <w:rPr>
                <w:spacing w:val="-4"/>
                <w:sz w:val="14"/>
                <w:szCs w:val="14"/>
              </w:rPr>
            </w:pPr>
            <w:r w:rsidRPr="0068748C">
              <w:rPr>
                <w:noProof/>
                <w:spacing w:val="-4"/>
                <w:sz w:val="14"/>
                <w:szCs w:val="14"/>
              </w:rPr>
              <w:drawing>
                <wp:inline distT="0" distB="0" distL="0" distR="0">
                  <wp:extent cx="4737600" cy="3553200"/>
                  <wp:effectExtent l="19050" t="0" r="0" b="0"/>
                  <wp:docPr id="2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9F62C9" w:rsidRPr="008F1638" w:rsidTr="00260FBE">
        <w:tc>
          <w:tcPr>
            <w:tcW w:w="1015" w:type="pct"/>
          </w:tcPr>
          <w:p w:rsidR="009F62C9" w:rsidRPr="00F35066" w:rsidRDefault="009F62C9" w:rsidP="00260FBE">
            <w:pPr>
              <w:spacing w:line="240" w:lineRule="auto"/>
              <w:rPr>
                <w:sz w:val="16"/>
                <w:szCs w:val="16"/>
              </w:rPr>
            </w:pPr>
          </w:p>
        </w:tc>
        <w:tc>
          <w:tcPr>
            <w:tcW w:w="144" w:type="pct"/>
          </w:tcPr>
          <w:p w:rsidR="009F62C9" w:rsidRPr="002804BB" w:rsidRDefault="009F62C9" w:rsidP="00260FBE">
            <w:pPr>
              <w:pStyle w:val="Textpoznpodarou"/>
              <w:jc w:val="both"/>
              <w:rPr>
                <w:highlight w:val="yellow"/>
              </w:rPr>
            </w:pPr>
          </w:p>
        </w:tc>
        <w:tc>
          <w:tcPr>
            <w:tcW w:w="1948" w:type="pct"/>
            <w:gridSpan w:val="3"/>
          </w:tcPr>
          <w:p w:rsidR="009F62C9" w:rsidRPr="00DC21E2" w:rsidRDefault="009F62C9" w:rsidP="00260FBE">
            <w:pPr>
              <w:pStyle w:val="Textpoznpodarou"/>
              <w:jc w:val="both"/>
              <w:rPr>
                <w:spacing w:val="-4"/>
                <w:sz w:val="14"/>
                <w:szCs w:val="14"/>
              </w:rPr>
            </w:pPr>
            <w:r w:rsidRPr="00DC21E2">
              <w:rPr>
                <w:spacing w:val="-4"/>
                <w:sz w:val="14"/>
                <w:szCs w:val="14"/>
              </w:rPr>
              <w:t>*</w:t>
            </w:r>
            <w:r w:rsidRPr="000056A1">
              <w:rPr>
                <w:spacing w:val="-4"/>
                <w:sz w:val="14"/>
                <w:szCs w:val="14"/>
                <w:lang w:val="en-GB"/>
              </w:rPr>
              <w:t>in the national conception</w:t>
            </w:r>
          </w:p>
        </w:tc>
        <w:tc>
          <w:tcPr>
            <w:tcW w:w="1893" w:type="pct"/>
          </w:tcPr>
          <w:p w:rsidR="00486640" w:rsidRDefault="009F62C9">
            <w:pPr>
              <w:pStyle w:val="Textpoznpodarou"/>
              <w:jc w:val="right"/>
              <w:rPr>
                <w:spacing w:val="-4"/>
                <w:sz w:val="14"/>
                <w:szCs w:val="14"/>
              </w:rPr>
            </w:pPr>
            <w:proofErr w:type="spellStart"/>
            <w:r>
              <w:rPr>
                <w:spacing w:val="-4"/>
                <w:sz w:val="14"/>
                <w:szCs w:val="14"/>
              </w:rPr>
              <w:t>Source</w:t>
            </w:r>
            <w:proofErr w:type="spellEnd"/>
            <w:r w:rsidRPr="00DC21E2">
              <w:rPr>
                <w:spacing w:val="-4"/>
                <w:sz w:val="14"/>
                <w:szCs w:val="14"/>
              </w:rPr>
              <w:t xml:space="preserve">: </w:t>
            </w:r>
            <w:r>
              <w:rPr>
                <w:spacing w:val="-4"/>
                <w:sz w:val="14"/>
                <w:szCs w:val="14"/>
              </w:rPr>
              <w:t>CZSO</w:t>
            </w:r>
          </w:p>
        </w:tc>
      </w:tr>
      <w:bookmarkEnd w:id="2"/>
    </w:tbl>
    <w:p w:rsidR="008A03DE" w:rsidRPr="00CE7158" w:rsidRDefault="008A03DE" w:rsidP="00631EEC">
      <w:pPr>
        <w:pStyle w:val="Nadpis1"/>
        <w:ind w:left="709"/>
        <w:jc w:val="both"/>
        <w:rPr>
          <w:rFonts w:cs="Arial"/>
          <w:color w:val="000000"/>
          <w:sz w:val="10"/>
          <w:szCs w:val="10"/>
        </w:rPr>
      </w:pPr>
    </w:p>
    <w:sectPr w:rsidR="008A03DE" w:rsidRPr="00CE7158" w:rsidSect="00631EEC">
      <w:headerReference w:type="even" r:id="rId11"/>
      <w:headerReference w:type="default" r:id="rId12"/>
      <w:footerReference w:type="even" r:id="rId13"/>
      <w:footerReference w:type="default" r:id="rId14"/>
      <w:type w:val="continuous"/>
      <w:pgSz w:w="11906" w:h="16838" w:code="9"/>
      <w:pgMar w:top="1134" w:right="1134" w:bottom="1418" w:left="1134" w:header="680" w:footer="680"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DB4" w:rsidRDefault="004E4DB4" w:rsidP="00E71A58">
      <w:r>
        <w:separator/>
      </w:r>
    </w:p>
  </w:endnote>
  <w:endnote w:type="continuationSeparator" w:id="0">
    <w:p w:rsidR="004E4DB4" w:rsidRDefault="004E4DB4"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40" w:rsidRDefault="00486640"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00510D94" w:rsidRPr="005A21E0">
      <w:rPr>
        <w:rFonts w:ascii="Arial" w:hAnsi="Arial" w:cs="Arial"/>
        <w:sz w:val="16"/>
        <w:szCs w:val="16"/>
      </w:rPr>
      <w:fldChar w:fldCharType="begin"/>
    </w:r>
    <w:r w:rsidRPr="005A21E0">
      <w:rPr>
        <w:rFonts w:ascii="Arial" w:hAnsi="Arial" w:cs="Arial"/>
        <w:sz w:val="16"/>
        <w:szCs w:val="16"/>
      </w:rPr>
      <w:instrText>PAGE   \* MERGEFORMAT</w:instrText>
    </w:r>
    <w:r w:rsidR="00510D94" w:rsidRPr="005A21E0">
      <w:rPr>
        <w:rFonts w:ascii="Arial" w:hAnsi="Arial" w:cs="Arial"/>
        <w:sz w:val="16"/>
        <w:szCs w:val="16"/>
      </w:rPr>
      <w:fldChar w:fldCharType="separate"/>
    </w:r>
    <w:r w:rsidR="00844821">
      <w:rPr>
        <w:rFonts w:ascii="Arial" w:hAnsi="Arial" w:cs="Arial"/>
        <w:noProof/>
        <w:sz w:val="16"/>
        <w:szCs w:val="16"/>
      </w:rPr>
      <w:t>16</w:t>
    </w:r>
    <w:r w:rsidR="00510D94" w:rsidRPr="005A21E0">
      <w:rPr>
        <w:rFonts w:ascii="Arial" w:hAnsi="Arial" w:cs="Arial"/>
        <w:sz w:val="16"/>
        <w:szCs w:val="16"/>
      </w:rPr>
      <w:fldChar w:fldCharType="end"/>
    </w:r>
    <w:r>
      <w:rPr>
        <w:rFonts w:ascii="Arial" w:hAnsi="Arial" w:cs="Arial"/>
        <w:sz w:val="16"/>
        <w:szCs w:val="16"/>
      </w:rPr>
      <w:tab/>
      <w:t>2017</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40" w:rsidRDefault="006C21CE" w:rsidP="00357449">
    <w:pPr>
      <w:pStyle w:val="Zpat"/>
      <w:tabs>
        <w:tab w:val="clear" w:pos="4536"/>
        <w:tab w:val="clear" w:pos="9072"/>
        <w:tab w:val="left" w:pos="1134"/>
        <w:tab w:val="left" w:pos="1920"/>
        <w:tab w:val="center" w:pos="4820"/>
        <w:tab w:val="right" w:pos="9639"/>
      </w:tabs>
    </w:pPr>
    <w:r w:rsidRPr="006C21CE">
      <w:rPr>
        <w:noProof/>
        <w:lang w:eastAsia="cs-CZ"/>
      </w:rPr>
      <w:drawing>
        <wp:anchor distT="0" distB="0" distL="114300" distR="114300" simplePos="0" relativeHeight="251660800" behindDoc="0" locked="0" layoutInCell="1" allowOverlap="1">
          <wp:simplePos x="0" y="0"/>
          <wp:positionH relativeFrom="column">
            <wp:posOffset>35560</wp:posOffset>
          </wp:positionH>
          <wp:positionV relativeFrom="paragraph">
            <wp:posOffset>155575</wp:posOffset>
          </wp:positionV>
          <wp:extent cx="692150" cy="203200"/>
          <wp:effectExtent l="19050" t="0" r="0" b="0"/>
          <wp:wrapNone/>
          <wp:docPr id="9"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2150" cy="203200"/>
                  </a:xfrm>
                  <a:prstGeom prst="rect">
                    <a:avLst/>
                  </a:prstGeom>
                  <a:noFill/>
                  <a:ln w="9525">
                    <a:noFill/>
                    <a:miter lim="800000"/>
                    <a:headEnd/>
                    <a:tailEnd/>
                  </a:ln>
                </pic:spPr>
              </pic:pic>
            </a:graphicData>
          </a:graphic>
        </wp:anchor>
      </w:drawing>
    </w:r>
    <w:r w:rsidR="00486640">
      <w:tab/>
    </w:r>
    <w:r w:rsidR="00486640">
      <w:tab/>
    </w:r>
    <w:r w:rsidR="00486640" w:rsidRPr="00DC5B3B">
      <w:t xml:space="preserve">                              </w:t>
    </w:r>
  </w:p>
  <w:p w:rsidR="00486640" w:rsidRPr="00223E00" w:rsidRDefault="00486640"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2017</w:t>
    </w:r>
    <w:r>
      <w:rPr>
        <w:rFonts w:ascii="Arial" w:hAnsi="Arial" w:cs="Arial"/>
        <w:sz w:val="16"/>
        <w:szCs w:val="16"/>
      </w:rPr>
      <w:tab/>
    </w:r>
    <w:r w:rsidR="00510D94"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510D94" w:rsidRPr="00223E00">
      <w:rPr>
        <w:rFonts w:ascii="Arial" w:hAnsi="Arial" w:cs="Arial"/>
        <w:sz w:val="16"/>
        <w:szCs w:val="16"/>
      </w:rPr>
      <w:fldChar w:fldCharType="separate"/>
    </w:r>
    <w:r w:rsidR="00844821">
      <w:rPr>
        <w:rFonts w:ascii="Arial" w:hAnsi="Arial" w:cs="Arial"/>
        <w:noProof/>
        <w:sz w:val="16"/>
        <w:szCs w:val="16"/>
      </w:rPr>
      <w:t>15</w:t>
    </w:r>
    <w:r w:rsidR="00510D94"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DB4" w:rsidRDefault="004E4DB4" w:rsidP="00E71A58">
      <w:r>
        <w:separator/>
      </w:r>
    </w:p>
  </w:footnote>
  <w:footnote w:type="continuationSeparator" w:id="0">
    <w:p w:rsidR="004E4DB4" w:rsidRDefault="004E4DB4" w:rsidP="00E71A58">
      <w:r>
        <w:continuationSeparator/>
      </w:r>
    </w:p>
  </w:footnote>
  <w:footnote w:id="1">
    <w:p w:rsidR="00486640" w:rsidRPr="003279A7" w:rsidRDefault="00486640" w:rsidP="007F3FFE">
      <w:pPr>
        <w:pStyle w:val="Textpoznpodarou"/>
        <w:jc w:val="both"/>
        <w:rPr>
          <w:sz w:val="16"/>
          <w:szCs w:val="16"/>
        </w:rPr>
      </w:pPr>
      <w:r w:rsidRPr="003279A7">
        <w:rPr>
          <w:rStyle w:val="Znakapoznpodarou"/>
          <w:sz w:val="16"/>
          <w:szCs w:val="16"/>
        </w:rPr>
        <w:footnoteRef/>
      </w:r>
      <w:r w:rsidRPr="003279A7">
        <w:rPr>
          <w:sz w:val="16"/>
          <w:szCs w:val="16"/>
        </w:rPr>
        <w:t xml:space="preserve"> </w:t>
      </w:r>
      <w:proofErr w:type="gramStart"/>
      <w:r w:rsidRPr="007F3FFE">
        <w:rPr>
          <w:sz w:val="16"/>
          <w:szCs w:val="16"/>
          <w:lang w:val="en-GB"/>
        </w:rPr>
        <w:t>Statistical data of the foreign trade in the national conception in the nominal terms including only the trade with goods.</w:t>
      </w:r>
      <w:proofErr w:type="gramEnd"/>
      <w:r w:rsidRPr="007F3FFE">
        <w:rPr>
          <w:sz w:val="16"/>
          <w:szCs w:val="16"/>
          <w:lang w:val="en-GB"/>
        </w:rPr>
        <w:t xml:space="preserve"> The value of exports is captured in the FOB prices, i.e.</w:t>
      </w:r>
      <w:r w:rsidRPr="00931324">
        <w:rPr>
          <w:sz w:val="16"/>
          <w:szCs w:val="16"/>
          <w:lang w:val="en-GB"/>
        </w:rPr>
        <w:t xml:space="preserve"> including the costs connected with the transport to the CR boundaries. Import </w:t>
      </w:r>
      <w:r>
        <w:rPr>
          <w:sz w:val="16"/>
          <w:szCs w:val="16"/>
          <w:lang w:val="en-GB"/>
        </w:rPr>
        <w:t xml:space="preserve">depicted lower in this chapter </w:t>
      </w:r>
      <w:r w:rsidRPr="00931324">
        <w:rPr>
          <w:sz w:val="16"/>
          <w:szCs w:val="16"/>
          <w:lang w:val="en-GB"/>
        </w:rPr>
        <w:t>is in CIF prices, i.e. including costs associated with the transportation abroad, up all the way to the CR boundaries.</w:t>
      </w:r>
      <w:r>
        <w:rPr>
          <w:sz w:val="16"/>
          <w:szCs w:val="16"/>
          <w:lang w:val="en-GB"/>
        </w:rPr>
        <w:t xml:space="preserve"> </w:t>
      </w:r>
      <w:proofErr w:type="gramStart"/>
      <w:r>
        <w:rPr>
          <w:sz w:val="16"/>
          <w:szCs w:val="16"/>
          <w:lang w:val="en-GB"/>
        </w:rPr>
        <w:t xml:space="preserve">Data </w:t>
      </w:r>
      <w:r w:rsidRPr="007F3FFE">
        <w:rPr>
          <w:sz w:val="16"/>
          <w:szCs w:val="16"/>
          <w:lang w:val="en-GB"/>
        </w:rPr>
        <w:t>valid as of 6.</w:t>
      </w:r>
      <w:proofErr w:type="gramEnd"/>
      <w:r w:rsidRPr="007F3FFE">
        <w:rPr>
          <w:sz w:val="16"/>
          <w:szCs w:val="16"/>
          <w:lang w:val="en-GB"/>
        </w:rPr>
        <w:t xml:space="preserve"> 9. 2017.</w:t>
      </w:r>
      <w:r w:rsidRPr="003279A7">
        <w:rPr>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40" w:rsidRPr="006C21CE" w:rsidRDefault="006C21CE" w:rsidP="00D766EF">
    <w:pPr>
      <w:pStyle w:val="Zhlav"/>
      <w:tabs>
        <w:tab w:val="clear" w:pos="4536"/>
        <w:tab w:val="clear" w:pos="9072"/>
        <w:tab w:val="left" w:pos="-6379"/>
        <w:tab w:val="center" w:pos="4820"/>
        <w:tab w:val="right" w:pos="9639"/>
      </w:tabs>
      <w:rPr>
        <w:rFonts w:ascii="Arial" w:hAnsi="Arial" w:cs="Arial"/>
        <w:sz w:val="16"/>
        <w:szCs w:val="16"/>
        <w:lang w:val="en-GB"/>
      </w:rPr>
    </w:pPr>
    <w:r w:rsidRPr="00311204">
      <w:rPr>
        <w:rFonts w:ascii="Arial" w:hAnsi="Arial" w:cs="Arial"/>
        <w:sz w:val="16"/>
        <w:szCs w:val="16"/>
        <w:lang w:val="en-GB"/>
      </w:rPr>
      <w:t>The Czech Economy Development in the First Half of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40" w:rsidRPr="00311204" w:rsidRDefault="00486640" w:rsidP="0030768C">
    <w:pPr>
      <w:pStyle w:val="Zhlav"/>
      <w:tabs>
        <w:tab w:val="clear" w:pos="4536"/>
        <w:tab w:val="clear" w:pos="9072"/>
        <w:tab w:val="left" w:pos="-6379"/>
        <w:tab w:val="center" w:pos="4820"/>
        <w:tab w:val="right" w:pos="9639"/>
      </w:tabs>
      <w:rPr>
        <w:rFonts w:ascii="Arial" w:hAnsi="Arial" w:cs="Arial"/>
        <w:sz w:val="16"/>
        <w:szCs w:val="16"/>
        <w:lang w:val="en-GB"/>
      </w:rPr>
    </w:pPr>
    <w:r w:rsidRPr="00311204">
      <w:rPr>
        <w:rFonts w:ascii="Arial" w:hAnsi="Arial" w:cs="Arial"/>
        <w:sz w:val="16"/>
        <w:szCs w:val="16"/>
        <w:lang w:val="en-GB"/>
      </w:rPr>
      <w:t>The Czech Economy Development in the First Half of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6FB457C"/>
    <w:multiLevelType w:val="hybridMultilevel"/>
    <w:tmpl w:val="5A2A4F0E"/>
    <w:lvl w:ilvl="0" w:tplc="AFDC31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86057FE"/>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6">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2E20C48"/>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5760513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F94006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9215B69"/>
    <w:multiLevelType w:val="hybridMultilevel"/>
    <w:tmpl w:val="CCB00AA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ABC47DB"/>
    <w:multiLevelType w:val="hybridMultilevel"/>
    <w:tmpl w:val="AA5065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7"/>
  </w:num>
  <w:num w:numId="2">
    <w:abstractNumId w:val="23"/>
  </w:num>
  <w:num w:numId="3">
    <w:abstractNumId w:val="12"/>
  </w:num>
  <w:num w:numId="4">
    <w:abstractNumId w:val="21"/>
  </w:num>
  <w:num w:numId="5">
    <w:abstractNumId w:val="14"/>
  </w:num>
  <w:num w:numId="6">
    <w:abstractNumId w:val="18"/>
  </w:num>
  <w:num w:numId="7">
    <w:abstractNumId w:val="5"/>
  </w:num>
  <w:num w:numId="8">
    <w:abstractNumId w:val="10"/>
  </w:num>
  <w:num w:numId="9">
    <w:abstractNumId w:val="20"/>
  </w:num>
  <w:num w:numId="10">
    <w:abstractNumId w:val="4"/>
  </w:num>
  <w:num w:numId="11">
    <w:abstractNumId w:val="8"/>
  </w:num>
  <w:num w:numId="12">
    <w:abstractNumId w:val="2"/>
  </w:num>
  <w:num w:numId="13">
    <w:abstractNumId w:val="7"/>
  </w:num>
  <w:num w:numId="14">
    <w:abstractNumId w:val="0"/>
  </w:num>
  <w:num w:numId="15">
    <w:abstractNumId w:val="19"/>
  </w:num>
  <w:num w:numId="16">
    <w:abstractNumId w:val="15"/>
  </w:num>
  <w:num w:numId="17">
    <w:abstractNumId w:val="6"/>
  </w:num>
  <w:num w:numId="18">
    <w:abstractNumId w:val="22"/>
  </w:num>
  <w:num w:numId="19">
    <w:abstractNumId w:val="9"/>
  </w:num>
  <w:num w:numId="20">
    <w:abstractNumId w:val="1"/>
  </w:num>
  <w:num w:numId="21">
    <w:abstractNumId w:val="11"/>
  </w:num>
  <w:num w:numId="22">
    <w:abstractNumId w:val="13"/>
  </w:num>
  <w:num w:numId="23">
    <w:abstractNumId w:val="3"/>
  </w:num>
  <w:num w:numId="24">
    <w:abstractNumId w:val="1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9B70BD"/>
    <w:rsid w:val="00000FA7"/>
    <w:rsid w:val="00001EFF"/>
    <w:rsid w:val="000029FF"/>
    <w:rsid w:val="00003687"/>
    <w:rsid w:val="00003721"/>
    <w:rsid w:val="00003C43"/>
    <w:rsid w:val="00003DAF"/>
    <w:rsid w:val="00004BF2"/>
    <w:rsid w:val="00004C5D"/>
    <w:rsid w:val="00004EB0"/>
    <w:rsid w:val="000056A1"/>
    <w:rsid w:val="00007498"/>
    <w:rsid w:val="0000767A"/>
    <w:rsid w:val="00007D8A"/>
    <w:rsid w:val="000101F5"/>
    <w:rsid w:val="000104B9"/>
    <w:rsid w:val="00010702"/>
    <w:rsid w:val="00010770"/>
    <w:rsid w:val="00010982"/>
    <w:rsid w:val="00010C2C"/>
    <w:rsid w:val="00011191"/>
    <w:rsid w:val="000112ED"/>
    <w:rsid w:val="0001159B"/>
    <w:rsid w:val="000117CA"/>
    <w:rsid w:val="00012986"/>
    <w:rsid w:val="0001361A"/>
    <w:rsid w:val="00014028"/>
    <w:rsid w:val="00015195"/>
    <w:rsid w:val="0001519F"/>
    <w:rsid w:val="0001572B"/>
    <w:rsid w:val="0001573E"/>
    <w:rsid w:val="000157DA"/>
    <w:rsid w:val="0001589D"/>
    <w:rsid w:val="00016033"/>
    <w:rsid w:val="000162DB"/>
    <w:rsid w:val="00017F05"/>
    <w:rsid w:val="000202C6"/>
    <w:rsid w:val="00020315"/>
    <w:rsid w:val="000208B1"/>
    <w:rsid w:val="00020946"/>
    <w:rsid w:val="00020AD0"/>
    <w:rsid w:val="00022081"/>
    <w:rsid w:val="0002292C"/>
    <w:rsid w:val="00022B41"/>
    <w:rsid w:val="00023255"/>
    <w:rsid w:val="00023FB5"/>
    <w:rsid w:val="0002434F"/>
    <w:rsid w:val="00024887"/>
    <w:rsid w:val="00024CBA"/>
    <w:rsid w:val="00025501"/>
    <w:rsid w:val="00026998"/>
    <w:rsid w:val="00026B06"/>
    <w:rsid w:val="00026B47"/>
    <w:rsid w:val="00027D04"/>
    <w:rsid w:val="000304C4"/>
    <w:rsid w:val="0003066A"/>
    <w:rsid w:val="00030F14"/>
    <w:rsid w:val="000311C5"/>
    <w:rsid w:val="00031DAB"/>
    <w:rsid w:val="00032838"/>
    <w:rsid w:val="00032C12"/>
    <w:rsid w:val="00032E0C"/>
    <w:rsid w:val="000352E7"/>
    <w:rsid w:val="00035CCF"/>
    <w:rsid w:val="00035ED8"/>
    <w:rsid w:val="00035FC6"/>
    <w:rsid w:val="0003705E"/>
    <w:rsid w:val="00037667"/>
    <w:rsid w:val="0003780E"/>
    <w:rsid w:val="0004075D"/>
    <w:rsid w:val="000411E1"/>
    <w:rsid w:val="0004146D"/>
    <w:rsid w:val="00041E9C"/>
    <w:rsid w:val="00042EC6"/>
    <w:rsid w:val="00043C68"/>
    <w:rsid w:val="00043E05"/>
    <w:rsid w:val="000446A3"/>
    <w:rsid w:val="00045681"/>
    <w:rsid w:val="0004694F"/>
    <w:rsid w:val="00046E43"/>
    <w:rsid w:val="000500DC"/>
    <w:rsid w:val="000509FD"/>
    <w:rsid w:val="00051ADE"/>
    <w:rsid w:val="00052052"/>
    <w:rsid w:val="00052172"/>
    <w:rsid w:val="000534FD"/>
    <w:rsid w:val="00053CBA"/>
    <w:rsid w:val="00054E43"/>
    <w:rsid w:val="00055059"/>
    <w:rsid w:val="000553E4"/>
    <w:rsid w:val="0005619C"/>
    <w:rsid w:val="000567FA"/>
    <w:rsid w:val="00056B26"/>
    <w:rsid w:val="00057C16"/>
    <w:rsid w:val="00060F26"/>
    <w:rsid w:val="00062D43"/>
    <w:rsid w:val="00062EC5"/>
    <w:rsid w:val="00063C6C"/>
    <w:rsid w:val="00064256"/>
    <w:rsid w:val="0006667B"/>
    <w:rsid w:val="000678DE"/>
    <w:rsid w:val="000706A4"/>
    <w:rsid w:val="00070A0C"/>
    <w:rsid w:val="00071F80"/>
    <w:rsid w:val="00072118"/>
    <w:rsid w:val="00073173"/>
    <w:rsid w:val="0007324C"/>
    <w:rsid w:val="0007413C"/>
    <w:rsid w:val="00074485"/>
    <w:rsid w:val="000747C6"/>
    <w:rsid w:val="00075C2C"/>
    <w:rsid w:val="000779AC"/>
    <w:rsid w:val="00080A41"/>
    <w:rsid w:val="00080AA8"/>
    <w:rsid w:val="00081851"/>
    <w:rsid w:val="00081CBD"/>
    <w:rsid w:val="00083803"/>
    <w:rsid w:val="00083D7F"/>
    <w:rsid w:val="00084393"/>
    <w:rsid w:val="0008716A"/>
    <w:rsid w:val="00087634"/>
    <w:rsid w:val="00091237"/>
    <w:rsid w:val="000916B1"/>
    <w:rsid w:val="0009191B"/>
    <w:rsid w:val="000920EC"/>
    <w:rsid w:val="000921B6"/>
    <w:rsid w:val="00092208"/>
    <w:rsid w:val="00092505"/>
    <w:rsid w:val="000927EB"/>
    <w:rsid w:val="00092C9A"/>
    <w:rsid w:val="00093F4B"/>
    <w:rsid w:val="00096091"/>
    <w:rsid w:val="000973B6"/>
    <w:rsid w:val="0009742B"/>
    <w:rsid w:val="00097BFC"/>
    <w:rsid w:val="00097D02"/>
    <w:rsid w:val="000A015C"/>
    <w:rsid w:val="000A1183"/>
    <w:rsid w:val="000A2121"/>
    <w:rsid w:val="000A2484"/>
    <w:rsid w:val="000A2929"/>
    <w:rsid w:val="000A36CE"/>
    <w:rsid w:val="000A4AC8"/>
    <w:rsid w:val="000A59BF"/>
    <w:rsid w:val="000A62FA"/>
    <w:rsid w:val="000A64DE"/>
    <w:rsid w:val="000A66C2"/>
    <w:rsid w:val="000A68A7"/>
    <w:rsid w:val="000B1CFE"/>
    <w:rsid w:val="000B210A"/>
    <w:rsid w:val="000B249B"/>
    <w:rsid w:val="000B2ADE"/>
    <w:rsid w:val="000B3B01"/>
    <w:rsid w:val="000B3DB9"/>
    <w:rsid w:val="000B3F02"/>
    <w:rsid w:val="000B48A2"/>
    <w:rsid w:val="000B48E7"/>
    <w:rsid w:val="000B4F41"/>
    <w:rsid w:val="000B6158"/>
    <w:rsid w:val="000B6268"/>
    <w:rsid w:val="000B7663"/>
    <w:rsid w:val="000B7906"/>
    <w:rsid w:val="000C1106"/>
    <w:rsid w:val="000C11D3"/>
    <w:rsid w:val="000C12F5"/>
    <w:rsid w:val="000C2529"/>
    <w:rsid w:val="000C3408"/>
    <w:rsid w:val="000C54AF"/>
    <w:rsid w:val="000C57C5"/>
    <w:rsid w:val="000C5C0F"/>
    <w:rsid w:val="000C5D56"/>
    <w:rsid w:val="000C60D8"/>
    <w:rsid w:val="000C6498"/>
    <w:rsid w:val="000C6FCF"/>
    <w:rsid w:val="000C7398"/>
    <w:rsid w:val="000C7E1A"/>
    <w:rsid w:val="000D0B22"/>
    <w:rsid w:val="000D0D51"/>
    <w:rsid w:val="000D14B3"/>
    <w:rsid w:val="000D1668"/>
    <w:rsid w:val="000D1BFB"/>
    <w:rsid w:val="000D1F52"/>
    <w:rsid w:val="000D208B"/>
    <w:rsid w:val="000D263E"/>
    <w:rsid w:val="000D2B8D"/>
    <w:rsid w:val="000D2E41"/>
    <w:rsid w:val="000D342A"/>
    <w:rsid w:val="000D43CB"/>
    <w:rsid w:val="000D5E7A"/>
    <w:rsid w:val="000D5FAA"/>
    <w:rsid w:val="000D622A"/>
    <w:rsid w:val="000D65A4"/>
    <w:rsid w:val="000D6AEF"/>
    <w:rsid w:val="000D7414"/>
    <w:rsid w:val="000E025B"/>
    <w:rsid w:val="000E0ECB"/>
    <w:rsid w:val="000E153A"/>
    <w:rsid w:val="000E19A8"/>
    <w:rsid w:val="000E1CD8"/>
    <w:rsid w:val="000E1EEA"/>
    <w:rsid w:val="000E4241"/>
    <w:rsid w:val="000E4A42"/>
    <w:rsid w:val="000E5225"/>
    <w:rsid w:val="000E53BD"/>
    <w:rsid w:val="000E6184"/>
    <w:rsid w:val="000E6476"/>
    <w:rsid w:val="000E78D2"/>
    <w:rsid w:val="000F3332"/>
    <w:rsid w:val="000F33EE"/>
    <w:rsid w:val="000F401E"/>
    <w:rsid w:val="000F5445"/>
    <w:rsid w:val="000F5598"/>
    <w:rsid w:val="000F5673"/>
    <w:rsid w:val="000F67B2"/>
    <w:rsid w:val="000F6CFB"/>
    <w:rsid w:val="000F74B6"/>
    <w:rsid w:val="000F790F"/>
    <w:rsid w:val="000F7E1B"/>
    <w:rsid w:val="00100014"/>
    <w:rsid w:val="0010039A"/>
    <w:rsid w:val="00101E94"/>
    <w:rsid w:val="00101FB2"/>
    <w:rsid w:val="001023AA"/>
    <w:rsid w:val="001028CF"/>
    <w:rsid w:val="00102CB8"/>
    <w:rsid w:val="00102F02"/>
    <w:rsid w:val="0010385D"/>
    <w:rsid w:val="00103E41"/>
    <w:rsid w:val="001041B6"/>
    <w:rsid w:val="001062F1"/>
    <w:rsid w:val="00106ECE"/>
    <w:rsid w:val="001070EA"/>
    <w:rsid w:val="001077AE"/>
    <w:rsid w:val="0011002A"/>
    <w:rsid w:val="001107CE"/>
    <w:rsid w:val="001109F0"/>
    <w:rsid w:val="0011110A"/>
    <w:rsid w:val="001118AF"/>
    <w:rsid w:val="00111CA5"/>
    <w:rsid w:val="0011256E"/>
    <w:rsid w:val="001129B6"/>
    <w:rsid w:val="0011352E"/>
    <w:rsid w:val="0011365A"/>
    <w:rsid w:val="00113CAF"/>
    <w:rsid w:val="0011458D"/>
    <w:rsid w:val="00114FC0"/>
    <w:rsid w:val="00115496"/>
    <w:rsid w:val="00116DB9"/>
    <w:rsid w:val="00116F28"/>
    <w:rsid w:val="00117CE8"/>
    <w:rsid w:val="00121387"/>
    <w:rsid w:val="00121A1C"/>
    <w:rsid w:val="00121C39"/>
    <w:rsid w:val="00123255"/>
    <w:rsid w:val="00124D2D"/>
    <w:rsid w:val="00124DA1"/>
    <w:rsid w:val="00125326"/>
    <w:rsid w:val="00125CB5"/>
    <w:rsid w:val="00125F07"/>
    <w:rsid w:val="00127535"/>
    <w:rsid w:val="001307BE"/>
    <w:rsid w:val="00130C8F"/>
    <w:rsid w:val="00130E89"/>
    <w:rsid w:val="001314F2"/>
    <w:rsid w:val="001317DA"/>
    <w:rsid w:val="001323BA"/>
    <w:rsid w:val="0013249D"/>
    <w:rsid w:val="0013254D"/>
    <w:rsid w:val="00133AAC"/>
    <w:rsid w:val="00133C5B"/>
    <w:rsid w:val="00133FBD"/>
    <w:rsid w:val="00134DFD"/>
    <w:rsid w:val="00134F9F"/>
    <w:rsid w:val="001354EE"/>
    <w:rsid w:val="00135C47"/>
    <w:rsid w:val="00136561"/>
    <w:rsid w:val="00136AE8"/>
    <w:rsid w:val="001400E1"/>
    <w:rsid w:val="001405FA"/>
    <w:rsid w:val="001406BC"/>
    <w:rsid w:val="001413B3"/>
    <w:rsid w:val="00141E8A"/>
    <w:rsid w:val="001425C3"/>
    <w:rsid w:val="00142F16"/>
    <w:rsid w:val="001434CE"/>
    <w:rsid w:val="00143594"/>
    <w:rsid w:val="00143E03"/>
    <w:rsid w:val="00143E93"/>
    <w:rsid w:val="00143FA3"/>
    <w:rsid w:val="0014428D"/>
    <w:rsid w:val="0014731B"/>
    <w:rsid w:val="00147E55"/>
    <w:rsid w:val="001500FC"/>
    <w:rsid w:val="00151AC0"/>
    <w:rsid w:val="00151B18"/>
    <w:rsid w:val="00151B1E"/>
    <w:rsid w:val="00151B27"/>
    <w:rsid w:val="00152046"/>
    <w:rsid w:val="00152488"/>
    <w:rsid w:val="00152E53"/>
    <w:rsid w:val="00154147"/>
    <w:rsid w:val="001550F3"/>
    <w:rsid w:val="00155746"/>
    <w:rsid w:val="00156318"/>
    <w:rsid w:val="0015639A"/>
    <w:rsid w:val="00157307"/>
    <w:rsid w:val="00157FDA"/>
    <w:rsid w:val="0016081D"/>
    <w:rsid w:val="00160CF3"/>
    <w:rsid w:val="00160E61"/>
    <w:rsid w:val="00161300"/>
    <w:rsid w:val="001620FA"/>
    <w:rsid w:val="00162714"/>
    <w:rsid w:val="00162853"/>
    <w:rsid w:val="0016342C"/>
    <w:rsid w:val="00163793"/>
    <w:rsid w:val="0016448A"/>
    <w:rsid w:val="00166306"/>
    <w:rsid w:val="0016737F"/>
    <w:rsid w:val="00167FB2"/>
    <w:rsid w:val="00170591"/>
    <w:rsid w:val="001707DE"/>
    <w:rsid w:val="00170B04"/>
    <w:rsid w:val="00170F47"/>
    <w:rsid w:val="001711F2"/>
    <w:rsid w:val="001714F2"/>
    <w:rsid w:val="001718C2"/>
    <w:rsid w:val="00173642"/>
    <w:rsid w:val="00173AAA"/>
    <w:rsid w:val="00173AF4"/>
    <w:rsid w:val="00173CB0"/>
    <w:rsid w:val="00173D81"/>
    <w:rsid w:val="00174CE8"/>
    <w:rsid w:val="00174E7D"/>
    <w:rsid w:val="001752CB"/>
    <w:rsid w:val="00175351"/>
    <w:rsid w:val="00175F60"/>
    <w:rsid w:val="00176050"/>
    <w:rsid w:val="001764D8"/>
    <w:rsid w:val="00176A8F"/>
    <w:rsid w:val="00177267"/>
    <w:rsid w:val="00180A6D"/>
    <w:rsid w:val="00180D58"/>
    <w:rsid w:val="00181938"/>
    <w:rsid w:val="00182981"/>
    <w:rsid w:val="00184CF9"/>
    <w:rsid w:val="00185010"/>
    <w:rsid w:val="001852EC"/>
    <w:rsid w:val="00186447"/>
    <w:rsid w:val="001874CF"/>
    <w:rsid w:val="00190214"/>
    <w:rsid w:val="00190D9B"/>
    <w:rsid w:val="00191136"/>
    <w:rsid w:val="0019160F"/>
    <w:rsid w:val="00191BAE"/>
    <w:rsid w:val="00193432"/>
    <w:rsid w:val="0019346C"/>
    <w:rsid w:val="00194AE3"/>
    <w:rsid w:val="00195335"/>
    <w:rsid w:val="00195444"/>
    <w:rsid w:val="0019579E"/>
    <w:rsid w:val="0019642B"/>
    <w:rsid w:val="00196656"/>
    <w:rsid w:val="00197806"/>
    <w:rsid w:val="001A199D"/>
    <w:rsid w:val="001A2077"/>
    <w:rsid w:val="001A2855"/>
    <w:rsid w:val="001A2BDB"/>
    <w:rsid w:val="001A30F4"/>
    <w:rsid w:val="001A47AB"/>
    <w:rsid w:val="001A4C0D"/>
    <w:rsid w:val="001A552F"/>
    <w:rsid w:val="001A56F3"/>
    <w:rsid w:val="001A5F8C"/>
    <w:rsid w:val="001A6D52"/>
    <w:rsid w:val="001A737B"/>
    <w:rsid w:val="001A750C"/>
    <w:rsid w:val="001A7D31"/>
    <w:rsid w:val="001B1D89"/>
    <w:rsid w:val="001B2143"/>
    <w:rsid w:val="001B22AA"/>
    <w:rsid w:val="001B2F7E"/>
    <w:rsid w:val="001B3110"/>
    <w:rsid w:val="001B4198"/>
    <w:rsid w:val="001B44BC"/>
    <w:rsid w:val="001B5215"/>
    <w:rsid w:val="001B5888"/>
    <w:rsid w:val="001B5A75"/>
    <w:rsid w:val="001B618F"/>
    <w:rsid w:val="001B6277"/>
    <w:rsid w:val="001B6545"/>
    <w:rsid w:val="001B681B"/>
    <w:rsid w:val="001B6A49"/>
    <w:rsid w:val="001B7231"/>
    <w:rsid w:val="001B74FB"/>
    <w:rsid w:val="001B77A1"/>
    <w:rsid w:val="001C0422"/>
    <w:rsid w:val="001C0684"/>
    <w:rsid w:val="001C0E0E"/>
    <w:rsid w:val="001C0E66"/>
    <w:rsid w:val="001C0EB9"/>
    <w:rsid w:val="001C0F48"/>
    <w:rsid w:val="001C1219"/>
    <w:rsid w:val="001C357A"/>
    <w:rsid w:val="001C3961"/>
    <w:rsid w:val="001C3A37"/>
    <w:rsid w:val="001C4384"/>
    <w:rsid w:val="001C4D0E"/>
    <w:rsid w:val="001C4F5B"/>
    <w:rsid w:val="001C55F5"/>
    <w:rsid w:val="001C65FF"/>
    <w:rsid w:val="001C6747"/>
    <w:rsid w:val="001D1876"/>
    <w:rsid w:val="001D3787"/>
    <w:rsid w:val="001D3ADA"/>
    <w:rsid w:val="001D3E55"/>
    <w:rsid w:val="001D47E5"/>
    <w:rsid w:val="001D55F5"/>
    <w:rsid w:val="001D584C"/>
    <w:rsid w:val="001D5E1B"/>
    <w:rsid w:val="001D66C1"/>
    <w:rsid w:val="001D6EF6"/>
    <w:rsid w:val="001D7C6F"/>
    <w:rsid w:val="001E0024"/>
    <w:rsid w:val="001E0C65"/>
    <w:rsid w:val="001E163B"/>
    <w:rsid w:val="001E23E3"/>
    <w:rsid w:val="001E29AF"/>
    <w:rsid w:val="001E32A0"/>
    <w:rsid w:val="001E387A"/>
    <w:rsid w:val="001E3DA4"/>
    <w:rsid w:val="001E4854"/>
    <w:rsid w:val="001E5469"/>
    <w:rsid w:val="001E5830"/>
    <w:rsid w:val="001E6004"/>
    <w:rsid w:val="001E67E1"/>
    <w:rsid w:val="001E684C"/>
    <w:rsid w:val="001E701C"/>
    <w:rsid w:val="001E7552"/>
    <w:rsid w:val="001E7C03"/>
    <w:rsid w:val="001F02AF"/>
    <w:rsid w:val="001F0649"/>
    <w:rsid w:val="001F0CFF"/>
    <w:rsid w:val="001F20B9"/>
    <w:rsid w:val="001F28F4"/>
    <w:rsid w:val="001F2902"/>
    <w:rsid w:val="001F2CC6"/>
    <w:rsid w:val="001F3055"/>
    <w:rsid w:val="001F31BC"/>
    <w:rsid w:val="001F378E"/>
    <w:rsid w:val="001F3988"/>
    <w:rsid w:val="001F3C79"/>
    <w:rsid w:val="001F3E68"/>
    <w:rsid w:val="001F4597"/>
    <w:rsid w:val="001F4DAE"/>
    <w:rsid w:val="001F56A9"/>
    <w:rsid w:val="001F5C6A"/>
    <w:rsid w:val="001F63A7"/>
    <w:rsid w:val="001F670A"/>
    <w:rsid w:val="002007DE"/>
    <w:rsid w:val="00200D15"/>
    <w:rsid w:val="00200E9C"/>
    <w:rsid w:val="0020200D"/>
    <w:rsid w:val="0020223B"/>
    <w:rsid w:val="0020294A"/>
    <w:rsid w:val="00203074"/>
    <w:rsid w:val="00203B09"/>
    <w:rsid w:val="00203B46"/>
    <w:rsid w:val="00203FCB"/>
    <w:rsid w:val="002048E1"/>
    <w:rsid w:val="002051C3"/>
    <w:rsid w:val="002070AB"/>
    <w:rsid w:val="002071D8"/>
    <w:rsid w:val="00207DB6"/>
    <w:rsid w:val="00210216"/>
    <w:rsid w:val="00210278"/>
    <w:rsid w:val="0021058E"/>
    <w:rsid w:val="00210CC2"/>
    <w:rsid w:val="00210F5B"/>
    <w:rsid w:val="00210FFA"/>
    <w:rsid w:val="00211262"/>
    <w:rsid w:val="0021139C"/>
    <w:rsid w:val="002115F5"/>
    <w:rsid w:val="00211AC9"/>
    <w:rsid w:val="00212530"/>
    <w:rsid w:val="0021329E"/>
    <w:rsid w:val="0021355B"/>
    <w:rsid w:val="00214DB7"/>
    <w:rsid w:val="00215061"/>
    <w:rsid w:val="0021507A"/>
    <w:rsid w:val="0021552C"/>
    <w:rsid w:val="00215A2C"/>
    <w:rsid w:val="00217980"/>
    <w:rsid w:val="002179F9"/>
    <w:rsid w:val="002205F2"/>
    <w:rsid w:val="0022080E"/>
    <w:rsid w:val="00220895"/>
    <w:rsid w:val="00220B20"/>
    <w:rsid w:val="0022139E"/>
    <w:rsid w:val="0022272B"/>
    <w:rsid w:val="00222A99"/>
    <w:rsid w:val="00222C66"/>
    <w:rsid w:val="00223678"/>
    <w:rsid w:val="002236F7"/>
    <w:rsid w:val="002238E2"/>
    <w:rsid w:val="00223E00"/>
    <w:rsid w:val="002252E0"/>
    <w:rsid w:val="002255F6"/>
    <w:rsid w:val="00225F36"/>
    <w:rsid w:val="0022613C"/>
    <w:rsid w:val="00226466"/>
    <w:rsid w:val="002266D0"/>
    <w:rsid w:val="00226887"/>
    <w:rsid w:val="00226B92"/>
    <w:rsid w:val="00227991"/>
    <w:rsid w:val="00227CF4"/>
    <w:rsid w:val="00230DAD"/>
    <w:rsid w:val="00231499"/>
    <w:rsid w:val="002321D8"/>
    <w:rsid w:val="0023229C"/>
    <w:rsid w:val="0023301B"/>
    <w:rsid w:val="002334DF"/>
    <w:rsid w:val="0023355C"/>
    <w:rsid w:val="00234280"/>
    <w:rsid w:val="002347E7"/>
    <w:rsid w:val="00234DD5"/>
    <w:rsid w:val="00235000"/>
    <w:rsid w:val="002350E3"/>
    <w:rsid w:val="00235330"/>
    <w:rsid w:val="00236443"/>
    <w:rsid w:val="002370B4"/>
    <w:rsid w:val="00237C6E"/>
    <w:rsid w:val="00240773"/>
    <w:rsid w:val="00240815"/>
    <w:rsid w:val="00240A5B"/>
    <w:rsid w:val="00240A79"/>
    <w:rsid w:val="00240C76"/>
    <w:rsid w:val="002411EF"/>
    <w:rsid w:val="00241446"/>
    <w:rsid w:val="00242730"/>
    <w:rsid w:val="002429CF"/>
    <w:rsid w:val="00242B02"/>
    <w:rsid w:val="002436BA"/>
    <w:rsid w:val="00244069"/>
    <w:rsid w:val="002443A7"/>
    <w:rsid w:val="002444ED"/>
    <w:rsid w:val="00244A15"/>
    <w:rsid w:val="00244D40"/>
    <w:rsid w:val="00246AE9"/>
    <w:rsid w:val="0024799E"/>
    <w:rsid w:val="00250C59"/>
    <w:rsid w:val="00250E0D"/>
    <w:rsid w:val="002518F6"/>
    <w:rsid w:val="00251AE8"/>
    <w:rsid w:val="00251B1E"/>
    <w:rsid w:val="00251D59"/>
    <w:rsid w:val="00252602"/>
    <w:rsid w:val="00252609"/>
    <w:rsid w:val="00252FDC"/>
    <w:rsid w:val="002532E2"/>
    <w:rsid w:val="00253E11"/>
    <w:rsid w:val="00254B3B"/>
    <w:rsid w:val="002550D8"/>
    <w:rsid w:val="00255D11"/>
    <w:rsid w:val="00257613"/>
    <w:rsid w:val="00260FBE"/>
    <w:rsid w:val="00261A0F"/>
    <w:rsid w:val="00261E5B"/>
    <w:rsid w:val="002622A2"/>
    <w:rsid w:val="00262F34"/>
    <w:rsid w:val="002633E5"/>
    <w:rsid w:val="00263470"/>
    <w:rsid w:val="00263733"/>
    <w:rsid w:val="00264676"/>
    <w:rsid w:val="00265536"/>
    <w:rsid w:val="00265E54"/>
    <w:rsid w:val="00266F3E"/>
    <w:rsid w:val="00270785"/>
    <w:rsid w:val="0027172E"/>
    <w:rsid w:val="00272464"/>
    <w:rsid w:val="00272B0B"/>
    <w:rsid w:val="00272CC5"/>
    <w:rsid w:val="00273C60"/>
    <w:rsid w:val="00273DCD"/>
    <w:rsid w:val="00274291"/>
    <w:rsid w:val="00276C09"/>
    <w:rsid w:val="00276CFE"/>
    <w:rsid w:val="00277071"/>
    <w:rsid w:val="0027786C"/>
    <w:rsid w:val="00277BF7"/>
    <w:rsid w:val="0028013E"/>
    <w:rsid w:val="00281416"/>
    <w:rsid w:val="00281E7F"/>
    <w:rsid w:val="00282084"/>
    <w:rsid w:val="00283C61"/>
    <w:rsid w:val="002846A5"/>
    <w:rsid w:val="00284C6F"/>
    <w:rsid w:val="00285CD3"/>
    <w:rsid w:val="0028633E"/>
    <w:rsid w:val="0028686A"/>
    <w:rsid w:val="00286E66"/>
    <w:rsid w:val="002870B7"/>
    <w:rsid w:val="00291417"/>
    <w:rsid w:val="002919B5"/>
    <w:rsid w:val="00293441"/>
    <w:rsid w:val="0029358C"/>
    <w:rsid w:val="00294238"/>
    <w:rsid w:val="0029493E"/>
    <w:rsid w:val="00295CF0"/>
    <w:rsid w:val="002962E0"/>
    <w:rsid w:val="00296C2E"/>
    <w:rsid w:val="002A0E4F"/>
    <w:rsid w:val="002A109C"/>
    <w:rsid w:val="002A1B05"/>
    <w:rsid w:val="002A267F"/>
    <w:rsid w:val="002A3354"/>
    <w:rsid w:val="002A35EA"/>
    <w:rsid w:val="002A37B6"/>
    <w:rsid w:val="002A3BD5"/>
    <w:rsid w:val="002A43A2"/>
    <w:rsid w:val="002A44ED"/>
    <w:rsid w:val="002A4612"/>
    <w:rsid w:val="002A4F70"/>
    <w:rsid w:val="002A5263"/>
    <w:rsid w:val="002A63B9"/>
    <w:rsid w:val="002A6821"/>
    <w:rsid w:val="002A74D2"/>
    <w:rsid w:val="002A7C45"/>
    <w:rsid w:val="002A7CDA"/>
    <w:rsid w:val="002A7F47"/>
    <w:rsid w:val="002B1253"/>
    <w:rsid w:val="002B1544"/>
    <w:rsid w:val="002B1DC1"/>
    <w:rsid w:val="002B36C8"/>
    <w:rsid w:val="002B385B"/>
    <w:rsid w:val="002B6557"/>
    <w:rsid w:val="002B6888"/>
    <w:rsid w:val="002B6B7A"/>
    <w:rsid w:val="002B71B4"/>
    <w:rsid w:val="002B7240"/>
    <w:rsid w:val="002B7937"/>
    <w:rsid w:val="002C0219"/>
    <w:rsid w:val="002C0FF4"/>
    <w:rsid w:val="002C125A"/>
    <w:rsid w:val="002C2364"/>
    <w:rsid w:val="002C2668"/>
    <w:rsid w:val="002C43BD"/>
    <w:rsid w:val="002C493D"/>
    <w:rsid w:val="002C5261"/>
    <w:rsid w:val="002C6091"/>
    <w:rsid w:val="002C63C1"/>
    <w:rsid w:val="002C6648"/>
    <w:rsid w:val="002D0562"/>
    <w:rsid w:val="002D0DB0"/>
    <w:rsid w:val="002D1B5A"/>
    <w:rsid w:val="002D2500"/>
    <w:rsid w:val="002D2B94"/>
    <w:rsid w:val="002D338A"/>
    <w:rsid w:val="002D34BF"/>
    <w:rsid w:val="002D3F00"/>
    <w:rsid w:val="002D4062"/>
    <w:rsid w:val="002D4D59"/>
    <w:rsid w:val="002D54BF"/>
    <w:rsid w:val="002D5C3D"/>
    <w:rsid w:val="002D5E94"/>
    <w:rsid w:val="002D632D"/>
    <w:rsid w:val="002D6B01"/>
    <w:rsid w:val="002D6B11"/>
    <w:rsid w:val="002D6FC7"/>
    <w:rsid w:val="002D7EF4"/>
    <w:rsid w:val="002E02A1"/>
    <w:rsid w:val="002E0982"/>
    <w:rsid w:val="002E0DB9"/>
    <w:rsid w:val="002E2CE4"/>
    <w:rsid w:val="002E34F3"/>
    <w:rsid w:val="002E3766"/>
    <w:rsid w:val="002E4217"/>
    <w:rsid w:val="002E435E"/>
    <w:rsid w:val="002E61AD"/>
    <w:rsid w:val="002E73F2"/>
    <w:rsid w:val="002F07AC"/>
    <w:rsid w:val="002F33FB"/>
    <w:rsid w:val="002F57C6"/>
    <w:rsid w:val="002F65E8"/>
    <w:rsid w:val="002F663A"/>
    <w:rsid w:val="002F68A4"/>
    <w:rsid w:val="002F7594"/>
    <w:rsid w:val="002F7902"/>
    <w:rsid w:val="003003E7"/>
    <w:rsid w:val="00300552"/>
    <w:rsid w:val="003008A3"/>
    <w:rsid w:val="00300D6F"/>
    <w:rsid w:val="00301357"/>
    <w:rsid w:val="0030192C"/>
    <w:rsid w:val="00301D04"/>
    <w:rsid w:val="003034C7"/>
    <w:rsid w:val="003035D4"/>
    <w:rsid w:val="00303A3C"/>
    <w:rsid w:val="00303DCB"/>
    <w:rsid w:val="00304771"/>
    <w:rsid w:val="00304E6C"/>
    <w:rsid w:val="00305736"/>
    <w:rsid w:val="00305C33"/>
    <w:rsid w:val="00306934"/>
    <w:rsid w:val="00306C5B"/>
    <w:rsid w:val="00306E3B"/>
    <w:rsid w:val="0030768C"/>
    <w:rsid w:val="00307725"/>
    <w:rsid w:val="00310ADB"/>
    <w:rsid w:val="00310C41"/>
    <w:rsid w:val="00311204"/>
    <w:rsid w:val="003114A6"/>
    <w:rsid w:val="003119B6"/>
    <w:rsid w:val="003122D9"/>
    <w:rsid w:val="00312BF1"/>
    <w:rsid w:val="00312C3D"/>
    <w:rsid w:val="00314331"/>
    <w:rsid w:val="00315E64"/>
    <w:rsid w:val="00316708"/>
    <w:rsid w:val="00317E31"/>
    <w:rsid w:val="00320214"/>
    <w:rsid w:val="003209D6"/>
    <w:rsid w:val="0032109A"/>
    <w:rsid w:val="00321187"/>
    <w:rsid w:val="0032214F"/>
    <w:rsid w:val="00322164"/>
    <w:rsid w:val="0032318D"/>
    <w:rsid w:val="00323CF7"/>
    <w:rsid w:val="00323E61"/>
    <w:rsid w:val="0032513D"/>
    <w:rsid w:val="00326251"/>
    <w:rsid w:val="0032739C"/>
    <w:rsid w:val="003275E3"/>
    <w:rsid w:val="003276D1"/>
    <w:rsid w:val="00327DEE"/>
    <w:rsid w:val="003302DA"/>
    <w:rsid w:val="00330EB0"/>
    <w:rsid w:val="00331574"/>
    <w:rsid w:val="0033229B"/>
    <w:rsid w:val="003329F3"/>
    <w:rsid w:val="0033352E"/>
    <w:rsid w:val="00333690"/>
    <w:rsid w:val="00333D20"/>
    <w:rsid w:val="00333DF8"/>
    <w:rsid w:val="00333E05"/>
    <w:rsid w:val="00333F32"/>
    <w:rsid w:val="00333F53"/>
    <w:rsid w:val="003340EF"/>
    <w:rsid w:val="00334A49"/>
    <w:rsid w:val="00334FE5"/>
    <w:rsid w:val="0033536F"/>
    <w:rsid w:val="00335BB0"/>
    <w:rsid w:val="0033627B"/>
    <w:rsid w:val="00337726"/>
    <w:rsid w:val="003406BD"/>
    <w:rsid w:val="00343474"/>
    <w:rsid w:val="00343F84"/>
    <w:rsid w:val="00344135"/>
    <w:rsid w:val="003450E2"/>
    <w:rsid w:val="00351B63"/>
    <w:rsid w:val="00351ED7"/>
    <w:rsid w:val="00352482"/>
    <w:rsid w:val="00352E57"/>
    <w:rsid w:val="003541B0"/>
    <w:rsid w:val="0035457E"/>
    <w:rsid w:val="00355885"/>
    <w:rsid w:val="00355B2C"/>
    <w:rsid w:val="00355CAA"/>
    <w:rsid w:val="0035605E"/>
    <w:rsid w:val="00356244"/>
    <w:rsid w:val="00357449"/>
    <w:rsid w:val="00357C28"/>
    <w:rsid w:val="0036045E"/>
    <w:rsid w:val="00360FA0"/>
    <w:rsid w:val="00361F76"/>
    <w:rsid w:val="0036238B"/>
    <w:rsid w:val="00362408"/>
    <w:rsid w:val="003630B0"/>
    <w:rsid w:val="00364087"/>
    <w:rsid w:val="003649FC"/>
    <w:rsid w:val="003651A4"/>
    <w:rsid w:val="00365680"/>
    <w:rsid w:val="003657F3"/>
    <w:rsid w:val="00366D4D"/>
    <w:rsid w:val="00366F77"/>
    <w:rsid w:val="00367038"/>
    <w:rsid w:val="003670FE"/>
    <w:rsid w:val="0036710C"/>
    <w:rsid w:val="00370963"/>
    <w:rsid w:val="0037144E"/>
    <w:rsid w:val="00372272"/>
    <w:rsid w:val="0037290D"/>
    <w:rsid w:val="003736B5"/>
    <w:rsid w:val="00373C13"/>
    <w:rsid w:val="00374F1E"/>
    <w:rsid w:val="003750CF"/>
    <w:rsid w:val="003769F0"/>
    <w:rsid w:val="00376DEC"/>
    <w:rsid w:val="00377200"/>
    <w:rsid w:val="00377666"/>
    <w:rsid w:val="003777A0"/>
    <w:rsid w:val="0038034A"/>
    <w:rsid w:val="00380E04"/>
    <w:rsid w:val="00380E6C"/>
    <w:rsid w:val="00383227"/>
    <w:rsid w:val="003839C9"/>
    <w:rsid w:val="0038422D"/>
    <w:rsid w:val="00384D8F"/>
    <w:rsid w:val="003857A2"/>
    <w:rsid w:val="00385D98"/>
    <w:rsid w:val="00385EC5"/>
    <w:rsid w:val="0038658E"/>
    <w:rsid w:val="0038753E"/>
    <w:rsid w:val="003875C2"/>
    <w:rsid w:val="0039066E"/>
    <w:rsid w:val="00391C95"/>
    <w:rsid w:val="00392110"/>
    <w:rsid w:val="00393D74"/>
    <w:rsid w:val="003948D7"/>
    <w:rsid w:val="00394D49"/>
    <w:rsid w:val="003964C8"/>
    <w:rsid w:val="00396DAC"/>
    <w:rsid w:val="003971D0"/>
    <w:rsid w:val="003A0214"/>
    <w:rsid w:val="003A027D"/>
    <w:rsid w:val="003A0B39"/>
    <w:rsid w:val="003A1D74"/>
    <w:rsid w:val="003A2B4D"/>
    <w:rsid w:val="003A2D2B"/>
    <w:rsid w:val="003A2DD4"/>
    <w:rsid w:val="003A33DF"/>
    <w:rsid w:val="003A3982"/>
    <w:rsid w:val="003A3B1C"/>
    <w:rsid w:val="003A4088"/>
    <w:rsid w:val="003A478C"/>
    <w:rsid w:val="003A4F82"/>
    <w:rsid w:val="003A5525"/>
    <w:rsid w:val="003A6B38"/>
    <w:rsid w:val="003A72DF"/>
    <w:rsid w:val="003A7E9C"/>
    <w:rsid w:val="003B2142"/>
    <w:rsid w:val="003B23DC"/>
    <w:rsid w:val="003B2580"/>
    <w:rsid w:val="003B293F"/>
    <w:rsid w:val="003B2E63"/>
    <w:rsid w:val="003B2F75"/>
    <w:rsid w:val="003B3189"/>
    <w:rsid w:val="003B39B9"/>
    <w:rsid w:val="003B3A9D"/>
    <w:rsid w:val="003B3DDD"/>
    <w:rsid w:val="003B5031"/>
    <w:rsid w:val="003B5A32"/>
    <w:rsid w:val="003B6105"/>
    <w:rsid w:val="003C03CC"/>
    <w:rsid w:val="003C04C4"/>
    <w:rsid w:val="003C08E2"/>
    <w:rsid w:val="003C0B96"/>
    <w:rsid w:val="003C26F4"/>
    <w:rsid w:val="003C33F6"/>
    <w:rsid w:val="003C3686"/>
    <w:rsid w:val="003C38EB"/>
    <w:rsid w:val="003C3E2C"/>
    <w:rsid w:val="003C4852"/>
    <w:rsid w:val="003C5BC7"/>
    <w:rsid w:val="003C601E"/>
    <w:rsid w:val="003C66C4"/>
    <w:rsid w:val="003C6DB9"/>
    <w:rsid w:val="003C78D7"/>
    <w:rsid w:val="003D1A24"/>
    <w:rsid w:val="003D2393"/>
    <w:rsid w:val="003D2C4E"/>
    <w:rsid w:val="003D3600"/>
    <w:rsid w:val="003D3825"/>
    <w:rsid w:val="003D3EC4"/>
    <w:rsid w:val="003D42F9"/>
    <w:rsid w:val="003D44E2"/>
    <w:rsid w:val="003D4760"/>
    <w:rsid w:val="003D49DC"/>
    <w:rsid w:val="003D4DD9"/>
    <w:rsid w:val="003D4FB5"/>
    <w:rsid w:val="003D5135"/>
    <w:rsid w:val="003D59BE"/>
    <w:rsid w:val="003D5D7A"/>
    <w:rsid w:val="003D5E4B"/>
    <w:rsid w:val="003D653F"/>
    <w:rsid w:val="003D6B55"/>
    <w:rsid w:val="003D7323"/>
    <w:rsid w:val="003E0663"/>
    <w:rsid w:val="003E133F"/>
    <w:rsid w:val="003E49F6"/>
    <w:rsid w:val="003E699C"/>
    <w:rsid w:val="003E69F3"/>
    <w:rsid w:val="003E73E7"/>
    <w:rsid w:val="003E782E"/>
    <w:rsid w:val="003E7A0B"/>
    <w:rsid w:val="003E7B2B"/>
    <w:rsid w:val="003F0293"/>
    <w:rsid w:val="003F116D"/>
    <w:rsid w:val="003F181F"/>
    <w:rsid w:val="003F1A48"/>
    <w:rsid w:val="003F1E23"/>
    <w:rsid w:val="003F22F6"/>
    <w:rsid w:val="003F244B"/>
    <w:rsid w:val="003F2B0A"/>
    <w:rsid w:val="003F313C"/>
    <w:rsid w:val="003F32AB"/>
    <w:rsid w:val="003F341B"/>
    <w:rsid w:val="003F37FC"/>
    <w:rsid w:val="003F3A26"/>
    <w:rsid w:val="003F49A6"/>
    <w:rsid w:val="003F5047"/>
    <w:rsid w:val="003F5098"/>
    <w:rsid w:val="003F5568"/>
    <w:rsid w:val="003F5A95"/>
    <w:rsid w:val="003F6D19"/>
    <w:rsid w:val="003F77EC"/>
    <w:rsid w:val="003F795D"/>
    <w:rsid w:val="004000D5"/>
    <w:rsid w:val="00400244"/>
    <w:rsid w:val="004005C1"/>
    <w:rsid w:val="004009B7"/>
    <w:rsid w:val="00400BBD"/>
    <w:rsid w:val="004014D5"/>
    <w:rsid w:val="00401716"/>
    <w:rsid w:val="004018F7"/>
    <w:rsid w:val="00401A09"/>
    <w:rsid w:val="0040273A"/>
    <w:rsid w:val="00402C25"/>
    <w:rsid w:val="004036FB"/>
    <w:rsid w:val="004050D7"/>
    <w:rsid w:val="00405801"/>
    <w:rsid w:val="00405D51"/>
    <w:rsid w:val="004078BD"/>
    <w:rsid w:val="00410132"/>
    <w:rsid w:val="004104E4"/>
    <w:rsid w:val="00410A97"/>
    <w:rsid w:val="00410BCD"/>
    <w:rsid w:val="00410DE5"/>
    <w:rsid w:val="0041175D"/>
    <w:rsid w:val="004117CE"/>
    <w:rsid w:val="004123BE"/>
    <w:rsid w:val="00414CE5"/>
    <w:rsid w:val="00416673"/>
    <w:rsid w:val="0041685D"/>
    <w:rsid w:val="0042160D"/>
    <w:rsid w:val="00422502"/>
    <w:rsid w:val="0042376B"/>
    <w:rsid w:val="00423A3C"/>
    <w:rsid w:val="00423C04"/>
    <w:rsid w:val="00424D9B"/>
    <w:rsid w:val="0042681B"/>
    <w:rsid w:val="004269F9"/>
    <w:rsid w:val="00426C1F"/>
    <w:rsid w:val="00426D46"/>
    <w:rsid w:val="00427193"/>
    <w:rsid w:val="0043068A"/>
    <w:rsid w:val="004306E0"/>
    <w:rsid w:val="00431D54"/>
    <w:rsid w:val="00431F98"/>
    <w:rsid w:val="004329BE"/>
    <w:rsid w:val="00432C38"/>
    <w:rsid w:val="004342EC"/>
    <w:rsid w:val="00437376"/>
    <w:rsid w:val="00437C76"/>
    <w:rsid w:val="00437F4A"/>
    <w:rsid w:val="0044105C"/>
    <w:rsid w:val="00441494"/>
    <w:rsid w:val="00442197"/>
    <w:rsid w:val="0044315B"/>
    <w:rsid w:val="004437FC"/>
    <w:rsid w:val="00443E95"/>
    <w:rsid w:val="004441A0"/>
    <w:rsid w:val="00444268"/>
    <w:rsid w:val="00444326"/>
    <w:rsid w:val="004443BF"/>
    <w:rsid w:val="00444C19"/>
    <w:rsid w:val="00445218"/>
    <w:rsid w:val="00445CDD"/>
    <w:rsid w:val="00446367"/>
    <w:rsid w:val="00446892"/>
    <w:rsid w:val="00447267"/>
    <w:rsid w:val="00447E36"/>
    <w:rsid w:val="00450700"/>
    <w:rsid w:val="00450C30"/>
    <w:rsid w:val="004529C7"/>
    <w:rsid w:val="004540FF"/>
    <w:rsid w:val="004541F1"/>
    <w:rsid w:val="00455843"/>
    <w:rsid w:val="00455ECA"/>
    <w:rsid w:val="00455FE6"/>
    <w:rsid w:val="00457296"/>
    <w:rsid w:val="00457320"/>
    <w:rsid w:val="00460164"/>
    <w:rsid w:val="0046039A"/>
    <w:rsid w:val="00460A6B"/>
    <w:rsid w:val="00461977"/>
    <w:rsid w:val="00461A3F"/>
    <w:rsid w:val="004620C7"/>
    <w:rsid w:val="004629FD"/>
    <w:rsid w:val="00462AD2"/>
    <w:rsid w:val="004634F3"/>
    <w:rsid w:val="00463B4B"/>
    <w:rsid w:val="00463F4D"/>
    <w:rsid w:val="00464658"/>
    <w:rsid w:val="0046471F"/>
    <w:rsid w:val="00464BE8"/>
    <w:rsid w:val="00465019"/>
    <w:rsid w:val="00465FA4"/>
    <w:rsid w:val="0046613F"/>
    <w:rsid w:val="0046655D"/>
    <w:rsid w:val="00466808"/>
    <w:rsid w:val="00466AAE"/>
    <w:rsid w:val="0046765E"/>
    <w:rsid w:val="004676E2"/>
    <w:rsid w:val="00467B4F"/>
    <w:rsid w:val="00471EDD"/>
    <w:rsid w:val="00472F04"/>
    <w:rsid w:val="00473A27"/>
    <w:rsid w:val="00473E0B"/>
    <w:rsid w:val="00473E94"/>
    <w:rsid w:val="0047400C"/>
    <w:rsid w:val="00474471"/>
    <w:rsid w:val="004745D9"/>
    <w:rsid w:val="00474B94"/>
    <w:rsid w:val="00475FE2"/>
    <w:rsid w:val="004761D2"/>
    <w:rsid w:val="004762D8"/>
    <w:rsid w:val="004765B3"/>
    <w:rsid w:val="00476D29"/>
    <w:rsid w:val="00477241"/>
    <w:rsid w:val="0047728F"/>
    <w:rsid w:val="004774F5"/>
    <w:rsid w:val="00477EAF"/>
    <w:rsid w:val="00477EE0"/>
    <w:rsid w:val="004806A8"/>
    <w:rsid w:val="00480AB8"/>
    <w:rsid w:val="0048139F"/>
    <w:rsid w:val="00481C00"/>
    <w:rsid w:val="00482185"/>
    <w:rsid w:val="00482227"/>
    <w:rsid w:val="00483053"/>
    <w:rsid w:val="00484874"/>
    <w:rsid w:val="00484EA9"/>
    <w:rsid w:val="00485230"/>
    <w:rsid w:val="00486640"/>
    <w:rsid w:val="00486700"/>
    <w:rsid w:val="00487127"/>
    <w:rsid w:val="004879E9"/>
    <w:rsid w:val="00487F81"/>
    <w:rsid w:val="00490082"/>
    <w:rsid w:val="00490247"/>
    <w:rsid w:val="0049104F"/>
    <w:rsid w:val="00491091"/>
    <w:rsid w:val="00491218"/>
    <w:rsid w:val="00491CFD"/>
    <w:rsid w:val="00492991"/>
    <w:rsid w:val="00493362"/>
    <w:rsid w:val="00494343"/>
    <w:rsid w:val="00494AAB"/>
    <w:rsid w:val="0049540A"/>
    <w:rsid w:val="004954E3"/>
    <w:rsid w:val="00496C2F"/>
    <w:rsid w:val="0049740D"/>
    <w:rsid w:val="0049757F"/>
    <w:rsid w:val="004978D3"/>
    <w:rsid w:val="004A06A6"/>
    <w:rsid w:val="004A11F8"/>
    <w:rsid w:val="004A22BD"/>
    <w:rsid w:val="004A22FA"/>
    <w:rsid w:val="004A269A"/>
    <w:rsid w:val="004A26AF"/>
    <w:rsid w:val="004A26DB"/>
    <w:rsid w:val="004A30FB"/>
    <w:rsid w:val="004A35DD"/>
    <w:rsid w:val="004A37D3"/>
    <w:rsid w:val="004A3AD6"/>
    <w:rsid w:val="004A3BCE"/>
    <w:rsid w:val="004A434A"/>
    <w:rsid w:val="004A5865"/>
    <w:rsid w:val="004A59E4"/>
    <w:rsid w:val="004A6D7A"/>
    <w:rsid w:val="004A7670"/>
    <w:rsid w:val="004A7695"/>
    <w:rsid w:val="004A77DF"/>
    <w:rsid w:val="004B0295"/>
    <w:rsid w:val="004B0803"/>
    <w:rsid w:val="004B10A8"/>
    <w:rsid w:val="004B1F58"/>
    <w:rsid w:val="004B1F9D"/>
    <w:rsid w:val="004B22DA"/>
    <w:rsid w:val="004B3CB7"/>
    <w:rsid w:val="004B3D55"/>
    <w:rsid w:val="004B3DA2"/>
    <w:rsid w:val="004B55B7"/>
    <w:rsid w:val="004B5836"/>
    <w:rsid w:val="004B5F05"/>
    <w:rsid w:val="004B6195"/>
    <w:rsid w:val="004C00A6"/>
    <w:rsid w:val="004C0243"/>
    <w:rsid w:val="004C0BBB"/>
    <w:rsid w:val="004C0ECD"/>
    <w:rsid w:val="004C1AD6"/>
    <w:rsid w:val="004C1B86"/>
    <w:rsid w:val="004C1DEE"/>
    <w:rsid w:val="004C3382"/>
    <w:rsid w:val="004C3867"/>
    <w:rsid w:val="004C4AB7"/>
    <w:rsid w:val="004C4B88"/>
    <w:rsid w:val="004C4CD0"/>
    <w:rsid w:val="004C57B5"/>
    <w:rsid w:val="004C5C25"/>
    <w:rsid w:val="004C65FD"/>
    <w:rsid w:val="004C6717"/>
    <w:rsid w:val="004C6CFF"/>
    <w:rsid w:val="004C70A3"/>
    <w:rsid w:val="004C70DC"/>
    <w:rsid w:val="004C7268"/>
    <w:rsid w:val="004C7C50"/>
    <w:rsid w:val="004D0211"/>
    <w:rsid w:val="004D16B2"/>
    <w:rsid w:val="004D1C9C"/>
    <w:rsid w:val="004D2174"/>
    <w:rsid w:val="004D2A0E"/>
    <w:rsid w:val="004D2BE3"/>
    <w:rsid w:val="004D2BFB"/>
    <w:rsid w:val="004D458D"/>
    <w:rsid w:val="004D4F13"/>
    <w:rsid w:val="004D504B"/>
    <w:rsid w:val="004D536E"/>
    <w:rsid w:val="004D58CE"/>
    <w:rsid w:val="004D70B1"/>
    <w:rsid w:val="004D76CC"/>
    <w:rsid w:val="004E09D4"/>
    <w:rsid w:val="004E1415"/>
    <w:rsid w:val="004E1839"/>
    <w:rsid w:val="004E4A75"/>
    <w:rsid w:val="004E4A7B"/>
    <w:rsid w:val="004E4DB4"/>
    <w:rsid w:val="004E541A"/>
    <w:rsid w:val="004E5A5C"/>
    <w:rsid w:val="004E633A"/>
    <w:rsid w:val="004E7007"/>
    <w:rsid w:val="004E76D6"/>
    <w:rsid w:val="004E7E53"/>
    <w:rsid w:val="004E7F57"/>
    <w:rsid w:val="004F06F5"/>
    <w:rsid w:val="004F11A2"/>
    <w:rsid w:val="004F14F3"/>
    <w:rsid w:val="004F191F"/>
    <w:rsid w:val="004F267A"/>
    <w:rsid w:val="004F2A4D"/>
    <w:rsid w:val="004F2A73"/>
    <w:rsid w:val="004F2BD2"/>
    <w:rsid w:val="004F33A0"/>
    <w:rsid w:val="004F353A"/>
    <w:rsid w:val="004F4004"/>
    <w:rsid w:val="004F4353"/>
    <w:rsid w:val="004F447D"/>
    <w:rsid w:val="004F4C28"/>
    <w:rsid w:val="004F4CEE"/>
    <w:rsid w:val="004F4E82"/>
    <w:rsid w:val="004F5470"/>
    <w:rsid w:val="004F5CC5"/>
    <w:rsid w:val="004F6350"/>
    <w:rsid w:val="004F7170"/>
    <w:rsid w:val="004F74B6"/>
    <w:rsid w:val="004F7990"/>
    <w:rsid w:val="00500DCA"/>
    <w:rsid w:val="005028E1"/>
    <w:rsid w:val="00503EC3"/>
    <w:rsid w:val="00505989"/>
    <w:rsid w:val="00506309"/>
    <w:rsid w:val="0050692E"/>
    <w:rsid w:val="00507040"/>
    <w:rsid w:val="005079F8"/>
    <w:rsid w:val="00510189"/>
    <w:rsid w:val="005108C0"/>
    <w:rsid w:val="00510D94"/>
    <w:rsid w:val="00511873"/>
    <w:rsid w:val="00512603"/>
    <w:rsid w:val="00512CAA"/>
    <w:rsid w:val="00512CC5"/>
    <w:rsid w:val="0051367B"/>
    <w:rsid w:val="00513A89"/>
    <w:rsid w:val="00513B7E"/>
    <w:rsid w:val="005140DE"/>
    <w:rsid w:val="00514474"/>
    <w:rsid w:val="005147E9"/>
    <w:rsid w:val="0051507D"/>
    <w:rsid w:val="0051593C"/>
    <w:rsid w:val="00517567"/>
    <w:rsid w:val="0051778E"/>
    <w:rsid w:val="005215EF"/>
    <w:rsid w:val="00521973"/>
    <w:rsid w:val="00523550"/>
    <w:rsid w:val="0052439A"/>
    <w:rsid w:val="00524637"/>
    <w:rsid w:val="00524FDD"/>
    <w:rsid w:val="00525137"/>
    <w:rsid w:val="005251DD"/>
    <w:rsid w:val="00526DB6"/>
    <w:rsid w:val="0053017A"/>
    <w:rsid w:val="00530492"/>
    <w:rsid w:val="005308E4"/>
    <w:rsid w:val="005325A8"/>
    <w:rsid w:val="00532854"/>
    <w:rsid w:val="00532AD5"/>
    <w:rsid w:val="00534CDA"/>
    <w:rsid w:val="005350F2"/>
    <w:rsid w:val="00535152"/>
    <w:rsid w:val="00535359"/>
    <w:rsid w:val="005357A2"/>
    <w:rsid w:val="005359E3"/>
    <w:rsid w:val="00535D87"/>
    <w:rsid w:val="00535EF0"/>
    <w:rsid w:val="00535F78"/>
    <w:rsid w:val="005363DF"/>
    <w:rsid w:val="0053734B"/>
    <w:rsid w:val="005375B1"/>
    <w:rsid w:val="00537AFD"/>
    <w:rsid w:val="00537CB4"/>
    <w:rsid w:val="00537FA2"/>
    <w:rsid w:val="00540CB3"/>
    <w:rsid w:val="00540D25"/>
    <w:rsid w:val="00541822"/>
    <w:rsid w:val="00541BDA"/>
    <w:rsid w:val="00542D19"/>
    <w:rsid w:val="0054516B"/>
    <w:rsid w:val="0054559E"/>
    <w:rsid w:val="005459BD"/>
    <w:rsid w:val="00546833"/>
    <w:rsid w:val="0054787A"/>
    <w:rsid w:val="005513D5"/>
    <w:rsid w:val="005523B9"/>
    <w:rsid w:val="00553C88"/>
    <w:rsid w:val="005545E0"/>
    <w:rsid w:val="00554865"/>
    <w:rsid w:val="00554E57"/>
    <w:rsid w:val="00555B84"/>
    <w:rsid w:val="005562DC"/>
    <w:rsid w:val="00556A44"/>
    <w:rsid w:val="00557E6A"/>
    <w:rsid w:val="0056260F"/>
    <w:rsid w:val="00562749"/>
    <w:rsid w:val="00562DE9"/>
    <w:rsid w:val="005638A5"/>
    <w:rsid w:val="00564137"/>
    <w:rsid w:val="005659C0"/>
    <w:rsid w:val="00566381"/>
    <w:rsid w:val="00566A03"/>
    <w:rsid w:val="00566DD6"/>
    <w:rsid w:val="00571932"/>
    <w:rsid w:val="00572045"/>
    <w:rsid w:val="00573C97"/>
    <w:rsid w:val="00574240"/>
    <w:rsid w:val="005742F9"/>
    <w:rsid w:val="0057454C"/>
    <w:rsid w:val="005746C8"/>
    <w:rsid w:val="005752EB"/>
    <w:rsid w:val="005755FE"/>
    <w:rsid w:val="005759C3"/>
    <w:rsid w:val="00575CDC"/>
    <w:rsid w:val="005765D5"/>
    <w:rsid w:val="00576A3E"/>
    <w:rsid w:val="0057703D"/>
    <w:rsid w:val="005809ED"/>
    <w:rsid w:val="00581892"/>
    <w:rsid w:val="005832AD"/>
    <w:rsid w:val="0058366F"/>
    <w:rsid w:val="00583D5B"/>
    <w:rsid w:val="00583FFD"/>
    <w:rsid w:val="00585AD5"/>
    <w:rsid w:val="00587CCD"/>
    <w:rsid w:val="00587FDB"/>
    <w:rsid w:val="005908AE"/>
    <w:rsid w:val="0059176E"/>
    <w:rsid w:val="00592854"/>
    <w:rsid w:val="00593152"/>
    <w:rsid w:val="005934CE"/>
    <w:rsid w:val="00593CA3"/>
    <w:rsid w:val="00594161"/>
    <w:rsid w:val="00594969"/>
    <w:rsid w:val="00594B91"/>
    <w:rsid w:val="00595035"/>
    <w:rsid w:val="00596C5E"/>
    <w:rsid w:val="005A2194"/>
    <w:rsid w:val="005A21E0"/>
    <w:rsid w:val="005A3210"/>
    <w:rsid w:val="005A33A1"/>
    <w:rsid w:val="005A3687"/>
    <w:rsid w:val="005A3B35"/>
    <w:rsid w:val="005A3F2D"/>
    <w:rsid w:val="005A54EE"/>
    <w:rsid w:val="005A563B"/>
    <w:rsid w:val="005A5F82"/>
    <w:rsid w:val="005A5FAD"/>
    <w:rsid w:val="005A6131"/>
    <w:rsid w:val="005A61D1"/>
    <w:rsid w:val="005A6E85"/>
    <w:rsid w:val="005A7500"/>
    <w:rsid w:val="005A77E4"/>
    <w:rsid w:val="005A77F6"/>
    <w:rsid w:val="005B0262"/>
    <w:rsid w:val="005B0B8F"/>
    <w:rsid w:val="005B0E5D"/>
    <w:rsid w:val="005B1BDB"/>
    <w:rsid w:val="005B216E"/>
    <w:rsid w:val="005B22A7"/>
    <w:rsid w:val="005B2BAA"/>
    <w:rsid w:val="005B2D53"/>
    <w:rsid w:val="005B3247"/>
    <w:rsid w:val="005B3409"/>
    <w:rsid w:val="005B498A"/>
    <w:rsid w:val="005B4B28"/>
    <w:rsid w:val="005B52D0"/>
    <w:rsid w:val="005B59B6"/>
    <w:rsid w:val="005B7B12"/>
    <w:rsid w:val="005C16CB"/>
    <w:rsid w:val="005C21D6"/>
    <w:rsid w:val="005C2E13"/>
    <w:rsid w:val="005C3F9F"/>
    <w:rsid w:val="005C406F"/>
    <w:rsid w:val="005C40BA"/>
    <w:rsid w:val="005C4A23"/>
    <w:rsid w:val="005C562C"/>
    <w:rsid w:val="005C5812"/>
    <w:rsid w:val="005C5F12"/>
    <w:rsid w:val="005C6400"/>
    <w:rsid w:val="005C7F1E"/>
    <w:rsid w:val="005D073B"/>
    <w:rsid w:val="005D25B4"/>
    <w:rsid w:val="005D374F"/>
    <w:rsid w:val="005D4B67"/>
    <w:rsid w:val="005D5802"/>
    <w:rsid w:val="005D5DAE"/>
    <w:rsid w:val="005D69C7"/>
    <w:rsid w:val="005D6CFC"/>
    <w:rsid w:val="005D73E2"/>
    <w:rsid w:val="005D757A"/>
    <w:rsid w:val="005D7C4B"/>
    <w:rsid w:val="005E1871"/>
    <w:rsid w:val="005E1E4B"/>
    <w:rsid w:val="005E362D"/>
    <w:rsid w:val="005E3A0C"/>
    <w:rsid w:val="005E3FAC"/>
    <w:rsid w:val="005E4483"/>
    <w:rsid w:val="005E4728"/>
    <w:rsid w:val="005E492C"/>
    <w:rsid w:val="005E49A3"/>
    <w:rsid w:val="005E4BAA"/>
    <w:rsid w:val="005E52EF"/>
    <w:rsid w:val="005E5B56"/>
    <w:rsid w:val="005E5F0B"/>
    <w:rsid w:val="005E6088"/>
    <w:rsid w:val="005E61DF"/>
    <w:rsid w:val="005E697F"/>
    <w:rsid w:val="005E6AB8"/>
    <w:rsid w:val="005E6B65"/>
    <w:rsid w:val="005E6B78"/>
    <w:rsid w:val="005E75B8"/>
    <w:rsid w:val="005F0867"/>
    <w:rsid w:val="005F0976"/>
    <w:rsid w:val="005F23BB"/>
    <w:rsid w:val="005F26CE"/>
    <w:rsid w:val="005F294D"/>
    <w:rsid w:val="005F38D3"/>
    <w:rsid w:val="005F3F04"/>
    <w:rsid w:val="005F4057"/>
    <w:rsid w:val="005F4088"/>
    <w:rsid w:val="005F42F4"/>
    <w:rsid w:val="005F4982"/>
    <w:rsid w:val="005F4C83"/>
    <w:rsid w:val="005F5628"/>
    <w:rsid w:val="005F5916"/>
    <w:rsid w:val="005F601D"/>
    <w:rsid w:val="005F6119"/>
    <w:rsid w:val="005F7940"/>
    <w:rsid w:val="00600712"/>
    <w:rsid w:val="0060107A"/>
    <w:rsid w:val="00601AFF"/>
    <w:rsid w:val="00601F2E"/>
    <w:rsid w:val="00602D1D"/>
    <w:rsid w:val="0060318F"/>
    <w:rsid w:val="00604307"/>
    <w:rsid w:val="0060487F"/>
    <w:rsid w:val="00604D90"/>
    <w:rsid w:val="00605814"/>
    <w:rsid w:val="00605C22"/>
    <w:rsid w:val="00606B93"/>
    <w:rsid w:val="00607727"/>
    <w:rsid w:val="00607934"/>
    <w:rsid w:val="00610BD5"/>
    <w:rsid w:val="00610F00"/>
    <w:rsid w:val="00611363"/>
    <w:rsid w:val="00611531"/>
    <w:rsid w:val="006118AA"/>
    <w:rsid w:val="00611A08"/>
    <w:rsid w:val="00611C28"/>
    <w:rsid w:val="00611E4E"/>
    <w:rsid w:val="00612E84"/>
    <w:rsid w:val="006139C7"/>
    <w:rsid w:val="00614A9F"/>
    <w:rsid w:val="006150EA"/>
    <w:rsid w:val="006153E3"/>
    <w:rsid w:val="00615696"/>
    <w:rsid w:val="006162F6"/>
    <w:rsid w:val="006167AB"/>
    <w:rsid w:val="0061718A"/>
    <w:rsid w:val="00617D2D"/>
    <w:rsid w:val="00617D83"/>
    <w:rsid w:val="00620430"/>
    <w:rsid w:val="00620AC5"/>
    <w:rsid w:val="00620E7D"/>
    <w:rsid w:val="0062130B"/>
    <w:rsid w:val="00621575"/>
    <w:rsid w:val="006215FC"/>
    <w:rsid w:val="00622931"/>
    <w:rsid w:val="00624093"/>
    <w:rsid w:val="0062588B"/>
    <w:rsid w:val="006260B8"/>
    <w:rsid w:val="00630F66"/>
    <w:rsid w:val="00631EEC"/>
    <w:rsid w:val="00631FC2"/>
    <w:rsid w:val="00632171"/>
    <w:rsid w:val="006321EB"/>
    <w:rsid w:val="00632886"/>
    <w:rsid w:val="0063332A"/>
    <w:rsid w:val="006347F9"/>
    <w:rsid w:val="0063494E"/>
    <w:rsid w:val="00634C90"/>
    <w:rsid w:val="00635818"/>
    <w:rsid w:val="00635E79"/>
    <w:rsid w:val="00636E5E"/>
    <w:rsid w:val="006374C3"/>
    <w:rsid w:val="006379E0"/>
    <w:rsid w:val="00637D0E"/>
    <w:rsid w:val="006404A7"/>
    <w:rsid w:val="006407F3"/>
    <w:rsid w:val="006408EC"/>
    <w:rsid w:val="0064129B"/>
    <w:rsid w:val="00641DF7"/>
    <w:rsid w:val="0064229B"/>
    <w:rsid w:val="00643497"/>
    <w:rsid w:val="006436E8"/>
    <w:rsid w:val="00643735"/>
    <w:rsid w:val="00643A80"/>
    <w:rsid w:val="00644DFC"/>
    <w:rsid w:val="006451E4"/>
    <w:rsid w:val="006454B4"/>
    <w:rsid w:val="00645A9C"/>
    <w:rsid w:val="006460B8"/>
    <w:rsid w:val="00646448"/>
    <w:rsid w:val="006467D0"/>
    <w:rsid w:val="006504A0"/>
    <w:rsid w:val="00650784"/>
    <w:rsid w:val="006520C7"/>
    <w:rsid w:val="006520D5"/>
    <w:rsid w:val="00652179"/>
    <w:rsid w:val="00652CBB"/>
    <w:rsid w:val="006530B8"/>
    <w:rsid w:val="006535D6"/>
    <w:rsid w:val="00654093"/>
    <w:rsid w:val="00656716"/>
    <w:rsid w:val="006572ED"/>
    <w:rsid w:val="00657E87"/>
    <w:rsid w:val="0066026B"/>
    <w:rsid w:val="00660457"/>
    <w:rsid w:val="00660CB4"/>
    <w:rsid w:val="00660E1E"/>
    <w:rsid w:val="006632EB"/>
    <w:rsid w:val="006637B1"/>
    <w:rsid w:val="00663CFD"/>
    <w:rsid w:val="006647AD"/>
    <w:rsid w:val="00664B64"/>
    <w:rsid w:val="00665691"/>
    <w:rsid w:val="00665D67"/>
    <w:rsid w:val="00665D77"/>
    <w:rsid w:val="006660CD"/>
    <w:rsid w:val="00666883"/>
    <w:rsid w:val="00666B1D"/>
    <w:rsid w:val="00666EC8"/>
    <w:rsid w:val="00666F4B"/>
    <w:rsid w:val="0066759E"/>
    <w:rsid w:val="006676D0"/>
    <w:rsid w:val="0066796E"/>
    <w:rsid w:val="00670FAC"/>
    <w:rsid w:val="006710C9"/>
    <w:rsid w:val="006716A5"/>
    <w:rsid w:val="006717CC"/>
    <w:rsid w:val="006743E8"/>
    <w:rsid w:val="00675E37"/>
    <w:rsid w:val="00675F0F"/>
    <w:rsid w:val="006764ED"/>
    <w:rsid w:val="00676AFC"/>
    <w:rsid w:val="00676F11"/>
    <w:rsid w:val="00677CA8"/>
    <w:rsid w:val="00680079"/>
    <w:rsid w:val="00680ECC"/>
    <w:rsid w:val="00680F68"/>
    <w:rsid w:val="0068260E"/>
    <w:rsid w:val="0068331B"/>
    <w:rsid w:val="0068373D"/>
    <w:rsid w:val="00683BFE"/>
    <w:rsid w:val="0068437D"/>
    <w:rsid w:val="006846B0"/>
    <w:rsid w:val="00684C41"/>
    <w:rsid w:val="006857DF"/>
    <w:rsid w:val="00685C9E"/>
    <w:rsid w:val="00685E66"/>
    <w:rsid w:val="00686B72"/>
    <w:rsid w:val="00686BF1"/>
    <w:rsid w:val="0068748C"/>
    <w:rsid w:val="00687AE5"/>
    <w:rsid w:val="00690A09"/>
    <w:rsid w:val="00690A25"/>
    <w:rsid w:val="006919B7"/>
    <w:rsid w:val="006936AD"/>
    <w:rsid w:val="00693EA1"/>
    <w:rsid w:val="00693FEA"/>
    <w:rsid w:val="00694930"/>
    <w:rsid w:val="00694FFD"/>
    <w:rsid w:val="00695170"/>
    <w:rsid w:val="006954D8"/>
    <w:rsid w:val="00695BEF"/>
    <w:rsid w:val="006960D6"/>
    <w:rsid w:val="006963FB"/>
    <w:rsid w:val="00696AA5"/>
    <w:rsid w:val="006977F6"/>
    <w:rsid w:val="0069789D"/>
    <w:rsid w:val="00697A13"/>
    <w:rsid w:val="006A109C"/>
    <w:rsid w:val="006A150D"/>
    <w:rsid w:val="006A18AE"/>
    <w:rsid w:val="006A23E1"/>
    <w:rsid w:val="006A2EE8"/>
    <w:rsid w:val="006A3CF3"/>
    <w:rsid w:val="006A568F"/>
    <w:rsid w:val="006A65EF"/>
    <w:rsid w:val="006A672B"/>
    <w:rsid w:val="006A70FC"/>
    <w:rsid w:val="006A7596"/>
    <w:rsid w:val="006B1684"/>
    <w:rsid w:val="006B1781"/>
    <w:rsid w:val="006B23A9"/>
    <w:rsid w:val="006B23D8"/>
    <w:rsid w:val="006B281D"/>
    <w:rsid w:val="006B2D5B"/>
    <w:rsid w:val="006B3F8A"/>
    <w:rsid w:val="006B59D7"/>
    <w:rsid w:val="006B5CA3"/>
    <w:rsid w:val="006B6B3B"/>
    <w:rsid w:val="006B7248"/>
    <w:rsid w:val="006B7714"/>
    <w:rsid w:val="006B78D8"/>
    <w:rsid w:val="006B7CCE"/>
    <w:rsid w:val="006C0032"/>
    <w:rsid w:val="006C090F"/>
    <w:rsid w:val="006C0935"/>
    <w:rsid w:val="006C0BCE"/>
    <w:rsid w:val="006C113F"/>
    <w:rsid w:val="006C21CE"/>
    <w:rsid w:val="006C26C2"/>
    <w:rsid w:val="006C2AED"/>
    <w:rsid w:val="006C36F4"/>
    <w:rsid w:val="006C38DD"/>
    <w:rsid w:val="006C457F"/>
    <w:rsid w:val="006C53C7"/>
    <w:rsid w:val="006C5577"/>
    <w:rsid w:val="006C559A"/>
    <w:rsid w:val="006C58FA"/>
    <w:rsid w:val="006C6197"/>
    <w:rsid w:val="006D004F"/>
    <w:rsid w:val="006D042D"/>
    <w:rsid w:val="006D06EF"/>
    <w:rsid w:val="006D142E"/>
    <w:rsid w:val="006D381F"/>
    <w:rsid w:val="006D3B87"/>
    <w:rsid w:val="006D4497"/>
    <w:rsid w:val="006D4E6F"/>
    <w:rsid w:val="006D61F6"/>
    <w:rsid w:val="006D710C"/>
    <w:rsid w:val="006E0EB0"/>
    <w:rsid w:val="006E182C"/>
    <w:rsid w:val="006E1F4C"/>
    <w:rsid w:val="006E22C8"/>
    <w:rsid w:val="006E279A"/>
    <w:rsid w:val="006E2C28"/>
    <w:rsid w:val="006E2F3F"/>
    <w:rsid w:val="006E313B"/>
    <w:rsid w:val="006E442A"/>
    <w:rsid w:val="006E4434"/>
    <w:rsid w:val="006E44A3"/>
    <w:rsid w:val="006E4A1B"/>
    <w:rsid w:val="006E59FC"/>
    <w:rsid w:val="006E5CFD"/>
    <w:rsid w:val="006E7E2C"/>
    <w:rsid w:val="006E7E7D"/>
    <w:rsid w:val="006F1326"/>
    <w:rsid w:val="006F2280"/>
    <w:rsid w:val="006F2BAE"/>
    <w:rsid w:val="006F2BEE"/>
    <w:rsid w:val="006F2D35"/>
    <w:rsid w:val="006F3708"/>
    <w:rsid w:val="006F376C"/>
    <w:rsid w:val="006F3A90"/>
    <w:rsid w:val="006F3E6B"/>
    <w:rsid w:val="006F4619"/>
    <w:rsid w:val="006F4A59"/>
    <w:rsid w:val="006F6968"/>
    <w:rsid w:val="00700232"/>
    <w:rsid w:val="00701382"/>
    <w:rsid w:val="007014C7"/>
    <w:rsid w:val="0070189B"/>
    <w:rsid w:val="00702100"/>
    <w:rsid w:val="007024BF"/>
    <w:rsid w:val="00702D6F"/>
    <w:rsid w:val="007031C6"/>
    <w:rsid w:val="00703B6C"/>
    <w:rsid w:val="00703C6B"/>
    <w:rsid w:val="007047D5"/>
    <w:rsid w:val="00705D98"/>
    <w:rsid w:val="00707891"/>
    <w:rsid w:val="00707D43"/>
    <w:rsid w:val="00710F7C"/>
    <w:rsid w:val="0071156F"/>
    <w:rsid w:val="00711EF1"/>
    <w:rsid w:val="0071201A"/>
    <w:rsid w:val="0071229A"/>
    <w:rsid w:val="007122C8"/>
    <w:rsid w:val="00712572"/>
    <w:rsid w:val="00713495"/>
    <w:rsid w:val="00713EEB"/>
    <w:rsid w:val="007142C1"/>
    <w:rsid w:val="00715487"/>
    <w:rsid w:val="007159D2"/>
    <w:rsid w:val="00716DCC"/>
    <w:rsid w:val="00717173"/>
    <w:rsid w:val="00717726"/>
    <w:rsid w:val="0072050E"/>
    <w:rsid w:val="00720958"/>
    <w:rsid w:val="00720FA2"/>
    <w:rsid w:val="007211F5"/>
    <w:rsid w:val="007240C5"/>
    <w:rsid w:val="00724666"/>
    <w:rsid w:val="00724E80"/>
    <w:rsid w:val="00725492"/>
    <w:rsid w:val="007256B7"/>
    <w:rsid w:val="00726043"/>
    <w:rsid w:val="0072704A"/>
    <w:rsid w:val="007275D2"/>
    <w:rsid w:val="007279B9"/>
    <w:rsid w:val="007303CA"/>
    <w:rsid w:val="00730AE8"/>
    <w:rsid w:val="007315DA"/>
    <w:rsid w:val="00731963"/>
    <w:rsid w:val="0073249D"/>
    <w:rsid w:val="00732706"/>
    <w:rsid w:val="0073325D"/>
    <w:rsid w:val="00734321"/>
    <w:rsid w:val="00734597"/>
    <w:rsid w:val="00734EE6"/>
    <w:rsid w:val="00735044"/>
    <w:rsid w:val="0073532E"/>
    <w:rsid w:val="00735B01"/>
    <w:rsid w:val="00735B5A"/>
    <w:rsid w:val="007367BE"/>
    <w:rsid w:val="007367F6"/>
    <w:rsid w:val="00740310"/>
    <w:rsid w:val="00740652"/>
    <w:rsid w:val="00740F02"/>
    <w:rsid w:val="00740FEC"/>
    <w:rsid w:val="0074132E"/>
    <w:rsid w:val="00741493"/>
    <w:rsid w:val="007426B3"/>
    <w:rsid w:val="007426FD"/>
    <w:rsid w:val="007430AB"/>
    <w:rsid w:val="0074329D"/>
    <w:rsid w:val="00744376"/>
    <w:rsid w:val="007449EA"/>
    <w:rsid w:val="00744D00"/>
    <w:rsid w:val="00744D2B"/>
    <w:rsid w:val="00745273"/>
    <w:rsid w:val="00745DD4"/>
    <w:rsid w:val="00745F3C"/>
    <w:rsid w:val="00746DD9"/>
    <w:rsid w:val="00746F90"/>
    <w:rsid w:val="00747A35"/>
    <w:rsid w:val="007502A6"/>
    <w:rsid w:val="0075057A"/>
    <w:rsid w:val="00751771"/>
    <w:rsid w:val="00751C1C"/>
    <w:rsid w:val="00752180"/>
    <w:rsid w:val="007521A1"/>
    <w:rsid w:val="0075258D"/>
    <w:rsid w:val="00752BC3"/>
    <w:rsid w:val="0075315D"/>
    <w:rsid w:val="007538F9"/>
    <w:rsid w:val="00753D29"/>
    <w:rsid w:val="00754253"/>
    <w:rsid w:val="007552BB"/>
    <w:rsid w:val="007558D3"/>
    <w:rsid w:val="007559D7"/>
    <w:rsid w:val="00755D3A"/>
    <w:rsid w:val="00760141"/>
    <w:rsid w:val="007609C6"/>
    <w:rsid w:val="007610A0"/>
    <w:rsid w:val="007610C3"/>
    <w:rsid w:val="00761605"/>
    <w:rsid w:val="00762036"/>
    <w:rsid w:val="007620F2"/>
    <w:rsid w:val="0076231A"/>
    <w:rsid w:val="00762EBA"/>
    <w:rsid w:val="00763498"/>
    <w:rsid w:val="0076359D"/>
    <w:rsid w:val="00763A13"/>
    <w:rsid w:val="00763D86"/>
    <w:rsid w:val="007661BD"/>
    <w:rsid w:val="0077058D"/>
    <w:rsid w:val="00770931"/>
    <w:rsid w:val="00770FBA"/>
    <w:rsid w:val="00772536"/>
    <w:rsid w:val="00773079"/>
    <w:rsid w:val="00773613"/>
    <w:rsid w:val="0077430F"/>
    <w:rsid w:val="00774782"/>
    <w:rsid w:val="00775512"/>
    <w:rsid w:val="00776476"/>
    <w:rsid w:val="00776527"/>
    <w:rsid w:val="00777DB1"/>
    <w:rsid w:val="007805E1"/>
    <w:rsid w:val="00780DDF"/>
    <w:rsid w:val="00781061"/>
    <w:rsid w:val="0078113E"/>
    <w:rsid w:val="00781834"/>
    <w:rsid w:val="007821DB"/>
    <w:rsid w:val="00782818"/>
    <w:rsid w:val="007838F1"/>
    <w:rsid w:val="007841BB"/>
    <w:rsid w:val="00784C4A"/>
    <w:rsid w:val="00787267"/>
    <w:rsid w:val="00787432"/>
    <w:rsid w:val="00787507"/>
    <w:rsid w:val="0078778C"/>
    <w:rsid w:val="007879F2"/>
    <w:rsid w:val="00790393"/>
    <w:rsid w:val="00791804"/>
    <w:rsid w:val="0079197F"/>
    <w:rsid w:val="00791CF8"/>
    <w:rsid w:val="00791DB3"/>
    <w:rsid w:val="00791EF9"/>
    <w:rsid w:val="00792262"/>
    <w:rsid w:val="00793387"/>
    <w:rsid w:val="00793BAE"/>
    <w:rsid w:val="007941C3"/>
    <w:rsid w:val="00794870"/>
    <w:rsid w:val="00794E0A"/>
    <w:rsid w:val="00794E50"/>
    <w:rsid w:val="00795B04"/>
    <w:rsid w:val="00796642"/>
    <w:rsid w:val="00796889"/>
    <w:rsid w:val="007A098D"/>
    <w:rsid w:val="007A11D9"/>
    <w:rsid w:val="007A327B"/>
    <w:rsid w:val="007A4048"/>
    <w:rsid w:val="007A45B1"/>
    <w:rsid w:val="007A4606"/>
    <w:rsid w:val="007A4BC3"/>
    <w:rsid w:val="007A4D58"/>
    <w:rsid w:val="007A5039"/>
    <w:rsid w:val="007B0353"/>
    <w:rsid w:val="007B04E8"/>
    <w:rsid w:val="007B0D67"/>
    <w:rsid w:val="007B0F90"/>
    <w:rsid w:val="007B1966"/>
    <w:rsid w:val="007B2257"/>
    <w:rsid w:val="007B2779"/>
    <w:rsid w:val="007B2AF7"/>
    <w:rsid w:val="007B3048"/>
    <w:rsid w:val="007B3DCC"/>
    <w:rsid w:val="007B4518"/>
    <w:rsid w:val="007B5031"/>
    <w:rsid w:val="007B573F"/>
    <w:rsid w:val="007B6176"/>
    <w:rsid w:val="007B72AC"/>
    <w:rsid w:val="007B78F8"/>
    <w:rsid w:val="007C004C"/>
    <w:rsid w:val="007C0065"/>
    <w:rsid w:val="007C010B"/>
    <w:rsid w:val="007C1D28"/>
    <w:rsid w:val="007C32B6"/>
    <w:rsid w:val="007C3AE3"/>
    <w:rsid w:val="007C605B"/>
    <w:rsid w:val="007C6EBA"/>
    <w:rsid w:val="007C7BAC"/>
    <w:rsid w:val="007C7CC5"/>
    <w:rsid w:val="007C7E1C"/>
    <w:rsid w:val="007D1996"/>
    <w:rsid w:val="007D232E"/>
    <w:rsid w:val="007D2A5A"/>
    <w:rsid w:val="007D2A86"/>
    <w:rsid w:val="007D2AD8"/>
    <w:rsid w:val="007D2C47"/>
    <w:rsid w:val="007D2C61"/>
    <w:rsid w:val="007D2DA3"/>
    <w:rsid w:val="007D2F81"/>
    <w:rsid w:val="007D3167"/>
    <w:rsid w:val="007D3524"/>
    <w:rsid w:val="007D368A"/>
    <w:rsid w:val="007D3CF7"/>
    <w:rsid w:val="007D4128"/>
    <w:rsid w:val="007D4215"/>
    <w:rsid w:val="007D4281"/>
    <w:rsid w:val="007D42F5"/>
    <w:rsid w:val="007D44C3"/>
    <w:rsid w:val="007D5055"/>
    <w:rsid w:val="007D5947"/>
    <w:rsid w:val="007D65C1"/>
    <w:rsid w:val="007D7131"/>
    <w:rsid w:val="007E030F"/>
    <w:rsid w:val="007E0D49"/>
    <w:rsid w:val="007E0E59"/>
    <w:rsid w:val="007E0F4B"/>
    <w:rsid w:val="007E12C1"/>
    <w:rsid w:val="007E1EF7"/>
    <w:rsid w:val="007E28DB"/>
    <w:rsid w:val="007E3715"/>
    <w:rsid w:val="007E5880"/>
    <w:rsid w:val="007E5A02"/>
    <w:rsid w:val="007E5F3D"/>
    <w:rsid w:val="007E6588"/>
    <w:rsid w:val="007E6C28"/>
    <w:rsid w:val="007E7063"/>
    <w:rsid w:val="007E7E61"/>
    <w:rsid w:val="007F0316"/>
    <w:rsid w:val="007F0845"/>
    <w:rsid w:val="007F0DF6"/>
    <w:rsid w:val="007F1092"/>
    <w:rsid w:val="007F16F9"/>
    <w:rsid w:val="007F2801"/>
    <w:rsid w:val="007F2F76"/>
    <w:rsid w:val="007F3E3E"/>
    <w:rsid w:val="007F3FFE"/>
    <w:rsid w:val="007F42E0"/>
    <w:rsid w:val="007F500D"/>
    <w:rsid w:val="007F5F14"/>
    <w:rsid w:val="007F7B54"/>
    <w:rsid w:val="007F7C60"/>
    <w:rsid w:val="00800073"/>
    <w:rsid w:val="008005D7"/>
    <w:rsid w:val="00800C6A"/>
    <w:rsid w:val="00801FDD"/>
    <w:rsid w:val="008020C2"/>
    <w:rsid w:val="0080255C"/>
    <w:rsid w:val="00804137"/>
    <w:rsid w:val="00805287"/>
    <w:rsid w:val="008054FB"/>
    <w:rsid w:val="00806088"/>
    <w:rsid w:val="00806D07"/>
    <w:rsid w:val="00806D73"/>
    <w:rsid w:val="008075CD"/>
    <w:rsid w:val="0081019B"/>
    <w:rsid w:val="00811107"/>
    <w:rsid w:val="0081187C"/>
    <w:rsid w:val="00811E24"/>
    <w:rsid w:val="008120C5"/>
    <w:rsid w:val="00812129"/>
    <w:rsid w:val="00812386"/>
    <w:rsid w:val="00812E2B"/>
    <w:rsid w:val="00813A70"/>
    <w:rsid w:val="00813CB4"/>
    <w:rsid w:val="00813DB0"/>
    <w:rsid w:val="00813FE6"/>
    <w:rsid w:val="00815B82"/>
    <w:rsid w:val="00815C6E"/>
    <w:rsid w:val="00815DD0"/>
    <w:rsid w:val="00815F10"/>
    <w:rsid w:val="0081645F"/>
    <w:rsid w:val="00816475"/>
    <w:rsid w:val="008167A9"/>
    <w:rsid w:val="00816A28"/>
    <w:rsid w:val="008174A3"/>
    <w:rsid w:val="00817755"/>
    <w:rsid w:val="008178C2"/>
    <w:rsid w:val="008178CF"/>
    <w:rsid w:val="00817C98"/>
    <w:rsid w:val="00820C9F"/>
    <w:rsid w:val="008215A1"/>
    <w:rsid w:val="00821AAE"/>
    <w:rsid w:val="00821FF6"/>
    <w:rsid w:val="00823AAF"/>
    <w:rsid w:val="00824081"/>
    <w:rsid w:val="0082409A"/>
    <w:rsid w:val="008252D7"/>
    <w:rsid w:val="00825C0F"/>
    <w:rsid w:val="00826376"/>
    <w:rsid w:val="00826ED1"/>
    <w:rsid w:val="00826EE3"/>
    <w:rsid w:val="00827181"/>
    <w:rsid w:val="0082733C"/>
    <w:rsid w:val="008276AB"/>
    <w:rsid w:val="00827746"/>
    <w:rsid w:val="008277A3"/>
    <w:rsid w:val="0083102D"/>
    <w:rsid w:val="0083143E"/>
    <w:rsid w:val="0083159D"/>
    <w:rsid w:val="008318FF"/>
    <w:rsid w:val="00832187"/>
    <w:rsid w:val="00832493"/>
    <w:rsid w:val="008329BD"/>
    <w:rsid w:val="00832E47"/>
    <w:rsid w:val="008334C3"/>
    <w:rsid w:val="008336D8"/>
    <w:rsid w:val="008339C4"/>
    <w:rsid w:val="00833B90"/>
    <w:rsid w:val="00834F0A"/>
    <w:rsid w:val="00834FAA"/>
    <w:rsid w:val="00835181"/>
    <w:rsid w:val="0083570E"/>
    <w:rsid w:val="00835991"/>
    <w:rsid w:val="00835B51"/>
    <w:rsid w:val="00836086"/>
    <w:rsid w:val="00836BAD"/>
    <w:rsid w:val="00840699"/>
    <w:rsid w:val="00841D9F"/>
    <w:rsid w:val="00842078"/>
    <w:rsid w:val="00842604"/>
    <w:rsid w:val="00843CEC"/>
    <w:rsid w:val="00843ECF"/>
    <w:rsid w:val="00844821"/>
    <w:rsid w:val="00845AB1"/>
    <w:rsid w:val="00846673"/>
    <w:rsid w:val="008508A9"/>
    <w:rsid w:val="0085188D"/>
    <w:rsid w:val="008518D8"/>
    <w:rsid w:val="008525F9"/>
    <w:rsid w:val="0085281A"/>
    <w:rsid w:val="00853C0F"/>
    <w:rsid w:val="00853F33"/>
    <w:rsid w:val="00854116"/>
    <w:rsid w:val="008548EA"/>
    <w:rsid w:val="008550EA"/>
    <w:rsid w:val="00855458"/>
    <w:rsid w:val="008559FE"/>
    <w:rsid w:val="00855C69"/>
    <w:rsid w:val="0085686D"/>
    <w:rsid w:val="00857339"/>
    <w:rsid w:val="00860706"/>
    <w:rsid w:val="00861ABA"/>
    <w:rsid w:val="00862A7A"/>
    <w:rsid w:val="00862FBD"/>
    <w:rsid w:val="00863104"/>
    <w:rsid w:val="008636CD"/>
    <w:rsid w:val="00863702"/>
    <w:rsid w:val="00863D9E"/>
    <w:rsid w:val="00863FDC"/>
    <w:rsid w:val="008642AF"/>
    <w:rsid w:val="00865286"/>
    <w:rsid w:val="00865729"/>
    <w:rsid w:val="00865EA8"/>
    <w:rsid w:val="00865ED4"/>
    <w:rsid w:val="008669A7"/>
    <w:rsid w:val="00867464"/>
    <w:rsid w:val="00867D15"/>
    <w:rsid w:val="00867E29"/>
    <w:rsid w:val="0087023F"/>
    <w:rsid w:val="00870F2B"/>
    <w:rsid w:val="00872922"/>
    <w:rsid w:val="00873B2E"/>
    <w:rsid w:val="00874097"/>
    <w:rsid w:val="008746E6"/>
    <w:rsid w:val="0087515D"/>
    <w:rsid w:val="00875740"/>
    <w:rsid w:val="0087594C"/>
    <w:rsid w:val="00876086"/>
    <w:rsid w:val="008765FA"/>
    <w:rsid w:val="008768D6"/>
    <w:rsid w:val="0087703B"/>
    <w:rsid w:val="008775D1"/>
    <w:rsid w:val="008777BB"/>
    <w:rsid w:val="00877D68"/>
    <w:rsid w:val="00877E5D"/>
    <w:rsid w:val="00880150"/>
    <w:rsid w:val="00880ABA"/>
    <w:rsid w:val="00880F23"/>
    <w:rsid w:val="00883797"/>
    <w:rsid w:val="00883A67"/>
    <w:rsid w:val="00883D45"/>
    <w:rsid w:val="00884D69"/>
    <w:rsid w:val="0088503D"/>
    <w:rsid w:val="00885EC6"/>
    <w:rsid w:val="008869D2"/>
    <w:rsid w:val="00886A8F"/>
    <w:rsid w:val="0088733A"/>
    <w:rsid w:val="008875A1"/>
    <w:rsid w:val="008901CC"/>
    <w:rsid w:val="0089169B"/>
    <w:rsid w:val="00891BE0"/>
    <w:rsid w:val="00893302"/>
    <w:rsid w:val="00893648"/>
    <w:rsid w:val="00893800"/>
    <w:rsid w:val="00893D83"/>
    <w:rsid w:val="00893F0C"/>
    <w:rsid w:val="00893F33"/>
    <w:rsid w:val="00893F3C"/>
    <w:rsid w:val="008945A1"/>
    <w:rsid w:val="00894A63"/>
    <w:rsid w:val="00894F71"/>
    <w:rsid w:val="00895A54"/>
    <w:rsid w:val="00896776"/>
    <w:rsid w:val="00896916"/>
    <w:rsid w:val="00896BDE"/>
    <w:rsid w:val="00896FC5"/>
    <w:rsid w:val="0089763E"/>
    <w:rsid w:val="008A03DE"/>
    <w:rsid w:val="008A0861"/>
    <w:rsid w:val="008A0BB2"/>
    <w:rsid w:val="008A1AB3"/>
    <w:rsid w:val="008A1D5C"/>
    <w:rsid w:val="008A243E"/>
    <w:rsid w:val="008A3292"/>
    <w:rsid w:val="008A3A85"/>
    <w:rsid w:val="008A43E9"/>
    <w:rsid w:val="008A4CB1"/>
    <w:rsid w:val="008A615E"/>
    <w:rsid w:val="008A632B"/>
    <w:rsid w:val="008A6BFE"/>
    <w:rsid w:val="008A6F21"/>
    <w:rsid w:val="008A73DA"/>
    <w:rsid w:val="008B00C2"/>
    <w:rsid w:val="008B04A0"/>
    <w:rsid w:val="008B05E8"/>
    <w:rsid w:val="008B069F"/>
    <w:rsid w:val="008B07EF"/>
    <w:rsid w:val="008B16DE"/>
    <w:rsid w:val="008B190E"/>
    <w:rsid w:val="008B1A8A"/>
    <w:rsid w:val="008B1FC9"/>
    <w:rsid w:val="008B531F"/>
    <w:rsid w:val="008B54A3"/>
    <w:rsid w:val="008B634C"/>
    <w:rsid w:val="008B6B67"/>
    <w:rsid w:val="008B7306"/>
    <w:rsid w:val="008B775F"/>
    <w:rsid w:val="008B7C02"/>
    <w:rsid w:val="008B7D13"/>
    <w:rsid w:val="008B7F9E"/>
    <w:rsid w:val="008C034E"/>
    <w:rsid w:val="008C05F3"/>
    <w:rsid w:val="008C0E88"/>
    <w:rsid w:val="008C1399"/>
    <w:rsid w:val="008C18A5"/>
    <w:rsid w:val="008C1AA8"/>
    <w:rsid w:val="008C22A8"/>
    <w:rsid w:val="008C25FD"/>
    <w:rsid w:val="008C3460"/>
    <w:rsid w:val="008C4BB5"/>
    <w:rsid w:val="008C5B43"/>
    <w:rsid w:val="008C63FD"/>
    <w:rsid w:val="008C6CB8"/>
    <w:rsid w:val="008C6D92"/>
    <w:rsid w:val="008C777A"/>
    <w:rsid w:val="008C7815"/>
    <w:rsid w:val="008C79DA"/>
    <w:rsid w:val="008C7A07"/>
    <w:rsid w:val="008C7E90"/>
    <w:rsid w:val="008C7EB3"/>
    <w:rsid w:val="008D009F"/>
    <w:rsid w:val="008D0171"/>
    <w:rsid w:val="008D04F8"/>
    <w:rsid w:val="008D0632"/>
    <w:rsid w:val="008D0E3B"/>
    <w:rsid w:val="008D13EA"/>
    <w:rsid w:val="008D2671"/>
    <w:rsid w:val="008D2A16"/>
    <w:rsid w:val="008D2C16"/>
    <w:rsid w:val="008D2ECF"/>
    <w:rsid w:val="008D347D"/>
    <w:rsid w:val="008D3594"/>
    <w:rsid w:val="008D3F3D"/>
    <w:rsid w:val="008D4376"/>
    <w:rsid w:val="008D4FB0"/>
    <w:rsid w:val="008E0367"/>
    <w:rsid w:val="008E2525"/>
    <w:rsid w:val="008E2B96"/>
    <w:rsid w:val="008E2DCD"/>
    <w:rsid w:val="008E308D"/>
    <w:rsid w:val="008E31FF"/>
    <w:rsid w:val="008E46A3"/>
    <w:rsid w:val="008E4CD7"/>
    <w:rsid w:val="008E5DE6"/>
    <w:rsid w:val="008E6113"/>
    <w:rsid w:val="008E6AB3"/>
    <w:rsid w:val="008E6AD3"/>
    <w:rsid w:val="008E6EBD"/>
    <w:rsid w:val="008E71A6"/>
    <w:rsid w:val="008E77B6"/>
    <w:rsid w:val="008E7C55"/>
    <w:rsid w:val="008F032E"/>
    <w:rsid w:val="008F0F14"/>
    <w:rsid w:val="008F1394"/>
    <w:rsid w:val="008F1638"/>
    <w:rsid w:val="008F2097"/>
    <w:rsid w:val="008F2F44"/>
    <w:rsid w:val="008F4108"/>
    <w:rsid w:val="008F4FCE"/>
    <w:rsid w:val="008F5301"/>
    <w:rsid w:val="008F650D"/>
    <w:rsid w:val="008F6967"/>
    <w:rsid w:val="008F6A0C"/>
    <w:rsid w:val="008F6F38"/>
    <w:rsid w:val="008F7721"/>
    <w:rsid w:val="008F7D28"/>
    <w:rsid w:val="009003A8"/>
    <w:rsid w:val="009010A7"/>
    <w:rsid w:val="009010E3"/>
    <w:rsid w:val="00901703"/>
    <w:rsid w:val="00901AF3"/>
    <w:rsid w:val="00901D64"/>
    <w:rsid w:val="00901DFB"/>
    <w:rsid w:val="009025B0"/>
    <w:rsid w:val="00902CBE"/>
    <w:rsid w:val="00902D74"/>
    <w:rsid w:val="00902EFF"/>
    <w:rsid w:val="00902FAC"/>
    <w:rsid w:val="00903E06"/>
    <w:rsid w:val="009045D1"/>
    <w:rsid w:val="00904B9D"/>
    <w:rsid w:val="00905A11"/>
    <w:rsid w:val="00905FE8"/>
    <w:rsid w:val="009066E1"/>
    <w:rsid w:val="00906DC3"/>
    <w:rsid w:val="00906F67"/>
    <w:rsid w:val="00907A41"/>
    <w:rsid w:val="00907F4B"/>
    <w:rsid w:val="009102BD"/>
    <w:rsid w:val="00910AB7"/>
    <w:rsid w:val="00910F93"/>
    <w:rsid w:val="00910FBC"/>
    <w:rsid w:val="00911C6A"/>
    <w:rsid w:val="00911EB2"/>
    <w:rsid w:val="0091255A"/>
    <w:rsid w:val="009135C7"/>
    <w:rsid w:val="00914426"/>
    <w:rsid w:val="0091675F"/>
    <w:rsid w:val="00916C6C"/>
    <w:rsid w:val="00917709"/>
    <w:rsid w:val="00917918"/>
    <w:rsid w:val="00920874"/>
    <w:rsid w:val="00921F14"/>
    <w:rsid w:val="009227C6"/>
    <w:rsid w:val="00923750"/>
    <w:rsid w:val="009243A5"/>
    <w:rsid w:val="00924DC8"/>
    <w:rsid w:val="0092500F"/>
    <w:rsid w:val="009250D2"/>
    <w:rsid w:val="0092519D"/>
    <w:rsid w:val="0092540B"/>
    <w:rsid w:val="0092557A"/>
    <w:rsid w:val="009256C5"/>
    <w:rsid w:val="00925A21"/>
    <w:rsid w:val="00926283"/>
    <w:rsid w:val="009277E9"/>
    <w:rsid w:val="00927E25"/>
    <w:rsid w:val="009306BE"/>
    <w:rsid w:val="0093161F"/>
    <w:rsid w:val="00933F72"/>
    <w:rsid w:val="00934836"/>
    <w:rsid w:val="00934963"/>
    <w:rsid w:val="00936ECA"/>
    <w:rsid w:val="00937B11"/>
    <w:rsid w:val="0094056A"/>
    <w:rsid w:val="00940F1F"/>
    <w:rsid w:val="00941250"/>
    <w:rsid w:val="00941339"/>
    <w:rsid w:val="00941631"/>
    <w:rsid w:val="0094396E"/>
    <w:rsid w:val="0094427A"/>
    <w:rsid w:val="00944380"/>
    <w:rsid w:val="009445FD"/>
    <w:rsid w:val="009459C5"/>
    <w:rsid w:val="00945E5E"/>
    <w:rsid w:val="0094626C"/>
    <w:rsid w:val="0095013A"/>
    <w:rsid w:val="00953AEF"/>
    <w:rsid w:val="00954C8E"/>
    <w:rsid w:val="009551E2"/>
    <w:rsid w:val="00955783"/>
    <w:rsid w:val="009558A6"/>
    <w:rsid w:val="00955E5F"/>
    <w:rsid w:val="009560B0"/>
    <w:rsid w:val="00956F23"/>
    <w:rsid w:val="009576AC"/>
    <w:rsid w:val="00957871"/>
    <w:rsid w:val="00960077"/>
    <w:rsid w:val="00960769"/>
    <w:rsid w:val="00962D2E"/>
    <w:rsid w:val="00963724"/>
    <w:rsid w:val="00964498"/>
    <w:rsid w:val="0096504D"/>
    <w:rsid w:val="00965795"/>
    <w:rsid w:val="00965A2D"/>
    <w:rsid w:val="00965B40"/>
    <w:rsid w:val="009663EB"/>
    <w:rsid w:val="0096650F"/>
    <w:rsid w:val="00967801"/>
    <w:rsid w:val="00967AD2"/>
    <w:rsid w:val="009700DB"/>
    <w:rsid w:val="00971A20"/>
    <w:rsid w:val="00971DC6"/>
    <w:rsid w:val="00972263"/>
    <w:rsid w:val="00972502"/>
    <w:rsid w:val="00972D8D"/>
    <w:rsid w:val="009737E6"/>
    <w:rsid w:val="00973AAE"/>
    <w:rsid w:val="009742F7"/>
    <w:rsid w:val="0097476C"/>
    <w:rsid w:val="00974923"/>
    <w:rsid w:val="00974D48"/>
    <w:rsid w:val="00974D5F"/>
    <w:rsid w:val="00975017"/>
    <w:rsid w:val="009751C0"/>
    <w:rsid w:val="00975217"/>
    <w:rsid w:val="009759DF"/>
    <w:rsid w:val="009766E3"/>
    <w:rsid w:val="00977A4D"/>
    <w:rsid w:val="00980373"/>
    <w:rsid w:val="00980621"/>
    <w:rsid w:val="0098095B"/>
    <w:rsid w:val="00982072"/>
    <w:rsid w:val="00983380"/>
    <w:rsid w:val="009833FA"/>
    <w:rsid w:val="0098354B"/>
    <w:rsid w:val="00983DBB"/>
    <w:rsid w:val="00983ECF"/>
    <w:rsid w:val="00985157"/>
    <w:rsid w:val="00985B15"/>
    <w:rsid w:val="0098612D"/>
    <w:rsid w:val="00986745"/>
    <w:rsid w:val="009867BC"/>
    <w:rsid w:val="00987109"/>
    <w:rsid w:val="00987309"/>
    <w:rsid w:val="00987351"/>
    <w:rsid w:val="00990123"/>
    <w:rsid w:val="0099012D"/>
    <w:rsid w:val="00990363"/>
    <w:rsid w:val="00991266"/>
    <w:rsid w:val="009928AE"/>
    <w:rsid w:val="00993BE6"/>
    <w:rsid w:val="00993D9C"/>
    <w:rsid w:val="00993F56"/>
    <w:rsid w:val="009954FF"/>
    <w:rsid w:val="0099571E"/>
    <w:rsid w:val="00995CE4"/>
    <w:rsid w:val="00995E2F"/>
    <w:rsid w:val="009961BC"/>
    <w:rsid w:val="00996355"/>
    <w:rsid w:val="009976A2"/>
    <w:rsid w:val="0099788F"/>
    <w:rsid w:val="009979D1"/>
    <w:rsid w:val="00997ADD"/>
    <w:rsid w:val="009A05A2"/>
    <w:rsid w:val="009A0990"/>
    <w:rsid w:val="009A1374"/>
    <w:rsid w:val="009A13FA"/>
    <w:rsid w:val="009A2014"/>
    <w:rsid w:val="009A2030"/>
    <w:rsid w:val="009A38F8"/>
    <w:rsid w:val="009A3A87"/>
    <w:rsid w:val="009A443B"/>
    <w:rsid w:val="009A4E12"/>
    <w:rsid w:val="009A5C68"/>
    <w:rsid w:val="009A5DE2"/>
    <w:rsid w:val="009A696E"/>
    <w:rsid w:val="009A6EF7"/>
    <w:rsid w:val="009B04D0"/>
    <w:rsid w:val="009B052C"/>
    <w:rsid w:val="009B0975"/>
    <w:rsid w:val="009B0EF2"/>
    <w:rsid w:val="009B1D9A"/>
    <w:rsid w:val="009B23A3"/>
    <w:rsid w:val="009B2C0E"/>
    <w:rsid w:val="009B4764"/>
    <w:rsid w:val="009B4925"/>
    <w:rsid w:val="009B4B4B"/>
    <w:rsid w:val="009B4CE3"/>
    <w:rsid w:val="009B6FD3"/>
    <w:rsid w:val="009B70BD"/>
    <w:rsid w:val="009B7134"/>
    <w:rsid w:val="009B729E"/>
    <w:rsid w:val="009C07A5"/>
    <w:rsid w:val="009C24A3"/>
    <w:rsid w:val="009C3705"/>
    <w:rsid w:val="009C3BE3"/>
    <w:rsid w:val="009C3D95"/>
    <w:rsid w:val="009C560D"/>
    <w:rsid w:val="009C5821"/>
    <w:rsid w:val="009C6215"/>
    <w:rsid w:val="009C6B47"/>
    <w:rsid w:val="009C7388"/>
    <w:rsid w:val="009C74C2"/>
    <w:rsid w:val="009D009C"/>
    <w:rsid w:val="009D0CFF"/>
    <w:rsid w:val="009D1023"/>
    <w:rsid w:val="009D1551"/>
    <w:rsid w:val="009D2859"/>
    <w:rsid w:val="009D36EC"/>
    <w:rsid w:val="009D3CD0"/>
    <w:rsid w:val="009D4173"/>
    <w:rsid w:val="009D48DC"/>
    <w:rsid w:val="009D51CA"/>
    <w:rsid w:val="009D57B9"/>
    <w:rsid w:val="009D6095"/>
    <w:rsid w:val="009D6306"/>
    <w:rsid w:val="009D77CF"/>
    <w:rsid w:val="009E048A"/>
    <w:rsid w:val="009E1124"/>
    <w:rsid w:val="009E1FBA"/>
    <w:rsid w:val="009E2C54"/>
    <w:rsid w:val="009E3710"/>
    <w:rsid w:val="009E6F65"/>
    <w:rsid w:val="009E7340"/>
    <w:rsid w:val="009E7B1F"/>
    <w:rsid w:val="009F346F"/>
    <w:rsid w:val="009F371A"/>
    <w:rsid w:val="009F3F25"/>
    <w:rsid w:val="009F3FC3"/>
    <w:rsid w:val="009F41C4"/>
    <w:rsid w:val="009F512F"/>
    <w:rsid w:val="009F5846"/>
    <w:rsid w:val="009F62C9"/>
    <w:rsid w:val="009F63D2"/>
    <w:rsid w:val="009F777A"/>
    <w:rsid w:val="009F7B52"/>
    <w:rsid w:val="009F7D77"/>
    <w:rsid w:val="00A004D2"/>
    <w:rsid w:val="00A015EA"/>
    <w:rsid w:val="00A0172C"/>
    <w:rsid w:val="00A05B91"/>
    <w:rsid w:val="00A10609"/>
    <w:rsid w:val="00A10D66"/>
    <w:rsid w:val="00A12BA8"/>
    <w:rsid w:val="00A133F2"/>
    <w:rsid w:val="00A13993"/>
    <w:rsid w:val="00A1420C"/>
    <w:rsid w:val="00A1456C"/>
    <w:rsid w:val="00A14821"/>
    <w:rsid w:val="00A14C9D"/>
    <w:rsid w:val="00A17754"/>
    <w:rsid w:val="00A2055B"/>
    <w:rsid w:val="00A20E22"/>
    <w:rsid w:val="00A219FE"/>
    <w:rsid w:val="00A2253C"/>
    <w:rsid w:val="00A23545"/>
    <w:rsid w:val="00A23A55"/>
    <w:rsid w:val="00A23E43"/>
    <w:rsid w:val="00A23EF0"/>
    <w:rsid w:val="00A24C11"/>
    <w:rsid w:val="00A24F8C"/>
    <w:rsid w:val="00A262BF"/>
    <w:rsid w:val="00A271AD"/>
    <w:rsid w:val="00A276D5"/>
    <w:rsid w:val="00A279CF"/>
    <w:rsid w:val="00A30336"/>
    <w:rsid w:val="00A30BB5"/>
    <w:rsid w:val="00A3128F"/>
    <w:rsid w:val="00A326D0"/>
    <w:rsid w:val="00A35287"/>
    <w:rsid w:val="00A355F2"/>
    <w:rsid w:val="00A36CF6"/>
    <w:rsid w:val="00A378F8"/>
    <w:rsid w:val="00A40965"/>
    <w:rsid w:val="00A40B19"/>
    <w:rsid w:val="00A40F56"/>
    <w:rsid w:val="00A41D07"/>
    <w:rsid w:val="00A424F8"/>
    <w:rsid w:val="00A42883"/>
    <w:rsid w:val="00A437B7"/>
    <w:rsid w:val="00A439DB"/>
    <w:rsid w:val="00A43EA2"/>
    <w:rsid w:val="00A46C70"/>
    <w:rsid w:val="00A46D48"/>
    <w:rsid w:val="00A46DE0"/>
    <w:rsid w:val="00A4778A"/>
    <w:rsid w:val="00A479BA"/>
    <w:rsid w:val="00A47C94"/>
    <w:rsid w:val="00A504C0"/>
    <w:rsid w:val="00A5067F"/>
    <w:rsid w:val="00A517C1"/>
    <w:rsid w:val="00A518E0"/>
    <w:rsid w:val="00A5408A"/>
    <w:rsid w:val="00A55301"/>
    <w:rsid w:val="00A56343"/>
    <w:rsid w:val="00A572FB"/>
    <w:rsid w:val="00A57B3C"/>
    <w:rsid w:val="00A57F1B"/>
    <w:rsid w:val="00A600D2"/>
    <w:rsid w:val="00A6128E"/>
    <w:rsid w:val="00A62B9A"/>
    <w:rsid w:val="00A62CE1"/>
    <w:rsid w:val="00A631FA"/>
    <w:rsid w:val="00A64203"/>
    <w:rsid w:val="00A64348"/>
    <w:rsid w:val="00A644E1"/>
    <w:rsid w:val="00A66264"/>
    <w:rsid w:val="00A6666A"/>
    <w:rsid w:val="00A6766C"/>
    <w:rsid w:val="00A67959"/>
    <w:rsid w:val="00A70E97"/>
    <w:rsid w:val="00A711B0"/>
    <w:rsid w:val="00A71279"/>
    <w:rsid w:val="00A721FB"/>
    <w:rsid w:val="00A727BA"/>
    <w:rsid w:val="00A72D4B"/>
    <w:rsid w:val="00A732AE"/>
    <w:rsid w:val="00A74192"/>
    <w:rsid w:val="00A75837"/>
    <w:rsid w:val="00A75E40"/>
    <w:rsid w:val="00A762F6"/>
    <w:rsid w:val="00A76B12"/>
    <w:rsid w:val="00A76EF2"/>
    <w:rsid w:val="00A7727E"/>
    <w:rsid w:val="00A77C13"/>
    <w:rsid w:val="00A77EB2"/>
    <w:rsid w:val="00A80201"/>
    <w:rsid w:val="00A80917"/>
    <w:rsid w:val="00A81094"/>
    <w:rsid w:val="00A81FB6"/>
    <w:rsid w:val="00A82B66"/>
    <w:rsid w:val="00A82C52"/>
    <w:rsid w:val="00A83B58"/>
    <w:rsid w:val="00A84D7D"/>
    <w:rsid w:val="00A84FAF"/>
    <w:rsid w:val="00A851B6"/>
    <w:rsid w:val="00A85729"/>
    <w:rsid w:val="00A8574B"/>
    <w:rsid w:val="00A857C0"/>
    <w:rsid w:val="00A85F18"/>
    <w:rsid w:val="00A85F5E"/>
    <w:rsid w:val="00A8775C"/>
    <w:rsid w:val="00A90343"/>
    <w:rsid w:val="00A91336"/>
    <w:rsid w:val="00A91D49"/>
    <w:rsid w:val="00A9221C"/>
    <w:rsid w:val="00A92277"/>
    <w:rsid w:val="00A92916"/>
    <w:rsid w:val="00A929D1"/>
    <w:rsid w:val="00A94152"/>
    <w:rsid w:val="00A94628"/>
    <w:rsid w:val="00A94954"/>
    <w:rsid w:val="00A9497A"/>
    <w:rsid w:val="00A949A6"/>
    <w:rsid w:val="00A94BF6"/>
    <w:rsid w:val="00A96241"/>
    <w:rsid w:val="00A96463"/>
    <w:rsid w:val="00A97E3F"/>
    <w:rsid w:val="00AA09D3"/>
    <w:rsid w:val="00AA1356"/>
    <w:rsid w:val="00AA220F"/>
    <w:rsid w:val="00AA23FB"/>
    <w:rsid w:val="00AA34FE"/>
    <w:rsid w:val="00AA3BB6"/>
    <w:rsid w:val="00AA42AB"/>
    <w:rsid w:val="00AA4A76"/>
    <w:rsid w:val="00AA559A"/>
    <w:rsid w:val="00AA57A4"/>
    <w:rsid w:val="00AA5F10"/>
    <w:rsid w:val="00AB0BB9"/>
    <w:rsid w:val="00AB104D"/>
    <w:rsid w:val="00AB1441"/>
    <w:rsid w:val="00AB1653"/>
    <w:rsid w:val="00AB2064"/>
    <w:rsid w:val="00AB2AF1"/>
    <w:rsid w:val="00AB440B"/>
    <w:rsid w:val="00AB47E3"/>
    <w:rsid w:val="00AB5D66"/>
    <w:rsid w:val="00AB74C5"/>
    <w:rsid w:val="00AB7BEE"/>
    <w:rsid w:val="00AB7DF2"/>
    <w:rsid w:val="00AC1E3F"/>
    <w:rsid w:val="00AC219A"/>
    <w:rsid w:val="00AC3D02"/>
    <w:rsid w:val="00AC444B"/>
    <w:rsid w:val="00AC4F18"/>
    <w:rsid w:val="00AC69CA"/>
    <w:rsid w:val="00AD0B46"/>
    <w:rsid w:val="00AD1094"/>
    <w:rsid w:val="00AD1299"/>
    <w:rsid w:val="00AD2565"/>
    <w:rsid w:val="00AD2862"/>
    <w:rsid w:val="00AD306C"/>
    <w:rsid w:val="00AD3424"/>
    <w:rsid w:val="00AD3E3F"/>
    <w:rsid w:val="00AD47F5"/>
    <w:rsid w:val="00AD4FEF"/>
    <w:rsid w:val="00AD50D1"/>
    <w:rsid w:val="00AD59BB"/>
    <w:rsid w:val="00AD5D68"/>
    <w:rsid w:val="00AD6C73"/>
    <w:rsid w:val="00AD75F9"/>
    <w:rsid w:val="00AD7D49"/>
    <w:rsid w:val="00AE06D0"/>
    <w:rsid w:val="00AE1B8A"/>
    <w:rsid w:val="00AE39DC"/>
    <w:rsid w:val="00AE3CDA"/>
    <w:rsid w:val="00AE481D"/>
    <w:rsid w:val="00AE608F"/>
    <w:rsid w:val="00AE6195"/>
    <w:rsid w:val="00AE63AB"/>
    <w:rsid w:val="00AE6557"/>
    <w:rsid w:val="00AE6734"/>
    <w:rsid w:val="00AE7921"/>
    <w:rsid w:val="00AE7968"/>
    <w:rsid w:val="00AE7B2B"/>
    <w:rsid w:val="00AE7DFF"/>
    <w:rsid w:val="00AF0522"/>
    <w:rsid w:val="00AF128B"/>
    <w:rsid w:val="00AF1AEA"/>
    <w:rsid w:val="00AF1BA9"/>
    <w:rsid w:val="00AF24FD"/>
    <w:rsid w:val="00AF2536"/>
    <w:rsid w:val="00AF2852"/>
    <w:rsid w:val="00AF3225"/>
    <w:rsid w:val="00AF3900"/>
    <w:rsid w:val="00AF4983"/>
    <w:rsid w:val="00AF4CA7"/>
    <w:rsid w:val="00AF518B"/>
    <w:rsid w:val="00AF5275"/>
    <w:rsid w:val="00AF579A"/>
    <w:rsid w:val="00AF5D62"/>
    <w:rsid w:val="00AF6367"/>
    <w:rsid w:val="00AF6A79"/>
    <w:rsid w:val="00AF6B7C"/>
    <w:rsid w:val="00AF724E"/>
    <w:rsid w:val="00AF73A9"/>
    <w:rsid w:val="00AF7C5D"/>
    <w:rsid w:val="00B008A0"/>
    <w:rsid w:val="00B01436"/>
    <w:rsid w:val="00B014DD"/>
    <w:rsid w:val="00B01AEF"/>
    <w:rsid w:val="00B01C2C"/>
    <w:rsid w:val="00B0231C"/>
    <w:rsid w:val="00B06E35"/>
    <w:rsid w:val="00B07372"/>
    <w:rsid w:val="00B07C2A"/>
    <w:rsid w:val="00B10100"/>
    <w:rsid w:val="00B12809"/>
    <w:rsid w:val="00B128E5"/>
    <w:rsid w:val="00B13681"/>
    <w:rsid w:val="00B13BCE"/>
    <w:rsid w:val="00B15DCD"/>
    <w:rsid w:val="00B15ED5"/>
    <w:rsid w:val="00B16201"/>
    <w:rsid w:val="00B164F6"/>
    <w:rsid w:val="00B17E71"/>
    <w:rsid w:val="00B17FDE"/>
    <w:rsid w:val="00B20597"/>
    <w:rsid w:val="00B208FC"/>
    <w:rsid w:val="00B20C65"/>
    <w:rsid w:val="00B22E17"/>
    <w:rsid w:val="00B25567"/>
    <w:rsid w:val="00B25E31"/>
    <w:rsid w:val="00B262CD"/>
    <w:rsid w:val="00B266C5"/>
    <w:rsid w:val="00B26984"/>
    <w:rsid w:val="00B2702C"/>
    <w:rsid w:val="00B27293"/>
    <w:rsid w:val="00B300E8"/>
    <w:rsid w:val="00B301BB"/>
    <w:rsid w:val="00B310A1"/>
    <w:rsid w:val="00B316B8"/>
    <w:rsid w:val="00B321E3"/>
    <w:rsid w:val="00B3229E"/>
    <w:rsid w:val="00B32DDB"/>
    <w:rsid w:val="00B335ED"/>
    <w:rsid w:val="00B3447A"/>
    <w:rsid w:val="00B3448C"/>
    <w:rsid w:val="00B34931"/>
    <w:rsid w:val="00B35174"/>
    <w:rsid w:val="00B35BEA"/>
    <w:rsid w:val="00B362B5"/>
    <w:rsid w:val="00B365CB"/>
    <w:rsid w:val="00B37915"/>
    <w:rsid w:val="00B3793D"/>
    <w:rsid w:val="00B40FC9"/>
    <w:rsid w:val="00B41BE6"/>
    <w:rsid w:val="00B42831"/>
    <w:rsid w:val="00B428A4"/>
    <w:rsid w:val="00B457E7"/>
    <w:rsid w:val="00B45D1B"/>
    <w:rsid w:val="00B45DE5"/>
    <w:rsid w:val="00B46D25"/>
    <w:rsid w:val="00B47430"/>
    <w:rsid w:val="00B47AC6"/>
    <w:rsid w:val="00B52D2D"/>
    <w:rsid w:val="00B534EF"/>
    <w:rsid w:val="00B548DA"/>
    <w:rsid w:val="00B55BA8"/>
    <w:rsid w:val="00B55F15"/>
    <w:rsid w:val="00B561A6"/>
    <w:rsid w:val="00B56708"/>
    <w:rsid w:val="00B56A48"/>
    <w:rsid w:val="00B57CC4"/>
    <w:rsid w:val="00B60062"/>
    <w:rsid w:val="00B62960"/>
    <w:rsid w:val="00B63A11"/>
    <w:rsid w:val="00B63CB3"/>
    <w:rsid w:val="00B63FD0"/>
    <w:rsid w:val="00B6493D"/>
    <w:rsid w:val="00B6553E"/>
    <w:rsid w:val="00B65C84"/>
    <w:rsid w:val="00B6608F"/>
    <w:rsid w:val="00B70D4C"/>
    <w:rsid w:val="00B73180"/>
    <w:rsid w:val="00B73AA5"/>
    <w:rsid w:val="00B741FD"/>
    <w:rsid w:val="00B74317"/>
    <w:rsid w:val="00B75700"/>
    <w:rsid w:val="00B760C1"/>
    <w:rsid w:val="00B76D1E"/>
    <w:rsid w:val="00B77BC8"/>
    <w:rsid w:val="00B77FB7"/>
    <w:rsid w:val="00B800EB"/>
    <w:rsid w:val="00B817E0"/>
    <w:rsid w:val="00B822D2"/>
    <w:rsid w:val="00B823F1"/>
    <w:rsid w:val="00B8317C"/>
    <w:rsid w:val="00B831B4"/>
    <w:rsid w:val="00B83D46"/>
    <w:rsid w:val="00B848B8"/>
    <w:rsid w:val="00B84A41"/>
    <w:rsid w:val="00B84D57"/>
    <w:rsid w:val="00B8504B"/>
    <w:rsid w:val="00B853C2"/>
    <w:rsid w:val="00B85689"/>
    <w:rsid w:val="00B85FDC"/>
    <w:rsid w:val="00B86748"/>
    <w:rsid w:val="00B907EA"/>
    <w:rsid w:val="00B91EC9"/>
    <w:rsid w:val="00B924CA"/>
    <w:rsid w:val="00B92A4B"/>
    <w:rsid w:val="00B93341"/>
    <w:rsid w:val="00B93384"/>
    <w:rsid w:val="00B93616"/>
    <w:rsid w:val="00B94417"/>
    <w:rsid w:val="00B95566"/>
    <w:rsid w:val="00B95940"/>
    <w:rsid w:val="00B95EF8"/>
    <w:rsid w:val="00B95F50"/>
    <w:rsid w:val="00B96BD9"/>
    <w:rsid w:val="00B979A0"/>
    <w:rsid w:val="00B979AF"/>
    <w:rsid w:val="00BA094F"/>
    <w:rsid w:val="00BA0DED"/>
    <w:rsid w:val="00BA0F99"/>
    <w:rsid w:val="00BA6D2C"/>
    <w:rsid w:val="00BA7002"/>
    <w:rsid w:val="00BB0274"/>
    <w:rsid w:val="00BB0B13"/>
    <w:rsid w:val="00BB1CFD"/>
    <w:rsid w:val="00BB2C53"/>
    <w:rsid w:val="00BB32DA"/>
    <w:rsid w:val="00BB3A54"/>
    <w:rsid w:val="00BB462A"/>
    <w:rsid w:val="00BB4D26"/>
    <w:rsid w:val="00BB4E21"/>
    <w:rsid w:val="00BB7746"/>
    <w:rsid w:val="00BC22EB"/>
    <w:rsid w:val="00BC31F8"/>
    <w:rsid w:val="00BC4795"/>
    <w:rsid w:val="00BC65CE"/>
    <w:rsid w:val="00BC682B"/>
    <w:rsid w:val="00BC68BA"/>
    <w:rsid w:val="00BC6B04"/>
    <w:rsid w:val="00BC6D27"/>
    <w:rsid w:val="00BD059A"/>
    <w:rsid w:val="00BD0CBB"/>
    <w:rsid w:val="00BD186B"/>
    <w:rsid w:val="00BD1EAC"/>
    <w:rsid w:val="00BD254C"/>
    <w:rsid w:val="00BD3428"/>
    <w:rsid w:val="00BD366B"/>
    <w:rsid w:val="00BD5298"/>
    <w:rsid w:val="00BD534C"/>
    <w:rsid w:val="00BD557B"/>
    <w:rsid w:val="00BD55A9"/>
    <w:rsid w:val="00BD56BC"/>
    <w:rsid w:val="00BD5D91"/>
    <w:rsid w:val="00BD6445"/>
    <w:rsid w:val="00BD6615"/>
    <w:rsid w:val="00BD6D50"/>
    <w:rsid w:val="00BD7E55"/>
    <w:rsid w:val="00BE0AB0"/>
    <w:rsid w:val="00BE0D79"/>
    <w:rsid w:val="00BE0DB0"/>
    <w:rsid w:val="00BE15B9"/>
    <w:rsid w:val="00BE2C15"/>
    <w:rsid w:val="00BE3381"/>
    <w:rsid w:val="00BE3F09"/>
    <w:rsid w:val="00BE52E8"/>
    <w:rsid w:val="00BE632F"/>
    <w:rsid w:val="00BE670A"/>
    <w:rsid w:val="00BE6906"/>
    <w:rsid w:val="00BE78D6"/>
    <w:rsid w:val="00BF18F4"/>
    <w:rsid w:val="00BF1A69"/>
    <w:rsid w:val="00BF3BC8"/>
    <w:rsid w:val="00BF3DF1"/>
    <w:rsid w:val="00BF4C31"/>
    <w:rsid w:val="00BF4E57"/>
    <w:rsid w:val="00BF53B8"/>
    <w:rsid w:val="00BF60CA"/>
    <w:rsid w:val="00BF786A"/>
    <w:rsid w:val="00BF7CB8"/>
    <w:rsid w:val="00BF7F08"/>
    <w:rsid w:val="00C00831"/>
    <w:rsid w:val="00C00F20"/>
    <w:rsid w:val="00C01354"/>
    <w:rsid w:val="00C01700"/>
    <w:rsid w:val="00C01A3C"/>
    <w:rsid w:val="00C01B84"/>
    <w:rsid w:val="00C022BC"/>
    <w:rsid w:val="00C034E6"/>
    <w:rsid w:val="00C05715"/>
    <w:rsid w:val="00C05926"/>
    <w:rsid w:val="00C0784A"/>
    <w:rsid w:val="00C10B28"/>
    <w:rsid w:val="00C10D62"/>
    <w:rsid w:val="00C10FAE"/>
    <w:rsid w:val="00C1135D"/>
    <w:rsid w:val="00C11DAF"/>
    <w:rsid w:val="00C123B4"/>
    <w:rsid w:val="00C12A69"/>
    <w:rsid w:val="00C13150"/>
    <w:rsid w:val="00C13737"/>
    <w:rsid w:val="00C150BE"/>
    <w:rsid w:val="00C158B0"/>
    <w:rsid w:val="00C15A0C"/>
    <w:rsid w:val="00C15CEB"/>
    <w:rsid w:val="00C15DCB"/>
    <w:rsid w:val="00C16208"/>
    <w:rsid w:val="00C1654F"/>
    <w:rsid w:val="00C16D5D"/>
    <w:rsid w:val="00C16E16"/>
    <w:rsid w:val="00C1711F"/>
    <w:rsid w:val="00C17E38"/>
    <w:rsid w:val="00C2038A"/>
    <w:rsid w:val="00C205BF"/>
    <w:rsid w:val="00C20744"/>
    <w:rsid w:val="00C20B1C"/>
    <w:rsid w:val="00C20C4D"/>
    <w:rsid w:val="00C21D46"/>
    <w:rsid w:val="00C21F94"/>
    <w:rsid w:val="00C222A1"/>
    <w:rsid w:val="00C22C59"/>
    <w:rsid w:val="00C23371"/>
    <w:rsid w:val="00C235D4"/>
    <w:rsid w:val="00C23CBD"/>
    <w:rsid w:val="00C23D22"/>
    <w:rsid w:val="00C2463B"/>
    <w:rsid w:val="00C24E77"/>
    <w:rsid w:val="00C26214"/>
    <w:rsid w:val="00C2732D"/>
    <w:rsid w:val="00C273C6"/>
    <w:rsid w:val="00C27913"/>
    <w:rsid w:val="00C3004E"/>
    <w:rsid w:val="00C300C6"/>
    <w:rsid w:val="00C30828"/>
    <w:rsid w:val="00C30924"/>
    <w:rsid w:val="00C30EB6"/>
    <w:rsid w:val="00C310E2"/>
    <w:rsid w:val="00C31DD8"/>
    <w:rsid w:val="00C3271C"/>
    <w:rsid w:val="00C32A35"/>
    <w:rsid w:val="00C34FDE"/>
    <w:rsid w:val="00C35C16"/>
    <w:rsid w:val="00C362A5"/>
    <w:rsid w:val="00C36EC3"/>
    <w:rsid w:val="00C40E09"/>
    <w:rsid w:val="00C40F81"/>
    <w:rsid w:val="00C41463"/>
    <w:rsid w:val="00C418F0"/>
    <w:rsid w:val="00C41A06"/>
    <w:rsid w:val="00C41A72"/>
    <w:rsid w:val="00C42D45"/>
    <w:rsid w:val="00C4335D"/>
    <w:rsid w:val="00C43CB1"/>
    <w:rsid w:val="00C4422D"/>
    <w:rsid w:val="00C44B63"/>
    <w:rsid w:val="00C466D1"/>
    <w:rsid w:val="00C468A2"/>
    <w:rsid w:val="00C475DF"/>
    <w:rsid w:val="00C476C5"/>
    <w:rsid w:val="00C503B0"/>
    <w:rsid w:val="00C51199"/>
    <w:rsid w:val="00C511C2"/>
    <w:rsid w:val="00C527C6"/>
    <w:rsid w:val="00C531C7"/>
    <w:rsid w:val="00C538FC"/>
    <w:rsid w:val="00C53CDB"/>
    <w:rsid w:val="00C53D82"/>
    <w:rsid w:val="00C54748"/>
    <w:rsid w:val="00C54D19"/>
    <w:rsid w:val="00C559F1"/>
    <w:rsid w:val="00C574CF"/>
    <w:rsid w:val="00C575FB"/>
    <w:rsid w:val="00C60696"/>
    <w:rsid w:val="00C60943"/>
    <w:rsid w:val="00C60EEF"/>
    <w:rsid w:val="00C610C5"/>
    <w:rsid w:val="00C6121D"/>
    <w:rsid w:val="00C615F1"/>
    <w:rsid w:val="00C61627"/>
    <w:rsid w:val="00C63B1A"/>
    <w:rsid w:val="00C63CB3"/>
    <w:rsid w:val="00C63E8F"/>
    <w:rsid w:val="00C64620"/>
    <w:rsid w:val="00C64E60"/>
    <w:rsid w:val="00C657A4"/>
    <w:rsid w:val="00C66589"/>
    <w:rsid w:val="00C6736C"/>
    <w:rsid w:val="00C7121E"/>
    <w:rsid w:val="00C7179C"/>
    <w:rsid w:val="00C71A1D"/>
    <w:rsid w:val="00C71EC4"/>
    <w:rsid w:val="00C735EA"/>
    <w:rsid w:val="00C7410A"/>
    <w:rsid w:val="00C74791"/>
    <w:rsid w:val="00C7591E"/>
    <w:rsid w:val="00C75C7E"/>
    <w:rsid w:val="00C75C9B"/>
    <w:rsid w:val="00C76D8E"/>
    <w:rsid w:val="00C77833"/>
    <w:rsid w:val="00C80953"/>
    <w:rsid w:val="00C80C9B"/>
    <w:rsid w:val="00C8180B"/>
    <w:rsid w:val="00C8335E"/>
    <w:rsid w:val="00C83CF4"/>
    <w:rsid w:val="00C83F9C"/>
    <w:rsid w:val="00C84154"/>
    <w:rsid w:val="00C84CE3"/>
    <w:rsid w:val="00C85614"/>
    <w:rsid w:val="00C86127"/>
    <w:rsid w:val="00C8711E"/>
    <w:rsid w:val="00C9003C"/>
    <w:rsid w:val="00C90284"/>
    <w:rsid w:val="00C90CF4"/>
    <w:rsid w:val="00C91C19"/>
    <w:rsid w:val="00C929A0"/>
    <w:rsid w:val="00C92E80"/>
    <w:rsid w:val="00C92FCB"/>
    <w:rsid w:val="00C930FB"/>
    <w:rsid w:val="00C93389"/>
    <w:rsid w:val="00C937DB"/>
    <w:rsid w:val="00C94519"/>
    <w:rsid w:val="00C94E11"/>
    <w:rsid w:val="00C94E83"/>
    <w:rsid w:val="00C9567E"/>
    <w:rsid w:val="00C960EC"/>
    <w:rsid w:val="00C965DE"/>
    <w:rsid w:val="00C97038"/>
    <w:rsid w:val="00C97D46"/>
    <w:rsid w:val="00CA02B2"/>
    <w:rsid w:val="00CA0883"/>
    <w:rsid w:val="00CA1085"/>
    <w:rsid w:val="00CA140F"/>
    <w:rsid w:val="00CA25C2"/>
    <w:rsid w:val="00CA37BB"/>
    <w:rsid w:val="00CA37CA"/>
    <w:rsid w:val="00CA39E1"/>
    <w:rsid w:val="00CA5016"/>
    <w:rsid w:val="00CA542C"/>
    <w:rsid w:val="00CA5724"/>
    <w:rsid w:val="00CA64FD"/>
    <w:rsid w:val="00CA6508"/>
    <w:rsid w:val="00CA6BA1"/>
    <w:rsid w:val="00CA6CD5"/>
    <w:rsid w:val="00CA6D0B"/>
    <w:rsid w:val="00CB1910"/>
    <w:rsid w:val="00CB2150"/>
    <w:rsid w:val="00CB28EE"/>
    <w:rsid w:val="00CB2B15"/>
    <w:rsid w:val="00CB2EEA"/>
    <w:rsid w:val="00CB39FE"/>
    <w:rsid w:val="00CB43A7"/>
    <w:rsid w:val="00CB4DF1"/>
    <w:rsid w:val="00CB5996"/>
    <w:rsid w:val="00CB6809"/>
    <w:rsid w:val="00CB7452"/>
    <w:rsid w:val="00CC0E10"/>
    <w:rsid w:val="00CC1DAF"/>
    <w:rsid w:val="00CC2642"/>
    <w:rsid w:val="00CC2967"/>
    <w:rsid w:val="00CC2A1E"/>
    <w:rsid w:val="00CC2A36"/>
    <w:rsid w:val="00CC2E15"/>
    <w:rsid w:val="00CC3440"/>
    <w:rsid w:val="00CC351B"/>
    <w:rsid w:val="00CC3908"/>
    <w:rsid w:val="00CC3FAB"/>
    <w:rsid w:val="00CC47D7"/>
    <w:rsid w:val="00CC4F3D"/>
    <w:rsid w:val="00CC51B3"/>
    <w:rsid w:val="00CC62AD"/>
    <w:rsid w:val="00CC6CA2"/>
    <w:rsid w:val="00CC7086"/>
    <w:rsid w:val="00CC7B80"/>
    <w:rsid w:val="00CD0080"/>
    <w:rsid w:val="00CD0779"/>
    <w:rsid w:val="00CD2B3C"/>
    <w:rsid w:val="00CD2F7F"/>
    <w:rsid w:val="00CD30F6"/>
    <w:rsid w:val="00CD4B29"/>
    <w:rsid w:val="00CD5493"/>
    <w:rsid w:val="00CD67CA"/>
    <w:rsid w:val="00CD6954"/>
    <w:rsid w:val="00CD6DA3"/>
    <w:rsid w:val="00CD6EF1"/>
    <w:rsid w:val="00CD78B7"/>
    <w:rsid w:val="00CD7E35"/>
    <w:rsid w:val="00CD7E3B"/>
    <w:rsid w:val="00CE118D"/>
    <w:rsid w:val="00CE1385"/>
    <w:rsid w:val="00CE1CFC"/>
    <w:rsid w:val="00CE21C7"/>
    <w:rsid w:val="00CE2682"/>
    <w:rsid w:val="00CE2756"/>
    <w:rsid w:val="00CE3D1C"/>
    <w:rsid w:val="00CE442A"/>
    <w:rsid w:val="00CE4DEB"/>
    <w:rsid w:val="00CE57D8"/>
    <w:rsid w:val="00CE5F03"/>
    <w:rsid w:val="00CE617A"/>
    <w:rsid w:val="00CE6E3C"/>
    <w:rsid w:val="00CE7158"/>
    <w:rsid w:val="00CE7815"/>
    <w:rsid w:val="00CE797F"/>
    <w:rsid w:val="00CF0E7B"/>
    <w:rsid w:val="00CF0FEF"/>
    <w:rsid w:val="00CF1016"/>
    <w:rsid w:val="00CF107E"/>
    <w:rsid w:val="00CF15BF"/>
    <w:rsid w:val="00CF17DE"/>
    <w:rsid w:val="00CF2090"/>
    <w:rsid w:val="00CF25D2"/>
    <w:rsid w:val="00CF28C2"/>
    <w:rsid w:val="00CF3D3A"/>
    <w:rsid w:val="00CF42BD"/>
    <w:rsid w:val="00CF51EC"/>
    <w:rsid w:val="00CF5576"/>
    <w:rsid w:val="00CF6A9D"/>
    <w:rsid w:val="00CF6CD7"/>
    <w:rsid w:val="00CF7276"/>
    <w:rsid w:val="00CF75EC"/>
    <w:rsid w:val="00D002DF"/>
    <w:rsid w:val="00D0037A"/>
    <w:rsid w:val="00D0061E"/>
    <w:rsid w:val="00D00DAF"/>
    <w:rsid w:val="00D017EC"/>
    <w:rsid w:val="00D01CDA"/>
    <w:rsid w:val="00D020FC"/>
    <w:rsid w:val="00D03866"/>
    <w:rsid w:val="00D040DD"/>
    <w:rsid w:val="00D04E1B"/>
    <w:rsid w:val="00D0547B"/>
    <w:rsid w:val="00D076DB"/>
    <w:rsid w:val="00D07D71"/>
    <w:rsid w:val="00D07EFF"/>
    <w:rsid w:val="00D1067C"/>
    <w:rsid w:val="00D11CBB"/>
    <w:rsid w:val="00D1221D"/>
    <w:rsid w:val="00D136D4"/>
    <w:rsid w:val="00D13830"/>
    <w:rsid w:val="00D13ECF"/>
    <w:rsid w:val="00D142E5"/>
    <w:rsid w:val="00D148CD"/>
    <w:rsid w:val="00D14A40"/>
    <w:rsid w:val="00D1611E"/>
    <w:rsid w:val="00D163CC"/>
    <w:rsid w:val="00D16E69"/>
    <w:rsid w:val="00D17F4A"/>
    <w:rsid w:val="00D205A9"/>
    <w:rsid w:val="00D217EE"/>
    <w:rsid w:val="00D2210A"/>
    <w:rsid w:val="00D237C7"/>
    <w:rsid w:val="00D24299"/>
    <w:rsid w:val="00D245BA"/>
    <w:rsid w:val="00D25C8A"/>
    <w:rsid w:val="00D26923"/>
    <w:rsid w:val="00D27856"/>
    <w:rsid w:val="00D27D34"/>
    <w:rsid w:val="00D3006B"/>
    <w:rsid w:val="00D301CA"/>
    <w:rsid w:val="00D30740"/>
    <w:rsid w:val="00D31075"/>
    <w:rsid w:val="00D31445"/>
    <w:rsid w:val="00D31932"/>
    <w:rsid w:val="00D31EA5"/>
    <w:rsid w:val="00D32AE0"/>
    <w:rsid w:val="00D360DA"/>
    <w:rsid w:val="00D374B3"/>
    <w:rsid w:val="00D37689"/>
    <w:rsid w:val="00D378CC"/>
    <w:rsid w:val="00D37AB3"/>
    <w:rsid w:val="00D4042C"/>
    <w:rsid w:val="00D40698"/>
    <w:rsid w:val="00D40B9E"/>
    <w:rsid w:val="00D41281"/>
    <w:rsid w:val="00D42312"/>
    <w:rsid w:val="00D433F5"/>
    <w:rsid w:val="00D43998"/>
    <w:rsid w:val="00D439C2"/>
    <w:rsid w:val="00D43A2B"/>
    <w:rsid w:val="00D44477"/>
    <w:rsid w:val="00D451E0"/>
    <w:rsid w:val="00D45A1D"/>
    <w:rsid w:val="00D4615E"/>
    <w:rsid w:val="00D4651F"/>
    <w:rsid w:val="00D478E2"/>
    <w:rsid w:val="00D50980"/>
    <w:rsid w:val="00D51CD6"/>
    <w:rsid w:val="00D5264C"/>
    <w:rsid w:val="00D543F9"/>
    <w:rsid w:val="00D547BA"/>
    <w:rsid w:val="00D55626"/>
    <w:rsid w:val="00D556BC"/>
    <w:rsid w:val="00D5626D"/>
    <w:rsid w:val="00D56631"/>
    <w:rsid w:val="00D577A4"/>
    <w:rsid w:val="00D57808"/>
    <w:rsid w:val="00D57E4B"/>
    <w:rsid w:val="00D60277"/>
    <w:rsid w:val="00D60336"/>
    <w:rsid w:val="00D61B06"/>
    <w:rsid w:val="00D61F88"/>
    <w:rsid w:val="00D62688"/>
    <w:rsid w:val="00D627C7"/>
    <w:rsid w:val="00D62901"/>
    <w:rsid w:val="00D6345E"/>
    <w:rsid w:val="00D637A2"/>
    <w:rsid w:val="00D64644"/>
    <w:rsid w:val="00D6470C"/>
    <w:rsid w:val="00D64853"/>
    <w:rsid w:val="00D64CB5"/>
    <w:rsid w:val="00D6562C"/>
    <w:rsid w:val="00D65800"/>
    <w:rsid w:val="00D66368"/>
    <w:rsid w:val="00D66D48"/>
    <w:rsid w:val="00D67B47"/>
    <w:rsid w:val="00D7162F"/>
    <w:rsid w:val="00D72897"/>
    <w:rsid w:val="00D73256"/>
    <w:rsid w:val="00D73A30"/>
    <w:rsid w:val="00D73E6F"/>
    <w:rsid w:val="00D74ABF"/>
    <w:rsid w:val="00D74C65"/>
    <w:rsid w:val="00D74E97"/>
    <w:rsid w:val="00D74F21"/>
    <w:rsid w:val="00D758D0"/>
    <w:rsid w:val="00D75DC2"/>
    <w:rsid w:val="00D75DC3"/>
    <w:rsid w:val="00D75F45"/>
    <w:rsid w:val="00D766EF"/>
    <w:rsid w:val="00D76C03"/>
    <w:rsid w:val="00D7722D"/>
    <w:rsid w:val="00D77F8D"/>
    <w:rsid w:val="00D80E07"/>
    <w:rsid w:val="00D80F8E"/>
    <w:rsid w:val="00D8119B"/>
    <w:rsid w:val="00D81B44"/>
    <w:rsid w:val="00D82462"/>
    <w:rsid w:val="00D831C6"/>
    <w:rsid w:val="00D83294"/>
    <w:rsid w:val="00D83EF3"/>
    <w:rsid w:val="00D84BD1"/>
    <w:rsid w:val="00D85773"/>
    <w:rsid w:val="00D85886"/>
    <w:rsid w:val="00D868CE"/>
    <w:rsid w:val="00D86DAE"/>
    <w:rsid w:val="00D90116"/>
    <w:rsid w:val="00D90C1E"/>
    <w:rsid w:val="00D91BDF"/>
    <w:rsid w:val="00D91F2C"/>
    <w:rsid w:val="00D9266B"/>
    <w:rsid w:val="00D93794"/>
    <w:rsid w:val="00D93F09"/>
    <w:rsid w:val="00D944E7"/>
    <w:rsid w:val="00D94859"/>
    <w:rsid w:val="00D954C2"/>
    <w:rsid w:val="00D9640A"/>
    <w:rsid w:val="00D97BB8"/>
    <w:rsid w:val="00DA0299"/>
    <w:rsid w:val="00DA06FE"/>
    <w:rsid w:val="00DA07D3"/>
    <w:rsid w:val="00DA1318"/>
    <w:rsid w:val="00DA1382"/>
    <w:rsid w:val="00DA28B7"/>
    <w:rsid w:val="00DA2FE8"/>
    <w:rsid w:val="00DA42CF"/>
    <w:rsid w:val="00DA4AF6"/>
    <w:rsid w:val="00DA5374"/>
    <w:rsid w:val="00DA7AB2"/>
    <w:rsid w:val="00DA7B54"/>
    <w:rsid w:val="00DB016E"/>
    <w:rsid w:val="00DB06E9"/>
    <w:rsid w:val="00DB0BF3"/>
    <w:rsid w:val="00DB19BD"/>
    <w:rsid w:val="00DB1D55"/>
    <w:rsid w:val="00DB378E"/>
    <w:rsid w:val="00DB3C0D"/>
    <w:rsid w:val="00DB3E9D"/>
    <w:rsid w:val="00DB47B9"/>
    <w:rsid w:val="00DB4FB8"/>
    <w:rsid w:val="00DB53CE"/>
    <w:rsid w:val="00DB549D"/>
    <w:rsid w:val="00DB5792"/>
    <w:rsid w:val="00DB5798"/>
    <w:rsid w:val="00DB6A88"/>
    <w:rsid w:val="00DB7BA4"/>
    <w:rsid w:val="00DB7D77"/>
    <w:rsid w:val="00DC08D7"/>
    <w:rsid w:val="00DC0CBA"/>
    <w:rsid w:val="00DC226A"/>
    <w:rsid w:val="00DC257F"/>
    <w:rsid w:val="00DC2A9F"/>
    <w:rsid w:val="00DC2FA9"/>
    <w:rsid w:val="00DC350B"/>
    <w:rsid w:val="00DC3790"/>
    <w:rsid w:val="00DC408A"/>
    <w:rsid w:val="00DC436D"/>
    <w:rsid w:val="00DC519B"/>
    <w:rsid w:val="00DC5B3B"/>
    <w:rsid w:val="00DC6796"/>
    <w:rsid w:val="00DC6CC6"/>
    <w:rsid w:val="00DC78DF"/>
    <w:rsid w:val="00DC7D4C"/>
    <w:rsid w:val="00DC7F3C"/>
    <w:rsid w:val="00DD0726"/>
    <w:rsid w:val="00DD0821"/>
    <w:rsid w:val="00DD0ABE"/>
    <w:rsid w:val="00DD0E32"/>
    <w:rsid w:val="00DD1878"/>
    <w:rsid w:val="00DD1DC1"/>
    <w:rsid w:val="00DD2872"/>
    <w:rsid w:val="00DD2A62"/>
    <w:rsid w:val="00DD2BD0"/>
    <w:rsid w:val="00DD2BFE"/>
    <w:rsid w:val="00DD373E"/>
    <w:rsid w:val="00DD3867"/>
    <w:rsid w:val="00DD3F47"/>
    <w:rsid w:val="00DD428A"/>
    <w:rsid w:val="00DD57AD"/>
    <w:rsid w:val="00DD7435"/>
    <w:rsid w:val="00DD7C6D"/>
    <w:rsid w:val="00DE009B"/>
    <w:rsid w:val="00DE08F8"/>
    <w:rsid w:val="00DE0C31"/>
    <w:rsid w:val="00DE0E40"/>
    <w:rsid w:val="00DE1460"/>
    <w:rsid w:val="00DE2AED"/>
    <w:rsid w:val="00DE2B74"/>
    <w:rsid w:val="00DE2ED9"/>
    <w:rsid w:val="00DE319A"/>
    <w:rsid w:val="00DF0615"/>
    <w:rsid w:val="00DF0DC3"/>
    <w:rsid w:val="00DF11BC"/>
    <w:rsid w:val="00DF21FD"/>
    <w:rsid w:val="00DF22BA"/>
    <w:rsid w:val="00DF286B"/>
    <w:rsid w:val="00DF2873"/>
    <w:rsid w:val="00DF293C"/>
    <w:rsid w:val="00DF34B2"/>
    <w:rsid w:val="00DF4C74"/>
    <w:rsid w:val="00DF5578"/>
    <w:rsid w:val="00DF629B"/>
    <w:rsid w:val="00DF69DD"/>
    <w:rsid w:val="00DF6CF8"/>
    <w:rsid w:val="00DF78DD"/>
    <w:rsid w:val="00DF7FEC"/>
    <w:rsid w:val="00E01319"/>
    <w:rsid w:val="00E01B16"/>
    <w:rsid w:val="00E01C0E"/>
    <w:rsid w:val="00E02086"/>
    <w:rsid w:val="00E023BE"/>
    <w:rsid w:val="00E02740"/>
    <w:rsid w:val="00E03B27"/>
    <w:rsid w:val="00E03B58"/>
    <w:rsid w:val="00E04694"/>
    <w:rsid w:val="00E049F6"/>
    <w:rsid w:val="00E04CA9"/>
    <w:rsid w:val="00E04E8F"/>
    <w:rsid w:val="00E05B2B"/>
    <w:rsid w:val="00E05EAD"/>
    <w:rsid w:val="00E06A2A"/>
    <w:rsid w:val="00E07F05"/>
    <w:rsid w:val="00E106A2"/>
    <w:rsid w:val="00E10B1C"/>
    <w:rsid w:val="00E11ED5"/>
    <w:rsid w:val="00E127E1"/>
    <w:rsid w:val="00E12BCE"/>
    <w:rsid w:val="00E13155"/>
    <w:rsid w:val="00E144D2"/>
    <w:rsid w:val="00E144D6"/>
    <w:rsid w:val="00E15346"/>
    <w:rsid w:val="00E15B7D"/>
    <w:rsid w:val="00E163F9"/>
    <w:rsid w:val="00E17C5F"/>
    <w:rsid w:val="00E2097E"/>
    <w:rsid w:val="00E215EA"/>
    <w:rsid w:val="00E21CAB"/>
    <w:rsid w:val="00E220FC"/>
    <w:rsid w:val="00E221FC"/>
    <w:rsid w:val="00E22561"/>
    <w:rsid w:val="00E22E78"/>
    <w:rsid w:val="00E24619"/>
    <w:rsid w:val="00E25223"/>
    <w:rsid w:val="00E25999"/>
    <w:rsid w:val="00E263A8"/>
    <w:rsid w:val="00E308C8"/>
    <w:rsid w:val="00E30BEA"/>
    <w:rsid w:val="00E30C7B"/>
    <w:rsid w:val="00E31764"/>
    <w:rsid w:val="00E3288A"/>
    <w:rsid w:val="00E32A58"/>
    <w:rsid w:val="00E32BC2"/>
    <w:rsid w:val="00E33313"/>
    <w:rsid w:val="00E34985"/>
    <w:rsid w:val="00E34E4A"/>
    <w:rsid w:val="00E365B3"/>
    <w:rsid w:val="00E366BB"/>
    <w:rsid w:val="00E372FD"/>
    <w:rsid w:val="00E379F9"/>
    <w:rsid w:val="00E37C45"/>
    <w:rsid w:val="00E40AAA"/>
    <w:rsid w:val="00E41A59"/>
    <w:rsid w:val="00E42070"/>
    <w:rsid w:val="00E42444"/>
    <w:rsid w:val="00E438CF"/>
    <w:rsid w:val="00E43B06"/>
    <w:rsid w:val="00E43C41"/>
    <w:rsid w:val="00E4500E"/>
    <w:rsid w:val="00E450CE"/>
    <w:rsid w:val="00E45703"/>
    <w:rsid w:val="00E45A00"/>
    <w:rsid w:val="00E45CE7"/>
    <w:rsid w:val="00E4631F"/>
    <w:rsid w:val="00E46A4A"/>
    <w:rsid w:val="00E4793B"/>
    <w:rsid w:val="00E47CB8"/>
    <w:rsid w:val="00E522BB"/>
    <w:rsid w:val="00E52A3D"/>
    <w:rsid w:val="00E533B7"/>
    <w:rsid w:val="00E539E4"/>
    <w:rsid w:val="00E53C14"/>
    <w:rsid w:val="00E549AC"/>
    <w:rsid w:val="00E569C7"/>
    <w:rsid w:val="00E571F2"/>
    <w:rsid w:val="00E57429"/>
    <w:rsid w:val="00E60FCE"/>
    <w:rsid w:val="00E61EA8"/>
    <w:rsid w:val="00E62A33"/>
    <w:rsid w:val="00E63221"/>
    <w:rsid w:val="00E63EC6"/>
    <w:rsid w:val="00E64AE4"/>
    <w:rsid w:val="00E64CFF"/>
    <w:rsid w:val="00E64EA1"/>
    <w:rsid w:val="00E6582D"/>
    <w:rsid w:val="00E662D1"/>
    <w:rsid w:val="00E663A1"/>
    <w:rsid w:val="00E669C7"/>
    <w:rsid w:val="00E6737F"/>
    <w:rsid w:val="00E67611"/>
    <w:rsid w:val="00E70400"/>
    <w:rsid w:val="00E70510"/>
    <w:rsid w:val="00E710C7"/>
    <w:rsid w:val="00E71262"/>
    <w:rsid w:val="00E71A58"/>
    <w:rsid w:val="00E72FBF"/>
    <w:rsid w:val="00E737F6"/>
    <w:rsid w:val="00E7568F"/>
    <w:rsid w:val="00E764AE"/>
    <w:rsid w:val="00E7724B"/>
    <w:rsid w:val="00E80E31"/>
    <w:rsid w:val="00E81130"/>
    <w:rsid w:val="00E813C1"/>
    <w:rsid w:val="00E81A9E"/>
    <w:rsid w:val="00E81E1E"/>
    <w:rsid w:val="00E83DAB"/>
    <w:rsid w:val="00E840CA"/>
    <w:rsid w:val="00E84119"/>
    <w:rsid w:val="00E84A6B"/>
    <w:rsid w:val="00E84AAD"/>
    <w:rsid w:val="00E84CAB"/>
    <w:rsid w:val="00E84F21"/>
    <w:rsid w:val="00E8618A"/>
    <w:rsid w:val="00E868D4"/>
    <w:rsid w:val="00E90A4B"/>
    <w:rsid w:val="00E90D67"/>
    <w:rsid w:val="00E90F73"/>
    <w:rsid w:val="00E910A7"/>
    <w:rsid w:val="00E910C5"/>
    <w:rsid w:val="00E91607"/>
    <w:rsid w:val="00E921C7"/>
    <w:rsid w:val="00E92995"/>
    <w:rsid w:val="00E930C0"/>
    <w:rsid w:val="00E9446C"/>
    <w:rsid w:val="00E94612"/>
    <w:rsid w:val="00E95797"/>
    <w:rsid w:val="00E9682F"/>
    <w:rsid w:val="00E96A8D"/>
    <w:rsid w:val="00E972BA"/>
    <w:rsid w:val="00E97FA2"/>
    <w:rsid w:val="00EA06CB"/>
    <w:rsid w:val="00EA0AF3"/>
    <w:rsid w:val="00EA0C68"/>
    <w:rsid w:val="00EA19E2"/>
    <w:rsid w:val="00EA1CFB"/>
    <w:rsid w:val="00EA2169"/>
    <w:rsid w:val="00EA2BC9"/>
    <w:rsid w:val="00EA3CD4"/>
    <w:rsid w:val="00EA3EBE"/>
    <w:rsid w:val="00EA3FAC"/>
    <w:rsid w:val="00EA4153"/>
    <w:rsid w:val="00EA421A"/>
    <w:rsid w:val="00EA5CD6"/>
    <w:rsid w:val="00EA76FD"/>
    <w:rsid w:val="00EA77CA"/>
    <w:rsid w:val="00EA78FE"/>
    <w:rsid w:val="00EB03D4"/>
    <w:rsid w:val="00EB0555"/>
    <w:rsid w:val="00EB0F82"/>
    <w:rsid w:val="00EB20A0"/>
    <w:rsid w:val="00EB2CE9"/>
    <w:rsid w:val="00EB30B6"/>
    <w:rsid w:val="00EB4FA4"/>
    <w:rsid w:val="00EB5146"/>
    <w:rsid w:val="00EB522B"/>
    <w:rsid w:val="00EB55E9"/>
    <w:rsid w:val="00EB5641"/>
    <w:rsid w:val="00EB5CA9"/>
    <w:rsid w:val="00EB5ED4"/>
    <w:rsid w:val="00EB6537"/>
    <w:rsid w:val="00EB70E1"/>
    <w:rsid w:val="00EB78D5"/>
    <w:rsid w:val="00EB7EB5"/>
    <w:rsid w:val="00EC0860"/>
    <w:rsid w:val="00EC0EC1"/>
    <w:rsid w:val="00EC3608"/>
    <w:rsid w:val="00EC398B"/>
    <w:rsid w:val="00EC424C"/>
    <w:rsid w:val="00EC439A"/>
    <w:rsid w:val="00EC454B"/>
    <w:rsid w:val="00EC4941"/>
    <w:rsid w:val="00EC53DE"/>
    <w:rsid w:val="00EC6153"/>
    <w:rsid w:val="00EC7360"/>
    <w:rsid w:val="00EC7918"/>
    <w:rsid w:val="00EC7F92"/>
    <w:rsid w:val="00ED00A8"/>
    <w:rsid w:val="00ED04FA"/>
    <w:rsid w:val="00ED0A79"/>
    <w:rsid w:val="00ED2670"/>
    <w:rsid w:val="00ED2989"/>
    <w:rsid w:val="00ED2B0B"/>
    <w:rsid w:val="00ED2CA5"/>
    <w:rsid w:val="00ED336F"/>
    <w:rsid w:val="00ED3A94"/>
    <w:rsid w:val="00ED40F0"/>
    <w:rsid w:val="00ED4AC0"/>
    <w:rsid w:val="00ED4C05"/>
    <w:rsid w:val="00ED54D6"/>
    <w:rsid w:val="00ED5726"/>
    <w:rsid w:val="00ED7C3C"/>
    <w:rsid w:val="00EE0113"/>
    <w:rsid w:val="00EE0298"/>
    <w:rsid w:val="00EE0384"/>
    <w:rsid w:val="00EE043A"/>
    <w:rsid w:val="00EE0473"/>
    <w:rsid w:val="00EE1057"/>
    <w:rsid w:val="00EE10AA"/>
    <w:rsid w:val="00EE1637"/>
    <w:rsid w:val="00EE3547"/>
    <w:rsid w:val="00EE3B7A"/>
    <w:rsid w:val="00EE3E78"/>
    <w:rsid w:val="00EE4534"/>
    <w:rsid w:val="00EE495A"/>
    <w:rsid w:val="00EE5E02"/>
    <w:rsid w:val="00EE617D"/>
    <w:rsid w:val="00EE61BF"/>
    <w:rsid w:val="00EE6538"/>
    <w:rsid w:val="00EE6748"/>
    <w:rsid w:val="00EE6C6B"/>
    <w:rsid w:val="00EF0916"/>
    <w:rsid w:val="00EF0E75"/>
    <w:rsid w:val="00EF1D92"/>
    <w:rsid w:val="00EF1F5A"/>
    <w:rsid w:val="00EF28C5"/>
    <w:rsid w:val="00EF3486"/>
    <w:rsid w:val="00EF3CF0"/>
    <w:rsid w:val="00EF416C"/>
    <w:rsid w:val="00EF4685"/>
    <w:rsid w:val="00EF5397"/>
    <w:rsid w:val="00EF67A9"/>
    <w:rsid w:val="00EF6BE3"/>
    <w:rsid w:val="00EF74D3"/>
    <w:rsid w:val="00F00D0E"/>
    <w:rsid w:val="00F00D3C"/>
    <w:rsid w:val="00F020EA"/>
    <w:rsid w:val="00F02A72"/>
    <w:rsid w:val="00F04811"/>
    <w:rsid w:val="00F0488C"/>
    <w:rsid w:val="00F0496E"/>
    <w:rsid w:val="00F04D10"/>
    <w:rsid w:val="00F053EA"/>
    <w:rsid w:val="00F0625B"/>
    <w:rsid w:val="00F068A8"/>
    <w:rsid w:val="00F06944"/>
    <w:rsid w:val="00F06C6F"/>
    <w:rsid w:val="00F0732D"/>
    <w:rsid w:val="00F101FF"/>
    <w:rsid w:val="00F104DF"/>
    <w:rsid w:val="00F10A33"/>
    <w:rsid w:val="00F10B64"/>
    <w:rsid w:val="00F1186C"/>
    <w:rsid w:val="00F11AD5"/>
    <w:rsid w:val="00F126D0"/>
    <w:rsid w:val="00F12A83"/>
    <w:rsid w:val="00F13E89"/>
    <w:rsid w:val="00F14ACD"/>
    <w:rsid w:val="00F15309"/>
    <w:rsid w:val="00F15BEF"/>
    <w:rsid w:val="00F160EC"/>
    <w:rsid w:val="00F172BE"/>
    <w:rsid w:val="00F1776C"/>
    <w:rsid w:val="00F17A82"/>
    <w:rsid w:val="00F2037E"/>
    <w:rsid w:val="00F20D17"/>
    <w:rsid w:val="00F2103E"/>
    <w:rsid w:val="00F214FC"/>
    <w:rsid w:val="00F21C31"/>
    <w:rsid w:val="00F21F9E"/>
    <w:rsid w:val="00F23825"/>
    <w:rsid w:val="00F2389A"/>
    <w:rsid w:val="00F23F6C"/>
    <w:rsid w:val="00F23FFF"/>
    <w:rsid w:val="00F2441D"/>
    <w:rsid w:val="00F2490D"/>
    <w:rsid w:val="00F24FAA"/>
    <w:rsid w:val="00F25226"/>
    <w:rsid w:val="00F253C6"/>
    <w:rsid w:val="00F25860"/>
    <w:rsid w:val="00F26197"/>
    <w:rsid w:val="00F273D4"/>
    <w:rsid w:val="00F307DD"/>
    <w:rsid w:val="00F30C2E"/>
    <w:rsid w:val="00F30CB4"/>
    <w:rsid w:val="00F30EBF"/>
    <w:rsid w:val="00F318FC"/>
    <w:rsid w:val="00F31D53"/>
    <w:rsid w:val="00F31F76"/>
    <w:rsid w:val="00F325A3"/>
    <w:rsid w:val="00F3364D"/>
    <w:rsid w:val="00F339D0"/>
    <w:rsid w:val="00F353AE"/>
    <w:rsid w:val="00F35ACD"/>
    <w:rsid w:val="00F365BF"/>
    <w:rsid w:val="00F36BF8"/>
    <w:rsid w:val="00F375BA"/>
    <w:rsid w:val="00F37760"/>
    <w:rsid w:val="00F403D1"/>
    <w:rsid w:val="00F42FF2"/>
    <w:rsid w:val="00F43432"/>
    <w:rsid w:val="00F43921"/>
    <w:rsid w:val="00F44E1B"/>
    <w:rsid w:val="00F4524F"/>
    <w:rsid w:val="00F45530"/>
    <w:rsid w:val="00F4591F"/>
    <w:rsid w:val="00F47321"/>
    <w:rsid w:val="00F4736B"/>
    <w:rsid w:val="00F47804"/>
    <w:rsid w:val="00F47997"/>
    <w:rsid w:val="00F47D05"/>
    <w:rsid w:val="00F50030"/>
    <w:rsid w:val="00F502F5"/>
    <w:rsid w:val="00F5053A"/>
    <w:rsid w:val="00F50B9D"/>
    <w:rsid w:val="00F51FC9"/>
    <w:rsid w:val="00F529EE"/>
    <w:rsid w:val="00F52AE1"/>
    <w:rsid w:val="00F53243"/>
    <w:rsid w:val="00F541ED"/>
    <w:rsid w:val="00F54B31"/>
    <w:rsid w:val="00F54FD3"/>
    <w:rsid w:val="00F554F9"/>
    <w:rsid w:val="00F55605"/>
    <w:rsid w:val="00F56375"/>
    <w:rsid w:val="00F57CD7"/>
    <w:rsid w:val="00F6080A"/>
    <w:rsid w:val="00F6187C"/>
    <w:rsid w:val="00F61BFE"/>
    <w:rsid w:val="00F62F02"/>
    <w:rsid w:val="00F6339F"/>
    <w:rsid w:val="00F63DDE"/>
    <w:rsid w:val="00F63FB7"/>
    <w:rsid w:val="00F64726"/>
    <w:rsid w:val="00F64F44"/>
    <w:rsid w:val="00F6561A"/>
    <w:rsid w:val="00F65A44"/>
    <w:rsid w:val="00F66243"/>
    <w:rsid w:val="00F67BDA"/>
    <w:rsid w:val="00F67CF0"/>
    <w:rsid w:val="00F70309"/>
    <w:rsid w:val="00F7078A"/>
    <w:rsid w:val="00F70E45"/>
    <w:rsid w:val="00F727D5"/>
    <w:rsid w:val="00F72F44"/>
    <w:rsid w:val="00F73A0C"/>
    <w:rsid w:val="00F73AED"/>
    <w:rsid w:val="00F7593B"/>
    <w:rsid w:val="00F759DC"/>
    <w:rsid w:val="00F76217"/>
    <w:rsid w:val="00F76563"/>
    <w:rsid w:val="00F76870"/>
    <w:rsid w:val="00F7717C"/>
    <w:rsid w:val="00F771A5"/>
    <w:rsid w:val="00F80D1E"/>
    <w:rsid w:val="00F815A8"/>
    <w:rsid w:val="00F817A4"/>
    <w:rsid w:val="00F81C3A"/>
    <w:rsid w:val="00F83573"/>
    <w:rsid w:val="00F835E1"/>
    <w:rsid w:val="00F835FC"/>
    <w:rsid w:val="00F8373A"/>
    <w:rsid w:val="00F83E21"/>
    <w:rsid w:val="00F83FA4"/>
    <w:rsid w:val="00F8410C"/>
    <w:rsid w:val="00F84E18"/>
    <w:rsid w:val="00F852E5"/>
    <w:rsid w:val="00F853A5"/>
    <w:rsid w:val="00F863B7"/>
    <w:rsid w:val="00F8752F"/>
    <w:rsid w:val="00F90350"/>
    <w:rsid w:val="00F91E9E"/>
    <w:rsid w:val="00F91EAF"/>
    <w:rsid w:val="00F925B7"/>
    <w:rsid w:val="00F92FE6"/>
    <w:rsid w:val="00F9310A"/>
    <w:rsid w:val="00F94231"/>
    <w:rsid w:val="00F94681"/>
    <w:rsid w:val="00F95117"/>
    <w:rsid w:val="00F96648"/>
    <w:rsid w:val="00F97ED2"/>
    <w:rsid w:val="00FA05D7"/>
    <w:rsid w:val="00FA16BD"/>
    <w:rsid w:val="00FA1992"/>
    <w:rsid w:val="00FA1C6C"/>
    <w:rsid w:val="00FA2447"/>
    <w:rsid w:val="00FA2A4A"/>
    <w:rsid w:val="00FA2BDE"/>
    <w:rsid w:val="00FA2C2A"/>
    <w:rsid w:val="00FA309A"/>
    <w:rsid w:val="00FA3844"/>
    <w:rsid w:val="00FA3A11"/>
    <w:rsid w:val="00FA3AB1"/>
    <w:rsid w:val="00FA4730"/>
    <w:rsid w:val="00FA4BFF"/>
    <w:rsid w:val="00FA5A3E"/>
    <w:rsid w:val="00FA6B3F"/>
    <w:rsid w:val="00FA7644"/>
    <w:rsid w:val="00FB0A9A"/>
    <w:rsid w:val="00FB16AD"/>
    <w:rsid w:val="00FB1F21"/>
    <w:rsid w:val="00FB2A9D"/>
    <w:rsid w:val="00FB332E"/>
    <w:rsid w:val="00FB36E3"/>
    <w:rsid w:val="00FB3763"/>
    <w:rsid w:val="00FB4708"/>
    <w:rsid w:val="00FB483B"/>
    <w:rsid w:val="00FB56F1"/>
    <w:rsid w:val="00FB5FD4"/>
    <w:rsid w:val="00FB6398"/>
    <w:rsid w:val="00FB67F3"/>
    <w:rsid w:val="00FB6AF4"/>
    <w:rsid w:val="00FC0894"/>
    <w:rsid w:val="00FC0D8A"/>
    <w:rsid w:val="00FC0E5F"/>
    <w:rsid w:val="00FC135D"/>
    <w:rsid w:val="00FC18ED"/>
    <w:rsid w:val="00FC26FB"/>
    <w:rsid w:val="00FC2CF4"/>
    <w:rsid w:val="00FC3C84"/>
    <w:rsid w:val="00FC4660"/>
    <w:rsid w:val="00FC540C"/>
    <w:rsid w:val="00FC56DE"/>
    <w:rsid w:val="00FC5E01"/>
    <w:rsid w:val="00FC605E"/>
    <w:rsid w:val="00FC6140"/>
    <w:rsid w:val="00FC6DB5"/>
    <w:rsid w:val="00FD10BC"/>
    <w:rsid w:val="00FD1261"/>
    <w:rsid w:val="00FD1627"/>
    <w:rsid w:val="00FD1B51"/>
    <w:rsid w:val="00FD1BBD"/>
    <w:rsid w:val="00FD300F"/>
    <w:rsid w:val="00FD38B2"/>
    <w:rsid w:val="00FD43A0"/>
    <w:rsid w:val="00FD473D"/>
    <w:rsid w:val="00FD55BA"/>
    <w:rsid w:val="00FD61C8"/>
    <w:rsid w:val="00FD63CE"/>
    <w:rsid w:val="00FD7D49"/>
    <w:rsid w:val="00FE058B"/>
    <w:rsid w:val="00FE1251"/>
    <w:rsid w:val="00FE16E6"/>
    <w:rsid w:val="00FE2889"/>
    <w:rsid w:val="00FE2F78"/>
    <w:rsid w:val="00FE3510"/>
    <w:rsid w:val="00FE371D"/>
    <w:rsid w:val="00FE375F"/>
    <w:rsid w:val="00FE3D8B"/>
    <w:rsid w:val="00FE4FCB"/>
    <w:rsid w:val="00FE53F0"/>
    <w:rsid w:val="00FE688F"/>
    <w:rsid w:val="00FE6E67"/>
    <w:rsid w:val="00FE705E"/>
    <w:rsid w:val="00FF02EB"/>
    <w:rsid w:val="00FF288B"/>
    <w:rsid w:val="00FF28E0"/>
    <w:rsid w:val="00FF2FB4"/>
    <w:rsid w:val="00FF30B3"/>
    <w:rsid w:val="00FF3DF3"/>
    <w:rsid w:val="00FF4027"/>
    <w:rsid w:val="00FF45A2"/>
    <w:rsid w:val="00FF55B1"/>
    <w:rsid w:val="00FF5899"/>
    <w:rsid w:val="00FF6014"/>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s>
</file>

<file path=word/webSettings.xml><?xml version="1.0" encoding="utf-8"?>
<w:webSettings xmlns:r="http://schemas.openxmlformats.org/officeDocument/2006/relationships" xmlns:w="http://schemas.openxmlformats.org/wordprocessingml/2006/main">
  <w:divs>
    <w:div w:id="181818228">
      <w:bodyDiv w:val="1"/>
      <w:marLeft w:val="0"/>
      <w:marRight w:val="0"/>
      <w:marTop w:val="0"/>
      <w:marBottom w:val="0"/>
      <w:divBdr>
        <w:top w:val="none" w:sz="0" w:space="0" w:color="auto"/>
        <w:left w:val="none" w:sz="0" w:space="0" w:color="auto"/>
        <w:bottom w:val="none" w:sz="0" w:space="0" w:color="auto"/>
        <w:right w:val="none" w:sz="0" w:space="0" w:color="auto"/>
      </w:divBdr>
    </w:div>
    <w:div w:id="196507420">
      <w:bodyDiv w:val="1"/>
      <w:marLeft w:val="0"/>
      <w:marRight w:val="0"/>
      <w:marTop w:val="0"/>
      <w:marBottom w:val="0"/>
      <w:divBdr>
        <w:top w:val="none" w:sz="0" w:space="0" w:color="auto"/>
        <w:left w:val="none" w:sz="0" w:space="0" w:color="auto"/>
        <w:bottom w:val="none" w:sz="0" w:space="0" w:color="auto"/>
        <w:right w:val="none" w:sz="0" w:space="0" w:color="auto"/>
      </w:divBdr>
    </w:div>
    <w:div w:id="380591470">
      <w:bodyDiv w:val="1"/>
      <w:marLeft w:val="0"/>
      <w:marRight w:val="0"/>
      <w:marTop w:val="0"/>
      <w:marBottom w:val="0"/>
      <w:divBdr>
        <w:top w:val="none" w:sz="0" w:space="0" w:color="auto"/>
        <w:left w:val="none" w:sz="0" w:space="0" w:color="auto"/>
        <w:bottom w:val="none" w:sz="0" w:space="0" w:color="auto"/>
        <w:right w:val="none" w:sz="0" w:space="0" w:color="auto"/>
      </w:divBdr>
    </w:div>
    <w:div w:id="718675857">
      <w:bodyDiv w:val="1"/>
      <w:marLeft w:val="0"/>
      <w:marRight w:val="0"/>
      <w:marTop w:val="0"/>
      <w:marBottom w:val="0"/>
      <w:divBdr>
        <w:top w:val="none" w:sz="0" w:space="0" w:color="auto"/>
        <w:left w:val="none" w:sz="0" w:space="0" w:color="auto"/>
        <w:bottom w:val="none" w:sz="0" w:space="0" w:color="auto"/>
        <w:right w:val="none" w:sz="0" w:space="0" w:color="auto"/>
      </w:divBdr>
    </w:div>
    <w:div w:id="836965494">
      <w:bodyDiv w:val="1"/>
      <w:marLeft w:val="0"/>
      <w:marRight w:val="0"/>
      <w:marTop w:val="0"/>
      <w:marBottom w:val="0"/>
      <w:divBdr>
        <w:top w:val="none" w:sz="0" w:space="0" w:color="auto"/>
        <w:left w:val="none" w:sz="0" w:space="0" w:color="auto"/>
        <w:bottom w:val="none" w:sz="0" w:space="0" w:color="auto"/>
        <w:right w:val="none" w:sz="0" w:space="0" w:color="auto"/>
      </w:divBdr>
    </w:div>
    <w:div w:id="842355999">
      <w:bodyDiv w:val="1"/>
      <w:marLeft w:val="0"/>
      <w:marRight w:val="0"/>
      <w:marTop w:val="0"/>
      <w:marBottom w:val="0"/>
      <w:divBdr>
        <w:top w:val="none" w:sz="0" w:space="0" w:color="auto"/>
        <w:left w:val="none" w:sz="0" w:space="0" w:color="auto"/>
        <w:bottom w:val="none" w:sz="0" w:space="0" w:color="auto"/>
        <w:right w:val="none" w:sz="0" w:space="0" w:color="auto"/>
      </w:divBdr>
    </w:div>
    <w:div w:id="858011097">
      <w:bodyDiv w:val="1"/>
      <w:marLeft w:val="50"/>
      <w:marRight w:val="50"/>
      <w:marTop w:val="50"/>
      <w:marBottom w:val="13"/>
      <w:divBdr>
        <w:top w:val="none" w:sz="0" w:space="0" w:color="auto"/>
        <w:left w:val="none" w:sz="0" w:space="0" w:color="auto"/>
        <w:bottom w:val="none" w:sz="0" w:space="0" w:color="auto"/>
        <w:right w:val="none" w:sz="0" w:space="0" w:color="auto"/>
      </w:divBdr>
      <w:divsChild>
        <w:div w:id="727414442">
          <w:marLeft w:val="0"/>
          <w:marRight w:val="0"/>
          <w:marTop w:val="0"/>
          <w:marBottom w:val="0"/>
          <w:divBdr>
            <w:top w:val="none" w:sz="0" w:space="0" w:color="auto"/>
            <w:left w:val="none" w:sz="0" w:space="0" w:color="auto"/>
            <w:bottom w:val="none" w:sz="0" w:space="0" w:color="auto"/>
            <w:right w:val="none" w:sz="0" w:space="0" w:color="auto"/>
          </w:divBdr>
        </w:div>
        <w:div w:id="1946301921">
          <w:marLeft w:val="0"/>
          <w:marRight w:val="0"/>
          <w:marTop w:val="0"/>
          <w:marBottom w:val="0"/>
          <w:divBdr>
            <w:top w:val="none" w:sz="0" w:space="0" w:color="auto"/>
            <w:left w:val="none" w:sz="0" w:space="0" w:color="auto"/>
            <w:bottom w:val="none" w:sz="0" w:space="0" w:color="auto"/>
            <w:right w:val="none" w:sz="0" w:space="0" w:color="auto"/>
          </w:divBdr>
        </w:div>
        <w:div w:id="1820540680">
          <w:marLeft w:val="0"/>
          <w:marRight w:val="0"/>
          <w:marTop w:val="0"/>
          <w:marBottom w:val="0"/>
          <w:divBdr>
            <w:top w:val="none" w:sz="0" w:space="0" w:color="auto"/>
            <w:left w:val="none" w:sz="0" w:space="0" w:color="auto"/>
            <w:bottom w:val="none" w:sz="0" w:space="0" w:color="auto"/>
            <w:right w:val="none" w:sz="0" w:space="0" w:color="auto"/>
          </w:divBdr>
          <w:divsChild>
            <w:div w:id="2134322281">
              <w:marLeft w:val="0"/>
              <w:marRight w:val="0"/>
              <w:marTop w:val="0"/>
              <w:marBottom w:val="0"/>
              <w:divBdr>
                <w:top w:val="none" w:sz="0" w:space="0" w:color="auto"/>
                <w:left w:val="none" w:sz="0" w:space="0" w:color="auto"/>
                <w:bottom w:val="none" w:sz="0" w:space="0" w:color="auto"/>
                <w:right w:val="none" w:sz="0" w:space="0" w:color="auto"/>
              </w:divBdr>
            </w:div>
            <w:div w:id="523054529">
              <w:marLeft w:val="0"/>
              <w:marRight w:val="0"/>
              <w:marTop w:val="0"/>
              <w:marBottom w:val="0"/>
              <w:divBdr>
                <w:top w:val="none" w:sz="0" w:space="0" w:color="auto"/>
                <w:left w:val="none" w:sz="0" w:space="0" w:color="auto"/>
                <w:bottom w:val="none" w:sz="0" w:space="0" w:color="auto"/>
                <w:right w:val="none" w:sz="0" w:space="0" w:color="auto"/>
              </w:divBdr>
              <w:divsChild>
                <w:div w:id="1558934058">
                  <w:marLeft w:val="0"/>
                  <w:marRight w:val="0"/>
                  <w:marTop w:val="0"/>
                  <w:marBottom w:val="0"/>
                  <w:divBdr>
                    <w:top w:val="none" w:sz="0" w:space="0" w:color="auto"/>
                    <w:left w:val="none" w:sz="0" w:space="0" w:color="auto"/>
                    <w:bottom w:val="none" w:sz="0" w:space="0" w:color="auto"/>
                    <w:right w:val="none" w:sz="0" w:space="0" w:color="auto"/>
                  </w:divBdr>
                </w:div>
                <w:div w:id="1850876401">
                  <w:marLeft w:val="0"/>
                  <w:marRight w:val="0"/>
                  <w:marTop w:val="0"/>
                  <w:marBottom w:val="0"/>
                  <w:divBdr>
                    <w:top w:val="none" w:sz="0" w:space="0" w:color="auto"/>
                    <w:left w:val="none" w:sz="0" w:space="0" w:color="auto"/>
                    <w:bottom w:val="none" w:sz="0" w:space="0" w:color="auto"/>
                    <w:right w:val="none" w:sz="0" w:space="0" w:color="auto"/>
                  </w:divBdr>
                </w:div>
                <w:div w:id="797725160">
                  <w:marLeft w:val="0"/>
                  <w:marRight w:val="0"/>
                  <w:marTop w:val="0"/>
                  <w:marBottom w:val="0"/>
                  <w:divBdr>
                    <w:top w:val="none" w:sz="0" w:space="0" w:color="auto"/>
                    <w:left w:val="none" w:sz="0" w:space="0" w:color="auto"/>
                    <w:bottom w:val="none" w:sz="0" w:space="0" w:color="auto"/>
                    <w:right w:val="none" w:sz="0" w:space="0" w:color="auto"/>
                  </w:divBdr>
                </w:div>
                <w:div w:id="14808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847">
          <w:marLeft w:val="0"/>
          <w:marRight w:val="0"/>
          <w:marTop w:val="0"/>
          <w:marBottom w:val="0"/>
          <w:divBdr>
            <w:top w:val="none" w:sz="0" w:space="0" w:color="auto"/>
            <w:left w:val="none" w:sz="0" w:space="0" w:color="auto"/>
            <w:bottom w:val="none" w:sz="0" w:space="0" w:color="auto"/>
            <w:right w:val="none" w:sz="0" w:space="0" w:color="auto"/>
          </w:divBdr>
        </w:div>
      </w:divsChild>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1019697639">
      <w:bodyDiv w:val="1"/>
      <w:marLeft w:val="0"/>
      <w:marRight w:val="0"/>
      <w:marTop w:val="0"/>
      <w:marBottom w:val="0"/>
      <w:divBdr>
        <w:top w:val="none" w:sz="0" w:space="0" w:color="auto"/>
        <w:left w:val="none" w:sz="0" w:space="0" w:color="auto"/>
        <w:bottom w:val="none" w:sz="0" w:space="0" w:color="auto"/>
        <w:right w:val="none" w:sz="0" w:space="0" w:color="auto"/>
      </w:divBdr>
    </w:div>
    <w:div w:id="1188449491">
      <w:bodyDiv w:val="1"/>
      <w:marLeft w:val="0"/>
      <w:marRight w:val="0"/>
      <w:marTop w:val="0"/>
      <w:marBottom w:val="0"/>
      <w:divBdr>
        <w:top w:val="none" w:sz="0" w:space="0" w:color="auto"/>
        <w:left w:val="none" w:sz="0" w:space="0" w:color="auto"/>
        <w:bottom w:val="none" w:sz="0" w:space="0" w:color="auto"/>
        <w:right w:val="none" w:sz="0" w:space="0" w:color="auto"/>
      </w:divBdr>
    </w:div>
    <w:div w:id="1531840409">
      <w:bodyDiv w:val="1"/>
      <w:marLeft w:val="0"/>
      <w:marRight w:val="0"/>
      <w:marTop w:val="0"/>
      <w:marBottom w:val="0"/>
      <w:divBdr>
        <w:top w:val="none" w:sz="0" w:space="0" w:color="auto"/>
        <w:left w:val="none" w:sz="0" w:space="0" w:color="auto"/>
        <w:bottom w:val="none" w:sz="0" w:space="0" w:color="auto"/>
        <w:right w:val="none" w:sz="0" w:space="0" w:color="auto"/>
      </w:divBdr>
    </w:div>
    <w:div w:id="1644196240">
      <w:bodyDiv w:val="1"/>
      <w:marLeft w:val="40"/>
      <w:marRight w:val="40"/>
      <w:marTop w:val="40"/>
      <w:marBottom w:val="10"/>
      <w:divBdr>
        <w:top w:val="none" w:sz="0" w:space="0" w:color="auto"/>
        <w:left w:val="none" w:sz="0" w:space="0" w:color="auto"/>
        <w:bottom w:val="none" w:sz="0" w:space="0" w:color="auto"/>
        <w:right w:val="none" w:sz="0" w:space="0" w:color="auto"/>
      </w:divBdr>
      <w:divsChild>
        <w:div w:id="808862537">
          <w:marLeft w:val="0"/>
          <w:marRight w:val="0"/>
          <w:marTop w:val="0"/>
          <w:marBottom w:val="0"/>
          <w:divBdr>
            <w:top w:val="none" w:sz="0" w:space="0" w:color="auto"/>
            <w:left w:val="none" w:sz="0" w:space="0" w:color="auto"/>
            <w:bottom w:val="none" w:sz="0" w:space="0" w:color="auto"/>
            <w:right w:val="none" w:sz="0" w:space="0" w:color="auto"/>
          </w:divBdr>
        </w:div>
      </w:divsChild>
    </w:div>
    <w:div w:id="1896620124">
      <w:bodyDiv w:val="1"/>
      <w:marLeft w:val="0"/>
      <w:marRight w:val="0"/>
      <w:marTop w:val="0"/>
      <w:marBottom w:val="0"/>
      <w:divBdr>
        <w:top w:val="none" w:sz="0" w:space="0" w:color="auto"/>
        <w:left w:val="none" w:sz="0" w:space="0" w:color="auto"/>
        <w:bottom w:val="none" w:sz="0" w:space="0" w:color="auto"/>
        <w:right w:val="none" w:sz="0" w:space="0" w:color="auto"/>
      </w:divBdr>
    </w:div>
    <w:div w:id="1938098484">
      <w:bodyDiv w:val="1"/>
      <w:marLeft w:val="0"/>
      <w:marRight w:val="0"/>
      <w:marTop w:val="0"/>
      <w:marBottom w:val="0"/>
      <w:divBdr>
        <w:top w:val="none" w:sz="0" w:space="0" w:color="auto"/>
        <w:left w:val="none" w:sz="0" w:space="0" w:color="auto"/>
        <w:bottom w:val="none" w:sz="0" w:space="0" w:color="auto"/>
        <w:right w:val="none" w:sz="0" w:space="0" w:color="auto"/>
      </w:divBdr>
    </w:div>
    <w:div w:id="2081900207">
      <w:bodyDiv w:val="1"/>
      <w:marLeft w:val="0"/>
      <w:marRight w:val="0"/>
      <w:marTop w:val="0"/>
      <w:marBottom w:val="0"/>
      <w:divBdr>
        <w:top w:val="none" w:sz="0" w:space="0" w:color="auto"/>
        <w:left w:val="none" w:sz="0" w:space="0" w:color="auto"/>
        <w:bottom w:val="none" w:sz="0" w:space="0" w:color="auto"/>
        <w:right w:val="none" w:sz="0" w:space="0" w:color="auto"/>
      </w:divBdr>
    </w:div>
    <w:div w:id="209068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55"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Desktop\Anal&#253;za\2017Q2\Makroanal&#253;za%20grafy_e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Desktop\Anal&#253;za\2017Q2\Makroanal&#253;za%20grafy_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9865404755440966E-2"/>
          <c:y val="3.3960026067356604E-2"/>
          <c:w val="0.90126857480580858"/>
          <c:h val="0.76523595142862733"/>
        </c:manualLayout>
      </c:layout>
      <c:barChart>
        <c:barDir val="col"/>
        <c:grouping val="stacked"/>
        <c:ser>
          <c:idx val="3"/>
          <c:order val="1"/>
          <c:tx>
            <c:strRef>
              <c:f>'Vnější vztahy 1'!$E$5</c:f>
              <c:strCache>
                <c:ptCount val="1"/>
                <c:pt idx="0">
                  <c:v>Balance of goods</c:v>
                </c:pt>
              </c:strCache>
            </c:strRef>
          </c:tx>
          <c:spPr>
            <a:solidFill>
              <a:srgbClr val="BD1B21"/>
            </a:solidFill>
            <a:ln>
              <a:noFill/>
            </a:ln>
          </c:spPr>
          <c:val>
            <c:numRef>
              <c:f>'Vnější vztahy 1'!$E$6:$E$15</c:f>
              <c:numCache>
                <c:formatCode>0.0</c:formatCode>
                <c:ptCount val="10"/>
                <c:pt idx="0">
                  <c:v>19.415199999999917</c:v>
                </c:pt>
                <c:pt idx="1">
                  <c:v>41.968900000000012</c:v>
                </c:pt>
                <c:pt idx="2">
                  <c:v>51.850499999999997</c:v>
                </c:pt>
                <c:pt idx="3">
                  <c:v>57.21220000000001</c:v>
                </c:pt>
                <c:pt idx="4">
                  <c:v>79.433800000000005</c:v>
                </c:pt>
                <c:pt idx="5">
                  <c:v>108.04720000000032</c:v>
                </c:pt>
                <c:pt idx="6">
                  <c:v>136.91500000000002</c:v>
                </c:pt>
                <c:pt idx="7">
                  <c:v>120.30529999999999</c:v>
                </c:pt>
                <c:pt idx="8">
                  <c:v>165.26429999999999</c:v>
                </c:pt>
                <c:pt idx="9" formatCode="General">
                  <c:v>165.51759999999999</c:v>
                </c:pt>
              </c:numCache>
            </c:numRef>
          </c:val>
        </c:ser>
        <c:ser>
          <c:idx val="4"/>
          <c:order val="2"/>
          <c:tx>
            <c:strRef>
              <c:f>'Vnější vztahy 1'!$F$5</c:f>
              <c:strCache>
                <c:ptCount val="1"/>
                <c:pt idx="0">
                  <c:v>Balance of services</c:v>
                </c:pt>
              </c:strCache>
            </c:strRef>
          </c:tx>
          <c:spPr>
            <a:solidFill>
              <a:srgbClr val="E8AFB2"/>
            </a:solidFill>
            <a:ln>
              <a:noFill/>
            </a:ln>
          </c:spPr>
          <c:val>
            <c:numRef>
              <c:f>'Vnější vztahy 1'!$F$6:$F$15</c:f>
              <c:numCache>
                <c:formatCode>0.0</c:formatCode>
                <c:ptCount val="10"/>
                <c:pt idx="0">
                  <c:v>47.176600000000008</c:v>
                </c:pt>
                <c:pt idx="1">
                  <c:v>39.047700000000006</c:v>
                </c:pt>
                <c:pt idx="2">
                  <c:v>44.324000000000005</c:v>
                </c:pt>
                <c:pt idx="3">
                  <c:v>40.113500000000002</c:v>
                </c:pt>
                <c:pt idx="4">
                  <c:v>44.450900000000004</c:v>
                </c:pt>
                <c:pt idx="5">
                  <c:v>39.887999999999998</c:v>
                </c:pt>
                <c:pt idx="6">
                  <c:v>34.862400000000008</c:v>
                </c:pt>
                <c:pt idx="7">
                  <c:v>38.551499999999997</c:v>
                </c:pt>
                <c:pt idx="8">
                  <c:v>49.342800000000004</c:v>
                </c:pt>
                <c:pt idx="9" formatCode="General">
                  <c:v>56.9589</c:v>
                </c:pt>
              </c:numCache>
            </c:numRef>
          </c:val>
        </c:ser>
        <c:ser>
          <c:idx val="2"/>
          <c:order val="3"/>
          <c:tx>
            <c:strRef>
              <c:f>'Vnější vztahy 1'!$D$5</c:f>
              <c:strCache>
                <c:ptCount val="1"/>
                <c:pt idx="0">
                  <c:v>Primary income balance</c:v>
                </c:pt>
              </c:strCache>
            </c:strRef>
          </c:tx>
          <c:spPr>
            <a:solidFill>
              <a:srgbClr val="A6CDE8"/>
            </a:solidFill>
            <a:ln>
              <a:noFill/>
            </a:ln>
          </c:spPr>
          <c:val>
            <c:numRef>
              <c:f>'Vnější vztahy 1'!$D$6:$D$15</c:f>
              <c:numCache>
                <c:formatCode>0.0</c:formatCode>
                <c:ptCount val="10"/>
                <c:pt idx="0">
                  <c:v>-82.290499999999994</c:v>
                </c:pt>
                <c:pt idx="1">
                  <c:v>-112.9543</c:v>
                </c:pt>
                <c:pt idx="2">
                  <c:v>-86.157299999999992</c:v>
                </c:pt>
                <c:pt idx="3">
                  <c:v>-132.95950000000002</c:v>
                </c:pt>
                <c:pt idx="4">
                  <c:v>-76.063999999999993</c:v>
                </c:pt>
                <c:pt idx="5">
                  <c:v>-112.90589999999999</c:v>
                </c:pt>
                <c:pt idx="6">
                  <c:v>-124.5894</c:v>
                </c:pt>
                <c:pt idx="7">
                  <c:v>-125.38179999999998</c:v>
                </c:pt>
                <c:pt idx="8">
                  <c:v>-111.63640000000001</c:v>
                </c:pt>
                <c:pt idx="9" formatCode="General">
                  <c:v>-102.09060000000002</c:v>
                </c:pt>
              </c:numCache>
            </c:numRef>
          </c:val>
        </c:ser>
        <c:ser>
          <c:idx val="1"/>
          <c:order val="4"/>
          <c:tx>
            <c:strRef>
              <c:f>'Vnější vztahy 1'!$C$5</c:f>
              <c:strCache>
                <c:ptCount val="1"/>
                <c:pt idx="0">
                  <c:v>Secondary income balnce</c:v>
                </c:pt>
              </c:strCache>
            </c:strRef>
          </c:tx>
          <c:spPr>
            <a:solidFill>
              <a:srgbClr val="0071BC"/>
            </a:solidFill>
            <a:ln>
              <a:noFill/>
            </a:ln>
          </c:spPr>
          <c:val>
            <c:numRef>
              <c:f>'Vnější vztahy 1'!$C$6:$C$15</c:f>
              <c:numCache>
                <c:formatCode>0.0</c:formatCode>
                <c:ptCount val="10"/>
                <c:pt idx="0">
                  <c:v>-3.5249999999999999</c:v>
                </c:pt>
                <c:pt idx="1">
                  <c:v>-5.1935999999999956</c:v>
                </c:pt>
                <c:pt idx="2">
                  <c:v>-8.9997000000000025</c:v>
                </c:pt>
                <c:pt idx="3">
                  <c:v>-11.628599999999999</c:v>
                </c:pt>
                <c:pt idx="4">
                  <c:v>-27.617099999999997</c:v>
                </c:pt>
                <c:pt idx="5">
                  <c:v>-22.497699999999913</c:v>
                </c:pt>
                <c:pt idx="6">
                  <c:v>-2.9015999999999997</c:v>
                </c:pt>
                <c:pt idx="7">
                  <c:v>11.517200000000001</c:v>
                </c:pt>
                <c:pt idx="8">
                  <c:v>-4.6746999999999996</c:v>
                </c:pt>
                <c:pt idx="9" formatCode="General">
                  <c:v>-30.384699999999917</c:v>
                </c:pt>
              </c:numCache>
            </c:numRef>
          </c:val>
        </c:ser>
        <c:gapWidth val="60"/>
        <c:overlap val="100"/>
        <c:axId val="101308672"/>
        <c:axId val="101378304"/>
      </c:barChart>
      <c:lineChart>
        <c:grouping val="standard"/>
        <c:ser>
          <c:idx val="0"/>
          <c:order val="0"/>
          <c:tx>
            <c:strRef>
              <c:f>'Vnější vztahy 1'!$B$5</c:f>
              <c:strCache>
                <c:ptCount val="1"/>
                <c:pt idx="0">
                  <c:v>Current account</c:v>
                </c:pt>
              </c:strCache>
            </c:strRef>
          </c:tx>
          <c:spPr>
            <a:ln>
              <a:solidFill>
                <a:schemeClr val="tx1"/>
              </a:solidFill>
            </a:ln>
          </c:spPr>
          <c:marker>
            <c:symbol val="none"/>
          </c:marker>
          <c:cat>
            <c:strRef>
              <c:f>'Vnější vztahy 1'!$A$6:$A$15</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'Vnější vztahy 1'!$B$6:$B$15</c:f>
              <c:numCache>
                <c:formatCode>0.0</c:formatCode>
                <c:ptCount val="10"/>
                <c:pt idx="0">
                  <c:v>-19.223699999999909</c:v>
                </c:pt>
                <c:pt idx="1">
                  <c:v>-37.131200000000007</c:v>
                </c:pt>
                <c:pt idx="2">
                  <c:v>1.017499999999995</c:v>
                </c:pt>
                <c:pt idx="3">
                  <c:v>-47.26250000000018</c:v>
                </c:pt>
                <c:pt idx="4">
                  <c:v>20.203499999999913</c:v>
                </c:pt>
                <c:pt idx="5">
                  <c:v>12.531500000000001</c:v>
                </c:pt>
                <c:pt idx="6">
                  <c:v>44.286500000000011</c:v>
                </c:pt>
                <c:pt idx="7">
                  <c:v>44.992100000000143</c:v>
                </c:pt>
                <c:pt idx="8">
                  <c:v>98.295900000000003</c:v>
                </c:pt>
                <c:pt idx="9" formatCode="General">
                  <c:v>90.001099999999994</c:v>
                </c:pt>
              </c:numCache>
            </c:numRef>
          </c:val>
        </c:ser>
        <c:marker val="1"/>
        <c:axId val="101308672"/>
        <c:axId val="101378304"/>
      </c:lineChart>
      <c:catAx>
        <c:axId val="101308672"/>
        <c:scaling>
          <c:orientation val="minMax"/>
        </c:scaling>
        <c:axPos val="b"/>
        <c:tickLblPos val="low"/>
        <c:spPr>
          <a:ln>
            <a:solidFill>
              <a:schemeClr val="tx1"/>
            </a:solidFill>
          </a:ln>
        </c:spPr>
        <c:txPr>
          <a:bodyPr rot="0" vert="horz"/>
          <a:lstStyle/>
          <a:p>
            <a:pPr>
              <a:defRPr/>
            </a:pPr>
            <a:endParaRPr lang="cs-CZ"/>
          </a:p>
        </c:txPr>
        <c:crossAx val="101378304"/>
        <c:crosses val="autoZero"/>
        <c:auto val="1"/>
        <c:lblAlgn val="ctr"/>
        <c:lblOffset val="100"/>
      </c:catAx>
      <c:valAx>
        <c:axId val="101378304"/>
        <c:scaling>
          <c:orientation val="minMax"/>
          <c:min val="-150"/>
        </c:scaling>
        <c:axPos val="l"/>
        <c:majorGridlines>
          <c:spPr>
            <a:ln w="6350">
              <a:solidFill>
                <a:schemeClr val="bg1">
                  <a:lumMod val="75000"/>
                </a:schemeClr>
              </a:solidFill>
            </a:ln>
          </c:spPr>
        </c:majorGridlines>
        <c:numFmt formatCode="0" sourceLinked="0"/>
        <c:tickLblPos val="nextTo"/>
        <c:spPr>
          <a:ln>
            <a:solidFill>
              <a:schemeClr val="tx1"/>
            </a:solidFill>
          </a:ln>
        </c:spPr>
        <c:crossAx val="101308672"/>
        <c:crosses val="autoZero"/>
        <c:crossBetween val="between"/>
      </c:valAx>
      <c:spPr>
        <a:ln>
          <a:solidFill>
            <a:schemeClr val="tx1"/>
          </a:solidFill>
        </a:ln>
      </c:spPr>
    </c:plotArea>
    <c:legend>
      <c:legendPos val="b"/>
      <c:layout>
        <c:manualLayout>
          <c:xMode val="edge"/>
          <c:yMode val="edge"/>
          <c:x val="6.5159268884492888E-2"/>
          <c:y val="0.88053282633520458"/>
          <c:w val="0.89859169199594657"/>
          <c:h val="0.10077544407176997"/>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8656266097578916E-2"/>
          <c:y val="2.3304908251716772E-2"/>
          <c:w val="0.92389825103638401"/>
          <c:h val="0.63868287740628504"/>
        </c:manualLayout>
      </c:layout>
      <c:barChart>
        <c:barDir val="col"/>
        <c:grouping val="clustered"/>
        <c:ser>
          <c:idx val="1"/>
          <c:order val="0"/>
          <c:tx>
            <c:strRef>
              <c:f>'Vnější vztahy 2'!$A$7</c:f>
              <c:strCache>
                <c:ptCount val="1"/>
                <c:pt idx="0">
                  <c:v>2016 Q1-Q2</c:v>
                </c:pt>
              </c:strCache>
            </c:strRef>
          </c:tx>
          <c:spPr>
            <a:solidFill>
              <a:schemeClr val="bg1">
                <a:lumMod val="65000"/>
              </a:schemeClr>
            </a:solidFill>
          </c:spPr>
          <c:val>
            <c:numRef>
              <c:f>'Vnější vztahy 2'!$B$7:$N$7</c:f>
              <c:numCache>
                <c:formatCode>General</c:formatCode>
                <c:ptCount val="13"/>
                <c:pt idx="0">
                  <c:v>-35.726000000000013</c:v>
                </c:pt>
                <c:pt idx="1">
                  <c:v>-17.251000000000001</c:v>
                </c:pt>
                <c:pt idx="2">
                  <c:v>-11.456000000000024</c:v>
                </c:pt>
                <c:pt idx="3">
                  <c:v>-13.351000000000004</c:v>
                </c:pt>
                <c:pt idx="4">
                  <c:v>-64.046000000000006</c:v>
                </c:pt>
                <c:pt idx="5">
                  <c:v>-22.257000000000001</c:v>
                </c:pt>
                <c:pt idx="6">
                  <c:v>12.089</c:v>
                </c:pt>
                <c:pt idx="7">
                  <c:v>-48.585000000000001</c:v>
                </c:pt>
                <c:pt idx="8">
                  <c:v>32.408000000000001</c:v>
                </c:pt>
                <c:pt idx="9">
                  <c:v>-20.904</c:v>
                </c:pt>
                <c:pt idx="10">
                  <c:v>21.832000000000001</c:v>
                </c:pt>
                <c:pt idx="11">
                  <c:v>32.300000000000004</c:v>
                </c:pt>
                <c:pt idx="12">
                  <c:v>230.4820000000006</c:v>
                </c:pt>
              </c:numCache>
            </c:numRef>
          </c:val>
        </c:ser>
        <c:ser>
          <c:idx val="0"/>
          <c:order val="1"/>
          <c:tx>
            <c:strRef>
              <c:f>'Vnější vztahy 2'!$A$6</c:f>
              <c:strCache>
                <c:ptCount val="1"/>
                <c:pt idx="0">
                  <c:v>2017 Q1-Q2</c:v>
                </c:pt>
              </c:strCache>
            </c:strRef>
          </c:tx>
          <c:spPr>
            <a:solidFill>
              <a:schemeClr val="tx1">
                <a:lumMod val="50000"/>
                <a:lumOff val="50000"/>
              </a:schemeClr>
            </a:solidFill>
            <a:ln>
              <a:noFill/>
            </a:ln>
          </c:spPr>
          <c:cat>
            <c:strRef>
              <c:f>'Vnější vztahy 2'!$B$5:$N$5</c:f>
              <c:strCache>
                <c:ptCount val="13"/>
                <c:pt idx="0">
                  <c:v>Oil and natural gas</c:v>
                </c:pt>
                <c:pt idx="1">
                  <c:v>Food products</c:v>
                </c:pt>
                <c:pt idx="2">
                  <c:v>Clothing</c:v>
                </c:pt>
                <c:pt idx="3">
                  <c:v>Coke, refined                                                               oil products</c:v>
                </c:pt>
                <c:pt idx="4">
                  <c:v>Chemical subst.                                           and prod.</c:v>
                </c:pt>
                <c:pt idx="5">
                  <c:v>Pharmaceutical                                       products</c:v>
                </c:pt>
                <c:pt idx="6">
                  <c:v>Other non-metal                                        prod.</c:v>
                </c:pt>
                <c:pt idx="7">
                  <c:v>Basic metals</c:v>
                </c:pt>
                <c:pt idx="8">
                  <c:v>Metal products</c:v>
                </c:pt>
                <c:pt idx="9">
                  <c:v>Computers,                                           el. appliances</c:v>
                </c:pt>
                <c:pt idx="10">
                  <c:v>Electrical                                       equipment</c:v>
                </c:pt>
                <c:pt idx="11">
                  <c:v>Machines                                        and appl. n.e.c.</c:v>
                </c:pt>
                <c:pt idx="12">
                  <c:v>Motor vehicles</c:v>
                </c:pt>
              </c:strCache>
            </c:strRef>
          </c:cat>
          <c:val>
            <c:numRef>
              <c:f>'Vnější vztahy 2'!$B$6:$N$6</c:f>
              <c:numCache>
                <c:formatCode>General</c:formatCode>
                <c:ptCount val="13"/>
                <c:pt idx="0">
                  <c:v>-62.225000000000172</c:v>
                </c:pt>
                <c:pt idx="1">
                  <c:v>-18.152999999999999</c:v>
                </c:pt>
                <c:pt idx="2">
                  <c:v>-13.701000000000001</c:v>
                </c:pt>
                <c:pt idx="3">
                  <c:v>-4.7069999999999999</c:v>
                </c:pt>
                <c:pt idx="4">
                  <c:v>-57.502000000000002</c:v>
                </c:pt>
                <c:pt idx="5">
                  <c:v>-24.281999999999989</c:v>
                </c:pt>
                <c:pt idx="6">
                  <c:v>12.185</c:v>
                </c:pt>
                <c:pt idx="7">
                  <c:v>-62.403000000000006</c:v>
                </c:pt>
                <c:pt idx="8">
                  <c:v>30.224</c:v>
                </c:pt>
                <c:pt idx="9">
                  <c:v>-18.510000000000005</c:v>
                </c:pt>
                <c:pt idx="10">
                  <c:v>20.870999999999999</c:v>
                </c:pt>
                <c:pt idx="11">
                  <c:v>42.933</c:v>
                </c:pt>
                <c:pt idx="12">
                  <c:v>243.61099999999999</c:v>
                </c:pt>
              </c:numCache>
            </c:numRef>
          </c:val>
        </c:ser>
        <c:gapWidth val="97"/>
        <c:axId val="102083200"/>
        <c:axId val="102134144"/>
      </c:barChart>
      <c:catAx>
        <c:axId val="102083200"/>
        <c:scaling>
          <c:orientation val="minMax"/>
        </c:scaling>
        <c:axPos val="b"/>
        <c:tickLblPos val="low"/>
        <c:spPr>
          <a:ln>
            <a:solidFill>
              <a:schemeClr val="tx1"/>
            </a:solidFill>
          </a:ln>
        </c:spPr>
        <c:txPr>
          <a:bodyPr rot="-5400000" vert="horz"/>
          <a:lstStyle/>
          <a:p>
            <a:pPr>
              <a:defRPr/>
            </a:pPr>
            <a:endParaRPr lang="cs-CZ"/>
          </a:p>
        </c:txPr>
        <c:crossAx val="102134144"/>
        <c:crosses val="autoZero"/>
        <c:auto val="1"/>
        <c:lblAlgn val="ctr"/>
        <c:lblOffset val="100"/>
      </c:catAx>
      <c:valAx>
        <c:axId val="102134144"/>
        <c:scaling>
          <c:orientation val="minMax"/>
          <c:max val="250"/>
          <c:min val="-80"/>
        </c:scaling>
        <c:axPos val="l"/>
        <c:majorGridlines>
          <c:spPr>
            <a:ln w="6350">
              <a:solidFill>
                <a:schemeClr val="bg1">
                  <a:lumMod val="75000"/>
                </a:schemeClr>
              </a:solidFill>
            </a:ln>
          </c:spPr>
        </c:majorGridlines>
        <c:numFmt formatCode="General" sourceLinked="1"/>
        <c:tickLblPos val="nextTo"/>
        <c:crossAx val="102083200"/>
        <c:crosses val="autoZero"/>
        <c:crossBetween val="between"/>
        <c:majorUnit val="40"/>
      </c:valAx>
      <c:spPr>
        <a:ln>
          <a:solidFill>
            <a:schemeClr val="tx1"/>
          </a:solidFill>
        </a:ln>
      </c:spPr>
    </c:plotArea>
    <c:legend>
      <c:legendPos val="b"/>
      <c:layout>
        <c:manualLayout>
          <c:xMode val="edge"/>
          <c:yMode val="edge"/>
          <c:x val="5.5873075264417107E-2"/>
          <c:y val="0.93271781816746591"/>
          <c:w val="0.92593890471149387"/>
          <c:h val="5.4750853511732103E-2"/>
        </c:manualLayout>
      </c:layout>
      <c:overlay val="1"/>
      <c:spPr>
        <a:ln w="6350">
          <a:solidFill>
            <a:sysClr val="windowText" lastClr="000000"/>
          </a:solidFill>
        </a:ln>
      </c:spPr>
    </c:legend>
    <c:plotVisOnly val="1"/>
    <c:dispBlanksAs val="gap"/>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AEDAF-7F87-473E-9DF4-90BDB199F57F}">
  <ds:schemaRefs>
    <ds:schemaRef ds:uri="http://schemas.openxmlformats.org/officeDocument/2006/bibliography"/>
  </ds:schemaRefs>
</ds:datastoreItem>
</file>

<file path=customXml/itemProps2.xml><?xml version="1.0" encoding="utf-8"?>
<ds:datastoreItem xmlns:ds="http://schemas.openxmlformats.org/officeDocument/2006/customXml" ds:itemID="{BAB35ECB-46D2-4CF1-A159-47CE4387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7</TotalTime>
  <Pages>3</Pages>
  <Words>853</Words>
  <Characters>5036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5878</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4</cp:revision>
  <cp:lastPrinted>2017-10-18T06:36:00Z</cp:lastPrinted>
  <dcterms:created xsi:type="dcterms:W3CDTF">2017-10-23T14:12:00Z</dcterms:created>
  <dcterms:modified xsi:type="dcterms:W3CDTF">2017-10-23T14:19:00Z</dcterms:modified>
</cp:coreProperties>
</file>