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2FC80" w14:textId="4C67B854" w:rsidR="008F2E83" w:rsidRPr="00A00994" w:rsidRDefault="008F2E83" w:rsidP="008F2E83">
      <w:pPr>
        <w:pStyle w:val="Nadpis11"/>
        <w:rPr>
          <w:lang w:val="en-GB"/>
        </w:rPr>
      </w:pPr>
      <w:bookmarkStart w:id="0" w:name="_Toc116642877"/>
      <w:bookmarkStart w:id="1" w:name="_GoBack"/>
      <w:bookmarkEnd w:id="1"/>
      <w:r w:rsidRPr="00A00994">
        <w:rPr>
          <w:szCs w:val="32"/>
          <w:lang w:val="en-GB"/>
        </w:rPr>
        <w:t>8</w:t>
      </w:r>
      <w:r w:rsidRPr="00A00994">
        <w:rPr>
          <w:lang w:val="en-GB"/>
        </w:rPr>
        <w:t>. St</w:t>
      </w:r>
      <w:r w:rsidR="009A0349" w:rsidRPr="00A00994">
        <w:rPr>
          <w:lang w:val="en-GB"/>
        </w:rPr>
        <w:t>ate Budget</w:t>
      </w:r>
      <w:bookmarkEnd w:id="0"/>
    </w:p>
    <w:tbl>
      <w:tblPr>
        <w:tblW w:w="9669" w:type="dxa"/>
        <w:tblInd w:w="-20" w:type="dxa"/>
        <w:tblCellMar>
          <w:left w:w="0" w:type="dxa"/>
          <w:right w:w="0" w:type="dxa"/>
        </w:tblCellMar>
        <w:tblLook w:val="00A0" w:firstRow="1" w:lastRow="0" w:firstColumn="1" w:lastColumn="0" w:noHBand="0" w:noVBand="0"/>
      </w:tblPr>
      <w:tblGrid>
        <w:gridCol w:w="1805"/>
        <w:gridCol w:w="217"/>
        <w:gridCol w:w="7647"/>
      </w:tblGrid>
      <w:tr w:rsidR="008F2E83" w:rsidRPr="00A00994" w14:paraId="7090E3FE" w14:textId="77777777" w:rsidTr="00EE762D">
        <w:trPr>
          <w:trHeight w:val="145"/>
        </w:trPr>
        <w:tc>
          <w:tcPr>
            <w:tcW w:w="1805" w:type="dxa"/>
            <w:shd w:val="clear" w:color="auto" w:fill="auto"/>
            <w:tcMar>
              <w:left w:w="0" w:type="dxa"/>
            </w:tcMar>
          </w:tcPr>
          <w:p w14:paraId="749D6E46" w14:textId="28D5E16B" w:rsidR="008F2E83" w:rsidRPr="00A00994" w:rsidRDefault="00953B93" w:rsidP="000C7A79">
            <w:pPr>
              <w:pStyle w:val="Marginlie"/>
              <w:rPr>
                <w:lang w:val="en-GB"/>
              </w:rPr>
            </w:pPr>
            <w:r w:rsidRPr="00A00994">
              <w:rPr>
                <w:lang w:val="en-GB"/>
              </w:rPr>
              <w:t xml:space="preserve">Half-yearly state budget deficit remained deep, it however moderated in comparison to years </w:t>
            </w:r>
            <w:r w:rsidR="008F2E83" w:rsidRPr="00A00994">
              <w:rPr>
                <w:lang w:val="en-GB"/>
              </w:rPr>
              <w:t>2020</w:t>
            </w:r>
            <w:r w:rsidRPr="00A00994">
              <w:rPr>
                <w:lang w:val="en-GB"/>
              </w:rPr>
              <w:t xml:space="preserve"> as well as </w:t>
            </w:r>
            <w:r w:rsidR="008F2E83" w:rsidRPr="00A00994">
              <w:rPr>
                <w:lang w:val="en-GB"/>
              </w:rPr>
              <w:t>2021.</w:t>
            </w:r>
          </w:p>
          <w:p w14:paraId="569C60F9" w14:textId="77777777" w:rsidR="008F2E83" w:rsidRPr="00A00994" w:rsidRDefault="008F2E83" w:rsidP="000C7A79">
            <w:pPr>
              <w:pStyle w:val="Marginlie"/>
              <w:rPr>
                <w:lang w:val="en-GB"/>
              </w:rPr>
            </w:pPr>
          </w:p>
          <w:p w14:paraId="48411FE0" w14:textId="77777777" w:rsidR="008F2E83" w:rsidRPr="00A00994" w:rsidRDefault="008F2E83" w:rsidP="000C7A79">
            <w:pPr>
              <w:pStyle w:val="Marginlie"/>
              <w:rPr>
                <w:lang w:val="en-GB"/>
              </w:rPr>
            </w:pPr>
          </w:p>
          <w:p w14:paraId="0570B20A" w14:textId="77777777" w:rsidR="008F2E83" w:rsidRPr="00A00994" w:rsidRDefault="008F2E83" w:rsidP="000C7A79">
            <w:pPr>
              <w:pStyle w:val="Marginlie"/>
              <w:rPr>
                <w:lang w:val="en-GB"/>
              </w:rPr>
            </w:pPr>
          </w:p>
          <w:p w14:paraId="4F6ADF0E" w14:textId="77777777" w:rsidR="008F2E83" w:rsidRPr="00A00994" w:rsidRDefault="008F2E83" w:rsidP="000C7A79">
            <w:pPr>
              <w:pStyle w:val="Marginlie"/>
              <w:rPr>
                <w:lang w:val="en-GB"/>
              </w:rPr>
            </w:pPr>
          </w:p>
          <w:p w14:paraId="51FC097B" w14:textId="77777777" w:rsidR="008F2E83" w:rsidRPr="00A00994" w:rsidRDefault="008F2E83" w:rsidP="000C7A79">
            <w:pPr>
              <w:pStyle w:val="Marginlie"/>
              <w:rPr>
                <w:lang w:val="en-GB"/>
              </w:rPr>
            </w:pPr>
          </w:p>
          <w:p w14:paraId="4D049504" w14:textId="77777777" w:rsidR="008F2E83" w:rsidRPr="00A00994" w:rsidRDefault="008F2E83" w:rsidP="000C7A79">
            <w:pPr>
              <w:pStyle w:val="Marginlie"/>
              <w:rPr>
                <w:lang w:val="en-GB"/>
              </w:rPr>
            </w:pPr>
          </w:p>
          <w:p w14:paraId="43D5926B" w14:textId="6E2A12FF" w:rsidR="008F2E83" w:rsidRPr="00A00994" w:rsidRDefault="00B07674" w:rsidP="000C7A79">
            <w:pPr>
              <w:pStyle w:val="Marginlie"/>
              <w:rPr>
                <w:lang w:val="en-GB"/>
              </w:rPr>
            </w:pPr>
            <w:r w:rsidRPr="00A00994">
              <w:rPr>
                <w:lang w:val="en-GB"/>
              </w:rPr>
              <w:t xml:space="preserve">Total tax income overtook the pre-pandemic level for the first time. </w:t>
            </w:r>
          </w:p>
        </w:tc>
        <w:tc>
          <w:tcPr>
            <w:tcW w:w="217" w:type="dxa"/>
            <w:shd w:val="clear" w:color="auto" w:fill="auto"/>
            <w:tcMar>
              <w:left w:w="0" w:type="dxa"/>
            </w:tcMar>
          </w:tcPr>
          <w:p w14:paraId="735EF626"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1D16037F" w14:textId="09DEA245" w:rsidR="008F2E83" w:rsidRPr="00A00994" w:rsidRDefault="003263F9" w:rsidP="00211E4A">
            <w:pPr>
              <w:spacing w:after="220"/>
              <w:rPr>
                <w:spacing w:val="-4"/>
                <w:lang w:val="en-GB"/>
              </w:rPr>
            </w:pPr>
            <w:r w:rsidRPr="00A00994">
              <w:rPr>
                <w:spacing w:val="-4"/>
                <w:lang w:val="en-GB"/>
              </w:rPr>
              <w:t>The domestic state budget</w:t>
            </w:r>
            <w:r w:rsidR="000D2F9F" w:rsidRPr="00A00994">
              <w:rPr>
                <w:spacing w:val="-4"/>
                <w:lang w:val="en-GB"/>
              </w:rPr>
              <w:t xml:space="preserve"> </w:t>
            </w:r>
            <w:r w:rsidR="008F2E83" w:rsidRPr="00A00994">
              <w:rPr>
                <w:spacing w:val="-4"/>
                <w:lang w:val="en-GB"/>
              </w:rPr>
              <w:t>(S</w:t>
            </w:r>
            <w:r w:rsidRPr="00A00994">
              <w:rPr>
                <w:spacing w:val="-4"/>
                <w:lang w:val="en-GB"/>
              </w:rPr>
              <w:t>B</w:t>
            </w:r>
            <w:r w:rsidR="008F2E83" w:rsidRPr="00A00994">
              <w:rPr>
                <w:spacing w:val="-4"/>
                <w:lang w:val="en-GB"/>
              </w:rPr>
              <w:t>)</w:t>
            </w:r>
            <w:r w:rsidR="008F2E83" w:rsidRPr="00A00994">
              <w:rPr>
                <w:rStyle w:val="Znakapoznpodarou"/>
                <w:spacing w:val="-4"/>
                <w:lang w:val="en-GB"/>
              </w:rPr>
              <w:footnoteReference w:id="1"/>
            </w:r>
            <w:r w:rsidR="008F2E83" w:rsidRPr="00A00994">
              <w:rPr>
                <w:spacing w:val="-4"/>
                <w:lang w:val="en-GB"/>
              </w:rPr>
              <w:t xml:space="preserve"> </w:t>
            </w:r>
            <w:r w:rsidRPr="00A00994">
              <w:rPr>
                <w:spacing w:val="-4"/>
                <w:lang w:val="en-GB"/>
              </w:rPr>
              <w:t xml:space="preserve">recorded a deficit in the amount of </w:t>
            </w:r>
            <w:r w:rsidR="005A70CA" w:rsidRPr="00A00994">
              <w:rPr>
                <w:spacing w:val="-4"/>
                <w:lang w:val="en-GB"/>
              </w:rPr>
              <w:t>183</w:t>
            </w:r>
            <w:r w:rsidRPr="00A00994">
              <w:rPr>
                <w:spacing w:val="-4"/>
                <w:lang w:val="en-GB"/>
              </w:rPr>
              <w:t xml:space="preserve"> CZK bn </w:t>
            </w:r>
            <w:r w:rsidR="000D2F9F" w:rsidRPr="00A00994">
              <w:rPr>
                <w:spacing w:val="-4"/>
                <w:lang w:val="en-GB"/>
              </w:rPr>
              <w:t>for H1 2</w:t>
            </w:r>
            <w:r w:rsidR="00211E4A">
              <w:rPr>
                <w:spacing w:val="-4"/>
                <w:lang w:val="en-GB"/>
              </w:rPr>
              <w:t>022, deficit was observed in this</w:t>
            </w:r>
            <w:r w:rsidR="000D2F9F" w:rsidRPr="00A00994">
              <w:rPr>
                <w:spacing w:val="-4"/>
                <w:lang w:val="en-GB"/>
              </w:rPr>
              <w:t xml:space="preserve"> time period for the fifth year in a row. This year’s deficit was however lower than the result from the first half of years </w:t>
            </w:r>
            <w:r w:rsidR="008F2E83" w:rsidRPr="00A00994">
              <w:rPr>
                <w:spacing w:val="-4"/>
                <w:lang w:val="en-GB"/>
              </w:rPr>
              <w:t>2020</w:t>
            </w:r>
            <w:r w:rsidR="000D2F9F" w:rsidRPr="00A00994">
              <w:rPr>
                <w:spacing w:val="-4"/>
                <w:lang w:val="en-GB"/>
              </w:rPr>
              <w:t xml:space="preserve"> and </w:t>
            </w:r>
            <w:r w:rsidR="008F2E83" w:rsidRPr="00A00994">
              <w:rPr>
                <w:spacing w:val="-4"/>
                <w:lang w:val="en-GB"/>
              </w:rPr>
              <w:t xml:space="preserve">2021. </w:t>
            </w:r>
            <w:r w:rsidR="00A85323" w:rsidRPr="00A00994">
              <w:rPr>
                <w:spacing w:val="-4"/>
                <w:lang w:val="en-GB"/>
              </w:rPr>
              <w:t xml:space="preserve">The </w:t>
            </w:r>
            <w:r w:rsidR="00B5597E" w:rsidRPr="00A00994">
              <w:rPr>
                <w:spacing w:val="-4"/>
                <w:lang w:val="en-GB"/>
              </w:rPr>
              <w:t xml:space="preserve">easing </w:t>
            </w:r>
            <w:r w:rsidR="00A85323" w:rsidRPr="00A00994">
              <w:rPr>
                <w:spacing w:val="-4"/>
                <w:lang w:val="en-GB"/>
              </w:rPr>
              <w:t xml:space="preserve">of pressures on the extraordinary expenditures had an effect here </w:t>
            </w:r>
            <w:r w:rsidR="008F2E83" w:rsidRPr="00A00994">
              <w:rPr>
                <w:spacing w:val="-4"/>
                <w:lang w:val="en-GB"/>
              </w:rPr>
              <w:t>(</w:t>
            </w:r>
            <w:r w:rsidR="000D2F9F" w:rsidRPr="00A00994">
              <w:rPr>
                <w:spacing w:val="-4"/>
                <w:lang w:val="en-GB"/>
              </w:rPr>
              <w:t>in connec</w:t>
            </w:r>
            <w:r w:rsidR="00211E4A">
              <w:rPr>
                <w:spacing w:val="-4"/>
                <w:lang w:val="en-GB"/>
              </w:rPr>
              <w:t>tion with the ending of counter-</w:t>
            </w:r>
            <w:r w:rsidR="000D2F9F" w:rsidRPr="00A00994">
              <w:rPr>
                <w:spacing w:val="-4"/>
                <w:lang w:val="en-GB"/>
              </w:rPr>
              <w:t>pandemic restrictions</w:t>
            </w:r>
            <w:r w:rsidR="008F2E83" w:rsidRPr="00A00994">
              <w:rPr>
                <w:spacing w:val="-4"/>
                <w:lang w:val="en-GB"/>
              </w:rPr>
              <w:t xml:space="preserve">) </w:t>
            </w:r>
            <w:r w:rsidR="00B5597E" w:rsidRPr="00A00994">
              <w:rPr>
                <w:spacing w:val="-4"/>
                <w:lang w:val="en-GB"/>
              </w:rPr>
              <w:t>with simultaneous advancing recovery of the economy</w:t>
            </w:r>
            <w:r w:rsidR="008F2E83" w:rsidRPr="00A00994">
              <w:rPr>
                <w:spacing w:val="-4"/>
                <w:lang w:val="en-GB"/>
              </w:rPr>
              <w:t>.</w:t>
            </w:r>
            <w:r w:rsidR="0016206D" w:rsidRPr="00A00994">
              <w:rPr>
                <w:spacing w:val="-4"/>
                <w:lang w:val="en-GB"/>
              </w:rPr>
              <w:t xml:space="preserve"> It was yet </w:t>
            </w:r>
            <w:r w:rsidR="005C19E3" w:rsidRPr="00A00994">
              <w:rPr>
                <w:spacing w:val="-4"/>
                <w:lang w:val="en-GB"/>
              </w:rPr>
              <w:t xml:space="preserve">with the contribution of the </w:t>
            </w:r>
            <w:r w:rsidR="0016206D" w:rsidRPr="00A00994">
              <w:rPr>
                <w:spacing w:val="-4"/>
                <w:lang w:val="en-GB"/>
              </w:rPr>
              <w:t xml:space="preserve">heightened geopolitical tension </w:t>
            </w:r>
            <w:r w:rsidR="005C19E3" w:rsidRPr="00A00994">
              <w:rPr>
                <w:spacing w:val="-4"/>
                <w:lang w:val="en-GB"/>
              </w:rPr>
              <w:t xml:space="preserve">accompanied by unusually strong prices growth as well the need for unexpected expenditures </w:t>
            </w:r>
            <w:r w:rsidR="000D2F9F" w:rsidRPr="00A00994">
              <w:rPr>
                <w:spacing w:val="-4"/>
                <w:lang w:val="en-GB"/>
              </w:rPr>
              <w:t xml:space="preserve">linked to the refugee inflow from Ukraine. Despite the </w:t>
            </w:r>
            <w:r w:rsidR="00DC1A3D">
              <w:rPr>
                <w:spacing w:val="-4"/>
                <w:lang w:val="en-GB"/>
              </w:rPr>
              <w:t>s</w:t>
            </w:r>
            <w:r w:rsidR="00E846B0" w:rsidRPr="00A00994">
              <w:rPr>
                <w:spacing w:val="-4"/>
                <w:lang w:val="en-GB"/>
              </w:rPr>
              <w:t>pring</w:t>
            </w:r>
            <w:r w:rsidR="000D2F9F" w:rsidRPr="00A00994">
              <w:rPr>
                <w:spacing w:val="-4"/>
                <w:lang w:val="en-GB"/>
              </w:rPr>
              <w:t xml:space="preserve"> revival of a number of services </w:t>
            </w:r>
            <w:r w:rsidR="008F2E83" w:rsidRPr="00A00994">
              <w:rPr>
                <w:spacing w:val="-4"/>
                <w:lang w:val="en-GB"/>
              </w:rPr>
              <w:t>(</w:t>
            </w:r>
            <w:r w:rsidR="000D2F9F" w:rsidRPr="00A00994">
              <w:rPr>
                <w:spacing w:val="-4"/>
                <w:lang w:val="en-GB"/>
              </w:rPr>
              <w:t>incl. tourism</w:t>
            </w:r>
            <w:r w:rsidR="008F2E83" w:rsidRPr="00A00994">
              <w:rPr>
                <w:spacing w:val="-4"/>
                <w:lang w:val="en-GB"/>
              </w:rPr>
              <w:t>)</w:t>
            </w:r>
            <w:r w:rsidR="005C19E3" w:rsidRPr="00A00994">
              <w:rPr>
                <w:spacing w:val="-4"/>
                <w:lang w:val="en-GB"/>
              </w:rPr>
              <w:t xml:space="preserve"> the deficit significantly deepened in Q</w:t>
            </w:r>
            <w:r w:rsidR="008F2E83" w:rsidRPr="00A00994">
              <w:rPr>
                <w:spacing w:val="-4"/>
                <w:lang w:val="en-GB"/>
              </w:rPr>
              <w:t>2</w:t>
            </w:r>
            <w:r w:rsidR="005C19E3" w:rsidRPr="00A00994">
              <w:rPr>
                <w:spacing w:val="-4"/>
                <w:lang w:val="en-GB"/>
              </w:rPr>
              <w:t xml:space="preserve"> </w:t>
            </w:r>
            <w:r w:rsidR="00211E4A">
              <w:rPr>
                <w:spacing w:val="-4"/>
                <w:lang w:val="en-GB"/>
              </w:rPr>
              <w:t xml:space="preserve">2022 </w:t>
            </w:r>
            <w:r w:rsidR="005C19E3" w:rsidRPr="00A00994">
              <w:rPr>
                <w:spacing w:val="-4"/>
                <w:lang w:val="en-GB"/>
              </w:rPr>
              <w:t>compared to the previous quarter</w:t>
            </w:r>
            <w:r w:rsidR="008F2E83" w:rsidRPr="00A00994">
              <w:rPr>
                <w:spacing w:val="-4"/>
                <w:lang w:val="en-GB"/>
              </w:rPr>
              <w:t>.</w:t>
            </w:r>
            <w:r w:rsidR="005C19E3" w:rsidRPr="00A00994">
              <w:rPr>
                <w:spacing w:val="-4"/>
                <w:lang w:val="en-GB"/>
              </w:rPr>
              <w:t xml:space="preserve"> </w:t>
            </w:r>
            <w:r w:rsidR="000D2F9F" w:rsidRPr="00A00994">
              <w:rPr>
                <w:spacing w:val="-4"/>
                <w:lang w:val="en-GB"/>
              </w:rPr>
              <w:t xml:space="preserve">The termination of the </w:t>
            </w:r>
            <w:r w:rsidR="005C19E3" w:rsidRPr="00A00994">
              <w:rPr>
                <w:spacing w:val="-4"/>
                <w:lang w:val="en-GB"/>
              </w:rPr>
              <w:t>interim b</w:t>
            </w:r>
            <w:r w:rsidR="000D2F9F" w:rsidRPr="00A00994">
              <w:rPr>
                <w:spacing w:val="-4"/>
                <w:lang w:val="en-GB"/>
              </w:rPr>
              <w:t>udget</w:t>
            </w:r>
            <w:r w:rsidR="005C19E3" w:rsidRPr="00A00994">
              <w:rPr>
                <w:spacing w:val="-4"/>
                <w:lang w:val="en-GB"/>
              </w:rPr>
              <w:t xml:space="preserve"> a</w:t>
            </w:r>
            <w:r w:rsidR="000D2F9F" w:rsidRPr="00A00994">
              <w:rPr>
                <w:spacing w:val="-4"/>
                <w:lang w:val="en-GB"/>
              </w:rPr>
              <w:t>t the end of this year’s March also played a role</w:t>
            </w:r>
            <w:r w:rsidR="008F2E83" w:rsidRPr="00A00994">
              <w:rPr>
                <w:rStyle w:val="Znakapoznpodarou"/>
                <w:spacing w:val="-4"/>
                <w:lang w:val="en-GB"/>
              </w:rPr>
              <w:footnoteReference w:id="2"/>
            </w:r>
            <w:r w:rsidR="008F2E83" w:rsidRPr="00A00994">
              <w:rPr>
                <w:spacing w:val="-4"/>
                <w:lang w:val="en-GB"/>
              </w:rPr>
              <w:t xml:space="preserve">. </w:t>
            </w:r>
            <w:r w:rsidR="000D2F9F" w:rsidRPr="00A00994">
              <w:rPr>
                <w:spacing w:val="-4"/>
                <w:lang w:val="en-GB"/>
              </w:rPr>
              <w:t>On the other hand, the economic revival as well as growth of prices caused the total tax collection</w:t>
            </w:r>
            <w:r w:rsidR="008F2E83" w:rsidRPr="00A00994">
              <w:rPr>
                <w:rStyle w:val="Znakapoznpodarou"/>
                <w:spacing w:val="-4"/>
                <w:lang w:val="en-GB"/>
              </w:rPr>
              <w:footnoteReference w:id="3"/>
            </w:r>
            <w:r w:rsidR="000D2F9F" w:rsidRPr="00A00994">
              <w:rPr>
                <w:spacing w:val="-4"/>
                <w:lang w:val="en-GB"/>
              </w:rPr>
              <w:t xml:space="preserve"> to overtake the record level from the comparable period before the onset of pandemics</w:t>
            </w:r>
            <w:r w:rsidR="000D2F9F" w:rsidRPr="00A00994">
              <w:rPr>
                <w:rStyle w:val="Znakapoznpodarou"/>
                <w:spacing w:val="-4"/>
                <w:lang w:val="en-GB"/>
              </w:rPr>
              <w:footnoteReference w:id="4"/>
            </w:r>
            <w:r w:rsidR="000D2F9F" w:rsidRPr="00A00994">
              <w:rPr>
                <w:spacing w:val="-4"/>
                <w:lang w:val="en-GB"/>
              </w:rPr>
              <w:t xml:space="preserve"> for the first time this year in H</w:t>
            </w:r>
            <w:r w:rsidR="008F2E83" w:rsidRPr="00A00994">
              <w:rPr>
                <w:spacing w:val="-4"/>
                <w:lang w:val="en-GB"/>
              </w:rPr>
              <w:t>1.</w:t>
            </w:r>
          </w:p>
        </w:tc>
      </w:tr>
      <w:tr w:rsidR="008F2E83" w:rsidRPr="00A00994" w14:paraId="03BD78BB" w14:textId="77777777" w:rsidTr="00EE762D">
        <w:trPr>
          <w:trHeight w:val="145"/>
        </w:trPr>
        <w:tc>
          <w:tcPr>
            <w:tcW w:w="1805" w:type="dxa"/>
            <w:shd w:val="clear" w:color="auto" w:fill="auto"/>
            <w:tcMar>
              <w:left w:w="0" w:type="dxa"/>
            </w:tcMar>
          </w:tcPr>
          <w:p w14:paraId="018784B5" w14:textId="400D32CD" w:rsidR="008F2E83" w:rsidRPr="00A00994" w:rsidRDefault="00705C47" w:rsidP="000C7A79">
            <w:pPr>
              <w:pStyle w:val="Marginlie"/>
              <w:rPr>
                <w:lang w:val="en-GB"/>
              </w:rPr>
            </w:pPr>
            <w:r w:rsidRPr="00A00994">
              <w:rPr>
                <w:lang w:val="en-GB"/>
              </w:rPr>
              <w:t>Tax income grew mainly thanks to the VAT collection</w:t>
            </w:r>
            <w:r w:rsidR="008F2E83" w:rsidRPr="00A00994">
              <w:rPr>
                <w:lang w:val="en-GB"/>
              </w:rPr>
              <w:t>.</w:t>
            </w:r>
            <w:r w:rsidRPr="00A00994">
              <w:rPr>
                <w:lang w:val="en-GB"/>
              </w:rPr>
              <w:t xml:space="preserve"> </w:t>
            </w:r>
            <w:r w:rsidR="00C000A4" w:rsidRPr="00A00994">
              <w:rPr>
                <w:lang w:val="en-GB"/>
              </w:rPr>
              <w:t xml:space="preserve">Revenues from the EU budget dropped and stayed also behind the budget anticipations. </w:t>
            </w:r>
          </w:p>
        </w:tc>
        <w:tc>
          <w:tcPr>
            <w:tcW w:w="217" w:type="dxa"/>
            <w:shd w:val="clear" w:color="auto" w:fill="auto"/>
            <w:tcMar>
              <w:left w:w="0" w:type="dxa"/>
            </w:tcMar>
          </w:tcPr>
          <w:p w14:paraId="46FAC9ED"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1E216F74" w14:textId="646877AC" w:rsidR="008F2E83" w:rsidRPr="00A00994" w:rsidRDefault="00705C47" w:rsidP="00FE1209">
            <w:pPr>
              <w:spacing w:after="220"/>
              <w:rPr>
                <w:spacing w:val="-4"/>
                <w:lang w:val="en-GB"/>
              </w:rPr>
            </w:pPr>
            <w:r w:rsidRPr="00A00994">
              <w:rPr>
                <w:spacing w:val="-5"/>
                <w:lang w:val="en-GB"/>
              </w:rPr>
              <w:t>Total</w:t>
            </w:r>
            <w:r w:rsidR="00FA6122" w:rsidRPr="00A00994">
              <w:rPr>
                <w:spacing w:val="-5"/>
                <w:lang w:val="en-GB"/>
              </w:rPr>
              <w:t xml:space="preserve"> </w:t>
            </w:r>
            <w:r w:rsidRPr="00A00994">
              <w:rPr>
                <w:spacing w:val="-5"/>
                <w:lang w:val="en-GB"/>
              </w:rPr>
              <w:t>SB</w:t>
            </w:r>
            <w:r w:rsidR="00FA6122" w:rsidRPr="00A00994">
              <w:rPr>
                <w:spacing w:val="-5"/>
                <w:lang w:val="en-GB"/>
              </w:rPr>
              <w:t xml:space="preserve"> </w:t>
            </w:r>
            <w:r w:rsidRPr="00A00994">
              <w:rPr>
                <w:spacing w:val="-5"/>
                <w:lang w:val="en-GB"/>
              </w:rPr>
              <w:t>revenues</w:t>
            </w:r>
            <w:r w:rsidR="00FA6122" w:rsidRPr="00A00994">
              <w:rPr>
                <w:spacing w:val="-5"/>
                <w:lang w:val="en-GB"/>
              </w:rPr>
              <w:t xml:space="preserve"> </w:t>
            </w:r>
            <w:r w:rsidRPr="00A00994">
              <w:rPr>
                <w:spacing w:val="-5"/>
                <w:lang w:val="en-GB"/>
              </w:rPr>
              <w:t>exceeded</w:t>
            </w:r>
            <w:r w:rsidR="00FA6122" w:rsidRPr="00A00994">
              <w:rPr>
                <w:spacing w:val="-5"/>
                <w:lang w:val="en-GB"/>
              </w:rPr>
              <w:t xml:space="preserve"> </w:t>
            </w:r>
            <w:r w:rsidRPr="00A00994">
              <w:rPr>
                <w:spacing w:val="-5"/>
                <w:lang w:val="en-GB"/>
              </w:rPr>
              <w:t>the</w:t>
            </w:r>
            <w:r w:rsidR="00FA6122" w:rsidRPr="00A00994">
              <w:rPr>
                <w:spacing w:val="-5"/>
                <w:lang w:val="en-GB"/>
              </w:rPr>
              <w:t xml:space="preserve"> </w:t>
            </w:r>
            <w:r w:rsidRPr="00A00994">
              <w:rPr>
                <w:spacing w:val="-5"/>
                <w:lang w:val="en-GB"/>
              </w:rPr>
              <w:t>last</w:t>
            </w:r>
            <w:r w:rsidR="00FA6122" w:rsidRPr="00A00994">
              <w:rPr>
                <w:spacing w:val="-5"/>
                <w:lang w:val="en-GB"/>
              </w:rPr>
              <w:t xml:space="preserve"> </w:t>
            </w:r>
            <w:r w:rsidRPr="00A00994">
              <w:rPr>
                <w:spacing w:val="-5"/>
                <w:lang w:val="en-GB"/>
              </w:rPr>
              <w:t>year’s</w:t>
            </w:r>
            <w:r w:rsidR="00FA6122" w:rsidRPr="00A00994">
              <w:rPr>
                <w:spacing w:val="-5"/>
                <w:lang w:val="en-GB"/>
              </w:rPr>
              <w:t xml:space="preserve"> </w:t>
            </w:r>
            <w:r w:rsidRPr="00A00994">
              <w:rPr>
                <w:spacing w:val="-5"/>
                <w:lang w:val="en-GB"/>
              </w:rPr>
              <w:t>level</w:t>
            </w:r>
            <w:r w:rsidR="00FA6122" w:rsidRPr="00A00994">
              <w:rPr>
                <w:spacing w:val="-5"/>
                <w:lang w:val="en-GB"/>
              </w:rPr>
              <w:t xml:space="preserve"> </w:t>
            </w:r>
            <w:r w:rsidRPr="00A00994">
              <w:rPr>
                <w:spacing w:val="-5"/>
                <w:lang w:val="en-GB"/>
              </w:rPr>
              <w:t>by</w:t>
            </w:r>
            <w:r w:rsidR="00FA6122" w:rsidRPr="00A00994">
              <w:rPr>
                <w:spacing w:val="-5"/>
                <w:lang w:val="en-GB"/>
              </w:rPr>
              <w:t xml:space="preserve"> </w:t>
            </w:r>
            <w:r w:rsidRPr="00A00994">
              <w:rPr>
                <w:spacing w:val="-5"/>
                <w:lang w:val="en-GB"/>
              </w:rPr>
              <w:t>one</w:t>
            </w:r>
            <w:r w:rsidR="00FA6122" w:rsidRPr="00A00994">
              <w:rPr>
                <w:spacing w:val="-5"/>
                <w:lang w:val="en-GB"/>
              </w:rPr>
              <w:t xml:space="preserve"> </w:t>
            </w:r>
            <w:r w:rsidRPr="00A00994">
              <w:rPr>
                <w:spacing w:val="-5"/>
                <w:lang w:val="en-GB"/>
              </w:rPr>
              <w:t>tenth</w:t>
            </w:r>
            <w:r w:rsidR="00FA6122" w:rsidRPr="00A00994">
              <w:rPr>
                <w:spacing w:val="-5"/>
                <w:lang w:val="en-GB"/>
              </w:rPr>
              <w:t xml:space="preserve"> </w:t>
            </w:r>
            <w:r w:rsidR="008F2E83" w:rsidRPr="00A00994">
              <w:rPr>
                <w:spacing w:val="-5"/>
                <w:lang w:val="en-GB"/>
              </w:rPr>
              <w:t>(</w:t>
            </w:r>
            <w:r w:rsidR="005F6CB0">
              <w:rPr>
                <w:spacing w:val="-5"/>
                <w:lang w:val="en-GB"/>
              </w:rPr>
              <w:t>i.e.</w:t>
            </w:r>
            <w:r w:rsidR="008F2E83" w:rsidRPr="00A00994">
              <w:rPr>
                <w:spacing w:val="-5"/>
                <w:lang w:val="en-GB"/>
              </w:rPr>
              <w:t xml:space="preserve"> 74 </w:t>
            </w:r>
            <w:r w:rsidRPr="00A00994">
              <w:rPr>
                <w:spacing w:val="-5"/>
                <w:lang w:val="en-GB"/>
              </w:rPr>
              <w:t>CZK bn</w:t>
            </w:r>
            <w:r w:rsidR="008F2E83" w:rsidRPr="00A00994">
              <w:rPr>
                <w:spacing w:val="-5"/>
                <w:lang w:val="en-GB"/>
              </w:rPr>
              <w:t>)</w:t>
            </w:r>
            <w:r w:rsidRPr="00A00994">
              <w:rPr>
                <w:spacing w:val="-5"/>
                <w:lang w:val="en-GB"/>
              </w:rPr>
              <w:t xml:space="preserve"> in this year’s H1</w:t>
            </w:r>
            <w:r w:rsidR="008F2E83" w:rsidRPr="00A00994">
              <w:rPr>
                <w:spacing w:val="-5"/>
                <w:lang w:val="en-GB"/>
              </w:rPr>
              <w:t xml:space="preserve">. </w:t>
            </w:r>
            <w:r w:rsidR="00485E4D" w:rsidRPr="00A00994">
              <w:rPr>
                <w:spacing w:val="-5"/>
                <w:lang w:val="en-GB"/>
              </w:rPr>
              <w:t xml:space="preserve">The considerable strengthening of all significant tax revenues contributed </w:t>
            </w:r>
            <w:r w:rsidR="008F2E83" w:rsidRPr="00A00994">
              <w:rPr>
                <w:spacing w:val="-5"/>
                <w:lang w:val="en-GB"/>
              </w:rPr>
              <w:t>(</w:t>
            </w:r>
            <w:r w:rsidR="00C000A4" w:rsidRPr="00A00994">
              <w:rPr>
                <w:spacing w:val="-5"/>
                <w:lang w:val="en-GB"/>
              </w:rPr>
              <w:t>mainly VAT and social security insurance</w:t>
            </w:r>
            <w:r w:rsidR="008F2E83" w:rsidRPr="00A00994">
              <w:rPr>
                <w:spacing w:val="-5"/>
                <w:lang w:val="en-GB"/>
              </w:rPr>
              <w:t>),</w:t>
            </w:r>
            <w:r w:rsidR="00C000A4" w:rsidRPr="00A00994">
              <w:rPr>
                <w:spacing w:val="-5"/>
                <w:lang w:val="en-GB"/>
              </w:rPr>
              <w:t xml:space="preserve"> on the contrary the non-tax and capital revenues slightly decreased </w:t>
            </w:r>
            <w:r w:rsidR="005A70CA" w:rsidRPr="00A00994">
              <w:rPr>
                <w:spacing w:val="-5"/>
                <w:lang w:val="en-GB"/>
              </w:rPr>
              <w:t>(</w:t>
            </w:r>
            <w:r w:rsidR="00C000A4" w:rsidRPr="00A00994">
              <w:rPr>
                <w:spacing w:val="-5"/>
                <w:lang w:val="en-GB"/>
              </w:rPr>
              <w:t xml:space="preserve">by </w:t>
            </w:r>
            <w:r w:rsidR="005A70CA" w:rsidRPr="00A00994">
              <w:rPr>
                <w:spacing w:val="-5"/>
                <w:lang w:val="en-GB"/>
              </w:rPr>
              <w:t>6</w:t>
            </w:r>
            <w:r w:rsidR="00C000A4" w:rsidRPr="00A00994">
              <w:rPr>
                <w:spacing w:val="-5"/>
                <w:lang w:val="en-GB"/>
              </w:rPr>
              <w:t>.</w:t>
            </w:r>
            <w:r w:rsidR="005A70CA" w:rsidRPr="00A00994">
              <w:rPr>
                <w:spacing w:val="-5"/>
                <w:lang w:val="en-GB"/>
              </w:rPr>
              <w:t xml:space="preserve">3%, </w:t>
            </w:r>
            <w:r w:rsidR="00FE1209">
              <w:rPr>
                <w:spacing w:val="-5"/>
                <w:lang w:val="en-GB"/>
              </w:rPr>
              <w:t>i.e.</w:t>
            </w:r>
            <w:r w:rsidR="005A70CA" w:rsidRPr="00A00994">
              <w:rPr>
                <w:spacing w:val="-5"/>
                <w:lang w:val="en-GB"/>
              </w:rPr>
              <w:t xml:space="preserve"> 6</w:t>
            </w:r>
            <w:r w:rsidR="00C000A4" w:rsidRPr="00A00994">
              <w:rPr>
                <w:spacing w:val="-5"/>
                <w:lang w:val="en-GB"/>
              </w:rPr>
              <w:t>.</w:t>
            </w:r>
            <w:r w:rsidR="005A70CA" w:rsidRPr="00A00994">
              <w:rPr>
                <w:spacing w:val="-5"/>
                <w:lang w:val="en-GB"/>
              </w:rPr>
              <w:t>2</w:t>
            </w:r>
            <w:r w:rsidR="00C000A4" w:rsidRPr="00A00994">
              <w:rPr>
                <w:spacing w:val="-5"/>
                <w:lang w:val="en-GB"/>
              </w:rPr>
              <w:t xml:space="preserve"> CZK bn</w:t>
            </w:r>
            <w:r w:rsidR="008F2E83" w:rsidRPr="00A00994">
              <w:rPr>
                <w:spacing w:val="-5"/>
                <w:lang w:val="en-GB"/>
              </w:rPr>
              <w:t xml:space="preserve">). </w:t>
            </w:r>
            <w:r w:rsidR="007B12AF" w:rsidRPr="00A00994">
              <w:rPr>
                <w:spacing w:val="-5"/>
                <w:lang w:val="en-GB"/>
              </w:rPr>
              <w:t>Primarily the lower funds from the EU budget</w:t>
            </w:r>
            <w:r w:rsidR="008F2E83" w:rsidRPr="00A00994">
              <w:rPr>
                <w:spacing w:val="-5"/>
                <w:lang w:val="en-GB"/>
              </w:rPr>
              <w:t xml:space="preserve">, </w:t>
            </w:r>
            <w:r w:rsidR="006D104D" w:rsidRPr="00A00994">
              <w:rPr>
                <w:spacing w:val="-5"/>
                <w:lang w:val="en-GB"/>
              </w:rPr>
              <w:t xml:space="preserve">whose volume did not reach even one third of the </w:t>
            </w:r>
            <w:r w:rsidR="00211E4A">
              <w:rPr>
                <w:rStyle w:val="rynqvb"/>
                <w:rFonts w:eastAsia="MS Gothic"/>
                <w:lang w:val="en"/>
              </w:rPr>
              <w:t>yearlong</w:t>
            </w:r>
            <w:r w:rsidR="00211E4A" w:rsidRPr="00A00994">
              <w:rPr>
                <w:spacing w:val="-5"/>
                <w:lang w:val="en-GB"/>
              </w:rPr>
              <w:t xml:space="preserve"> </w:t>
            </w:r>
            <w:r w:rsidR="006D104D" w:rsidRPr="00A00994">
              <w:rPr>
                <w:spacing w:val="-5"/>
                <w:lang w:val="en-GB"/>
              </w:rPr>
              <w:t>size anticipated by this year’s budget</w:t>
            </w:r>
            <w:r w:rsidR="008F2E83" w:rsidRPr="00A00994">
              <w:rPr>
                <w:rStyle w:val="Znakapoznpodarou"/>
                <w:spacing w:val="-5"/>
                <w:lang w:val="en-GB"/>
              </w:rPr>
              <w:footnoteReference w:id="5"/>
            </w:r>
            <w:r w:rsidR="006A30E5" w:rsidRPr="00A00994">
              <w:rPr>
                <w:spacing w:val="-5"/>
                <w:lang w:val="en-GB"/>
              </w:rPr>
              <w:t>, stood behind it</w:t>
            </w:r>
            <w:r w:rsidR="0039402D" w:rsidRPr="00A00994">
              <w:rPr>
                <w:spacing w:val="-5"/>
                <w:lang w:val="en-GB"/>
              </w:rPr>
              <w:t xml:space="preserve">. </w:t>
            </w:r>
            <w:r w:rsidR="007B12AF" w:rsidRPr="00A00994">
              <w:rPr>
                <w:spacing w:val="-5"/>
                <w:lang w:val="en-GB"/>
              </w:rPr>
              <w:t xml:space="preserve">In addition last </w:t>
            </w:r>
            <w:r w:rsidR="006D104D" w:rsidRPr="00A00994">
              <w:rPr>
                <w:spacing w:val="-5"/>
                <w:lang w:val="en-GB"/>
              </w:rPr>
              <w:t xml:space="preserve">year’s extraordinary yields from the frequency auction </w:t>
            </w:r>
            <w:r w:rsidR="00211E4A">
              <w:rPr>
                <w:spacing w:val="-5"/>
                <w:lang w:val="en-GB"/>
              </w:rPr>
              <w:t xml:space="preserve">(in telecommunication) </w:t>
            </w:r>
            <w:r w:rsidR="007B12AF" w:rsidRPr="00A00994">
              <w:rPr>
                <w:spacing w:val="-5"/>
                <w:lang w:val="en-GB"/>
              </w:rPr>
              <w:t xml:space="preserve">were not repeated any more </w:t>
            </w:r>
            <w:r w:rsidR="008F2E83" w:rsidRPr="00A00994">
              <w:rPr>
                <w:spacing w:val="-5"/>
                <w:lang w:val="en-GB"/>
              </w:rPr>
              <w:t>(5</w:t>
            </w:r>
            <w:r w:rsidR="007B12AF" w:rsidRPr="00A00994">
              <w:rPr>
                <w:spacing w:val="-5"/>
                <w:lang w:val="en-GB"/>
              </w:rPr>
              <w:t>.</w:t>
            </w:r>
            <w:r w:rsidR="008F2E83" w:rsidRPr="00A00994">
              <w:rPr>
                <w:spacing w:val="-5"/>
                <w:lang w:val="en-GB"/>
              </w:rPr>
              <w:t xml:space="preserve">6 </w:t>
            </w:r>
            <w:r w:rsidR="007B12AF" w:rsidRPr="00A00994">
              <w:rPr>
                <w:spacing w:val="-5"/>
                <w:lang w:val="en-GB"/>
              </w:rPr>
              <w:t>CZK bn</w:t>
            </w:r>
            <w:r w:rsidR="008F2E83" w:rsidRPr="00A00994">
              <w:rPr>
                <w:spacing w:val="-5"/>
                <w:lang w:val="en-GB"/>
              </w:rPr>
              <w:t>).</w:t>
            </w:r>
          </w:p>
        </w:tc>
      </w:tr>
      <w:tr w:rsidR="008F2E83" w:rsidRPr="00A00994" w14:paraId="26E32A07" w14:textId="77777777" w:rsidTr="00EE762D">
        <w:trPr>
          <w:trHeight w:val="145"/>
        </w:trPr>
        <w:tc>
          <w:tcPr>
            <w:tcW w:w="1805" w:type="dxa"/>
            <w:shd w:val="clear" w:color="auto" w:fill="auto"/>
            <w:tcMar>
              <w:left w:w="0" w:type="dxa"/>
            </w:tcMar>
          </w:tcPr>
          <w:p w14:paraId="16CD4B45" w14:textId="59F1DC74" w:rsidR="008F2E83" w:rsidRPr="00A00994" w:rsidRDefault="008F2E83" w:rsidP="00A2312C">
            <w:pPr>
              <w:pStyle w:val="Marginlie"/>
              <w:rPr>
                <w:lang w:val="en-GB"/>
              </w:rPr>
            </w:pPr>
            <w:r w:rsidRPr="00A00994">
              <w:rPr>
                <w:lang w:val="en-GB"/>
              </w:rPr>
              <w:t>Dynamic</w:t>
            </w:r>
            <w:r w:rsidR="006D104D" w:rsidRPr="00A00994">
              <w:rPr>
                <w:lang w:val="en-GB"/>
              </w:rPr>
              <w:t xml:space="preserve"> year-on-year growth of the VAT collection reflected the revived consumption as well as the notable acceleration of the </w:t>
            </w:r>
            <w:r w:rsidR="00A2312C">
              <w:rPr>
                <w:lang w:val="en-GB"/>
              </w:rPr>
              <w:t xml:space="preserve">growth of </w:t>
            </w:r>
            <w:r w:rsidR="006D104D" w:rsidRPr="00A00994">
              <w:rPr>
                <w:lang w:val="en-GB"/>
              </w:rPr>
              <w:t>consumer</w:t>
            </w:r>
            <w:r w:rsidR="00A2312C">
              <w:rPr>
                <w:lang w:val="en-GB"/>
              </w:rPr>
              <w:t xml:space="preserve"> prices</w:t>
            </w:r>
            <w:r w:rsidR="006D104D" w:rsidRPr="00A00994">
              <w:rPr>
                <w:lang w:val="en-GB"/>
              </w:rPr>
              <w:t xml:space="preserve">. </w:t>
            </w:r>
          </w:p>
        </w:tc>
        <w:tc>
          <w:tcPr>
            <w:tcW w:w="217" w:type="dxa"/>
            <w:shd w:val="clear" w:color="auto" w:fill="auto"/>
            <w:tcMar>
              <w:left w:w="0" w:type="dxa"/>
            </w:tcMar>
          </w:tcPr>
          <w:p w14:paraId="5CCD456B"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49ED1248" w14:textId="567E1627" w:rsidR="008F2E83" w:rsidRPr="00A00994" w:rsidRDefault="000A7D63" w:rsidP="000C7A79">
            <w:pPr>
              <w:spacing w:after="220"/>
              <w:rPr>
                <w:spacing w:val="-4"/>
                <w:lang w:val="en-GB"/>
              </w:rPr>
            </w:pPr>
            <w:r w:rsidRPr="00A00994">
              <w:rPr>
                <w:spacing w:val="-4"/>
                <w:lang w:val="en-GB"/>
              </w:rPr>
              <w:t>162</w:t>
            </w:r>
            <w:r w:rsidR="00485E4D" w:rsidRPr="00A00994">
              <w:rPr>
                <w:spacing w:val="-4"/>
                <w:lang w:val="en-GB"/>
              </w:rPr>
              <w:t>.</w:t>
            </w:r>
            <w:r w:rsidRPr="00A00994">
              <w:rPr>
                <w:spacing w:val="-4"/>
                <w:lang w:val="en-GB"/>
              </w:rPr>
              <w:t>6</w:t>
            </w:r>
            <w:r w:rsidR="00485E4D" w:rsidRPr="00A00994">
              <w:rPr>
                <w:spacing w:val="-4"/>
                <w:lang w:val="en-GB"/>
              </w:rPr>
              <w:t xml:space="preserve"> CZK bn flowed in to the SB from the weight dominant tax – VAT – in H1, by </w:t>
            </w:r>
            <w:r w:rsidR="008F2E83" w:rsidRPr="00A00994">
              <w:rPr>
                <w:spacing w:val="-4"/>
                <w:lang w:val="en-GB"/>
              </w:rPr>
              <w:t>23%</w:t>
            </w:r>
            <w:r w:rsidR="00485E4D" w:rsidRPr="00A00994">
              <w:rPr>
                <w:spacing w:val="-4"/>
                <w:lang w:val="en-GB"/>
              </w:rPr>
              <w:t xml:space="preserve"> more year-on-year </w:t>
            </w:r>
            <w:r w:rsidR="008F2E83" w:rsidRPr="00A00994">
              <w:rPr>
                <w:spacing w:val="-4"/>
                <w:lang w:val="en-GB"/>
              </w:rPr>
              <w:t>(</w:t>
            </w:r>
            <w:r w:rsidR="008C5AB8" w:rsidRPr="00A00994">
              <w:rPr>
                <w:spacing w:val="-4"/>
                <w:lang w:val="en-GB"/>
              </w:rPr>
              <w:t>the collection grew by similar pace also in Q</w:t>
            </w:r>
            <w:r w:rsidR="008F2E83" w:rsidRPr="00A00994">
              <w:rPr>
                <w:spacing w:val="-4"/>
                <w:lang w:val="en-GB"/>
              </w:rPr>
              <w:t>1</w:t>
            </w:r>
            <w:r w:rsidR="008C5AB8" w:rsidRPr="00A00994">
              <w:rPr>
                <w:spacing w:val="-4"/>
                <w:lang w:val="en-GB"/>
              </w:rPr>
              <w:t xml:space="preserve"> </w:t>
            </w:r>
            <w:r w:rsidR="00860943">
              <w:rPr>
                <w:spacing w:val="-4"/>
                <w:lang w:val="en-GB"/>
              </w:rPr>
              <w:t xml:space="preserve">2022 </w:t>
            </w:r>
            <w:r w:rsidR="008C5AB8" w:rsidRPr="00A00994">
              <w:rPr>
                <w:spacing w:val="-4"/>
                <w:lang w:val="en-GB"/>
              </w:rPr>
              <w:t>itself</w:t>
            </w:r>
            <w:r w:rsidR="008F2E83" w:rsidRPr="00A00994">
              <w:rPr>
                <w:spacing w:val="-4"/>
                <w:lang w:val="en-GB"/>
              </w:rPr>
              <w:t xml:space="preserve">). </w:t>
            </w:r>
            <w:r w:rsidR="008C5AB8" w:rsidRPr="00A00994">
              <w:rPr>
                <w:spacing w:val="-4"/>
                <w:lang w:val="en-GB"/>
              </w:rPr>
              <w:t xml:space="preserve">It was connected to lower basis </w:t>
            </w:r>
            <w:r w:rsidR="008F2E83" w:rsidRPr="00A00994">
              <w:rPr>
                <w:spacing w:val="-4"/>
                <w:lang w:val="en-GB"/>
              </w:rPr>
              <w:t>(</w:t>
            </w:r>
            <w:r w:rsidR="008C5AB8" w:rsidRPr="00A00994">
              <w:rPr>
                <w:spacing w:val="-4"/>
                <w:lang w:val="en-GB"/>
              </w:rPr>
              <w:t>the household consumption was still subdued by restrictions at the beginning of the last year</w:t>
            </w:r>
            <w:r w:rsidR="008F2E83" w:rsidRPr="00A00994">
              <w:rPr>
                <w:spacing w:val="-4"/>
                <w:lang w:val="en-GB"/>
              </w:rPr>
              <w:t>)</w:t>
            </w:r>
            <w:r w:rsidR="008C5AB8" w:rsidRPr="00A00994">
              <w:rPr>
                <w:spacing w:val="-4"/>
                <w:lang w:val="en-GB"/>
              </w:rPr>
              <w:t xml:space="preserve"> as well as the substantial price acceleration. </w:t>
            </w:r>
            <w:r w:rsidR="005F724F" w:rsidRPr="00A00994">
              <w:rPr>
                <w:spacing w:val="-4"/>
                <w:lang w:val="en-GB"/>
              </w:rPr>
              <w:t xml:space="preserve">The markedly revived consumption of non-residents could have already started to be evident </w:t>
            </w:r>
            <w:r w:rsidR="00860943">
              <w:rPr>
                <w:spacing w:val="-4"/>
                <w:lang w:val="en-GB"/>
              </w:rPr>
              <w:t>(</w:t>
            </w:r>
            <w:r w:rsidR="005F724F" w:rsidRPr="00A00994">
              <w:rPr>
                <w:spacing w:val="-4"/>
                <w:lang w:val="en-GB"/>
              </w:rPr>
              <w:t>to a lesser extent</w:t>
            </w:r>
            <w:r w:rsidR="00860943">
              <w:rPr>
                <w:spacing w:val="-4"/>
                <w:lang w:val="en-GB"/>
              </w:rPr>
              <w:t>)</w:t>
            </w:r>
            <w:r w:rsidR="005F724F" w:rsidRPr="00A00994">
              <w:rPr>
                <w:spacing w:val="-4"/>
                <w:lang w:val="en-GB"/>
              </w:rPr>
              <w:t xml:space="preserve">, </w:t>
            </w:r>
            <w:r w:rsidR="00B77D23" w:rsidRPr="00A00994">
              <w:rPr>
                <w:spacing w:val="-4"/>
                <w:lang w:val="en-GB"/>
              </w:rPr>
              <w:t xml:space="preserve">specifically due to the effect of </w:t>
            </w:r>
            <w:r w:rsidR="00DC1A3D">
              <w:rPr>
                <w:spacing w:val="-4"/>
                <w:lang w:val="en-GB"/>
              </w:rPr>
              <w:t>s</w:t>
            </w:r>
            <w:r w:rsidR="00E846B0" w:rsidRPr="00A00994">
              <w:rPr>
                <w:spacing w:val="-4"/>
                <w:lang w:val="en-GB"/>
              </w:rPr>
              <w:t>pring</w:t>
            </w:r>
            <w:r w:rsidR="00B77D23" w:rsidRPr="00A00994">
              <w:rPr>
                <w:spacing w:val="-4"/>
                <w:lang w:val="en-GB"/>
              </w:rPr>
              <w:t xml:space="preserve"> recovery of arrival tourism as well as inflow of refugees from Ukraine. </w:t>
            </w:r>
            <w:r w:rsidR="005F724F" w:rsidRPr="00A00994">
              <w:rPr>
                <w:spacing w:val="-4"/>
                <w:lang w:val="en-GB"/>
              </w:rPr>
              <w:t>Wa</w:t>
            </w:r>
            <w:r w:rsidR="00B77D23" w:rsidRPr="00A00994">
              <w:rPr>
                <w:spacing w:val="-4"/>
                <w:lang w:val="en-GB"/>
              </w:rPr>
              <w:t>iver</w:t>
            </w:r>
            <w:r w:rsidR="007C1EC4" w:rsidRPr="00A00994">
              <w:rPr>
                <w:spacing w:val="-4"/>
                <w:lang w:val="en-GB"/>
              </w:rPr>
              <w:t xml:space="preserve"> of value added tax on selected commodities (energies, vaccines, tests, respirators)</w:t>
            </w:r>
            <w:r w:rsidR="005F724F" w:rsidRPr="00A00994">
              <w:rPr>
                <w:spacing w:val="-4"/>
                <w:lang w:val="en-GB"/>
              </w:rPr>
              <w:t xml:space="preserve"> in contrast affected the tax collection adversely</w:t>
            </w:r>
            <w:r w:rsidR="007C1EC4" w:rsidRPr="00A00994">
              <w:rPr>
                <w:spacing w:val="-4"/>
                <w:lang w:val="en-GB"/>
              </w:rPr>
              <w:t xml:space="preserve">. </w:t>
            </w:r>
          </w:p>
        </w:tc>
      </w:tr>
      <w:tr w:rsidR="008F2E83" w:rsidRPr="00A00994" w14:paraId="579C5992" w14:textId="77777777" w:rsidTr="00EE762D">
        <w:trPr>
          <w:trHeight w:val="145"/>
        </w:trPr>
        <w:tc>
          <w:tcPr>
            <w:tcW w:w="1805" w:type="dxa"/>
            <w:shd w:val="clear" w:color="auto" w:fill="auto"/>
            <w:tcMar>
              <w:left w:w="0" w:type="dxa"/>
            </w:tcMar>
          </w:tcPr>
          <w:p w14:paraId="73D00829" w14:textId="2F1E750E" w:rsidR="008F2E83" w:rsidRPr="00A00994" w:rsidRDefault="00B77D23" w:rsidP="000C7A79">
            <w:pPr>
              <w:pStyle w:val="Marginlie"/>
              <w:rPr>
                <w:lang w:val="en-GB"/>
              </w:rPr>
            </w:pPr>
            <w:r w:rsidRPr="00A00994">
              <w:rPr>
                <w:lang w:val="en-GB"/>
              </w:rPr>
              <w:t xml:space="preserve">Despite swift year-on-year growth, the </w:t>
            </w:r>
            <w:r w:rsidR="00153D54" w:rsidRPr="00A00994">
              <w:rPr>
                <w:lang w:val="en-GB"/>
              </w:rPr>
              <w:t>state-wide</w:t>
            </w:r>
            <w:r w:rsidRPr="00A00994">
              <w:rPr>
                <w:lang w:val="en-GB"/>
              </w:rPr>
              <w:t xml:space="preserve"> collection of consumption taxes </w:t>
            </w:r>
            <w:r w:rsidR="00B276F5" w:rsidRPr="00A00994">
              <w:rPr>
                <w:lang w:val="en-GB"/>
              </w:rPr>
              <w:t xml:space="preserve">did not attain </w:t>
            </w:r>
            <w:r w:rsidR="00210941" w:rsidRPr="00A00994">
              <w:rPr>
                <w:lang w:val="en-GB"/>
              </w:rPr>
              <w:t>the level from H</w:t>
            </w:r>
            <w:r w:rsidR="008F2E83" w:rsidRPr="00A00994">
              <w:rPr>
                <w:lang w:val="en-GB"/>
              </w:rPr>
              <w:t>1</w:t>
            </w:r>
            <w:r w:rsidR="00210941" w:rsidRPr="00A00994">
              <w:rPr>
                <w:lang w:val="en-GB"/>
              </w:rPr>
              <w:t xml:space="preserve"> </w:t>
            </w:r>
            <w:r w:rsidR="008F2E83" w:rsidRPr="00A00994">
              <w:rPr>
                <w:lang w:val="en-GB"/>
              </w:rPr>
              <w:t>2019.</w:t>
            </w:r>
          </w:p>
          <w:p w14:paraId="0ED600E3" w14:textId="77777777" w:rsidR="008F2E83" w:rsidRPr="00A00994" w:rsidRDefault="008F2E83" w:rsidP="000C7A79">
            <w:pPr>
              <w:pStyle w:val="Marginlie"/>
              <w:rPr>
                <w:lang w:val="en-GB"/>
              </w:rPr>
            </w:pPr>
          </w:p>
          <w:p w14:paraId="42ECBED6" w14:textId="77777777" w:rsidR="008F2E83" w:rsidRPr="00A00994" w:rsidRDefault="008F2E83" w:rsidP="000C7A79">
            <w:pPr>
              <w:pStyle w:val="Marginlie"/>
              <w:rPr>
                <w:lang w:val="en-GB"/>
              </w:rPr>
            </w:pPr>
          </w:p>
          <w:p w14:paraId="0F61DE54" w14:textId="77777777" w:rsidR="008F2E83" w:rsidRPr="00A00994" w:rsidRDefault="008F2E83" w:rsidP="000C7A79">
            <w:pPr>
              <w:pStyle w:val="Marginlie"/>
              <w:rPr>
                <w:lang w:val="en-GB"/>
              </w:rPr>
            </w:pPr>
          </w:p>
          <w:p w14:paraId="389AF40A" w14:textId="77777777" w:rsidR="008F2E83" w:rsidRPr="00A00994" w:rsidRDefault="008F2E83" w:rsidP="000C7A79">
            <w:pPr>
              <w:pStyle w:val="Marginlie"/>
              <w:rPr>
                <w:lang w:val="en-GB"/>
              </w:rPr>
            </w:pPr>
          </w:p>
          <w:p w14:paraId="2B90EDF7" w14:textId="77777777" w:rsidR="008F2E83" w:rsidRPr="00A00994" w:rsidRDefault="008F2E83" w:rsidP="000C7A79">
            <w:pPr>
              <w:pStyle w:val="Marginlie"/>
              <w:rPr>
                <w:lang w:val="en-GB"/>
              </w:rPr>
            </w:pPr>
          </w:p>
          <w:p w14:paraId="7205D766" w14:textId="77777777" w:rsidR="008F2E83" w:rsidRPr="00A00994" w:rsidRDefault="008F2E83" w:rsidP="000C7A79">
            <w:pPr>
              <w:pStyle w:val="Marginlie"/>
              <w:rPr>
                <w:lang w:val="en-GB"/>
              </w:rPr>
            </w:pPr>
          </w:p>
          <w:p w14:paraId="65254682" w14:textId="77777777" w:rsidR="008F2E83" w:rsidRPr="00A00994" w:rsidRDefault="008F2E83" w:rsidP="000C7A79">
            <w:pPr>
              <w:pStyle w:val="Marginlie"/>
              <w:rPr>
                <w:lang w:val="en-GB"/>
              </w:rPr>
            </w:pPr>
          </w:p>
          <w:p w14:paraId="620EDD24" w14:textId="53E66022" w:rsidR="008F2E83" w:rsidRPr="00A00994" w:rsidRDefault="00B77D23" w:rsidP="000C7A79">
            <w:pPr>
              <w:pStyle w:val="Marginlie"/>
              <w:rPr>
                <w:lang w:val="en-GB"/>
              </w:rPr>
            </w:pPr>
            <w:r w:rsidRPr="00A00994">
              <w:rPr>
                <w:lang w:val="en-GB"/>
              </w:rPr>
              <w:t xml:space="preserve">Tax on tobacco products contributed the most to the growth of collection. </w:t>
            </w:r>
          </w:p>
        </w:tc>
        <w:tc>
          <w:tcPr>
            <w:tcW w:w="217" w:type="dxa"/>
            <w:shd w:val="clear" w:color="auto" w:fill="auto"/>
            <w:tcMar>
              <w:left w:w="0" w:type="dxa"/>
            </w:tcMar>
          </w:tcPr>
          <w:p w14:paraId="6F4687D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7FD6342B" w14:textId="77B00161" w:rsidR="008F2E83" w:rsidRPr="00A252AC" w:rsidRDefault="008F2E83" w:rsidP="00860943">
            <w:pPr>
              <w:spacing w:after="220"/>
              <w:rPr>
                <w:spacing w:val="-5"/>
                <w:lang w:val="en-GB"/>
              </w:rPr>
            </w:pPr>
            <w:r w:rsidRPr="00A252AC">
              <w:rPr>
                <w:spacing w:val="-5"/>
                <w:lang w:val="en-GB"/>
              </w:rPr>
              <w:t>S</w:t>
            </w:r>
            <w:r w:rsidR="00210941" w:rsidRPr="00A252AC">
              <w:rPr>
                <w:spacing w:val="-5"/>
                <w:lang w:val="en-GB"/>
              </w:rPr>
              <w:t xml:space="preserve">B acquired by 16% more </w:t>
            </w:r>
            <w:r w:rsidR="00FC7EB2" w:rsidRPr="00A252AC">
              <w:rPr>
                <w:spacing w:val="-5"/>
                <w:lang w:val="en-GB"/>
              </w:rPr>
              <w:t xml:space="preserve">on consumption taxes year-on-year this year and the collection growth </w:t>
            </w:r>
            <w:r w:rsidR="00A85F12" w:rsidRPr="00A252AC">
              <w:rPr>
                <w:spacing w:val="-5"/>
                <w:lang w:val="en-GB"/>
              </w:rPr>
              <w:t xml:space="preserve">exceeded the budget anticipations </w:t>
            </w:r>
            <w:r w:rsidR="00FC7EB2" w:rsidRPr="00A252AC">
              <w:rPr>
                <w:spacing w:val="-5"/>
                <w:lang w:val="en-GB"/>
              </w:rPr>
              <w:t>so far</w:t>
            </w:r>
            <w:r w:rsidR="00A85F12" w:rsidRPr="00A252AC">
              <w:rPr>
                <w:spacing w:val="-5"/>
                <w:lang w:val="en-GB"/>
              </w:rPr>
              <w:t xml:space="preserve">. State wide collection of this tax however still slightly lagged behind (by 3%) the pre-pandemic period </w:t>
            </w:r>
            <w:r w:rsidRPr="00A252AC">
              <w:rPr>
                <w:spacing w:val="-5"/>
                <w:lang w:val="en-GB"/>
              </w:rPr>
              <w:t>(</w:t>
            </w:r>
            <w:r w:rsidR="00A85F12" w:rsidRPr="00A252AC">
              <w:rPr>
                <w:spacing w:val="-5"/>
                <w:lang w:val="en-GB"/>
              </w:rPr>
              <w:t>H</w:t>
            </w:r>
            <w:r w:rsidRPr="00A252AC">
              <w:rPr>
                <w:spacing w:val="-5"/>
                <w:lang w:val="en-GB"/>
              </w:rPr>
              <w:t>1</w:t>
            </w:r>
            <w:r w:rsidR="00A85F12" w:rsidRPr="00A252AC">
              <w:rPr>
                <w:spacing w:val="-5"/>
                <w:lang w:val="en-GB"/>
              </w:rPr>
              <w:t xml:space="preserve"> </w:t>
            </w:r>
            <w:r w:rsidRPr="00A252AC">
              <w:rPr>
                <w:spacing w:val="-5"/>
                <w:lang w:val="en-GB"/>
              </w:rPr>
              <w:t>2019)</w:t>
            </w:r>
            <w:r w:rsidR="00A85F12" w:rsidRPr="00A252AC">
              <w:rPr>
                <w:spacing w:val="-5"/>
                <w:lang w:val="en-GB"/>
              </w:rPr>
              <w:t xml:space="preserve">. </w:t>
            </w:r>
            <w:r w:rsidR="00B96035" w:rsidRPr="00A252AC">
              <w:rPr>
                <w:spacing w:val="-5"/>
                <w:lang w:val="en-GB"/>
              </w:rPr>
              <w:t xml:space="preserve">Already only by 4.8% more of this tax flew into the SB year-on-year </w:t>
            </w:r>
            <w:r w:rsidR="00832B76" w:rsidRPr="00A252AC">
              <w:rPr>
                <w:spacing w:val="-5"/>
                <w:lang w:val="en-GB"/>
              </w:rPr>
              <w:t>in June 2022 itself</w:t>
            </w:r>
            <w:r w:rsidRPr="00A252AC">
              <w:rPr>
                <w:spacing w:val="-5"/>
                <w:lang w:val="en-GB"/>
              </w:rPr>
              <w:t xml:space="preserve">, </w:t>
            </w:r>
            <w:r w:rsidR="00832B76" w:rsidRPr="00A252AC">
              <w:rPr>
                <w:spacing w:val="-5"/>
                <w:lang w:val="en-GB"/>
              </w:rPr>
              <w:t xml:space="preserve">since the collection of the </w:t>
            </w:r>
            <w:r w:rsidR="00860943" w:rsidRPr="00A252AC">
              <w:rPr>
                <w:spacing w:val="-5"/>
                <w:lang w:val="en-GB"/>
              </w:rPr>
              <w:t xml:space="preserve">most significant tax by volume – </w:t>
            </w:r>
            <w:r w:rsidR="00832B76" w:rsidRPr="00A252AC">
              <w:rPr>
                <w:spacing w:val="-5"/>
                <w:lang w:val="en-GB"/>
              </w:rPr>
              <w:t xml:space="preserve">tax on mineral oils </w:t>
            </w:r>
            <w:r w:rsidR="00860943" w:rsidRPr="00A252AC">
              <w:rPr>
                <w:spacing w:val="-5"/>
                <w:lang w:val="en-GB"/>
              </w:rPr>
              <w:t>–</w:t>
            </w:r>
            <w:r w:rsidR="00832B76" w:rsidRPr="00A252AC">
              <w:rPr>
                <w:spacing w:val="-5"/>
                <w:lang w:val="en-GB"/>
              </w:rPr>
              <w:t xml:space="preserve"> stagnated</w:t>
            </w:r>
            <w:r w:rsidRPr="00A252AC">
              <w:rPr>
                <w:spacing w:val="-5"/>
                <w:lang w:val="en-GB"/>
              </w:rPr>
              <w:t>.</w:t>
            </w:r>
            <w:r w:rsidR="00B96035" w:rsidRPr="00A252AC">
              <w:rPr>
                <w:spacing w:val="-5"/>
                <w:lang w:val="en-GB"/>
              </w:rPr>
              <w:t xml:space="preserve"> It could have been associated to the sharp </w:t>
            </w:r>
            <w:r w:rsidR="00DC1A3D" w:rsidRPr="00A252AC">
              <w:rPr>
                <w:spacing w:val="-5"/>
                <w:lang w:val="en-GB"/>
              </w:rPr>
              <w:t>s</w:t>
            </w:r>
            <w:r w:rsidR="00E846B0" w:rsidRPr="00A252AC">
              <w:rPr>
                <w:spacing w:val="-5"/>
                <w:lang w:val="en-GB"/>
              </w:rPr>
              <w:t>pring</w:t>
            </w:r>
            <w:r w:rsidR="00B96035" w:rsidRPr="00A252AC">
              <w:rPr>
                <w:spacing w:val="-5"/>
                <w:lang w:val="en-GB"/>
              </w:rPr>
              <w:t xml:space="preserve"> </w:t>
            </w:r>
            <w:r w:rsidR="000D27C9" w:rsidRPr="00A252AC">
              <w:rPr>
                <w:spacing w:val="-5"/>
                <w:lang w:val="en-GB"/>
              </w:rPr>
              <w:t xml:space="preserve">rise of prices of motor fuels at petrol stations, to which both households and businesses presumably reacted by limiting their consumption </w:t>
            </w:r>
            <w:r w:rsidRPr="00A252AC">
              <w:rPr>
                <w:spacing w:val="-5"/>
                <w:lang w:val="en-GB"/>
              </w:rPr>
              <w:t>(</w:t>
            </w:r>
            <w:r w:rsidR="000D27C9" w:rsidRPr="00A252AC">
              <w:rPr>
                <w:spacing w:val="-5"/>
                <w:lang w:val="en-GB"/>
              </w:rPr>
              <w:t>this was already indicated in May data related to retail sales for motor fuels</w:t>
            </w:r>
            <w:r w:rsidRPr="00A252AC">
              <w:rPr>
                <w:spacing w:val="-5"/>
                <w:lang w:val="en-GB"/>
              </w:rPr>
              <w:t>).</w:t>
            </w:r>
            <w:r w:rsidR="000D27C9" w:rsidRPr="00A252AC">
              <w:rPr>
                <w:spacing w:val="-5"/>
                <w:lang w:val="en-GB"/>
              </w:rPr>
              <w:t xml:space="preserve"> </w:t>
            </w:r>
            <w:r w:rsidR="002A4F23" w:rsidRPr="00A252AC">
              <w:rPr>
                <w:spacing w:val="-5"/>
                <w:lang w:val="en-GB"/>
              </w:rPr>
              <w:t>On the contrary the impact of temporary cut down of the tax rate</w:t>
            </w:r>
            <w:r w:rsidRPr="00A252AC">
              <w:rPr>
                <w:rStyle w:val="Znakapoznpodarou"/>
                <w:spacing w:val="-5"/>
                <w:lang w:val="en-GB"/>
              </w:rPr>
              <w:footnoteReference w:id="6"/>
            </w:r>
            <w:r w:rsidR="002A4F23" w:rsidRPr="00A252AC">
              <w:rPr>
                <w:spacing w:val="-5"/>
                <w:lang w:val="en-GB"/>
              </w:rPr>
              <w:t xml:space="preserve"> was not shown in the </w:t>
            </w:r>
            <w:r w:rsidR="000D616C" w:rsidRPr="00A252AC">
              <w:rPr>
                <w:spacing w:val="-5"/>
                <w:lang w:val="en-GB"/>
              </w:rPr>
              <w:t xml:space="preserve">treasury </w:t>
            </w:r>
            <w:r w:rsidR="002A4F23" w:rsidRPr="00A252AC">
              <w:rPr>
                <w:spacing w:val="-5"/>
                <w:lang w:val="en-GB"/>
              </w:rPr>
              <w:t xml:space="preserve">fulfilment of the collection yet. </w:t>
            </w:r>
            <w:r w:rsidR="00E62EDE" w:rsidRPr="00A252AC">
              <w:rPr>
                <w:spacing w:val="-5"/>
                <w:lang w:val="en-GB"/>
              </w:rPr>
              <w:t xml:space="preserve">Nevertheless the collection of tax on mineral oils went up by </w:t>
            </w:r>
            <w:r w:rsidRPr="00A252AC">
              <w:rPr>
                <w:spacing w:val="-5"/>
                <w:lang w:val="en-GB"/>
              </w:rPr>
              <w:t>12%</w:t>
            </w:r>
            <w:r w:rsidR="00E62EDE" w:rsidRPr="00A252AC">
              <w:rPr>
                <w:spacing w:val="-5"/>
                <w:lang w:val="en-GB"/>
              </w:rPr>
              <w:t xml:space="preserve"> in total for the whole this year’s half-year</w:t>
            </w:r>
            <w:r w:rsidRPr="00A252AC">
              <w:rPr>
                <w:spacing w:val="-5"/>
                <w:lang w:val="en-GB"/>
              </w:rPr>
              <w:t xml:space="preserve">, </w:t>
            </w:r>
            <w:r w:rsidR="000D27C9" w:rsidRPr="00A252AC">
              <w:rPr>
                <w:spacing w:val="-5"/>
                <w:lang w:val="en-GB"/>
              </w:rPr>
              <w:t xml:space="preserve">mainly due to the effect of low comparative basis </w:t>
            </w:r>
            <w:r w:rsidRPr="00A252AC">
              <w:rPr>
                <w:spacing w:val="-5"/>
                <w:lang w:val="en-GB"/>
              </w:rPr>
              <w:t>(</w:t>
            </w:r>
            <w:r w:rsidR="00860943" w:rsidRPr="00A252AC">
              <w:rPr>
                <w:spacing w:val="-5"/>
                <w:lang w:val="en-GB"/>
              </w:rPr>
              <w:t>the counter-</w:t>
            </w:r>
            <w:r w:rsidR="00C16DD1" w:rsidRPr="00A252AC">
              <w:rPr>
                <w:spacing w:val="-5"/>
                <w:lang w:val="en-GB"/>
              </w:rPr>
              <w:t>pandemic measures were culminating during Q</w:t>
            </w:r>
            <w:r w:rsidRPr="00A252AC">
              <w:rPr>
                <w:spacing w:val="-5"/>
                <w:lang w:val="en-GB"/>
              </w:rPr>
              <w:t>1</w:t>
            </w:r>
            <w:r w:rsidR="00C16DD1" w:rsidRPr="00A252AC">
              <w:rPr>
                <w:spacing w:val="-5"/>
                <w:lang w:val="en-GB"/>
              </w:rPr>
              <w:t xml:space="preserve"> </w:t>
            </w:r>
            <w:r w:rsidRPr="00A252AC">
              <w:rPr>
                <w:spacing w:val="-5"/>
                <w:lang w:val="en-GB"/>
              </w:rPr>
              <w:t>2021</w:t>
            </w:r>
            <w:r w:rsidR="00C16DD1" w:rsidRPr="00A252AC">
              <w:rPr>
                <w:spacing w:val="-5"/>
                <w:lang w:val="en-GB"/>
              </w:rPr>
              <w:t xml:space="preserve"> </w:t>
            </w:r>
            <w:r w:rsidRPr="00A252AC">
              <w:rPr>
                <w:spacing w:val="-5"/>
                <w:lang w:val="en-GB"/>
              </w:rPr>
              <w:t>a</w:t>
            </w:r>
            <w:r w:rsidR="00C16DD1" w:rsidRPr="00A252AC">
              <w:rPr>
                <w:spacing w:val="-5"/>
                <w:lang w:val="en-GB"/>
              </w:rPr>
              <w:t xml:space="preserve">nd the substantial </w:t>
            </w:r>
            <w:r w:rsidR="00B8128A" w:rsidRPr="00A252AC">
              <w:rPr>
                <w:spacing w:val="-5"/>
                <w:lang w:val="en-GB"/>
              </w:rPr>
              <w:t xml:space="preserve">restriction of the mobility of population between regions was reflected in the lowest collection of this tax in the </w:t>
            </w:r>
            <w:r w:rsidR="00B8128A" w:rsidRPr="00A252AC">
              <w:rPr>
                <w:spacing w:val="-5"/>
                <w:lang w:val="en-GB"/>
              </w:rPr>
              <w:lastRenderedPageBreak/>
              <w:t>last eight years at that time</w:t>
            </w:r>
            <w:r w:rsidRPr="00A252AC">
              <w:rPr>
                <w:spacing w:val="-5"/>
                <w:lang w:val="en-GB"/>
              </w:rPr>
              <w:t xml:space="preserve">). </w:t>
            </w:r>
            <w:r w:rsidR="0064341F" w:rsidRPr="00A252AC">
              <w:rPr>
                <w:spacing w:val="-5"/>
                <w:lang w:val="en-GB"/>
              </w:rPr>
              <w:t>Collection of tax on tobacco products, which expanded by one fifth besides other things thanks to the increase of the tax rate</w:t>
            </w:r>
            <w:r w:rsidR="00860943" w:rsidRPr="00A252AC">
              <w:rPr>
                <w:spacing w:val="-5"/>
                <w:lang w:val="en-GB"/>
              </w:rPr>
              <w:t>,</w:t>
            </w:r>
            <w:r w:rsidR="0064341F" w:rsidRPr="00A252AC">
              <w:rPr>
                <w:spacing w:val="-5"/>
                <w:lang w:val="en-GB"/>
              </w:rPr>
              <w:t xml:space="preserve"> contributed the most to higher collection of all consumption taxes this year. </w:t>
            </w:r>
            <w:r w:rsidR="00860943" w:rsidRPr="00A252AC">
              <w:rPr>
                <w:spacing w:val="-5"/>
                <w:lang w:val="en-GB"/>
              </w:rPr>
              <w:t>Growing</w:t>
            </w:r>
            <w:r w:rsidR="00860943" w:rsidRPr="00A252AC">
              <w:rPr>
                <w:rStyle w:val="Nadpis1Char"/>
                <w:spacing w:val="-5"/>
                <w:lang w:val="en"/>
              </w:rPr>
              <w:t xml:space="preserve"> </w:t>
            </w:r>
            <w:r w:rsidR="00860943" w:rsidRPr="00A252AC">
              <w:rPr>
                <w:rStyle w:val="rynqvb"/>
                <w:rFonts w:eastAsia="MS Gothic"/>
                <w:spacing w:val="-5"/>
                <w:lang w:val="en"/>
              </w:rPr>
              <w:t>collection</w:t>
            </w:r>
            <w:r w:rsidR="00F71393" w:rsidRPr="00A252AC">
              <w:rPr>
                <w:spacing w:val="-5"/>
                <w:lang w:val="en-GB"/>
              </w:rPr>
              <w:t xml:space="preserve"> of less significant categories of tax by weight also had a favourable effect</w:t>
            </w:r>
            <w:r w:rsidRPr="00A252AC">
              <w:rPr>
                <w:spacing w:val="-5"/>
                <w:lang w:val="en-GB"/>
              </w:rPr>
              <w:t xml:space="preserve">, </w:t>
            </w:r>
            <w:r w:rsidR="00F71393" w:rsidRPr="00A252AC">
              <w:rPr>
                <w:spacing w:val="-5"/>
                <w:lang w:val="en-GB"/>
              </w:rPr>
              <w:t xml:space="preserve">especially the tax on alcohol and also beer </w:t>
            </w:r>
            <w:r w:rsidRPr="00A252AC">
              <w:rPr>
                <w:spacing w:val="-5"/>
                <w:lang w:val="en-GB"/>
              </w:rPr>
              <w:t>(</w:t>
            </w:r>
            <w:r w:rsidR="00B43496" w:rsidRPr="00A252AC">
              <w:rPr>
                <w:spacing w:val="-5"/>
                <w:lang w:val="en-GB"/>
              </w:rPr>
              <w:t xml:space="preserve">its collection </w:t>
            </w:r>
            <w:r w:rsidR="00ED112D" w:rsidRPr="00A252AC">
              <w:rPr>
                <w:spacing w:val="-5"/>
                <w:lang w:val="en-GB"/>
              </w:rPr>
              <w:t xml:space="preserve">however still fell by more than 5% behind the peak from year </w:t>
            </w:r>
            <w:r w:rsidRPr="00A252AC">
              <w:rPr>
                <w:spacing w:val="-5"/>
                <w:lang w:val="en-GB"/>
              </w:rPr>
              <w:t>2019).</w:t>
            </w:r>
          </w:p>
        </w:tc>
      </w:tr>
      <w:tr w:rsidR="008F2E83" w:rsidRPr="00A00994" w14:paraId="4814A59D" w14:textId="77777777" w:rsidTr="00EE762D">
        <w:trPr>
          <w:trHeight w:val="145"/>
        </w:trPr>
        <w:tc>
          <w:tcPr>
            <w:tcW w:w="1805" w:type="dxa"/>
            <w:shd w:val="clear" w:color="auto" w:fill="auto"/>
            <w:tcMar>
              <w:left w:w="0" w:type="dxa"/>
            </w:tcMar>
          </w:tcPr>
          <w:p w14:paraId="24250AEF" w14:textId="278E3537" w:rsidR="008F2E83" w:rsidRPr="00A00994" w:rsidRDefault="007734F5" w:rsidP="000C7A79">
            <w:pPr>
              <w:pStyle w:val="Marginlie"/>
              <w:rPr>
                <w:lang w:val="en-GB"/>
              </w:rPr>
            </w:pPr>
            <w:r w:rsidRPr="00A00994">
              <w:rPr>
                <w:lang w:val="en-GB"/>
              </w:rPr>
              <w:lastRenderedPageBreak/>
              <w:t xml:space="preserve">Collection of income tax of legal persons </w:t>
            </w:r>
            <w:r w:rsidR="003D4EFE" w:rsidRPr="00A00994">
              <w:rPr>
                <w:lang w:val="en-GB"/>
              </w:rPr>
              <w:t xml:space="preserve">notably increased year-on-year thanks to high June payment. </w:t>
            </w:r>
          </w:p>
        </w:tc>
        <w:tc>
          <w:tcPr>
            <w:tcW w:w="217" w:type="dxa"/>
            <w:shd w:val="clear" w:color="auto" w:fill="auto"/>
            <w:tcMar>
              <w:left w:w="0" w:type="dxa"/>
            </w:tcMar>
          </w:tcPr>
          <w:p w14:paraId="3C2144F2"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635ED4C0" w14:textId="6AF782B4" w:rsidR="008F2E83" w:rsidRPr="00A252AC" w:rsidRDefault="007734F5" w:rsidP="000C7A79">
            <w:pPr>
              <w:spacing w:after="200"/>
              <w:rPr>
                <w:spacing w:val="-2"/>
                <w:lang w:val="en-GB"/>
              </w:rPr>
            </w:pPr>
            <w:r w:rsidRPr="00A252AC">
              <w:rPr>
                <w:spacing w:val="-2"/>
                <w:lang w:val="en-GB"/>
              </w:rPr>
              <w:t xml:space="preserve">SB revenue from the corporate tax briskly grew year-on-year </w:t>
            </w:r>
            <w:r w:rsidR="008F2E83" w:rsidRPr="00A252AC">
              <w:rPr>
                <w:spacing w:val="-2"/>
                <w:lang w:val="en-GB"/>
              </w:rPr>
              <w:t>(+16</w:t>
            </w:r>
            <w:r w:rsidRPr="00A252AC">
              <w:rPr>
                <w:spacing w:val="-2"/>
                <w:lang w:val="en-GB"/>
              </w:rPr>
              <w:t>.</w:t>
            </w:r>
            <w:r w:rsidR="008F2E83" w:rsidRPr="00A252AC">
              <w:rPr>
                <w:spacing w:val="-2"/>
                <w:lang w:val="en-GB"/>
              </w:rPr>
              <w:t>8%),</w:t>
            </w:r>
            <w:r w:rsidRPr="00A252AC">
              <w:rPr>
                <w:spacing w:val="-2"/>
                <w:lang w:val="en-GB"/>
              </w:rPr>
              <w:t xml:space="preserve"> mainly thanks to the high June collection </w:t>
            </w:r>
            <w:r w:rsidR="008F2E83" w:rsidRPr="00A252AC">
              <w:rPr>
                <w:spacing w:val="-2"/>
                <w:lang w:val="en-GB"/>
              </w:rPr>
              <w:t>(</w:t>
            </w:r>
            <w:r w:rsidRPr="00A252AC">
              <w:rPr>
                <w:spacing w:val="-2"/>
                <w:lang w:val="en-GB"/>
              </w:rPr>
              <w:t xml:space="preserve">including both quarter and half-yearly tax advance payments and part of the payment of tax for year </w:t>
            </w:r>
            <w:r w:rsidR="008F2E83" w:rsidRPr="00A252AC">
              <w:rPr>
                <w:spacing w:val="-2"/>
                <w:lang w:val="en-GB"/>
              </w:rPr>
              <w:t>2021</w:t>
            </w:r>
            <w:r w:rsidR="008F2E83" w:rsidRPr="00A252AC">
              <w:rPr>
                <w:rStyle w:val="Znakapoznpodarou"/>
                <w:spacing w:val="-2"/>
                <w:lang w:val="en-GB"/>
              </w:rPr>
              <w:footnoteReference w:id="7"/>
            </w:r>
            <w:r w:rsidR="008F2E83" w:rsidRPr="00A252AC">
              <w:rPr>
                <w:spacing w:val="-2"/>
                <w:lang w:val="en-GB"/>
              </w:rPr>
              <w:t xml:space="preserve">). </w:t>
            </w:r>
            <w:r w:rsidR="003D4EFE" w:rsidRPr="00A252AC">
              <w:rPr>
                <w:spacing w:val="-2"/>
                <w:lang w:val="en-GB"/>
              </w:rPr>
              <w:t>Collection for H</w:t>
            </w:r>
            <w:r w:rsidR="008F2E83" w:rsidRPr="00A252AC">
              <w:rPr>
                <w:spacing w:val="-2"/>
                <w:lang w:val="en-GB"/>
              </w:rPr>
              <w:t>1</w:t>
            </w:r>
            <w:r w:rsidR="003D4EFE" w:rsidRPr="00A252AC">
              <w:rPr>
                <w:spacing w:val="-2"/>
                <w:lang w:val="en-GB"/>
              </w:rPr>
              <w:t xml:space="preserve"> appreciably exceeded the budget anticipations, because it reached nearly three quarters of the anticipated year-long volume and proved relatively good economic results of some large businesses </w:t>
            </w:r>
            <w:r w:rsidR="008F2E83" w:rsidRPr="00A252AC">
              <w:rPr>
                <w:spacing w:val="-2"/>
                <w:lang w:val="en-GB"/>
              </w:rPr>
              <w:t>(</w:t>
            </w:r>
            <w:r w:rsidR="003D4EFE" w:rsidRPr="00A252AC">
              <w:rPr>
                <w:spacing w:val="-2"/>
                <w:lang w:val="en-GB"/>
              </w:rPr>
              <w:t>e.g. in the area of energetics or trade</w:t>
            </w:r>
            <w:r w:rsidR="008F2E83" w:rsidRPr="00A252AC">
              <w:rPr>
                <w:spacing w:val="-2"/>
                <w:lang w:val="en-GB"/>
              </w:rPr>
              <w:t xml:space="preserve">). </w:t>
            </w:r>
            <w:r w:rsidR="00860943" w:rsidRPr="00A252AC">
              <w:rPr>
                <w:spacing w:val="-2"/>
                <w:lang w:val="en-GB"/>
              </w:rPr>
              <w:t>L</w:t>
            </w:r>
            <w:r w:rsidR="003D4EFE" w:rsidRPr="00A252AC">
              <w:rPr>
                <w:spacing w:val="-2"/>
                <w:lang w:val="en-GB"/>
              </w:rPr>
              <w:t>egislative amendments however also affected the size of the collection</w:t>
            </w:r>
            <w:r w:rsidR="008F2E83" w:rsidRPr="00A252AC">
              <w:rPr>
                <w:rStyle w:val="Znakapoznpodarou"/>
                <w:spacing w:val="-2"/>
                <w:lang w:val="en-GB"/>
              </w:rPr>
              <w:footnoteReference w:id="8"/>
            </w:r>
            <w:r w:rsidR="008F2E83" w:rsidRPr="00A252AC">
              <w:rPr>
                <w:spacing w:val="-2"/>
                <w:lang w:val="en-GB"/>
              </w:rPr>
              <w:t>.</w:t>
            </w:r>
          </w:p>
        </w:tc>
      </w:tr>
      <w:tr w:rsidR="008F2E83" w:rsidRPr="00A00994" w14:paraId="605654F0" w14:textId="77777777" w:rsidTr="00EE762D">
        <w:trPr>
          <w:trHeight w:val="145"/>
        </w:trPr>
        <w:tc>
          <w:tcPr>
            <w:tcW w:w="1805" w:type="dxa"/>
            <w:shd w:val="clear" w:color="auto" w:fill="auto"/>
            <w:tcMar>
              <w:left w:w="0" w:type="dxa"/>
            </w:tcMar>
          </w:tcPr>
          <w:p w14:paraId="5B224609" w14:textId="6481A4A3" w:rsidR="008F2E83" w:rsidRPr="00A00994" w:rsidRDefault="008F2E83" w:rsidP="000C7A79">
            <w:pPr>
              <w:pStyle w:val="Marginlie"/>
              <w:rPr>
                <w:lang w:val="en-GB"/>
              </w:rPr>
            </w:pPr>
            <w:r w:rsidRPr="00A00994">
              <w:rPr>
                <w:lang w:val="en-GB"/>
              </w:rPr>
              <w:t>S</w:t>
            </w:r>
            <w:r w:rsidR="007971DC" w:rsidRPr="00A00994">
              <w:rPr>
                <w:lang w:val="en-GB"/>
              </w:rPr>
              <w:t>wift growth of the collection of income tax of natural persons mirrored the fast recovery of the labour market. The collection however considerably fell behind the pre-pandemic level</w:t>
            </w:r>
            <w:r w:rsidR="00C15708">
              <w:rPr>
                <w:lang w:val="en-GB"/>
              </w:rPr>
              <w:t>, mainly due to</w:t>
            </w:r>
            <w:r w:rsidR="007971DC" w:rsidRPr="00A00994">
              <w:rPr>
                <w:lang w:val="en-GB"/>
              </w:rPr>
              <w:t xml:space="preserve"> the influence of legislative amendments. </w:t>
            </w:r>
          </w:p>
        </w:tc>
        <w:tc>
          <w:tcPr>
            <w:tcW w:w="217" w:type="dxa"/>
            <w:shd w:val="clear" w:color="auto" w:fill="auto"/>
            <w:tcMar>
              <w:left w:w="0" w:type="dxa"/>
            </w:tcMar>
          </w:tcPr>
          <w:p w14:paraId="4CE5A47B"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20E3DB07" w14:textId="52CBB927" w:rsidR="008F2E83" w:rsidRPr="00A252AC" w:rsidRDefault="00C53E99" w:rsidP="000C7A79">
            <w:pPr>
              <w:spacing w:after="200"/>
              <w:rPr>
                <w:spacing w:val="-2"/>
                <w:lang w:val="en-GB"/>
              </w:rPr>
            </w:pPr>
            <w:r w:rsidRPr="00A252AC">
              <w:rPr>
                <w:spacing w:val="-2"/>
                <w:lang w:val="en-GB"/>
              </w:rPr>
              <w:t xml:space="preserve">Collection of income tax of natural persons (ITNP) grew by similar pace as the corporate tax collection year-on-year. It reflected the employment growth as well as the brisk nominal rise of average wages. The pay out of the </w:t>
            </w:r>
            <w:r w:rsidR="002474FE" w:rsidRPr="00A252AC">
              <w:rPr>
                <w:spacing w:val="-2"/>
                <w:lang w:val="en-GB"/>
              </w:rPr>
              <w:t xml:space="preserve">compensatory bonus </w:t>
            </w:r>
            <w:r w:rsidR="008F2E83" w:rsidRPr="00A252AC">
              <w:rPr>
                <w:spacing w:val="-2"/>
                <w:lang w:val="en-GB"/>
              </w:rPr>
              <w:t>(</w:t>
            </w:r>
            <w:r w:rsidR="002474FE" w:rsidRPr="00A252AC">
              <w:rPr>
                <w:spacing w:val="-2"/>
                <w:lang w:val="en-GB"/>
              </w:rPr>
              <w:t>to aid small businesses</w:t>
            </w:r>
            <w:r w:rsidR="008F2E83" w:rsidRPr="00A252AC">
              <w:rPr>
                <w:spacing w:val="-2"/>
                <w:lang w:val="en-GB"/>
              </w:rPr>
              <w:t>)</w:t>
            </w:r>
            <w:r w:rsidR="00E95882" w:rsidRPr="00A252AC">
              <w:rPr>
                <w:spacing w:val="-2"/>
                <w:lang w:val="en-GB"/>
              </w:rPr>
              <w:t xml:space="preserve"> still did influence the collection of ITNP adversely</w:t>
            </w:r>
            <w:r w:rsidR="008F2E83" w:rsidRPr="00A252AC">
              <w:rPr>
                <w:spacing w:val="-2"/>
                <w:lang w:val="en-GB"/>
              </w:rPr>
              <w:t xml:space="preserve">, </w:t>
            </w:r>
            <w:r w:rsidR="00097E48" w:rsidRPr="00A252AC">
              <w:rPr>
                <w:spacing w:val="-2"/>
                <w:lang w:val="en-GB"/>
              </w:rPr>
              <w:t>but to a lesser extent than last year</w:t>
            </w:r>
            <w:r w:rsidR="008F2E83" w:rsidRPr="00A252AC">
              <w:rPr>
                <w:spacing w:val="-2"/>
                <w:lang w:val="en-GB"/>
              </w:rPr>
              <w:t xml:space="preserve">. </w:t>
            </w:r>
            <w:r w:rsidR="00097E48" w:rsidRPr="00A252AC">
              <w:rPr>
                <w:spacing w:val="-2"/>
                <w:lang w:val="en-GB"/>
              </w:rPr>
              <w:t xml:space="preserve">In contrast other legislative amendments </w:t>
            </w:r>
            <w:r w:rsidR="008F2E83" w:rsidRPr="00A252AC">
              <w:rPr>
                <w:spacing w:val="-2"/>
                <w:lang w:val="en-GB"/>
              </w:rPr>
              <w:t>(</w:t>
            </w:r>
            <w:r w:rsidR="00E95882" w:rsidRPr="00A252AC">
              <w:rPr>
                <w:spacing w:val="-2"/>
                <w:lang w:val="en-GB"/>
              </w:rPr>
              <w:t xml:space="preserve">ongoing increasing of tax rebate per taxpayer or higher </w:t>
            </w:r>
            <w:r w:rsidR="003F79B6" w:rsidRPr="00A252AC">
              <w:rPr>
                <w:spacing w:val="-2"/>
                <w:lang w:val="en-GB"/>
              </w:rPr>
              <w:t>tax deduction on children</w:t>
            </w:r>
            <w:r w:rsidR="008F2E83" w:rsidRPr="00A252AC">
              <w:rPr>
                <w:spacing w:val="-2"/>
                <w:lang w:val="en-GB"/>
              </w:rPr>
              <w:t xml:space="preserve">) </w:t>
            </w:r>
            <w:r w:rsidR="00560825" w:rsidRPr="00A252AC">
              <w:rPr>
                <w:spacing w:val="-2"/>
                <w:lang w:val="en-GB"/>
              </w:rPr>
              <w:t xml:space="preserve">curbed the pace of </w:t>
            </w:r>
            <w:r w:rsidR="00880C61" w:rsidRPr="00A252AC">
              <w:rPr>
                <w:spacing w:val="-2"/>
                <w:lang w:val="en-GB"/>
              </w:rPr>
              <w:t xml:space="preserve">collection growth more intensively </w:t>
            </w:r>
            <w:r w:rsidR="00560825" w:rsidRPr="00A252AC">
              <w:rPr>
                <w:spacing w:val="-2"/>
                <w:lang w:val="en-GB"/>
              </w:rPr>
              <w:t>this year</w:t>
            </w:r>
            <w:r w:rsidR="008F2E83" w:rsidRPr="00A252AC">
              <w:rPr>
                <w:spacing w:val="-2"/>
                <w:lang w:val="en-GB"/>
              </w:rPr>
              <w:t xml:space="preserve">. </w:t>
            </w:r>
            <w:r w:rsidR="00880C61" w:rsidRPr="00A252AC">
              <w:rPr>
                <w:spacing w:val="-2"/>
                <w:lang w:val="en-GB"/>
              </w:rPr>
              <w:t>While the state-wide collection of the corporate tax overtook the pre-pandemic level already last year, collection of this year’s ITNP did not reach even the level from H</w:t>
            </w:r>
            <w:r w:rsidR="008F2E83" w:rsidRPr="00A252AC">
              <w:rPr>
                <w:spacing w:val="-2"/>
                <w:lang w:val="en-GB"/>
              </w:rPr>
              <w:t>1</w:t>
            </w:r>
            <w:r w:rsidR="00880C61" w:rsidRPr="00A252AC">
              <w:rPr>
                <w:spacing w:val="-2"/>
                <w:lang w:val="en-GB"/>
              </w:rPr>
              <w:t xml:space="preserve"> </w:t>
            </w:r>
            <w:r w:rsidR="008F2E83" w:rsidRPr="00A252AC">
              <w:rPr>
                <w:spacing w:val="-2"/>
                <w:lang w:val="en-GB"/>
              </w:rPr>
              <w:t xml:space="preserve">2017. </w:t>
            </w:r>
            <w:r w:rsidR="00880C61" w:rsidRPr="00A252AC">
              <w:rPr>
                <w:spacing w:val="-2"/>
                <w:lang w:val="en-GB"/>
              </w:rPr>
              <w:t xml:space="preserve">Last year’s abolition of the </w:t>
            </w:r>
            <w:r w:rsidR="00A252AC" w:rsidRPr="00A252AC">
              <w:rPr>
                <w:spacing w:val="-2"/>
                <w:lang w:val="en-GB"/>
              </w:rPr>
              <w:t>“</w:t>
            </w:r>
            <w:r w:rsidR="00880C61" w:rsidRPr="00A252AC">
              <w:rPr>
                <w:spacing w:val="-2"/>
                <w:lang w:val="en-GB"/>
              </w:rPr>
              <w:t>super gross wage</w:t>
            </w:r>
            <w:r w:rsidR="00A252AC" w:rsidRPr="00A252AC">
              <w:rPr>
                <w:spacing w:val="-2"/>
                <w:lang w:val="en-GB"/>
              </w:rPr>
              <w:t>”</w:t>
            </w:r>
            <w:r w:rsidR="00880C61" w:rsidRPr="00A252AC">
              <w:rPr>
                <w:spacing w:val="-2"/>
                <w:lang w:val="en-GB"/>
              </w:rPr>
              <w:t xml:space="preserve"> leading to a substantial lowering of the tax burden on labour played an essential role here. On the contrary the growth</w:t>
            </w:r>
            <w:r w:rsidR="005B62D1" w:rsidRPr="00A252AC">
              <w:rPr>
                <w:spacing w:val="-2"/>
                <w:lang w:val="en-GB"/>
              </w:rPr>
              <w:t xml:space="preserve"> of the collection of ITNP levied by deduction (from capital gains) accelerated and was not significantly affected by the pandemic situation. </w:t>
            </w:r>
          </w:p>
        </w:tc>
      </w:tr>
      <w:tr w:rsidR="008F2E83" w:rsidRPr="00A00994" w14:paraId="67584AEE" w14:textId="77777777" w:rsidTr="00EE762D">
        <w:trPr>
          <w:trHeight w:val="170"/>
        </w:trPr>
        <w:tc>
          <w:tcPr>
            <w:tcW w:w="1805" w:type="dxa"/>
            <w:vMerge w:val="restart"/>
            <w:shd w:val="clear" w:color="auto" w:fill="auto"/>
            <w:tcMar>
              <w:left w:w="0" w:type="dxa"/>
            </w:tcMar>
          </w:tcPr>
          <w:p w14:paraId="6B055A45" w14:textId="3D4928D9" w:rsidR="008F2E83" w:rsidRPr="00A00994" w:rsidRDefault="00880C61" w:rsidP="000C7A79">
            <w:pPr>
              <w:pStyle w:val="Marginlie"/>
              <w:rPr>
                <w:lang w:val="en-GB"/>
              </w:rPr>
            </w:pPr>
            <w:r w:rsidRPr="00A00994">
              <w:rPr>
                <w:lang w:val="en-GB"/>
              </w:rPr>
              <w:t xml:space="preserve"> </w:t>
            </w:r>
          </w:p>
        </w:tc>
        <w:tc>
          <w:tcPr>
            <w:tcW w:w="217" w:type="dxa"/>
            <w:vMerge w:val="restart"/>
            <w:shd w:val="clear" w:color="auto" w:fill="auto"/>
            <w:tcMar>
              <w:left w:w="0" w:type="dxa"/>
            </w:tcMar>
          </w:tcPr>
          <w:p w14:paraId="4764F629"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07446EB8" w14:textId="0B652FC2" w:rsidR="008F2E83" w:rsidRPr="00EE762D" w:rsidRDefault="009A0349" w:rsidP="0052792D">
            <w:pPr>
              <w:spacing w:after="0" w:line="240" w:lineRule="auto"/>
              <w:rPr>
                <w:rFonts w:cs="Arial"/>
                <w:bCs/>
                <w:lang w:val="en-GB"/>
              </w:rPr>
            </w:pPr>
            <w:r w:rsidRPr="00EE762D">
              <w:rPr>
                <w:rFonts w:cs="Arial"/>
                <w:b/>
                <w:bCs/>
                <w:color w:val="000000"/>
                <w:szCs w:val="20"/>
                <w:lang w:val="en-GB"/>
              </w:rPr>
              <w:t xml:space="preserve">Chart </w:t>
            </w:r>
            <w:r w:rsidR="0052792D" w:rsidRPr="00EE762D">
              <w:rPr>
                <w:rFonts w:cs="Arial"/>
                <w:b/>
                <w:bCs/>
                <w:color w:val="000000"/>
                <w:szCs w:val="20"/>
                <w:lang w:val="en-GB"/>
              </w:rPr>
              <w:t xml:space="preserve">17 </w:t>
            </w:r>
            <w:r w:rsidR="00F823E4" w:rsidRPr="00EE762D">
              <w:rPr>
                <w:rFonts w:cs="Arial"/>
                <w:b/>
                <w:bCs/>
                <w:color w:val="000000"/>
                <w:szCs w:val="20"/>
                <w:lang w:val="en-GB"/>
              </w:rPr>
              <w:t>Contribution of constituent revenues to the growth of the s</w:t>
            </w:r>
            <w:r w:rsidR="00F823E4" w:rsidRPr="00EE762D">
              <w:rPr>
                <w:rFonts w:cs="Arial"/>
                <w:b/>
                <w:bCs/>
                <w:lang w:val="en-GB"/>
              </w:rPr>
              <w:t xml:space="preserve">tate wide tax collection* </w:t>
            </w:r>
            <w:r w:rsidR="00F823E4" w:rsidRPr="00EE762D">
              <w:rPr>
                <w:rFonts w:cs="Arial"/>
                <w:bCs/>
                <w:lang w:val="en-GB"/>
              </w:rPr>
              <w:t>(year-on-year in p. p.</w:t>
            </w:r>
            <w:r w:rsidR="00F823E4" w:rsidRPr="00EE762D">
              <w:rPr>
                <w:bCs/>
                <w:lang w:val="en-GB"/>
              </w:rPr>
              <w:t xml:space="preserve">) </w:t>
            </w:r>
            <w:r w:rsidR="00F823E4" w:rsidRPr="00EE762D">
              <w:rPr>
                <w:rFonts w:cs="Arial"/>
                <w:b/>
                <w:bCs/>
                <w:lang w:val="en-GB"/>
              </w:rPr>
              <w:t xml:space="preserve">and state budget balance within H1 </w:t>
            </w:r>
            <w:r w:rsidR="00F823E4" w:rsidRPr="00EE762D">
              <w:rPr>
                <w:rFonts w:cs="Arial"/>
                <w:bCs/>
                <w:lang w:val="en-GB"/>
              </w:rPr>
              <w:t xml:space="preserve">(in CZK bn, right axis) </w:t>
            </w:r>
          </w:p>
        </w:tc>
      </w:tr>
      <w:tr w:rsidR="008F2E83" w:rsidRPr="00A00994" w14:paraId="6F669898" w14:textId="77777777" w:rsidTr="00EE762D">
        <w:tblPrEx>
          <w:tblCellMar>
            <w:left w:w="70" w:type="dxa"/>
            <w:right w:w="70" w:type="dxa"/>
          </w:tblCellMar>
        </w:tblPrEx>
        <w:trPr>
          <w:trHeight w:val="170"/>
        </w:trPr>
        <w:tc>
          <w:tcPr>
            <w:tcW w:w="1805" w:type="dxa"/>
            <w:vMerge/>
            <w:shd w:val="clear" w:color="auto" w:fill="auto"/>
          </w:tcPr>
          <w:p w14:paraId="413F6E3E" w14:textId="77777777" w:rsidR="008F2E83" w:rsidRPr="00A00994" w:rsidRDefault="008F2E83" w:rsidP="000C7A79">
            <w:pPr>
              <w:pStyle w:val="Marginlie"/>
              <w:rPr>
                <w:lang w:val="en-GB"/>
              </w:rPr>
            </w:pPr>
          </w:p>
        </w:tc>
        <w:tc>
          <w:tcPr>
            <w:tcW w:w="217" w:type="dxa"/>
            <w:vMerge/>
            <w:shd w:val="clear" w:color="auto" w:fill="auto"/>
          </w:tcPr>
          <w:p w14:paraId="39751BF0" w14:textId="77777777" w:rsidR="008F2E83" w:rsidRPr="00A00994" w:rsidRDefault="008F2E83" w:rsidP="000C7A79">
            <w:pPr>
              <w:pStyle w:val="Textpoznpodarou"/>
              <w:jc w:val="both"/>
              <w:rPr>
                <w:spacing w:val="-4"/>
                <w:lang w:val="en-GB"/>
              </w:rPr>
            </w:pPr>
          </w:p>
        </w:tc>
        <w:tc>
          <w:tcPr>
            <w:tcW w:w="7647" w:type="dxa"/>
            <w:shd w:val="clear" w:color="auto" w:fill="auto"/>
          </w:tcPr>
          <w:p w14:paraId="5CBD90BD" w14:textId="6A8CFCA3" w:rsidR="008F2E83" w:rsidRPr="00A00994" w:rsidRDefault="00EE762D" w:rsidP="000C7A79">
            <w:pPr>
              <w:spacing w:after="0"/>
              <w:rPr>
                <w:spacing w:val="-6"/>
                <w:lang w:val="en-GB"/>
              </w:rPr>
            </w:pPr>
            <w:r>
              <w:rPr>
                <w:noProof/>
              </w:rPr>
              <w:drawing>
                <wp:inline distT="0" distB="0" distL="0" distR="0" wp14:anchorId="3DC4E63C" wp14:editId="647E881E">
                  <wp:extent cx="4735195" cy="3434963"/>
                  <wp:effectExtent l="0" t="0" r="825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F2E83" w:rsidRPr="00A00994" w14:paraId="42F95876" w14:textId="77777777" w:rsidTr="00EE762D">
        <w:trPr>
          <w:trHeight w:val="170"/>
        </w:trPr>
        <w:tc>
          <w:tcPr>
            <w:tcW w:w="1805" w:type="dxa"/>
            <w:vMerge/>
            <w:shd w:val="clear" w:color="auto" w:fill="auto"/>
            <w:tcMar>
              <w:left w:w="0" w:type="dxa"/>
            </w:tcMar>
          </w:tcPr>
          <w:p w14:paraId="4DF8FBAD" w14:textId="77777777" w:rsidR="008F2E83" w:rsidRPr="00A00994" w:rsidRDefault="008F2E83" w:rsidP="000C7A79">
            <w:pPr>
              <w:pStyle w:val="Marginlie"/>
              <w:rPr>
                <w:lang w:val="en-GB"/>
              </w:rPr>
            </w:pPr>
          </w:p>
        </w:tc>
        <w:tc>
          <w:tcPr>
            <w:tcW w:w="217" w:type="dxa"/>
            <w:vMerge/>
            <w:shd w:val="clear" w:color="auto" w:fill="auto"/>
            <w:tcMar>
              <w:left w:w="0" w:type="dxa"/>
            </w:tcMar>
          </w:tcPr>
          <w:p w14:paraId="63DBEA72"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06BE0603" w14:textId="1D5BD9F4" w:rsidR="00F823E4" w:rsidRPr="00EE762D" w:rsidRDefault="008F2E83" w:rsidP="00A252AC">
            <w:pPr>
              <w:tabs>
                <w:tab w:val="right" w:pos="7683"/>
              </w:tabs>
              <w:spacing w:after="0" w:line="240" w:lineRule="auto"/>
              <w:jc w:val="left"/>
              <w:rPr>
                <w:spacing w:val="-2"/>
                <w:sz w:val="14"/>
                <w:szCs w:val="14"/>
                <w:lang w:val="en-GB"/>
              </w:rPr>
            </w:pPr>
            <w:r w:rsidRPr="00A00994">
              <w:rPr>
                <w:spacing w:val="-2"/>
                <w:sz w:val="14"/>
                <w:szCs w:val="14"/>
                <w:lang w:val="en-GB"/>
              </w:rPr>
              <w:t xml:space="preserve">* </w:t>
            </w:r>
            <w:r w:rsidR="00F823E4" w:rsidRPr="00A00994">
              <w:rPr>
                <w:spacing w:val="-2"/>
                <w:sz w:val="14"/>
                <w:szCs w:val="14"/>
                <w:lang w:val="en-GB"/>
              </w:rPr>
              <w:t>Includes tax income without the social security insurance</w:t>
            </w:r>
            <w:r w:rsidRPr="00A00994">
              <w:rPr>
                <w:spacing w:val="-2"/>
                <w:sz w:val="14"/>
                <w:szCs w:val="14"/>
                <w:lang w:val="en-GB"/>
              </w:rPr>
              <w:t>.</w:t>
            </w:r>
            <w:r w:rsidRPr="00A00994">
              <w:rPr>
                <w:spacing w:val="-2"/>
                <w:sz w:val="14"/>
                <w:szCs w:val="14"/>
                <w:lang w:val="en-GB"/>
              </w:rPr>
              <w:tab/>
            </w:r>
            <w:r w:rsidR="009A0349" w:rsidRPr="00A00994">
              <w:rPr>
                <w:spacing w:val="-2"/>
                <w:sz w:val="14"/>
                <w:szCs w:val="14"/>
                <w:lang w:val="en-GB"/>
              </w:rPr>
              <w:t>Source</w:t>
            </w:r>
            <w:r w:rsidRPr="00A00994">
              <w:rPr>
                <w:spacing w:val="-2"/>
                <w:sz w:val="14"/>
                <w:szCs w:val="14"/>
                <w:lang w:val="en-GB"/>
              </w:rPr>
              <w:t>: MF </w:t>
            </w:r>
            <w:r w:rsidR="009A0349" w:rsidRPr="00A00994">
              <w:rPr>
                <w:spacing w:val="-2"/>
                <w:sz w:val="14"/>
                <w:szCs w:val="14"/>
                <w:lang w:val="en-GB"/>
              </w:rPr>
              <w:t>C</w:t>
            </w:r>
            <w:r w:rsidRPr="00A00994">
              <w:rPr>
                <w:spacing w:val="-2"/>
                <w:sz w:val="14"/>
                <w:szCs w:val="14"/>
                <w:lang w:val="en-GB"/>
              </w:rPr>
              <w:t>R</w:t>
            </w:r>
          </w:p>
        </w:tc>
      </w:tr>
      <w:tr w:rsidR="008F2E83" w:rsidRPr="00A00994" w14:paraId="1CE13C03" w14:textId="77777777" w:rsidTr="00EE762D">
        <w:trPr>
          <w:trHeight w:val="145"/>
        </w:trPr>
        <w:tc>
          <w:tcPr>
            <w:tcW w:w="1805" w:type="dxa"/>
            <w:shd w:val="clear" w:color="auto" w:fill="auto"/>
            <w:tcMar>
              <w:left w:w="0" w:type="dxa"/>
            </w:tcMar>
          </w:tcPr>
          <w:p w14:paraId="66E3BC44" w14:textId="0B97219A" w:rsidR="008F2E83" w:rsidRPr="00A00994" w:rsidRDefault="003B1C8D" w:rsidP="000C7A79">
            <w:pPr>
              <w:pStyle w:val="Marginlie"/>
              <w:rPr>
                <w:lang w:val="en-GB"/>
              </w:rPr>
            </w:pPr>
            <w:r w:rsidRPr="00A00994">
              <w:rPr>
                <w:lang w:val="en-GB"/>
              </w:rPr>
              <w:lastRenderedPageBreak/>
              <w:t xml:space="preserve">Total SB outlays </w:t>
            </w:r>
            <w:r w:rsidR="007A7B13" w:rsidRPr="00A00994">
              <w:rPr>
                <w:lang w:val="en-GB"/>
              </w:rPr>
              <w:t>grew substantially in Q</w:t>
            </w:r>
            <w:r w:rsidR="008F2E83" w:rsidRPr="00A00994">
              <w:rPr>
                <w:lang w:val="en-GB"/>
              </w:rPr>
              <w:t>2</w:t>
            </w:r>
            <w:r w:rsidR="007A7B13" w:rsidRPr="00A00994">
              <w:rPr>
                <w:lang w:val="en-GB"/>
              </w:rPr>
              <w:t xml:space="preserve"> </w:t>
            </w:r>
            <w:r w:rsidR="008F2E83" w:rsidRPr="00A00994">
              <w:rPr>
                <w:lang w:val="en-GB"/>
              </w:rPr>
              <w:t>2022</w:t>
            </w:r>
            <w:r w:rsidR="007A7B13" w:rsidRPr="00A00994">
              <w:rPr>
                <w:lang w:val="en-GB"/>
              </w:rPr>
              <w:t xml:space="preserve"> compared to the beginning of the year. </w:t>
            </w:r>
            <w:r w:rsidR="004B18DF" w:rsidRPr="00A00994">
              <w:rPr>
                <w:lang w:val="en-GB"/>
              </w:rPr>
              <w:t>Termination of the interim budget as well as the need for exceptional expenditures related to high inflation and also the war in Ukraine had an effect</w:t>
            </w:r>
            <w:r w:rsidR="008F2E83" w:rsidRPr="00A00994">
              <w:rPr>
                <w:lang w:val="en-GB"/>
              </w:rPr>
              <w:t>.</w:t>
            </w:r>
          </w:p>
        </w:tc>
        <w:tc>
          <w:tcPr>
            <w:tcW w:w="217" w:type="dxa"/>
            <w:shd w:val="clear" w:color="auto" w:fill="auto"/>
            <w:tcMar>
              <w:left w:w="0" w:type="dxa"/>
            </w:tcMar>
          </w:tcPr>
          <w:p w14:paraId="49BA72A4"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10CCD3AD" w14:textId="3D5177F7" w:rsidR="008F2E83" w:rsidRPr="00A00994" w:rsidRDefault="003B1C8D" w:rsidP="000C7A79">
            <w:pPr>
              <w:spacing w:after="200"/>
              <w:rPr>
                <w:color w:val="0D0D0D" w:themeColor="text1" w:themeTint="F2"/>
                <w:spacing w:val="-5"/>
                <w:lang w:val="en-GB"/>
              </w:rPr>
            </w:pPr>
            <w:r w:rsidRPr="00A00994">
              <w:rPr>
                <w:color w:val="0D0D0D" w:themeColor="text1" w:themeTint="F2"/>
                <w:spacing w:val="-5"/>
                <w:lang w:val="en-GB"/>
              </w:rPr>
              <w:t xml:space="preserve">Total SB outlays </w:t>
            </w:r>
            <w:r w:rsidR="007A7B13" w:rsidRPr="00A00994">
              <w:rPr>
                <w:color w:val="0D0D0D" w:themeColor="text1" w:themeTint="F2"/>
                <w:spacing w:val="-5"/>
                <w:lang w:val="en-GB"/>
              </w:rPr>
              <w:t xml:space="preserve">amounted to </w:t>
            </w:r>
            <w:r w:rsidR="00A5661B" w:rsidRPr="00A00994">
              <w:rPr>
                <w:color w:val="0D0D0D" w:themeColor="text1" w:themeTint="F2"/>
                <w:spacing w:val="-5"/>
                <w:lang w:val="en-GB"/>
              </w:rPr>
              <w:t>9</w:t>
            </w:r>
            <w:r w:rsidR="008F2E83" w:rsidRPr="00A00994">
              <w:rPr>
                <w:color w:val="0D0D0D" w:themeColor="text1" w:themeTint="F2"/>
                <w:spacing w:val="-5"/>
                <w:lang w:val="en-GB"/>
              </w:rPr>
              <w:t>7</w:t>
            </w:r>
            <w:r w:rsidR="00A5661B" w:rsidRPr="00A00994">
              <w:rPr>
                <w:color w:val="0D0D0D" w:themeColor="text1" w:themeTint="F2"/>
                <w:spacing w:val="-5"/>
                <w:lang w:val="en-GB"/>
              </w:rPr>
              <w:t>0</w:t>
            </w:r>
            <w:r w:rsidR="008F2E83" w:rsidRPr="00A00994">
              <w:rPr>
                <w:color w:val="0D0D0D" w:themeColor="text1" w:themeTint="F2"/>
                <w:spacing w:val="-5"/>
                <w:lang w:val="en-GB"/>
              </w:rPr>
              <w:t xml:space="preserve"> </w:t>
            </w:r>
            <w:r w:rsidR="007A7B13" w:rsidRPr="00A00994">
              <w:rPr>
                <w:color w:val="0D0D0D" w:themeColor="text1" w:themeTint="F2"/>
                <w:spacing w:val="-5"/>
                <w:lang w:val="en-GB"/>
              </w:rPr>
              <w:t>CZK bn for H1 this year an</w:t>
            </w:r>
            <w:r w:rsidRPr="00A00994">
              <w:rPr>
                <w:color w:val="0D0D0D" w:themeColor="text1" w:themeTint="F2"/>
                <w:spacing w:val="-5"/>
                <w:lang w:val="en-GB"/>
              </w:rPr>
              <w:t xml:space="preserve">d mildly dropped year-on-year </w:t>
            </w:r>
            <w:r w:rsidR="008F2E83" w:rsidRPr="00A00994">
              <w:rPr>
                <w:color w:val="0D0D0D" w:themeColor="text1" w:themeTint="F2"/>
                <w:spacing w:val="-5"/>
                <w:lang w:val="en-GB"/>
              </w:rPr>
              <w:t>(</w:t>
            </w:r>
            <w:r w:rsidRPr="00A00994">
              <w:rPr>
                <w:color w:val="0D0D0D" w:themeColor="text1" w:themeTint="F2"/>
                <w:spacing w:val="-5"/>
                <w:lang w:val="en-GB"/>
              </w:rPr>
              <w:t xml:space="preserve">by </w:t>
            </w:r>
            <w:r w:rsidR="008F2E83" w:rsidRPr="00A00994">
              <w:rPr>
                <w:color w:val="0D0D0D" w:themeColor="text1" w:themeTint="F2"/>
                <w:spacing w:val="-5"/>
                <w:lang w:val="en-GB"/>
              </w:rPr>
              <w:t>0</w:t>
            </w:r>
            <w:r w:rsidRPr="00A00994">
              <w:rPr>
                <w:color w:val="0D0D0D" w:themeColor="text1" w:themeTint="F2"/>
                <w:spacing w:val="-5"/>
                <w:lang w:val="en-GB"/>
              </w:rPr>
              <w:t>.</w:t>
            </w:r>
            <w:r w:rsidR="008F2E83" w:rsidRPr="00A00994">
              <w:rPr>
                <w:color w:val="0D0D0D" w:themeColor="text1" w:themeTint="F2"/>
                <w:spacing w:val="-5"/>
                <w:lang w:val="en-GB"/>
              </w:rPr>
              <w:t>8%),</w:t>
            </w:r>
            <w:r w:rsidRPr="00A00994">
              <w:rPr>
                <w:color w:val="0D0D0D" w:themeColor="text1" w:themeTint="F2"/>
                <w:spacing w:val="-5"/>
                <w:lang w:val="en-GB"/>
              </w:rPr>
              <w:t xml:space="preserve"> solely due to the effect of current expenditures. Their development </w:t>
            </w:r>
            <w:r w:rsidR="007A7B13" w:rsidRPr="00A00994">
              <w:rPr>
                <w:color w:val="0D0D0D" w:themeColor="text1" w:themeTint="F2"/>
                <w:spacing w:val="-5"/>
                <w:lang w:val="en-GB"/>
              </w:rPr>
              <w:t>however was more uneven during this year so far</w:t>
            </w:r>
            <w:r w:rsidR="008F2E83" w:rsidRPr="00A00994">
              <w:rPr>
                <w:color w:val="0D0D0D" w:themeColor="text1" w:themeTint="F2"/>
                <w:spacing w:val="-5"/>
                <w:lang w:val="en-GB"/>
              </w:rPr>
              <w:t xml:space="preserve">. </w:t>
            </w:r>
            <w:r w:rsidR="007A7B13" w:rsidRPr="00A00994">
              <w:rPr>
                <w:color w:val="0D0D0D" w:themeColor="text1" w:themeTint="F2"/>
                <w:spacing w:val="-5"/>
                <w:lang w:val="en-GB"/>
              </w:rPr>
              <w:t xml:space="preserve">If </w:t>
            </w:r>
            <w:r w:rsidR="00EC0749" w:rsidRPr="00A00994">
              <w:rPr>
                <w:color w:val="0D0D0D" w:themeColor="text1" w:themeTint="F2"/>
                <w:spacing w:val="-5"/>
                <w:lang w:val="en-GB"/>
              </w:rPr>
              <w:t>the regime of the interim budget</w:t>
            </w:r>
            <w:r w:rsidR="008F2E83" w:rsidRPr="00A00994">
              <w:rPr>
                <w:rStyle w:val="Znakapoznpodarou"/>
                <w:color w:val="0D0D0D" w:themeColor="text1" w:themeTint="F2"/>
                <w:spacing w:val="-5"/>
                <w:lang w:val="en-GB"/>
              </w:rPr>
              <w:footnoteReference w:id="9"/>
            </w:r>
            <w:r w:rsidR="00EC0749" w:rsidRPr="00A00994">
              <w:rPr>
                <w:color w:val="0D0D0D" w:themeColor="text1" w:themeTint="F2"/>
                <w:spacing w:val="-5"/>
                <w:lang w:val="en-GB"/>
              </w:rPr>
              <w:t xml:space="preserve"> limited the expenditures</w:t>
            </w:r>
            <w:r w:rsidR="007A7B13" w:rsidRPr="00A00994">
              <w:rPr>
                <w:color w:val="0D0D0D" w:themeColor="text1" w:themeTint="F2"/>
                <w:spacing w:val="-5"/>
                <w:lang w:val="en-GB"/>
              </w:rPr>
              <w:t xml:space="preserve"> in Q1</w:t>
            </w:r>
            <w:r w:rsidR="008F2E83" w:rsidRPr="00A00994">
              <w:rPr>
                <w:color w:val="0D0D0D" w:themeColor="text1" w:themeTint="F2"/>
                <w:spacing w:val="-5"/>
                <w:lang w:val="en-GB"/>
              </w:rPr>
              <w:t xml:space="preserve">, </w:t>
            </w:r>
            <w:r w:rsidR="00EC0749" w:rsidRPr="00A00994">
              <w:rPr>
                <w:color w:val="0D0D0D" w:themeColor="text1" w:themeTint="F2"/>
                <w:spacing w:val="-5"/>
                <w:lang w:val="en-GB"/>
              </w:rPr>
              <w:t>they were fundamentally influenced by the impacts of the racing inflation, which</w:t>
            </w:r>
            <w:r w:rsidR="007C289D" w:rsidRPr="00A00994">
              <w:rPr>
                <w:color w:val="0D0D0D" w:themeColor="text1" w:themeTint="F2"/>
                <w:spacing w:val="-5"/>
                <w:lang w:val="en-GB"/>
              </w:rPr>
              <w:t xml:space="preserve"> resulted in the need for the pension adjustment as well as other social benefits i</w:t>
            </w:r>
            <w:r w:rsidR="007A7B13" w:rsidRPr="00A00994">
              <w:rPr>
                <w:color w:val="0D0D0D" w:themeColor="text1" w:themeTint="F2"/>
                <w:spacing w:val="-5"/>
                <w:lang w:val="en-GB"/>
              </w:rPr>
              <w:t>n the subsequent period</w:t>
            </w:r>
            <w:r w:rsidR="008F2E83" w:rsidRPr="00A00994">
              <w:rPr>
                <w:color w:val="0D0D0D" w:themeColor="text1" w:themeTint="F2"/>
                <w:spacing w:val="-5"/>
                <w:lang w:val="en-GB"/>
              </w:rPr>
              <w:t>.</w:t>
            </w:r>
            <w:r w:rsidR="007A7B13" w:rsidRPr="00A00994">
              <w:rPr>
                <w:color w:val="0D0D0D" w:themeColor="text1" w:themeTint="F2"/>
                <w:spacing w:val="-5"/>
                <w:lang w:val="en-GB"/>
              </w:rPr>
              <w:t xml:space="preserve"> In addition, the need for </w:t>
            </w:r>
            <w:r w:rsidR="007C289D" w:rsidRPr="00A00994">
              <w:rPr>
                <w:color w:val="0D0D0D" w:themeColor="text1" w:themeTint="F2"/>
                <w:spacing w:val="-5"/>
                <w:lang w:val="en-GB"/>
              </w:rPr>
              <w:t>extraordinary</w:t>
            </w:r>
            <w:r w:rsidR="007A7B13" w:rsidRPr="00A00994">
              <w:rPr>
                <w:color w:val="0D0D0D" w:themeColor="text1" w:themeTint="F2"/>
                <w:spacing w:val="-5"/>
                <w:lang w:val="en-GB"/>
              </w:rPr>
              <w:t xml:space="preserve"> expenditures arose in connection to the war conflict in Ukraine </w:t>
            </w:r>
            <w:r w:rsidR="008F2E83" w:rsidRPr="00A00994">
              <w:rPr>
                <w:color w:val="0D0D0D" w:themeColor="text1" w:themeTint="F2"/>
                <w:spacing w:val="-5"/>
                <w:lang w:val="en-GB"/>
              </w:rPr>
              <w:t>(</w:t>
            </w:r>
            <w:r w:rsidR="007C289D" w:rsidRPr="00A00994">
              <w:rPr>
                <w:color w:val="0D0D0D" w:themeColor="text1" w:themeTint="F2"/>
                <w:spacing w:val="-5"/>
                <w:lang w:val="en-GB"/>
              </w:rPr>
              <w:t>foreign aid, expenditures on the integration of refugees in the CR, crisis management in the area of state material reserves</w:t>
            </w:r>
            <w:r w:rsidR="008F2E83" w:rsidRPr="00A00994">
              <w:rPr>
                <w:color w:val="0D0D0D" w:themeColor="text1" w:themeTint="F2"/>
                <w:spacing w:val="-5"/>
                <w:lang w:val="en-GB"/>
              </w:rPr>
              <w:t>).</w:t>
            </w:r>
            <w:r w:rsidR="007C289D" w:rsidRPr="00A00994">
              <w:rPr>
                <w:color w:val="0D0D0D" w:themeColor="text1" w:themeTint="F2"/>
                <w:spacing w:val="-5"/>
                <w:lang w:val="en-GB"/>
              </w:rPr>
              <w:t xml:space="preserve"> In the opposite direction went the further reduction of the financial assistance </w:t>
            </w:r>
            <w:r w:rsidR="004B18DF" w:rsidRPr="00A00994">
              <w:rPr>
                <w:color w:val="0D0D0D" w:themeColor="text1" w:themeTint="F2"/>
                <w:spacing w:val="-5"/>
                <w:lang w:val="en-GB"/>
              </w:rPr>
              <w:t>r</w:t>
            </w:r>
            <w:r w:rsidR="007C289D" w:rsidRPr="00A00994">
              <w:rPr>
                <w:color w:val="0D0D0D" w:themeColor="text1" w:themeTint="F2"/>
                <w:spacing w:val="-5"/>
                <w:lang w:val="en-GB"/>
              </w:rPr>
              <w:t>elated to the pandemics</w:t>
            </w:r>
            <w:r w:rsidR="008F2E83" w:rsidRPr="00A00994">
              <w:rPr>
                <w:rStyle w:val="Znakapoznpodarou"/>
                <w:color w:val="0D0D0D" w:themeColor="text1" w:themeTint="F2"/>
                <w:spacing w:val="-5"/>
                <w:lang w:val="en-GB"/>
              </w:rPr>
              <w:footnoteReference w:id="10"/>
            </w:r>
            <w:r w:rsidR="008F2E83" w:rsidRPr="00A00994">
              <w:rPr>
                <w:color w:val="0D0D0D" w:themeColor="text1" w:themeTint="F2"/>
                <w:spacing w:val="-5"/>
                <w:lang w:val="en-GB"/>
              </w:rPr>
              <w:t>.</w:t>
            </w:r>
            <w:r w:rsidR="007C289D" w:rsidRPr="00A00994">
              <w:rPr>
                <w:color w:val="0D0D0D" w:themeColor="text1" w:themeTint="F2"/>
                <w:spacing w:val="-5"/>
                <w:lang w:val="en-GB"/>
              </w:rPr>
              <w:t xml:space="preserve"> The total size of the SB current expenditures thus increased by </w:t>
            </w:r>
            <w:r w:rsidR="004B18DF" w:rsidRPr="00A00994">
              <w:rPr>
                <w:color w:val="0D0D0D" w:themeColor="text1" w:themeTint="F2"/>
                <w:spacing w:val="-5"/>
                <w:lang w:val="en-GB"/>
              </w:rPr>
              <w:t xml:space="preserve">5.4% year-on-year in Q2 2022 itself, while it plummeted by </w:t>
            </w:r>
            <w:r w:rsidR="008F2E83" w:rsidRPr="00A00994">
              <w:rPr>
                <w:color w:val="0D0D0D" w:themeColor="text1" w:themeTint="F2"/>
                <w:spacing w:val="-5"/>
                <w:lang w:val="en-GB"/>
              </w:rPr>
              <w:t>9</w:t>
            </w:r>
            <w:r w:rsidR="004B18DF" w:rsidRPr="00A00994">
              <w:rPr>
                <w:color w:val="0D0D0D" w:themeColor="text1" w:themeTint="F2"/>
                <w:spacing w:val="-5"/>
                <w:lang w:val="en-GB"/>
              </w:rPr>
              <w:t>.</w:t>
            </w:r>
            <w:r w:rsidR="008F2E83" w:rsidRPr="00A00994">
              <w:rPr>
                <w:color w:val="0D0D0D" w:themeColor="text1" w:themeTint="F2"/>
                <w:spacing w:val="-5"/>
                <w:lang w:val="en-GB"/>
              </w:rPr>
              <w:t>5%</w:t>
            </w:r>
            <w:r w:rsidR="004B18DF" w:rsidRPr="00A00994">
              <w:rPr>
                <w:color w:val="0D0D0D" w:themeColor="text1" w:themeTint="F2"/>
                <w:spacing w:val="-5"/>
                <w:lang w:val="en-GB"/>
              </w:rPr>
              <w:t xml:space="preserve"> in the previous quarter</w:t>
            </w:r>
            <w:r w:rsidR="008F2E83" w:rsidRPr="00A00994">
              <w:rPr>
                <w:color w:val="0D0D0D" w:themeColor="text1" w:themeTint="F2"/>
                <w:spacing w:val="-5"/>
                <w:lang w:val="en-GB"/>
              </w:rPr>
              <w:t>.</w:t>
            </w:r>
          </w:p>
        </w:tc>
      </w:tr>
      <w:tr w:rsidR="008F2E83" w:rsidRPr="00A00994" w14:paraId="26FF80E2" w14:textId="77777777" w:rsidTr="00EE762D">
        <w:trPr>
          <w:trHeight w:val="145"/>
        </w:trPr>
        <w:tc>
          <w:tcPr>
            <w:tcW w:w="1805" w:type="dxa"/>
            <w:shd w:val="clear" w:color="auto" w:fill="auto"/>
            <w:tcMar>
              <w:left w:w="0" w:type="dxa"/>
            </w:tcMar>
          </w:tcPr>
          <w:p w14:paraId="07C8005B" w14:textId="5C9302F5" w:rsidR="008F2E83" w:rsidRPr="00A00994" w:rsidRDefault="00076CCB" w:rsidP="000C7A79">
            <w:pPr>
              <w:pStyle w:val="Marginlie"/>
              <w:rPr>
                <w:lang w:val="en-GB"/>
              </w:rPr>
            </w:pPr>
            <w:r w:rsidRPr="00A00994">
              <w:rPr>
                <w:lang w:val="en-GB"/>
              </w:rPr>
              <w:t>Volume of current transfe</w:t>
            </w:r>
            <w:r w:rsidR="00AA0A80">
              <w:rPr>
                <w:lang w:val="en-GB"/>
              </w:rPr>
              <w:t xml:space="preserve">rs to business entities </w:t>
            </w:r>
            <w:r w:rsidRPr="00A00994">
              <w:rPr>
                <w:lang w:val="en-GB"/>
              </w:rPr>
              <w:t xml:space="preserve">returned to the level from year </w:t>
            </w:r>
            <w:r w:rsidR="008F2E83" w:rsidRPr="00A00994">
              <w:rPr>
                <w:lang w:val="en-GB"/>
              </w:rPr>
              <w:t>2019.</w:t>
            </w:r>
          </w:p>
          <w:p w14:paraId="1EC25E8E" w14:textId="77777777" w:rsidR="008F2E83" w:rsidRPr="00A00994" w:rsidRDefault="008F2E83" w:rsidP="000C7A79">
            <w:pPr>
              <w:pStyle w:val="Marginlie"/>
              <w:rPr>
                <w:lang w:val="en-GB"/>
              </w:rPr>
            </w:pPr>
          </w:p>
          <w:p w14:paraId="21B2299B" w14:textId="77777777" w:rsidR="008F2E83" w:rsidRPr="00A00994" w:rsidRDefault="008F2E83" w:rsidP="000C7A79">
            <w:pPr>
              <w:pStyle w:val="Marginlie"/>
              <w:rPr>
                <w:lang w:val="en-GB"/>
              </w:rPr>
            </w:pPr>
          </w:p>
          <w:p w14:paraId="4AF2E5BE" w14:textId="77777777" w:rsidR="008F2E83" w:rsidRPr="00A00994" w:rsidRDefault="008F2E83" w:rsidP="000C7A79">
            <w:pPr>
              <w:pStyle w:val="Marginlie"/>
              <w:rPr>
                <w:lang w:val="en-GB"/>
              </w:rPr>
            </w:pPr>
          </w:p>
          <w:p w14:paraId="636479F8" w14:textId="77777777" w:rsidR="008F2E83" w:rsidRPr="00A00994" w:rsidRDefault="008F2E83" w:rsidP="000C7A79">
            <w:pPr>
              <w:pStyle w:val="Marginlie"/>
              <w:rPr>
                <w:lang w:val="en-GB"/>
              </w:rPr>
            </w:pPr>
          </w:p>
          <w:p w14:paraId="20A81808" w14:textId="77777777" w:rsidR="008F2E83" w:rsidRPr="00A00994" w:rsidRDefault="008F2E83" w:rsidP="000C7A79">
            <w:pPr>
              <w:pStyle w:val="Marginlie"/>
              <w:rPr>
                <w:lang w:val="en-GB"/>
              </w:rPr>
            </w:pPr>
          </w:p>
          <w:p w14:paraId="6BAEA4D3" w14:textId="77777777" w:rsidR="008F2E83" w:rsidRPr="00A00994" w:rsidRDefault="008F2E83" w:rsidP="000C7A79">
            <w:pPr>
              <w:pStyle w:val="Marginlie"/>
              <w:rPr>
                <w:lang w:val="en-GB"/>
              </w:rPr>
            </w:pPr>
          </w:p>
          <w:p w14:paraId="25F61C27" w14:textId="77777777" w:rsidR="008F2E83" w:rsidRPr="00A00994" w:rsidRDefault="008F2E83" w:rsidP="000C7A79">
            <w:pPr>
              <w:pStyle w:val="Marginlie"/>
              <w:rPr>
                <w:lang w:val="en-GB"/>
              </w:rPr>
            </w:pPr>
          </w:p>
          <w:p w14:paraId="6DA2D46A" w14:textId="287FAF95" w:rsidR="008F2E83" w:rsidRPr="00A00994" w:rsidRDefault="0097737B" w:rsidP="000C7A79">
            <w:pPr>
              <w:pStyle w:val="Marginlie"/>
              <w:rPr>
                <w:lang w:val="en-GB"/>
              </w:rPr>
            </w:pPr>
            <w:r w:rsidRPr="00A00994">
              <w:rPr>
                <w:lang w:val="en-GB"/>
              </w:rPr>
              <w:t>More expenditures were directed to the non-investment purchases, t</w:t>
            </w:r>
            <w:r w:rsidR="004B18DF" w:rsidRPr="00A00994">
              <w:rPr>
                <w:lang w:val="en-GB"/>
              </w:rPr>
              <w:t>he cost of servicing the growing state debt</w:t>
            </w:r>
            <w:r w:rsidRPr="00A00994">
              <w:rPr>
                <w:lang w:val="en-GB"/>
              </w:rPr>
              <w:t xml:space="preserve"> was however also rising. </w:t>
            </w:r>
          </w:p>
          <w:p w14:paraId="1ABBD4F4" w14:textId="77777777" w:rsidR="008F2E83" w:rsidRPr="00A00994" w:rsidRDefault="008F2E83" w:rsidP="000C7A79">
            <w:pPr>
              <w:pStyle w:val="Marginlie"/>
              <w:rPr>
                <w:lang w:val="en-GB"/>
              </w:rPr>
            </w:pPr>
          </w:p>
        </w:tc>
        <w:tc>
          <w:tcPr>
            <w:tcW w:w="217" w:type="dxa"/>
            <w:shd w:val="clear" w:color="auto" w:fill="auto"/>
            <w:tcMar>
              <w:left w:w="0" w:type="dxa"/>
            </w:tcMar>
          </w:tcPr>
          <w:p w14:paraId="32E5649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2550C76E" w14:textId="332DEF4D" w:rsidR="008F2E83" w:rsidRPr="00A00994" w:rsidRDefault="0077190D" w:rsidP="003C7D39">
            <w:pPr>
              <w:spacing w:after="210"/>
              <w:rPr>
                <w:color w:val="0D0D0D" w:themeColor="text1" w:themeTint="F2"/>
                <w:spacing w:val="-5"/>
                <w:lang w:val="en-GB"/>
              </w:rPr>
            </w:pPr>
            <w:r w:rsidRPr="00A00994">
              <w:rPr>
                <w:color w:val="0D0D0D" w:themeColor="text1" w:themeTint="F2"/>
                <w:spacing w:val="-5"/>
                <w:lang w:val="en-GB"/>
              </w:rPr>
              <w:t xml:space="preserve">The development of non-investment transfers to business entities, </w:t>
            </w:r>
            <w:r w:rsidR="0097737B" w:rsidRPr="00A00994">
              <w:rPr>
                <w:color w:val="0D0D0D" w:themeColor="text1" w:themeTint="F2"/>
                <w:spacing w:val="-5"/>
                <w:lang w:val="en-GB"/>
              </w:rPr>
              <w:t xml:space="preserve">which attained only </w:t>
            </w:r>
            <w:r w:rsidR="008F2E83" w:rsidRPr="00A00994">
              <w:rPr>
                <w:color w:val="0D0D0D" w:themeColor="text1" w:themeTint="F2"/>
                <w:spacing w:val="-5"/>
                <w:lang w:val="en-GB"/>
              </w:rPr>
              <w:t>40%</w:t>
            </w:r>
            <w:r w:rsidR="0097737B" w:rsidRPr="00A00994">
              <w:rPr>
                <w:color w:val="0D0D0D" w:themeColor="text1" w:themeTint="F2"/>
                <w:spacing w:val="-5"/>
                <w:lang w:val="en-GB"/>
              </w:rPr>
              <w:t xml:space="preserve"> of last year’s level and plunged by </w:t>
            </w:r>
            <w:r w:rsidR="00AA0A80">
              <w:rPr>
                <w:color w:val="0D0D0D" w:themeColor="text1" w:themeTint="F2"/>
                <w:spacing w:val="-5"/>
                <w:lang w:val="en-GB"/>
              </w:rPr>
              <w:t>5</w:t>
            </w:r>
            <w:r w:rsidR="0097737B" w:rsidRPr="00A00994">
              <w:rPr>
                <w:color w:val="0D0D0D" w:themeColor="text1" w:themeTint="F2"/>
                <w:spacing w:val="-5"/>
                <w:lang w:val="en-GB"/>
              </w:rPr>
              <w:t>1 CZK bn</w:t>
            </w:r>
            <w:r w:rsidRPr="00A00994">
              <w:rPr>
                <w:color w:val="0D0D0D" w:themeColor="text1" w:themeTint="F2"/>
                <w:spacing w:val="-5"/>
                <w:lang w:val="en-GB"/>
              </w:rPr>
              <w:t>, was decisive for the year-on-year fall of the current expenditures</w:t>
            </w:r>
            <w:r w:rsidR="008F2E83" w:rsidRPr="00A00994">
              <w:rPr>
                <w:color w:val="0D0D0D" w:themeColor="text1" w:themeTint="F2"/>
                <w:spacing w:val="-5"/>
                <w:lang w:val="en-GB"/>
              </w:rPr>
              <w:t>.</w:t>
            </w:r>
            <w:r w:rsidRPr="00A00994">
              <w:rPr>
                <w:color w:val="0D0D0D" w:themeColor="text1" w:themeTint="F2"/>
                <w:spacing w:val="-5"/>
                <w:lang w:val="en-GB"/>
              </w:rPr>
              <w:t xml:space="preserve"> It primarily reflected the decline of the </w:t>
            </w:r>
            <w:r w:rsidR="001006AB" w:rsidRPr="00A00994">
              <w:rPr>
                <w:color w:val="0D0D0D" w:themeColor="text1" w:themeTint="F2"/>
                <w:spacing w:val="-5"/>
                <w:lang w:val="en-GB"/>
              </w:rPr>
              <w:t>emergency programmes for the affected businesses as well as whole branches</w:t>
            </w:r>
            <w:r w:rsidR="008F2E83" w:rsidRPr="00A00994">
              <w:rPr>
                <w:color w:val="0D0D0D" w:themeColor="text1" w:themeTint="F2"/>
                <w:spacing w:val="-5"/>
                <w:lang w:val="en-GB"/>
              </w:rPr>
              <w:t xml:space="preserve">, </w:t>
            </w:r>
            <w:r w:rsidR="0097737B" w:rsidRPr="00A00994">
              <w:rPr>
                <w:color w:val="0D0D0D" w:themeColor="text1" w:themeTint="F2"/>
                <w:spacing w:val="-5"/>
                <w:lang w:val="en-GB"/>
              </w:rPr>
              <w:t xml:space="preserve">partially also the reduction of advance subsidies on renewable resources of energy </w:t>
            </w:r>
            <w:r w:rsidR="008F2E83" w:rsidRPr="00A00994">
              <w:rPr>
                <w:color w:val="0D0D0D" w:themeColor="text1" w:themeTint="F2"/>
                <w:spacing w:val="-5"/>
                <w:lang w:val="en-GB"/>
              </w:rPr>
              <w:t>(−3</w:t>
            </w:r>
            <w:r w:rsidR="0097737B" w:rsidRPr="00A00994">
              <w:rPr>
                <w:color w:val="0D0D0D" w:themeColor="text1" w:themeTint="F2"/>
                <w:spacing w:val="-5"/>
                <w:lang w:val="en-GB"/>
              </w:rPr>
              <w:t>.</w:t>
            </w:r>
            <w:r w:rsidR="008F2E83" w:rsidRPr="00A00994">
              <w:rPr>
                <w:color w:val="0D0D0D" w:themeColor="text1" w:themeTint="F2"/>
                <w:spacing w:val="-5"/>
                <w:lang w:val="en-GB"/>
              </w:rPr>
              <w:t>8</w:t>
            </w:r>
            <w:r w:rsidR="0097737B" w:rsidRPr="00A00994">
              <w:rPr>
                <w:color w:val="0D0D0D" w:themeColor="text1" w:themeTint="F2"/>
                <w:spacing w:val="-5"/>
                <w:lang w:val="en-GB"/>
              </w:rPr>
              <w:t xml:space="preserve"> CZK bn</w:t>
            </w:r>
            <w:r w:rsidR="008F2E83" w:rsidRPr="00A00994">
              <w:rPr>
                <w:color w:val="0D0D0D" w:themeColor="text1" w:themeTint="F2"/>
                <w:spacing w:val="-5"/>
                <w:lang w:val="en-GB"/>
              </w:rPr>
              <w:t xml:space="preserve">). </w:t>
            </w:r>
            <w:r w:rsidR="004C6438" w:rsidRPr="00A00994">
              <w:rPr>
                <w:color w:val="0D0D0D" w:themeColor="text1" w:themeTint="F2"/>
                <w:spacing w:val="-5"/>
                <w:lang w:val="en-GB"/>
              </w:rPr>
              <w:t>Lower transfers to contributory as well as non-profit organisations were also connected to the decrease of the counter-pandemic help, their impact on current expenditures was however of smaller magnitude</w:t>
            </w:r>
            <w:r w:rsidR="008F2E83" w:rsidRPr="00A00994">
              <w:rPr>
                <w:color w:val="0D0D0D" w:themeColor="text1" w:themeTint="F2"/>
                <w:spacing w:val="-5"/>
                <w:lang w:val="en-GB"/>
              </w:rPr>
              <w:t xml:space="preserve">. </w:t>
            </w:r>
            <w:r w:rsidRPr="00A00994">
              <w:rPr>
                <w:color w:val="0D0D0D" w:themeColor="text1" w:themeTint="F2"/>
                <w:spacing w:val="-5"/>
                <w:lang w:val="en-GB"/>
              </w:rPr>
              <w:t>Significant by volume current transfers towards regions and municipalities stagnated, because the mild growth of wage tariffs of teachers</w:t>
            </w:r>
            <w:r w:rsidR="004C6438" w:rsidRPr="00A00994">
              <w:rPr>
                <w:color w:val="0D0D0D" w:themeColor="text1" w:themeTint="F2"/>
                <w:spacing w:val="-5"/>
                <w:lang w:val="en-GB"/>
              </w:rPr>
              <w:t xml:space="preserve"> of primary and secondary schools </w:t>
            </w:r>
            <w:r w:rsidR="008F2E83" w:rsidRPr="00A00994">
              <w:rPr>
                <w:color w:val="0D0D0D" w:themeColor="text1" w:themeTint="F2"/>
                <w:spacing w:val="-5"/>
                <w:lang w:val="en-GB"/>
              </w:rPr>
              <w:t>(+2%)</w:t>
            </w:r>
            <w:r w:rsidR="004C6438" w:rsidRPr="00A00994">
              <w:rPr>
                <w:color w:val="0D0D0D" w:themeColor="text1" w:themeTint="F2"/>
                <w:spacing w:val="-5"/>
                <w:lang w:val="en-GB"/>
              </w:rPr>
              <w:t xml:space="preserve"> was compensated by reduction of funds in the area of social services or inpatient care </w:t>
            </w:r>
            <w:r w:rsidR="008F2E83" w:rsidRPr="00A00994">
              <w:rPr>
                <w:color w:val="0D0D0D" w:themeColor="text1" w:themeTint="F2"/>
                <w:spacing w:val="-5"/>
                <w:lang w:val="en-GB"/>
              </w:rPr>
              <w:t>(</w:t>
            </w:r>
            <w:r w:rsidR="004C6438" w:rsidRPr="00A00994">
              <w:rPr>
                <w:color w:val="0D0D0D" w:themeColor="text1" w:themeTint="F2"/>
                <w:spacing w:val="-5"/>
                <w:lang w:val="en-GB"/>
              </w:rPr>
              <w:t>associated with the last year’s extraordinary bonuses</w:t>
            </w:r>
            <w:r w:rsidR="008F2E83" w:rsidRPr="00A00994">
              <w:rPr>
                <w:color w:val="0D0D0D" w:themeColor="text1" w:themeTint="F2"/>
                <w:spacing w:val="-5"/>
                <w:lang w:val="en-GB"/>
              </w:rPr>
              <w:t xml:space="preserve">). </w:t>
            </w:r>
            <w:r w:rsidR="00A237C6" w:rsidRPr="00A00994">
              <w:rPr>
                <w:color w:val="0D0D0D" w:themeColor="text1" w:themeTint="F2"/>
                <w:spacing w:val="-5"/>
                <w:lang w:val="en-GB"/>
              </w:rPr>
              <w:t xml:space="preserve">Expenditures on wages in the organisational units of the state practically stagnated for the third year in a row. More funds were in contrast expended on the non-investment purchases year-on-year </w:t>
            </w:r>
            <w:r w:rsidR="008F2E83" w:rsidRPr="00A00994">
              <w:rPr>
                <w:color w:val="0D0D0D" w:themeColor="text1" w:themeTint="F2"/>
                <w:spacing w:val="-5"/>
                <w:lang w:val="en-GB"/>
              </w:rPr>
              <w:t>(+22</w:t>
            </w:r>
            <w:r w:rsidR="00A237C6" w:rsidRPr="00A00994">
              <w:rPr>
                <w:color w:val="0D0D0D" w:themeColor="text1" w:themeTint="F2"/>
                <w:spacing w:val="-5"/>
                <w:lang w:val="en-GB"/>
              </w:rPr>
              <w:t>.</w:t>
            </w:r>
            <w:r w:rsidR="008F2E83" w:rsidRPr="00A00994">
              <w:rPr>
                <w:color w:val="0D0D0D" w:themeColor="text1" w:themeTint="F2"/>
                <w:spacing w:val="-5"/>
                <w:lang w:val="en-GB"/>
              </w:rPr>
              <w:t xml:space="preserve">6%, </w:t>
            </w:r>
            <w:r w:rsidR="003C7D39">
              <w:rPr>
                <w:color w:val="0D0D0D" w:themeColor="text1" w:themeTint="F2"/>
                <w:spacing w:val="-5"/>
                <w:lang w:val="en-GB"/>
              </w:rPr>
              <w:t>i.e.</w:t>
            </w:r>
            <w:r w:rsidR="008F2E83" w:rsidRPr="00A00994">
              <w:rPr>
                <w:color w:val="0D0D0D" w:themeColor="text1" w:themeTint="F2"/>
                <w:spacing w:val="-5"/>
                <w:lang w:val="en-GB"/>
              </w:rPr>
              <w:t xml:space="preserve"> 7</w:t>
            </w:r>
            <w:r w:rsidR="00A237C6" w:rsidRPr="00A00994">
              <w:rPr>
                <w:color w:val="0D0D0D" w:themeColor="text1" w:themeTint="F2"/>
                <w:spacing w:val="-5"/>
                <w:lang w:val="en-GB"/>
              </w:rPr>
              <w:t>.</w:t>
            </w:r>
            <w:r w:rsidR="008F2E83" w:rsidRPr="00A00994">
              <w:rPr>
                <w:color w:val="0D0D0D" w:themeColor="text1" w:themeTint="F2"/>
                <w:spacing w:val="-5"/>
                <w:lang w:val="en-GB"/>
              </w:rPr>
              <w:t>3</w:t>
            </w:r>
            <w:r w:rsidR="00A237C6" w:rsidRPr="00A00994">
              <w:rPr>
                <w:color w:val="0D0D0D" w:themeColor="text1" w:themeTint="F2"/>
                <w:spacing w:val="-5"/>
                <w:lang w:val="en-GB"/>
              </w:rPr>
              <w:t xml:space="preserve"> CZK bn</w:t>
            </w:r>
            <w:r w:rsidR="008F2E83" w:rsidRPr="00A00994">
              <w:rPr>
                <w:color w:val="0D0D0D" w:themeColor="text1" w:themeTint="F2"/>
                <w:spacing w:val="-5"/>
                <w:lang w:val="en-GB"/>
              </w:rPr>
              <w:t>),</w:t>
            </w:r>
            <w:r w:rsidR="00A237C6" w:rsidRPr="00A00994">
              <w:rPr>
                <w:color w:val="0D0D0D" w:themeColor="text1" w:themeTint="F2"/>
                <w:spacing w:val="-5"/>
                <w:lang w:val="en-GB"/>
              </w:rPr>
              <w:t xml:space="preserve"> </w:t>
            </w:r>
            <w:r w:rsidR="009C243F" w:rsidRPr="00A00994">
              <w:rPr>
                <w:color w:val="0D0D0D" w:themeColor="text1" w:themeTint="F2"/>
                <w:spacing w:val="-5"/>
                <w:lang w:val="en-GB"/>
              </w:rPr>
              <w:t xml:space="preserve">where the higher expenditures to bolsters up the </w:t>
            </w:r>
            <w:r w:rsidR="00E010D9" w:rsidRPr="00A00994">
              <w:rPr>
                <w:color w:val="0D0D0D" w:themeColor="text1" w:themeTint="F2"/>
                <w:spacing w:val="-5"/>
                <w:lang w:val="en-GB"/>
              </w:rPr>
              <w:t>state material reserves</w:t>
            </w:r>
            <w:r w:rsidR="009C243F" w:rsidRPr="00A00994">
              <w:rPr>
                <w:color w:val="0D0D0D" w:themeColor="text1" w:themeTint="F2"/>
                <w:spacing w:val="-5"/>
                <w:lang w:val="en-GB"/>
              </w:rPr>
              <w:t xml:space="preserve">, growing prices consumed energies or higher need to purchase medicine and medical material </w:t>
            </w:r>
            <w:r w:rsidR="009C243F" w:rsidRPr="00A00994">
              <w:rPr>
                <w:spacing w:val="-5"/>
                <w:lang w:val="en-GB"/>
              </w:rPr>
              <w:t>were evident</w:t>
            </w:r>
            <w:r w:rsidR="008F2E83" w:rsidRPr="00A00994">
              <w:rPr>
                <w:spacing w:val="-5"/>
                <w:lang w:val="en-GB"/>
              </w:rPr>
              <w:t xml:space="preserve">. </w:t>
            </w:r>
            <w:r w:rsidR="004B6005" w:rsidRPr="00A00994">
              <w:rPr>
                <w:spacing w:val="-5"/>
                <w:lang w:val="en-GB"/>
              </w:rPr>
              <w:t xml:space="preserve">The </w:t>
            </w:r>
            <w:r w:rsidR="00C1234A" w:rsidRPr="00A00994">
              <w:rPr>
                <w:spacing w:val="-5"/>
                <w:lang w:val="en-GB"/>
              </w:rPr>
              <w:t xml:space="preserve">temporarily augmented payments for the </w:t>
            </w:r>
            <w:r w:rsidR="00BC7BCB">
              <w:rPr>
                <w:spacing w:val="-5"/>
                <w:lang w:val="en-GB"/>
              </w:rPr>
              <w:t>so called state insured persons</w:t>
            </w:r>
            <w:r w:rsidR="004B6005" w:rsidRPr="00A00994">
              <w:rPr>
                <w:spacing w:val="-5"/>
                <w:lang w:val="en-GB"/>
              </w:rPr>
              <w:t xml:space="preserve"> </w:t>
            </w:r>
            <w:r w:rsidR="008F2E83" w:rsidRPr="00A00994">
              <w:rPr>
                <w:spacing w:val="-5"/>
                <w:lang w:val="en-GB"/>
              </w:rPr>
              <w:t>(+8</w:t>
            </w:r>
            <w:r w:rsidR="00C1234A" w:rsidRPr="00A00994">
              <w:rPr>
                <w:spacing w:val="-5"/>
                <w:lang w:val="en-GB"/>
              </w:rPr>
              <w:t>.</w:t>
            </w:r>
            <w:r w:rsidR="008F2E83" w:rsidRPr="00A00994">
              <w:rPr>
                <w:spacing w:val="-5"/>
                <w:lang w:val="en-GB"/>
              </w:rPr>
              <w:t>2</w:t>
            </w:r>
            <w:r w:rsidR="00C1234A" w:rsidRPr="00A00994">
              <w:rPr>
                <w:spacing w:val="-5"/>
                <w:lang w:val="en-GB"/>
              </w:rPr>
              <w:t xml:space="preserve"> CZK bn</w:t>
            </w:r>
            <w:r w:rsidR="008F2E83" w:rsidRPr="00A00994">
              <w:rPr>
                <w:spacing w:val="-5"/>
                <w:lang w:val="en-GB"/>
              </w:rPr>
              <w:t>)</w:t>
            </w:r>
            <w:r w:rsidR="008F2E83" w:rsidRPr="00A00994">
              <w:rPr>
                <w:rStyle w:val="Znakapoznpodarou"/>
                <w:spacing w:val="-5"/>
                <w:lang w:val="en-GB"/>
              </w:rPr>
              <w:footnoteReference w:id="11"/>
            </w:r>
            <w:r w:rsidR="00C1234A" w:rsidRPr="00A00994">
              <w:rPr>
                <w:spacing w:val="-5"/>
                <w:lang w:val="en-GB"/>
              </w:rPr>
              <w:t xml:space="preserve"> also burdened the SB more this year</w:t>
            </w:r>
            <w:r w:rsidR="008F2E83" w:rsidRPr="00A00994">
              <w:rPr>
                <w:spacing w:val="-5"/>
                <w:lang w:val="en-GB"/>
              </w:rPr>
              <w:t xml:space="preserve">. </w:t>
            </w:r>
            <w:r w:rsidR="00C1234A" w:rsidRPr="00A00994">
              <w:rPr>
                <w:spacing w:val="-5"/>
                <w:lang w:val="en-GB"/>
              </w:rPr>
              <w:t xml:space="preserve">Expenditures on servicing the state debt also enlarged </w:t>
            </w:r>
            <w:r w:rsidR="008F2E83" w:rsidRPr="00A00994">
              <w:rPr>
                <w:spacing w:val="-5"/>
                <w:lang w:val="en-GB"/>
              </w:rPr>
              <w:t>(</w:t>
            </w:r>
            <w:r w:rsidR="00C1234A" w:rsidRPr="00A00994">
              <w:rPr>
                <w:spacing w:val="-5"/>
                <w:lang w:val="en-GB"/>
              </w:rPr>
              <w:t xml:space="preserve">to </w:t>
            </w:r>
            <w:r w:rsidR="008F2E83" w:rsidRPr="00A00994">
              <w:rPr>
                <w:spacing w:val="-5"/>
                <w:lang w:val="en-GB"/>
              </w:rPr>
              <w:t>23</w:t>
            </w:r>
            <w:r w:rsidR="00C1234A" w:rsidRPr="00A00994">
              <w:rPr>
                <w:spacing w:val="-5"/>
                <w:lang w:val="en-GB"/>
              </w:rPr>
              <w:t xml:space="preserve"> CZK bn</w:t>
            </w:r>
            <w:r w:rsidR="008F2E83" w:rsidRPr="00A00994">
              <w:rPr>
                <w:rStyle w:val="Znakapoznpodarou"/>
                <w:spacing w:val="-5"/>
                <w:lang w:val="en-GB"/>
              </w:rPr>
              <w:footnoteReference w:id="12"/>
            </w:r>
            <w:r w:rsidR="008F2E83" w:rsidRPr="00A00994">
              <w:rPr>
                <w:spacing w:val="-5"/>
                <w:lang w:val="en-GB"/>
              </w:rPr>
              <w:t xml:space="preserve">, </w:t>
            </w:r>
            <w:r w:rsidR="00C1234A" w:rsidRPr="00A00994">
              <w:rPr>
                <w:spacing w:val="-5"/>
                <w:lang w:val="en-GB"/>
              </w:rPr>
              <w:t>nearly twofold in the last two years</w:t>
            </w:r>
            <w:r w:rsidR="008F2E83" w:rsidRPr="00A00994">
              <w:rPr>
                <w:spacing w:val="-5"/>
                <w:lang w:val="en-GB"/>
              </w:rPr>
              <w:t xml:space="preserve">). </w:t>
            </w:r>
            <w:r w:rsidR="00ED74BD" w:rsidRPr="00A00994">
              <w:rPr>
                <w:spacing w:val="-5"/>
                <w:lang w:val="en-GB"/>
              </w:rPr>
              <w:t xml:space="preserve">The marked growth of interest rates on the bond marked as well as continuing strong growth of the size of the debt </w:t>
            </w:r>
            <w:r w:rsidR="00ED74BD" w:rsidRPr="00A00994">
              <w:rPr>
                <w:spacing w:val="-4"/>
                <w:lang w:val="en-GB"/>
              </w:rPr>
              <w:t>stood behind it</w:t>
            </w:r>
            <w:r w:rsidR="008F2E83" w:rsidRPr="00A00994">
              <w:rPr>
                <w:spacing w:val="-4"/>
                <w:lang w:val="en-GB"/>
              </w:rPr>
              <w:t xml:space="preserve">. </w:t>
            </w:r>
            <w:r w:rsidR="00AE7739" w:rsidRPr="00A00994">
              <w:rPr>
                <w:spacing w:val="-4"/>
                <w:lang w:val="en-GB"/>
              </w:rPr>
              <w:t>State</w:t>
            </w:r>
            <w:r w:rsidRPr="00A00994">
              <w:rPr>
                <w:spacing w:val="-4"/>
                <w:lang w:val="en-GB"/>
              </w:rPr>
              <w:t xml:space="preserve"> debt totalled </w:t>
            </w:r>
            <w:r w:rsidR="008F2E83" w:rsidRPr="00A00994">
              <w:rPr>
                <w:spacing w:val="-4"/>
                <w:lang w:val="en-GB"/>
              </w:rPr>
              <w:t>2</w:t>
            </w:r>
            <w:r w:rsidRPr="00A00994">
              <w:rPr>
                <w:spacing w:val="-4"/>
                <w:lang w:val="en-GB"/>
              </w:rPr>
              <w:t> </w:t>
            </w:r>
            <w:r w:rsidR="008F2E83" w:rsidRPr="00A00994">
              <w:rPr>
                <w:spacing w:val="-4"/>
                <w:lang w:val="en-GB"/>
              </w:rPr>
              <w:t>708</w:t>
            </w:r>
            <w:r w:rsidRPr="00A00994">
              <w:rPr>
                <w:spacing w:val="-4"/>
                <w:lang w:val="en-GB"/>
              </w:rPr>
              <w:t xml:space="preserve"> CZK bn at the end of June this year by </w:t>
            </w:r>
            <w:r w:rsidR="008F2E83" w:rsidRPr="00A00994">
              <w:rPr>
                <w:spacing w:val="-4"/>
                <w:lang w:val="en-GB"/>
              </w:rPr>
              <w:t>12</w:t>
            </w:r>
            <w:r w:rsidRPr="00A00994">
              <w:rPr>
                <w:spacing w:val="-4"/>
                <w:lang w:val="en-GB"/>
              </w:rPr>
              <w:t>.</w:t>
            </w:r>
            <w:r w:rsidR="008F2E83" w:rsidRPr="00A00994">
              <w:rPr>
                <w:spacing w:val="-4"/>
                <w:lang w:val="en-GB"/>
              </w:rPr>
              <w:t>1%</w:t>
            </w:r>
            <w:r w:rsidRPr="00A00994">
              <w:rPr>
                <w:spacing w:val="-4"/>
                <w:lang w:val="en-GB"/>
              </w:rPr>
              <w:t xml:space="preserve"> more year-on-year</w:t>
            </w:r>
            <w:r w:rsidR="008F2E83" w:rsidRPr="00A00994">
              <w:rPr>
                <w:spacing w:val="-4"/>
                <w:lang w:val="en-GB"/>
              </w:rPr>
              <w:t xml:space="preserve">. </w:t>
            </w:r>
            <w:r w:rsidR="00AE7739" w:rsidRPr="00A00994">
              <w:rPr>
                <w:spacing w:val="-4"/>
                <w:lang w:val="en-GB"/>
              </w:rPr>
              <w:t xml:space="preserve">The debt climbed up </w:t>
            </w:r>
            <w:r w:rsidRPr="00A00994">
              <w:rPr>
                <w:spacing w:val="-4"/>
                <w:lang w:val="en-GB"/>
              </w:rPr>
              <w:t>by</w:t>
            </w:r>
            <w:r w:rsidR="00AE7739" w:rsidRPr="00A00994">
              <w:rPr>
                <w:spacing w:val="-4"/>
                <w:lang w:val="en-GB"/>
              </w:rPr>
              <w:t xml:space="preserve"> </w:t>
            </w:r>
            <w:r w:rsidR="008F2E83" w:rsidRPr="00A00994">
              <w:rPr>
                <w:spacing w:val="-4"/>
                <w:lang w:val="en-GB"/>
              </w:rPr>
              <w:t>242</w:t>
            </w:r>
            <w:r w:rsidR="00AE7739" w:rsidRPr="00A00994">
              <w:rPr>
                <w:spacing w:val="-4"/>
                <w:lang w:val="en-GB"/>
              </w:rPr>
              <w:t xml:space="preserve"> bn since the beginning of this year, which was nevertheless less than in the preceding two years. </w:t>
            </w:r>
          </w:p>
        </w:tc>
      </w:tr>
      <w:tr w:rsidR="008F2E83" w:rsidRPr="00A00994" w14:paraId="0132ADE0" w14:textId="77777777" w:rsidTr="00EE762D">
        <w:trPr>
          <w:trHeight w:val="145"/>
        </w:trPr>
        <w:tc>
          <w:tcPr>
            <w:tcW w:w="1805" w:type="dxa"/>
            <w:shd w:val="clear" w:color="auto" w:fill="auto"/>
            <w:tcMar>
              <w:left w:w="0" w:type="dxa"/>
            </w:tcMar>
          </w:tcPr>
          <w:p w14:paraId="3300213D" w14:textId="13759BAD" w:rsidR="008F2E83" w:rsidRPr="00A00994" w:rsidRDefault="00404398" w:rsidP="000C7A79">
            <w:pPr>
              <w:pStyle w:val="Marginlie"/>
              <w:rPr>
                <w:lang w:val="en-GB"/>
              </w:rPr>
            </w:pPr>
            <w:r w:rsidRPr="00A00994">
              <w:rPr>
                <w:lang w:val="en-GB"/>
              </w:rPr>
              <w:t>Growth of SB current expenditures was driven mostly by the paid out pensions, whose level was raised two times in H</w:t>
            </w:r>
            <w:r w:rsidR="008F2E83" w:rsidRPr="00A00994">
              <w:rPr>
                <w:lang w:val="en-GB"/>
              </w:rPr>
              <w:t>1.</w:t>
            </w:r>
            <w:r w:rsidRPr="00A00994">
              <w:rPr>
                <w:lang w:val="en-GB"/>
              </w:rPr>
              <w:t xml:space="preserve"> Pension account deficit deepened. </w:t>
            </w:r>
          </w:p>
        </w:tc>
        <w:tc>
          <w:tcPr>
            <w:tcW w:w="217" w:type="dxa"/>
            <w:shd w:val="clear" w:color="auto" w:fill="auto"/>
            <w:tcMar>
              <w:left w:w="0" w:type="dxa"/>
            </w:tcMar>
          </w:tcPr>
          <w:p w14:paraId="2707F169"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76C51139" w14:textId="75468ABF" w:rsidR="008F2E83" w:rsidRPr="00AA0A80" w:rsidRDefault="00BA4287" w:rsidP="000C7A79">
            <w:pPr>
              <w:spacing w:after="210"/>
              <w:rPr>
                <w:spacing w:val="-5"/>
                <w:lang w:val="en-GB"/>
              </w:rPr>
            </w:pPr>
            <w:r w:rsidRPr="00AA0A80">
              <w:rPr>
                <w:color w:val="0D0D0D" w:themeColor="text1" w:themeTint="F2"/>
                <w:spacing w:val="-5"/>
                <w:lang w:val="en-GB"/>
              </w:rPr>
              <w:t xml:space="preserve">Expenditures on social benefits traditionally form part of the SB current </w:t>
            </w:r>
            <w:r w:rsidR="00A237C6" w:rsidRPr="00AA0A80">
              <w:rPr>
                <w:color w:val="0D0D0D" w:themeColor="text1" w:themeTint="F2"/>
                <w:spacing w:val="-5"/>
                <w:lang w:val="en-GB"/>
              </w:rPr>
              <w:t>expenditures</w:t>
            </w:r>
            <w:r w:rsidRPr="00AA0A80">
              <w:rPr>
                <w:color w:val="0D0D0D" w:themeColor="text1" w:themeTint="F2"/>
                <w:spacing w:val="-5"/>
                <w:lang w:val="en-GB"/>
              </w:rPr>
              <w:t xml:space="preserve"> </w:t>
            </w:r>
            <w:r w:rsidR="008F2E83" w:rsidRPr="00AA0A80">
              <w:rPr>
                <w:color w:val="0D0D0D" w:themeColor="text1" w:themeTint="F2"/>
                <w:spacing w:val="-5"/>
                <w:lang w:val="en-GB"/>
              </w:rPr>
              <w:t xml:space="preserve">– </w:t>
            </w:r>
            <w:r w:rsidRPr="00AA0A80">
              <w:rPr>
                <w:color w:val="0D0D0D" w:themeColor="text1" w:themeTint="F2"/>
                <w:spacing w:val="-5"/>
                <w:lang w:val="en-GB"/>
              </w:rPr>
              <w:t xml:space="preserve">it presented </w:t>
            </w:r>
            <w:r w:rsidR="008F2E83" w:rsidRPr="00AA0A80">
              <w:rPr>
                <w:color w:val="0D0D0D" w:themeColor="text1" w:themeTint="F2"/>
                <w:spacing w:val="-5"/>
                <w:lang w:val="en-GB"/>
              </w:rPr>
              <w:t>41</w:t>
            </w:r>
            <w:r w:rsidRPr="00AA0A80">
              <w:rPr>
                <w:color w:val="0D0D0D" w:themeColor="text1" w:themeTint="F2"/>
                <w:spacing w:val="-5"/>
                <w:lang w:val="en-GB"/>
              </w:rPr>
              <w:t>.</w:t>
            </w:r>
            <w:r w:rsidR="008F2E83" w:rsidRPr="00AA0A80">
              <w:rPr>
                <w:color w:val="0D0D0D" w:themeColor="text1" w:themeTint="F2"/>
                <w:spacing w:val="-5"/>
                <w:lang w:val="en-GB"/>
              </w:rPr>
              <w:t>4%</w:t>
            </w:r>
            <w:r w:rsidRPr="00AA0A80">
              <w:rPr>
                <w:color w:val="0D0D0D" w:themeColor="text1" w:themeTint="F2"/>
                <w:spacing w:val="-5"/>
                <w:lang w:val="en-GB"/>
              </w:rPr>
              <w:t xml:space="preserve"> in H1 2022</w:t>
            </w:r>
            <w:r w:rsidR="008F2E83" w:rsidRPr="00AA0A80">
              <w:rPr>
                <w:color w:val="0D0D0D" w:themeColor="text1" w:themeTint="F2"/>
                <w:spacing w:val="-5"/>
                <w:lang w:val="en-GB"/>
              </w:rPr>
              <w:t xml:space="preserve">. </w:t>
            </w:r>
            <w:r w:rsidRPr="00AA0A80">
              <w:rPr>
                <w:color w:val="0D0D0D" w:themeColor="text1" w:themeTint="F2"/>
                <w:spacing w:val="-5"/>
                <w:lang w:val="en-GB"/>
              </w:rPr>
              <w:t xml:space="preserve">Their weight </w:t>
            </w:r>
            <w:r w:rsidR="00A237C6" w:rsidRPr="00AA0A80">
              <w:rPr>
                <w:color w:val="0D0D0D" w:themeColor="text1" w:themeTint="F2"/>
                <w:spacing w:val="-5"/>
                <w:lang w:val="en-GB"/>
              </w:rPr>
              <w:t>strengthened year-on-year</w:t>
            </w:r>
            <w:r w:rsidRPr="00AA0A80">
              <w:rPr>
                <w:color w:val="0D0D0D" w:themeColor="text1" w:themeTint="F2"/>
                <w:spacing w:val="-5"/>
                <w:lang w:val="en-GB"/>
              </w:rPr>
              <w:t xml:space="preserve"> for the first time in the comparable period </w:t>
            </w:r>
            <w:r w:rsidR="00A237C6" w:rsidRPr="00AA0A80">
              <w:rPr>
                <w:color w:val="0D0D0D" w:themeColor="text1" w:themeTint="F2"/>
                <w:spacing w:val="-5"/>
                <w:lang w:val="en-GB"/>
              </w:rPr>
              <w:t>in</w:t>
            </w:r>
            <w:r w:rsidRPr="00AA0A80">
              <w:rPr>
                <w:color w:val="0D0D0D" w:themeColor="text1" w:themeTint="F2"/>
                <w:spacing w:val="-5"/>
                <w:lang w:val="en-GB"/>
              </w:rPr>
              <w:t xml:space="preserve"> the last six years </w:t>
            </w:r>
            <w:r w:rsidR="008F2E83" w:rsidRPr="00AA0A80">
              <w:rPr>
                <w:color w:val="0D0D0D" w:themeColor="text1" w:themeTint="F2"/>
                <w:spacing w:val="-5"/>
                <w:lang w:val="en-GB"/>
              </w:rPr>
              <w:t>(+3 p.</w:t>
            </w:r>
            <w:r w:rsidR="00A237C6" w:rsidRPr="00AA0A80">
              <w:rPr>
                <w:color w:val="0D0D0D" w:themeColor="text1" w:themeTint="F2"/>
                <w:spacing w:val="-5"/>
                <w:lang w:val="en-GB"/>
              </w:rPr>
              <w:t>p.</w:t>
            </w:r>
            <w:r w:rsidR="008F2E83" w:rsidRPr="00AA0A80">
              <w:rPr>
                <w:color w:val="0D0D0D" w:themeColor="text1" w:themeTint="F2"/>
                <w:spacing w:val="-5"/>
                <w:lang w:val="en-GB"/>
              </w:rPr>
              <w:t>) a</w:t>
            </w:r>
            <w:r w:rsidR="00A237C6" w:rsidRPr="00AA0A80">
              <w:rPr>
                <w:color w:val="0D0D0D" w:themeColor="text1" w:themeTint="F2"/>
                <w:spacing w:val="-5"/>
                <w:lang w:val="en-GB"/>
              </w:rPr>
              <w:t xml:space="preserve">nd these benefits at the same time had the most pro-growth effect on the development of all current expenditures </w:t>
            </w:r>
            <w:r w:rsidR="008F2E83" w:rsidRPr="00AA0A80">
              <w:rPr>
                <w:color w:val="0D0D0D" w:themeColor="text1" w:themeTint="F2"/>
                <w:spacing w:val="-5"/>
                <w:lang w:val="en-GB"/>
              </w:rPr>
              <w:t>(+21</w:t>
            </w:r>
            <w:r w:rsidR="00A237C6" w:rsidRPr="00AA0A80">
              <w:rPr>
                <w:color w:val="0D0D0D" w:themeColor="text1" w:themeTint="F2"/>
                <w:spacing w:val="-5"/>
                <w:lang w:val="en-GB"/>
              </w:rPr>
              <w:t>.</w:t>
            </w:r>
            <w:r w:rsidR="008F2E83" w:rsidRPr="00AA0A80">
              <w:rPr>
                <w:color w:val="0D0D0D" w:themeColor="text1" w:themeTint="F2"/>
                <w:spacing w:val="-5"/>
                <w:lang w:val="en-GB"/>
              </w:rPr>
              <w:t>3</w:t>
            </w:r>
            <w:r w:rsidR="00A237C6" w:rsidRPr="00AA0A80">
              <w:rPr>
                <w:color w:val="0D0D0D" w:themeColor="text1" w:themeTint="F2"/>
                <w:spacing w:val="-5"/>
                <w:lang w:val="en-GB"/>
              </w:rPr>
              <w:t xml:space="preserve"> CZK bn</w:t>
            </w:r>
            <w:r w:rsidR="008F2E83" w:rsidRPr="00AA0A80">
              <w:rPr>
                <w:color w:val="0D0D0D" w:themeColor="text1" w:themeTint="F2"/>
                <w:spacing w:val="-5"/>
                <w:lang w:val="en-GB"/>
              </w:rPr>
              <w:t>)</w:t>
            </w:r>
            <w:r w:rsidR="00A237C6" w:rsidRPr="00AA0A80">
              <w:rPr>
                <w:color w:val="0D0D0D" w:themeColor="text1" w:themeTint="F2"/>
                <w:spacing w:val="-5"/>
                <w:lang w:val="en-GB"/>
              </w:rPr>
              <w:t xml:space="preserve"> so far this year</w:t>
            </w:r>
            <w:r w:rsidR="008F2E83" w:rsidRPr="00AA0A80">
              <w:rPr>
                <w:color w:val="0D0D0D" w:themeColor="text1" w:themeTint="F2"/>
                <w:spacing w:val="-5"/>
                <w:lang w:val="en-GB"/>
              </w:rPr>
              <w:t xml:space="preserve">. </w:t>
            </w:r>
            <w:r w:rsidR="00336F1E" w:rsidRPr="00AA0A80">
              <w:rPr>
                <w:color w:val="0D0D0D" w:themeColor="text1" w:themeTint="F2"/>
                <w:spacing w:val="-5"/>
                <w:lang w:val="en-GB"/>
              </w:rPr>
              <w:t xml:space="preserve">This year’s expanded volume of social benefits was from more than </w:t>
            </w:r>
            <w:r w:rsidR="008F2E83" w:rsidRPr="00AA0A80">
              <w:rPr>
                <w:spacing w:val="-5"/>
                <w:lang w:val="en-GB"/>
              </w:rPr>
              <w:t xml:space="preserve">85% </w:t>
            </w:r>
            <w:r w:rsidR="00336F1E" w:rsidRPr="00AA0A80">
              <w:rPr>
                <w:spacing w:val="-5"/>
                <w:lang w:val="en-GB"/>
              </w:rPr>
              <w:t>driven by higher expenditures on pensions</w:t>
            </w:r>
            <w:r w:rsidR="008F2E83" w:rsidRPr="00AA0A80">
              <w:rPr>
                <w:spacing w:val="-5"/>
                <w:lang w:val="en-GB"/>
              </w:rPr>
              <w:t xml:space="preserve"> –</w:t>
            </w:r>
            <w:r w:rsidR="00336F1E" w:rsidRPr="00AA0A80">
              <w:rPr>
                <w:spacing w:val="-5"/>
                <w:lang w:val="en-GB"/>
              </w:rPr>
              <w:t xml:space="preserve"> these strengthened by </w:t>
            </w:r>
            <w:r w:rsidR="008F2E83" w:rsidRPr="00AA0A80">
              <w:rPr>
                <w:spacing w:val="-5"/>
                <w:lang w:val="en-GB"/>
              </w:rPr>
              <w:t>6</w:t>
            </w:r>
            <w:r w:rsidR="00336F1E" w:rsidRPr="00AA0A80">
              <w:rPr>
                <w:spacing w:val="-5"/>
                <w:lang w:val="en-GB"/>
              </w:rPr>
              <w:t>.</w:t>
            </w:r>
            <w:r w:rsidR="008F2E83" w:rsidRPr="00AA0A80">
              <w:rPr>
                <w:spacing w:val="-5"/>
                <w:lang w:val="en-GB"/>
              </w:rPr>
              <w:t>8%</w:t>
            </w:r>
            <w:r w:rsidR="00336F1E" w:rsidRPr="00AA0A80">
              <w:rPr>
                <w:spacing w:val="-5"/>
                <w:lang w:val="en-GB"/>
              </w:rPr>
              <w:t xml:space="preserve"> year-on-year</w:t>
            </w:r>
            <w:r w:rsidR="008F2E83" w:rsidRPr="00AA0A80">
              <w:rPr>
                <w:spacing w:val="-5"/>
                <w:lang w:val="en-GB"/>
              </w:rPr>
              <w:t xml:space="preserve"> </w:t>
            </w:r>
            <w:r w:rsidR="00336F1E" w:rsidRPr="00AA0A80">
              <w:rPr>
                <w:spacing w:val="-5"/>
                <w:lang w:val="en-GB"/>
              </w:rPr>
              <w:t xml:space="preserve">thanks to January adjustment as well as the exceptional June one. </w:t>
            </w:r>
            <w:r w:rsidR="00E11C7E" w:rsidRPr="00AA0A80">
              <w:rPr>
                <w:spacing w:val="-5"/>
                <w:lang w:val="en-GB"/>
              </w:rPr>
              <w:t xml:space="preserve">The number of pension recipients worked in the opposite direction, significantly affected by higher mortality. It shrank by 1.7% compared to June </w:t>
            </w:r>
            <w:r w:rsidR="008F2E83" w:rsidRPr="00AA0A80">
              <w:rPr>
                <w:spacing w:val="-5"/>
                <w:lang w:val="en-GB"/>
              </w:rPr>
              <w:t xml:space="preserve">2020. </w:t>
            </w:r>
            <w:r w:rsidR="004D07B9" w:rsidRPr="00AA0A80">
              <w:rPr>
                <w:spacing w:val="-5"/>
                <w:lang w:val="en-GB"/>
              </w:rPr>
              <w:t xml:space="preserve">Good condition of the labour market was reflected in the ongoing </w:t>
            </w:r>
            <w:r w:rsidR="004D07B9" w:rsidRPr="00AA0A80">
              <w:rPr>
                <w:spacing w:val="-5"/>
                <w:lang w:val="en-GB"/>
              </w:rPr>
              <w:lastRenderedPageBreak/>
              <w:t xml:space="preserve">growth of pension insurance revenues </w:t>
            </w:r>
            <w:r w:rsidR="008F2E83" w:rsidRPr="00AA0A80">
              <w:rPr>
                <w:rFonts w:cs="Arial"/>
                <w:color w:val="0D0D0D" w:themeColor="text1" w:themeTint="F2"/>
                <w:spacing w:val="-5"/>
                <w:lang w:val="en-GB"/>
              </w:rPr>
              <w:t>(+5</w:t>
            </w:r>
            <w:r w:rsidR="004D07B9" w:rsidRPr="00AA0A80">
              <w:rPr>
                <w:rFonts w:cs="Arial"/>
                <w:color w:val="0D0D0D" w:themeColor="text1" w:themeTint="F2"/>
                <w:spacing w:val="-5"/>
                <w:lang w:val="en-GB"/>
              </w:rPr>
              <w:t>.</w:t>
            </w:r>
            <w:r w:rsidR="008F2E83" w:rsidRPr="00AA0A80">
              <w:rPr>
                <w:rFonts w:cs="Arial"/>
                <w:color w:val="0D0D0D" w:themeColor="text1" w:themeTint="F2"/>
                <w:spacing w:val="-5"/>
                <w:lang w:val="en-GB"/>
              </w:rPr>
              <w:t xml:space="preserve">9%). </w:t>
            </w:r>
            <w:r w:rsidR="004D07B9" w:rsidRPr="00AA0A80">
              <w:rPr>
                <w:rFonts w:cs="Arial"/>
                <w:color w:val="0D0D0D" w:themeColor="text1" w:themeTint="F2"/>
                <w:spacing w:val="-5"/>
                <w:lang w:val="en-GB"/>
              </w:rPr>
              <w:t>Pension account deficit</w:t>
            </w:r>
            <w:r w:rsidR="008F2E83" w:rsidRPr="00AA0A80">
              <w:rPr>
                <w:rStyle w:val="Znakapoznpodarou"/>
                <w:color w:val="0D0D0D" w:themeColor="text1" w:themeTint="F2"/>
                <w:spacing w:val="-5"/>
                <w:lang w:val="en-GB"/>
              </w:rPr>
              <w:footnoteReference w:id="13"/>
            </w:r>
            <w:r w:rsidR="004D07B9" w:rsidRPr="00AA0A80">
              <w:rPr>
                <w:rFonts w:cs="Arial"/>
                <w:color w:val="0D0D0D" w:themeColor="text1" w:themeTint="F2"/>
                <w:spacing w:val="-5"/>
                <w:lang w:val="en-GB"/>
              </w:rPr>
              <w:t xml:space="preserve"> however still deepened to </w:t>
            </w:r>
            <w:r w:rsidR="008F2E83" w:rsidRPr="00AA0A80">
              <w:rPr>
                <w:rFonts w:cs="Arial"/>
                <w:color w:val="0D0D0D" w:themeColor="text1" w:themeTint="F2"/>
                <w:spacing w:val="-5"/>
                <w:lang w:val="en-GB"/>
              </w:rPr>
              <w:t>8</w:t>
            </w:r>
            <w:r w:rsidR="004D07B9" w:rsidRPr="00AA0A80">
              <w:rPr>
                <w:rFonts w:cs="Arial"/>
                <w:color w:val="0D0D0D" w:themeColor="text1" w:themeTint="F2"/>
                <w:spacing w:val="-5"/>
                <w:lang w:val="en-GB"/>
              </w:rPr>
              <w:t>.</w:t>
            </w:r>
            <w:r w:rsidR="008F2E83" w:rsidRPr="00AA0A80">
              <w:rPr>
                <w:rFonts w:cs="Arial"/>
                <w:color w:val="0D0D0D" w:themeColor="text1" w:themeTint="F2"/>
                <w:spacing w:val="-5"/>
                <w:lang w:val="en-GB"/>
              </w:rPr>
              <w:t>6</w:t>
            </w:r>
            <w:r w:rsidR="004D07B9" w:rsidRPr="00AA0A80">
              <w:rPr>
                <w:rFonts w:cs="Arial"/>
                <w:color w:val="0D0D0D" w:themeColor="text1" w:themeTint="F2"/>
                <w:spacing w:val="-5"/>
                <w:lang w:val="en-GB"/>
              </w:rPr>
              <w:t xml:space="preserve"> CZK bn year-on-year and recorded a deficit for a third year in a row. </w:t>
            </w:r>
          </w:p>
        </w:tc>
      </w:tr>
      <w:tr w:rsidR="008F2E83" w:rsidRPr="00A00994" w14:paraId="593003DD" w14:textId="77777777" w:rsidTr="00EE762D">
        <w:trPr>
          <w:trHeight w:val="145"/>
        </w:trPr>
        <w:tc>
          <w:tcPr>
            <w:tcW w:w="1805" w:type="dxa"/>
            <w:shd w:val="clear" w:color="auto" w:fill="auto"/>
            <w:tcMar>
              <w:left w:w="0" w:type="dxa"/>
            </w:tcMar>
          </w:tcPr>
          <w:p w14:paraId="104508B9" w14:textId="66EB5E53" w:rsidR="008F2E83" w:rsidRPr="00A00994" w:rsidRDefault="009A2DBB" w:rsidP="000C7A79">
            <w:pPr>
              <w:pStyle w:val="Marginlie"/>
              <w:rPr>
                <w:lang w:val="en-GB"/>
              </w:rPr>
            </w:pPr>
            <w:r w:rsidRPr="00A00994">
              <w:rPr>
                <w:lang w:val="en-GB"/>
              </w:rPr>
              <w:lastRenderedPageBreak/>
              <w:t xml:space="preserve">Volume of majority of non-pension social benefits fell due to the retreat of pandemics as well as good condition of the labour market. The payment of the humanitarian benefit however was significant, expenditures on care also strengthened. </w:t>
            </w:r>
          </w:p>
        </w:tc>
        <w:tc>
          <w:tcPr>
            <w:tcW w:w="217" w:type="dxa"/>
            <w:shd w:val="clear" w:color="auto" w:fill="auto"/>
            <w:tcMar>
              <w:left w:w="0" w:type="dxa"/>
            </w:tcMar>
          </w:tcPr>
          <w:p w14:paraId="436C6A5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31385560" w14:textId="44400166" w:rsidR="008F2E83" w:rsidRPr="00A00994" w:rsidRDefault="00390CE5" w:rsidP="00040A64">
            <w:pPr>
              <w:spacing w:after="210"/>
              <w:rPr>
                <w:color w:val="0D0D0D" w:themeColor="text1" w:themeTint="F2"/>
                <w:spacing w:val="-4"/>
                <w:lang w:val="en-GB"/>
              </w:rPr>
            </w:pPr>
            <w:r>
              <w:rPr>
                <w:color w:val="0D0D0D" w:themeColor="text1" w:themeTint="F2"/>
                <w:spacing w:val="-4"/>
                <w:lang w:val="en-GB"/>
              </w:rPr>
              <w:t>“</w:t>
            </w:r>
            <w:r w:rsidR="008F2E83" w:rsidRPr="00A00994">
              <w:rPr>
                <w:spacing w:val="-4"/>
                <w:lang w:val="en-GB"/>
              </w:rPr>
              <w:t>N</w:t>
            </w:r>
            <w:r w:rsidR="00191298" w:rsidRPr="00A00994">
              <w:rPr>
                <w:spacing w:val="-4"/>
                <w:lang w:val="en-GB"/>
              </w:rPr>
              <w:t>on-pension</w:t>
            </w:r>
            <w:r>
              <w:rPr>
                <w:spacing w:val="-4"/>
                <w:lang w:val="en-GB"/>
              </w:rPr>
              <w:t>”</w:t>
            </w:r>
            <w:r w:rsidR="008F2E83" w:rsidRPr="00A00994">
              <w:rPr>
                <w:spacing w:val="-4"/>
                <w:lang w:val="en-GB"/>
              </w:rPr>
              <w:t xml:space="preserve"> soci</w:t>
            </w:r>
            <w:r w:rsidR="00191298" w:rsidRPr="00A00994">
              <w:rPr>
                <w:spacing w:val="-4"/>
                <w:lang w:val="en-GB"/>
              </w:rPr>
              <w:t xml:space="preserve">al benefits, considerably </w:t>
            </w:r>
            <w:r w:rsidR="00967675" w:rsidRPr="00A00994">
              <w:rPr>
                <w:spacing w:val="-4"/>
                <w:lang w:val="en-GB"/>
              </w:rPr>
              <w:t xml:space="preserve">expanded </w:t>
            </w:r>
            <w:r w:rsidR="00191298" w:rsidRPr="00A00994">
              <w:rPr>
                <w:spacing w:val="-4"/>
                <w:lang w:val="en-GB"/>
              </w:rPr>
              <w:t xml:space="preserve">during the pandemics, </w:t>
            </w:r>
            <w:r w:rsidR="009A2DBB" w:rsidRPr="00A00994">
              <w:rPr>
                <w:spacing w:val="-4"/>
                <w:lang w:val="en-GB"/>
              </w:rPr>
              <w:t>grew slower in H</w:t>
            </w:r>
            <w:r w:rsidR="008F2E83" w:rsidRPr="00A00994">
              <w:rPr>
                <w:spacing w:val="-4"/>
                <w:lang w:val="en-GB"/>
              </w:rPr>
              <w:t>1</w:t>
            </w:r>
            <w:r w:rsidR="009A2DBB" w:rsidRPr="00A00994">
              <w:rPr>
                <w:spacing w:val="-4"/>
                <w:lang w:val="en-GB"/>
              </w:rPr>
              <w:t xml:space="preserve"> </w:t>
            </w:r>
            <w:r w:rsidR="008F2E83" w:rsidRPr="00A00994">
              <w:rPr>
                <w:spacing w:val="-4"/>
                <w:lang w:val="en-GB"/>
              </w:rPr>
              <w:t>(</w:t>
            </w:r>
            <w:r w:rsidR="009A2DBB" w:rsidRPr="00A00994">
              <w:rPr>
                <w:spacing w:val="-4"/>
                <w:lang w:val="en-GB"/>
              </w:rPr>
              <w:t xml:space="preserve">by </w:t>
            </w:r>
            <w:r w:rsidR="008F2E83" w:rsidRPr="00A00994">
              <w:rPr>
                <w:spacing w:val="-4"/>
                <w:lang w:val="en-GB"/>
              </w:rPr>
              <w:t>3</w:t>
            </w:r>
            <w:r w:rsidR="009A2DBB" w:rsidRPr="00A00994">
              <w:rPr>
                <w:spacing w:val="-4"/>
                <w:lang w:val="en-GB"/>
              </w:rPr>
              <w:t>.</w:t>
            </w:r>
            <w:r w:rsidR="008F2E83" w:rsidRPr="00A00994">
              <w:rPr>
                <w:spacing w:val="-4"/>
                <w:lang w:val="en-GB"/>
              </w:rPr>
              <w:t>6%</w:t>
            </w:r>
            <w:r w:rsidR="009A2DBB" w:rsidRPr="00A00994">
              <w:rPr>
                <w:spacing w:val="-4"/>
                <w:lang w:val="en-GB"/>
              </w:rPr>
              <w:t xml:space="preserve"> year-on-year</w:t>
            </w:r>
            <w:r w:rsidR="008F2E83" w:rsidRPr="00A00994">
              <w:rPr>
                <w:spacing w:val="-4"/>
                <w:lang w:val="en-GB"/>
              </w:rPr>
              <w:t xml:space="preserve">). </w:t>
            </w:r>
            <w:r w:rsidR="00967675" w:rsidRPr="00A00994">
              <w:rPr>
                <w:spacing w:val="-4"/>
                <w:lang w:val="en-GB"/>
              </w:rPr>
              <w:t xml:space="preserve">Had there not been the exceptional immediate aid </w:t>
            </w:r>
            <w:r w:rsidR="008F2E83" w:rsidRPr="00A00994">
              <w:rPr>
                <w:spacing w:val="-4"/>
                <w:lang w:val="en-GB"/>
              </w:rPr>
              <w:t>(</w:t>
            </w:r>
            <w:r w:rsidR="00967675" w:rsidRPr="00A00994">
              <w:rPr>
                <w:spacing w:val="-4"/>
                <w:lang w:val="en-GB"/>
              </w:rPr>
              <w:t xml:space="preserve">consisting mainly of the humanitarian assistance to refugees from Ukraine in the amount of </w:t>
            </w:r>
            <w:r w:rsidR="008F2E83" w:rsidRPr="00A00994">
              <w:rPr>
                <w:spacing w:val="-4"/>
                <w:lang w:val="en-GB"/>
              </w:rPr>
              <w:t>4</w:t>
            </w:r>
            <w:r w:rsidR="00967675" w:rsidRPr="00A00994">
              <w:rPr>
                <w:spacing w:val="-4"/>
                <w:lang w:val="en-GB"/>
              </w:rPr>
              <w:t>.</w:t>
            </w:r>
            <w:r w:rsidR="008F2E83" w:rsidRPr="00A00994">
              <w:rPr>
                <w:spacing w:val="-4"/>
                <w:lang w:val="en-GB"/>
              </w:rPr>
              <w:t>3</w:t>
            </w:r>
            <w:r w:rsidR="00967675" w:rsidRPr="00A00994">
              <w:rPr>
                <w:spacing w:val="-4"/>
                <w:lang w:val="en-GB"/>
              </w:rPr>
              <w:t xml:space="preserve"> CZK bn</w:t>
            </w:r>
            <w:r w:rsidR="008F2E83" w:rsidRPr="00A00994">
              <w:rPr>
                <w:spacing w:val="-4"/>
                <w:lang w:val="en-GB"/>
              </w:rPr>
              <w:t>),</w:t>
            </w:r>
            <w:r w:rsidR="00014CE1" w:rsidRPr="00A00994">
              <w:rPr>
                <w:spacing w:val="-4"/>
                <w:lang w:val="en-GB"/>
              </w:rPr>
              <w:t xml:space="preserve"> the total volume of non-pension benefits would decrease</w:t>
            </w:r>
            <w:r w:rsidR="008F2E83" w:rsidRPr="00A00994">
              <w:rPr>
                <w:spacing w:val="-4"/>
                <w:lang w:val="en-GB"/>
              </w:rPr>
              <w:t>.</w:t>
            </w:r>
            <w:r w:rsidR="00014CE1" w:rsidRPr="00A00994">
              <w:rPr>
                <w:spacing w:val="-4"/>
                <w:lang w:val="en-GB"/>
              </w:rPr>
              <w:t xml:space="preserve"> </w:t>
            </w:r>
            <w:r w:rsidR="00967675" w:rsidRPr="00A00994">
              <w:rPr>
                <w:spacing w:val="-4"/>
                <w:lang w:val="en-GB"/>
              </w:rPr>
              <w:t>Since d</w:t>
            </w:r>
            <w:r w:rsidR="00014CE1" w:rsidRPr="00A00994">
              <w:rPr>
                <w:spacing w:val="-4"/>
                <w:lang w:val="en-GB"/>
              </w:rPr>
              <w:t>ue to the major improvement of the epidemic situation</w:t>
            </w:r>
            <w:r w:rsidR="00F867A2" w:rsidRPr="00A00994">
              <w:rPr>
                <w:spacing w:val="-4"/>
                <w:lang w:val="en-GB"/>
              </w:rPr>
              <w:t xml:space="preserve">, significant savings manifested in the pay out of care benefits in comparison to the last year’s H1 </w:t>
            </w:r>
            <w:r w:rsidR="008F2E83" w:rsidRPr="00A00994">
              <w:rPr>
                <w:spacing w:val="-4"/>
                <w:lang w:val="en-GB"/>
              </w:rPr>
              <w:t>(</w:t>
            </w:r>
            <w:r w:rsidR="00F867A2" w:rsidRPr="00A00994">
              <w:rPr>
                <w:spacing w:val="-4"/>
                <w:lang w:val="en-GB"/>
              </w:rPr>
              <w:t xml:space="preserve">by </w:t>
            </w:r>
            <w:r w:rsidR="008F2E83" w:rsidRPr="00A00994">
              <w:rPr>
                <w:spacing w:val="-4"/>
                <w:lang w:val="en-GB"/>
              </w:rPr>
              <w:t xml:space="preserve">40%, </w:t>
            </w:r>
            <w:r w:rsidR="00040A64">
              <w:rPr>
                <w:spacing w:val="-4"/>
                <w:lang w:val="en-GB"/>
              </w:rPr>
              <w:t>i</w:t>
            </w:r>
            <w:r w:rsidR="008F2E83" w:rsidRPr="00A00994">
              <w:rPr>
                <w:spacing w:val="-4"/>
                <w:lang w:val="en-GB"/>
              </w:rPr>
              <w:t>.</w:t>
            </w:r>
            <w:r w:rsidR="00040A64">
              <w:rPr>
                <w:spacing w:val="-4"/>
                <w:lang w:val="en-GB"/>
              </w:rPr>
              <w:t>e.</w:t>
            </w:r>
            <w:r w:rsidR="008F2E83" w:rsidRPr="00A00994">
              <w:rPr>
                <w:spacing w:val="-4"/>
                <w:lang w:val="en-GB"/>
              </w:rPr>
              <w:t xml:space="preserve"> 2</w:t>
            </w:r>
            <w:r w:rsidR="00F867A2" w:rsidRPr="00A00994">
              <w:rPr>
                <w:spacing w:val="-4"/>
                <w:lang w:val="en-GB"/>
              </w:rPr>
              <w:t>.</w:t>
            </w:r>
            <w:r w:rsidR="008F2E83" w:rsidRPr="00A00994">
              <w:rPr>
                <w:spacing w:val="-4"/>
                <w:lang w:val="en-GB"/>
              </w:rPr>
              <w:t>7</w:t>
            </w:r>
            <w:r w:rsidR="00F867A2" w:rsidRPr="00A00994">
              <w:rPr>
                <w:spacing w:val="-4"/>
                <w:lang w:val="en-GB"/>
              </w:rPr>
              <w:t xml:space="preserve"> CZK bn</w:t>
            </w:r>
            <w:r w:rsidR="008F2E83" w:rsidRPr="00A00994">
              <w:rPr>
                <w:spacing w:val="-4"/>
                <w:lang w:val="en-GB"/>
              </w:rPr>
              <w:t xml:space="preserve">), </w:t>
            </w:r>
            <w:r w:rsidR="00014CE1" w:rsidRPr="00A00994">
              <w:rPr>
                <w:spacing w:val="-4"/>
                <w:lang w:val="en-GB"/>
              </w:rPr>
              <w:t xml:space="preserve">the volume of sickness benefits also reduced </w:t>
            </w:r>
            <w:r w:rsidR="00F867A2" w:rsidRPr="00A00994">
              <w:rPr>
                <w:spacing w:val="-4"/>
                <w:lang w:val="en-GB"/>
              </w:rPr>
              <w:t xml:space="preserve">for the first time after year </w:t>
            </w:r>
            <w:r w:rsidR="008F2E83" w:rsidRPr="00A00994">
              <w:rPr>
                <w:spacing w:val="-4"/>
                <w:lang w:val="en-GB"/>
              </w:rPr>
              <w:t>2012</w:t>
            </w:r>
            <w:r w:rsidR="00F867A2" w:rsidRPr="00A00994">
              <w:rPr>
                <w:spacing w:val="-4"/>
                <w:lang w:val="en-GB"/>
              </w:rPr>
              <w:t xml:space="preserve"> </w:t>
            </w:r>
            <w:r w:rsidR="008F2E83" w:rsidRPr="00A00994">
              <w:rPr>
                <w:spacing w:val="-2"/>
                <w:lang w:val="en-GB"/>
              </w:rPr>
              <w:t>(</w:t>
            </w:r>
            <w:r w:rsidR="00F867A2" w:rsidRPr="00A00994">
              <w:rPr>
                <w:spacing w:val="-2"/>
                <w:lang w:val="en-GB"/>
              </w:rPr>
              <w:t xml:space="preserve">by </w:t>
            </w:r>
            <w:r w:rsidR="008F2E83" w:rsidRPr="00A00994">
              <w:rPr>
                <w:spacing w:val="-2"/>
                <w:lang w:val="en-GB"/>
              </w:rPr>
              <w:t>4%, 0</w:t>
            </w:r>
            <w:r w:rsidR="00F867A2" w:rsidRPr="00A00994">
              <w:rPr>
                <w:spacing w:val="-2"/>
                <w:lang w:val="en-GB"/>
              </w:rPr>
              <w:t>.</w:t>
            </w:r>
            <w:r w:rsidR="008F2E83" w:rsidRPr="00A00994">
              <w:rPr>
                <w:spacing w:val="-2"/>
                <w:lang w:val="en-GB"/>
              </w:rPr>
              <w:t>7</w:t>
            </w:r>
            <w:r w:rsidR="00F867A2" w:rsidRPr="00A00994">
              <w:rPr>
                <w:spacing w:val="-2"/>
                <w:lang w:val="en-GB"/>
              </w:rPr>
              <w:t xml:space="preserve"> bn</w:t>
            </w:r>
            <w:r w:rsidR="008F2E83" w:rsidRPr="00A00994">
              <w:rPr>
                <w:spacing w:val="-2"/>
                <w:lang w:val="en-GB"/>
              </w:rPr>
              <w:t>).</w:t>
            </w:r>
            <w:r w:rsidR="00F52BFA" w:rsidRPr="00A00994">
              <w:rPr>
                <w:spacing w:val="-2"/>
                <w:lang w:val="en-GB"/>
              </w:rPr>
              <w:t xml:space="preserve"> Lowering of the disbursed unemployment support </w:t>
            </w:r>
            <w:r w:rsidR="008F2E83" w:rsidRPr="00A00994">
              <w:rPr>
                <w:spacing w:val="-2"/>
                <w:lang w:val="en-GB"/>
              </w:rPr>
              <w:t>(−7</w:t>
            </w:r>
            <w:r w:rsidR="00F52BFA" w:rsidRPr="00A00994">
              <w:rPr>
                <w:spacing w:val="-2"/>
                <w:lang w:val="en-GB"/>
              </w:rPr>
              <w:t>.</w:t>
            </w:r>
            <w:r w:rsidR="008F2E83" w:rsidRPr="00A00994">
              <w:rPr>
                <w:spacing w:val="-2"/>
                <w:lang w:val="en-GB"/>
              </w:rPr>
              <w:t>6%)</w:t>
            </w:r>
            <w:r w:rsidR="00F52BFA" w:rsidRPr="00A00994">
              <w:rPr>
                <w:spacing w:val="-4"/>
                <w:lang w:val="en-GB"/>
              </w:rPr>
              <w:t xml:space="preserve"> or state social support benefits including foster care </w:t>
            </w:r>
            <w:r w:rsidR="008F2E83" w:rsidRPr="00A00994">
              <w:rPr>
                <w:spacing w:val="-4"/>
                <w:lang w:val="en-GB"/>
              </w:rPr>
              <w:t>(−1</w:t>
            </w:r>
            <w:r w:rsidR="00F52BFA" w:rsidRPr="00A00994">
              <w:rPr>
                <w:spacing w:val="-4"/>
                <w:lang w:val="en-GB"/>
              </w:rPr>
              <w:t>.</w:t>
            </w:r>
            <w:r w:rsidR="008F2E83" w:rsidRPr="00A00994">
              <w:rPr>
                <w:spacing w:val="-4"/>
                <w:lang w:val="en-GB"/>
              </w:rPr>
              <w:t>5%)</w:t>
            </w:r>
            <w:r w:rsidR="008F2E83" w:rsidRPr="00A00994">
              <w:rPr>
                <w:rStyle w:val="Znakapoznpodarou"/>
                <w:spacing w:val="-4"/>
                <w:lang w:val="en-GB"/>
              </w:rPr>
              <w:footnoteReference w:id="14"/>
            </w:r>
            <w:r w:rsidR="00F52BFA" w:rsidRPr="00A00994">
              <w:rPr>
                <w:spacing w:val="-4"/>
                <w:lang w:val="en-GB"/>
              </w:rPr>
              <w:t xml:space="preserve"> had a smaller impact. On the contrary, the SB expended by one tenth more </w:t>
            </w:r>
            <w:r w:rsidR="008F2E83" w:rsidRPr="00A00994">
              <w:rPr>
                <w:spacing w:val="-4"/>
                <w:lang w:val="en-GB"/>
              </w:rPr>
              <w:t>(+1</w:t>
            </w:r>
            <w:r w:rsidR="00F52BFA" w:rsidRPr="00A00994">
              <w:rPr>
                <w:spacing w:val="-4"/>
                <w:lang w:val="en-GB"/>
              </w:rPr>
              <w:t>.</w:t>
            </w:r>
            <w:r w:rsidR="008F2E83" w:rsidRPr="00A00994">
              <w:rPr>
                <w:spacing w:val="-4"/>
                <w:lang w:val="en-GB"/>
              </w:rPr>
              <w:t>7</w:t>
            </w:r>
            <w:r w:rsidR="00F52BFA" w:rsidRPr="00A00994">
              <w:rPr>
                <w:spacing w:val="-4"/>
                <w:lang w:val="en-GB"/>
              </w:rPr>
              <w:t xml:space="preserve"> CZK bn</w:t>
            </w:r>
            <w:r w:rsidR="008F2E83" w:rsidRPr="00A00994">
              <w:rPr>
                <w:spacing w:val="-4"/>
                <w:lang w:val="en-GB"/>
              </w:rPr>
              <w:t>)</w:t>
            </w:r>
            <w:r w:rsidR="00F52BFA" w:rsidRPr="00A00994">
              <w:rPr>
                <w:spacing w:val="-4"/>
                <w:lang w:val="en-GB"/>
              </w:rPr>
              <w:t xml:space="preserve"> on care benefits </w:t>
            </w:r>
            <w:r w:rsidR="008F2E83" w:rsidRPr="00A00994">
              <w:rPr>
                <w:spacing w:val="-4"/>
                <w:lang w:val="en-GB"/>
              </w:rPr>
              <w:t>(</w:t>
            </w:r>
            <w:r w:rsidR="00014CE1" w:rsidRPr="00A00994">
              <w:rPr>
                <w:spacing w:val="-4"/>
                <w:lang w:val="en-GB"/>
              </w:rPr>
              <w:t>long-term sickness benefit</w:t>
            </w:r>
            <w:r w:rsidR="008F2E83" w:rsidRPr="00A00994">
              <w:rPr>
                <w:spacing w:val="-4"/>
                <w:lang w:val="en-GB"/>
              </w:rPr>
              <w:t>).</w:t>
            </w:r>
          </w:p>
        </w:tc>
      </w:tr>
      <w:tr w:rsidR="008F2E83" w:rsidRPr="00A00994" w14:paraId="182EF3CD" w14:textId="77777777" w:rsidTr="00EE762D">
        <w:trPr>
          <w:trHeight w:val="145"/>
        </w:trPr>
        <w:tc>
          <w:tcPr>
            <w:tcW w:w="1805" w:type="dxa"/>
            <w:shd w:val="clear" w:color="auto" w:fill="auto"/>
            <w:tcMar>
              <w:left w:w="0" w:type="dxa"/>
            </w:tcMar>
          </w:tcPr>
          <w:p w14:paraId="221113C6" w14:textId="2780BA56" w:rsidR="008F2E83" w:rsidRPr="00A00994" w:rsidRDefault="00014CE1" w:rsidP="00775E00">
            <w:pPr>
              <w:pStyle w:val="Marginlie"/>
              <w:rPr>
                <w:lang w:val="en-GB"/>
              </w:rPr>
            </w:pPr>
            <w:r w:rsidRPr="00A00994">
              <w:rPr>
                <w:lang w:val="en-GB"/>
              </w:rPr>
              <w:t>Half-yearly volume of investment</w:t>
            </w:r>
            <w:r w:rsidR="00967675" w:rsidRPr="00A00994">
              <w:rPr>
                <w:lang w:val="en-GB"/>
              </w:rPr>
              <w:t xml:space="preserve"> hiked up to record level thanks to the </w:t>
            </w:r>
            <w:r w:rsidR="00DC1A3D">
              <w:rPr>
                <w:lang w:val="en-GB"/>
              </w:rPr>
              <w:t>s</w:t>
            </w:r>
            <w:r w:rsidR="00E846B0" w:rsidRPr="00A00994">
              <w:rPr>
                <w:lang w:val="en-GB"/>
              </w:rPr>
              <w:t>pring</w:t>
            </w:r>
            <w:r w:rsidR="00967675" w:rsidRPr="00A00994">
              <w:rPr>
                <w:lang w:val="en-GB"/>
              </w:rPr>
              <w:t xml:space="preserve"> acceleration in</w:t>
            </w:r>
            <w:r w:rsidR="00CC6E69" w:rsidRPr="00A00994">
              <w:rPr>
                <w:lang w:val="en-GB"/>
              </w:rPr>
              <w:t xml:space="preserve"> spending</w:t>
            </w:r>
            <w:r w:rsidR="00775E00" w:rsidRPr="00A00994">
              <w:rPr>
                <w:lang w:val="en-GB"/>
              </w:rPr>
              <w:t>.</w:t>
            </w:r>
            <w:r w:rsidR="008F2E83" w:rsidRPr="00A00994">
              <w:rPr>
                <w:lang w:val="en-GB"/>
              </w:rPr>
              <w:t xml:space="preserve">  </w:t>
            </w:r>
          </w:p>
        </w:tc>
        <w:tc>
          <w:tcPr>
            <w:tcW w:w="217" w:type="dxa"/>
            <w:shd w:val="clear" w:color="auto" w:fill="auto"/>
            <w:tcMar>
              <w:left w:w="0" w:type="dxa"/>
            </w:tcMar>
          </w:tcPr>
          <w:p w14:paraId="04304848"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4B51B238" w14:textId="474A3774" w:rsidR="008F2E83" w:rsidRPr="00A00994" w:rsidRDefault="001F1CAE" w:rsidP="000C7A79">
            <w:pPr>
              <w:spacing w:after="210"/>
              <w:rPr>
                <w:color w:val="0D0D0D" w:themeColor="text1" w:themeTint="F2"/>
                <w:spacing w:val="-4"/>
                <w:lang w:val="en-GB"/>
              </w:rPr>
            </w:pPr>
            <w:r w:rsidRPr="00A00994">
              <w:rPr>
                <w:color w:val="0D0D0D" w:themeColor="text1" w:themeTint="F2"/>
                <w:spacing w:val="-4"/>
                <w:lang w:val="en-GB"/>
              </w:rPr>
              <w:t>Even though this year’s drawing of capital outlays notably accelerated following the ending of the interim budget in Q</w:t>
            </w:r>
            <w:r w:rsidR="008F2E83" w:rsidRPr="00A00994">
              <w:rPr>
                <w:color w:val="0D0D0D" w:themeColor="text1" w:themeTint="F2"/>
                <w:spacing w:val="-4"/>
                <w:lang w:val="en-GB"/>
              </w:rPr>
              <w:t>2</w:t>
            </w:r>
            <w:r w:rsidRPr="00A00994">
              <w:rPr>
                <w:color w:val="0D0D0D" w:themeColor="text1" w:themeTint="F2"/>
                <w:spacing w:val="-4"/>
                <w:lang w:val="en-GB"/>
              </w:rPr>
              <w:t>, SB spent only one third of the annual anticipated volume for the whole half year</w:t>
            </w:r>
            <w:r w:rsidR="008F2E83" w:rsidRPr="00A00994">
              <w:rPr>
                <w:rStyle w:val="Znakapoznpodarou"/>
                <w:color w:val="0D0D0D" w:themeColor="text1" w:themeTint="F2"/>
                <w:spacing w:val="-4"/>
                <w:lang w:val="en-GB"/>
              </w:rPr>
              <w:footnoteReference w:id="15"/>
            </w:r>
            <w:r w:rsidR="008F2E83" w:rsidRPr="00A00994">
              <w:rPr>
                <w:color w:val="0D0D0D" w:themeColor="text1" w:themeTint="F2"/>
                <w:spacing w:val="-4"/>
                <w:lang w:val="en-GB"/>
              </w:rPr>
              <w:t xml:space="preserve">. </w:t>
            </w:r>
            <w:r w:rsidR="00CC6E69" w:rsidRPr="00A00994">
              <w:rPr>
                <w:color w:val="0D0D0D" w:themeColor="text1" w:themeTint="F2"/>
                <w:spacing w:val="-4"/>
                <w:lang w:val="en-GB"/>
              </w:rPr>
              <w:t xml:space="preserve">The investment amount still expanded by considerable </w:t>
            </w:r>
            <w:r w:rsidR="008F2E83" w:rsidRPr="00A00994">
              <w:rPr>
                <w:color w:val="0D0D0D" w:themeColor="text1" w:themeTint="F2"/>
                <w:spacing w:val="-4"/>
                <w:lang w:val="en-GB"/>
              </w:rPr>
              <w:t>13</w:t>
            </w:r>
            <w:r w:rsidR="00CC6E69" w:rsidRPr="00A00994">
              <w:rPr>
                <w:color w:val="0D0D0D" w:themeColor="text1" w:themeTint="F2"/>
                <w:spacing w:val="-4"/>
                <w:lang w:val="en-GB"/>
              </w:rPr>
              <w:t>.</w:t>
            </w:r>
            <w:r w:rsidR="008F2E83" w:rsidRPr="00A00994">
              <w:rPr>
                <w:color w:val="0D0D0D" w:themeColor="text1" w:themeTint="F2"/>
                <w:spacing w:val="-4"/>
                <w:lang w:val="en-GB"/>
              </w:rPr>
              <w:t>9%</w:t>
            </w:r>
            <w:r w:rsidR="00CC6E69" w:rsidRPr="00A00994">
              <w:rPr>
                <w:color w:val="0D0D0D" w:themeColor="text1" w:themeTint="F2"/>
                <w:spacing w:val="-4"/>
                <w:lang w:val="en-GB"/>
              </w:rPr>
              <w:t xml:space="preserve"> year-on-year</w:t>
            </w:r>
            <w:r w:rsidR="008F2E83" w:rsidRPr="00A00994">
              <w:rPr>
                <w:color w:val="0D0D0D" w:themeColor="text1" w:themeTint="F2"/>
                <w:spacing w:val="-4"/>
                <w:lang w:val="en-GB"/>
              </w:rPr>
              <w:t xml:space="preserve"> (</w:t>
            </w:r>
            <w:r w:rsidR="00CC6E69" w:rsidRPr="00A00994">
              <w:rPr>
                <w:color w:val="0D0D0D" w:themeColor="text1" w:themeTint="F2"/>
                <w:spacing w:val="-4"/>
                <w:lang w:val="en-GB"/>
              </w:rPr>
              <w:t xml:space="preserve">to record </w:t>
            </w:r>
            <w:r w:rsidR="00775E00" w:rsidRPr="00A00994">
              <w:rPr>
                <w:color w:val="0D0D0D" w:themeColor="text1" w:themeTint="F2"/>
                <w:spacing w:val="-4"/>
                <w:lang w:val="en-GB"/>
              </w:rPr>
              <w:t>68</w:t>
            </w:r>
            <w:r w:rsidR="00CC6E69" w:rsidRPr="00A00994">
              <w:rPr>
                <w:color w:val="0D0D0D" w:themeColor="text1" w:themeTint="F2"/>
                <w:spacing w:val="-4"/>
                <w:lang w:val="en-GB"/>
              </w:rPr>
              <w:t xml:space="preserve"> CZK bn</w:t>
            </w:r>
            <w:r w:rsidR="00775E00" w:rsidRPr="00A00994">
              <w:rPr>
                <w:color w:val="0D0D0D" w:themeColor="text1" w:themeTint="F2"/>
                <w:spacing w:val="-4"/>
                <w:lang w:val="en-GB"/>
              </w:rPr>
              <w:t xml:space="preserve">), </w:t>
            </w:r>
            <w:r w:rsidR="00CC6E69" w:rsidRPr="00A00994">
              <w:rPr>
                <w:color w:val="0D0D0D" w:themeColor="text1" w:themeTint="F2"/>
                <w:spacing w:val="-4"/>
                <w:lang w:val="en-GB"/>
              </w:rPr>
              <w:t xml:space="preserve">from the major part due to the strengthening of flows into the state funds </w:t>
            </w:r>
            <w:r w:rsidR="008F2E83" w:rsidRPr="00A00994">
              <w:rPr>
                <w:color w:val="0D0D0D" w:themeColor="text1" w:themeTint="F2"/>
                <w:spacing w:val="-4"/>
                <w:lang w:val="en-GB"/>
              </w:rPr>
              <w:t>(</w:t>
            </w:r>
            <w:r w:rsidR="00CC6E69" w:rsidRPr="00A00994">
              <w:rPr>
                <w:color w:val="0D0D0D" w:themeColor="text1" w:themeTint="F2"/>
                <w:spacing w:val="-4"/>
                <w:lang w:val="en-GB"/>
              </w:rPr>
              <w:t>on transport infrastructure as well as the environment</w:t>
            </w:r>
            <w:r w:rsidR="008F2E83" w:rsidRPr="00A00994">
              <w:rPr>
                <w:color w:val="0D0D0D" w:themeColor="text1" w:themeTint="F2"/>
                <w:spacing w:val="-4"/>
                <w:lang w:val="en-GB"/>
              </w:rPr>
              <w:t xml:space="preserve">). </w:t>
            </w:r>
            <w:r w:rsidR="00CC6E69" w:rsidRPr="00A00994">
              <w:rPr>
                <w:color w:val="0D0D0D" w:themeColor="text1" w:themeTint="F2"/>
                <w:spacing w:val="-4"/>
                <w:lang w:val="en-GB"/>
              </w:rPr>
              <w:t xml:space="preserve">Total investment formed even </w:t>
            </w:r>
            <w:r w:rsidR="008F2E83" w:rsidRPr="00A00994">
              <w:rPr>
                <w:color w:val="0D0D0D" w:themeColor="text1" w:themeTint="F2"/>
                <w:spacing w:val="-5"/>
                <w:lang w:val="en-GB"/>
              </w:rPr>
              <w:t xml:space="preserve">7% </w:t>
            </w:r>
            <w:r w:rsidR="00CC6E69" w:rsidRPr="00A00994">
              <w:rPr>
                <w:color w:val="0D0D0D" w:themeColor="text1" w:themeTint="F2"/>
                <w:spacing w:val="-5"/>
                <w:lang w:val="en-GB"/>
              </w:rPr>
              <w:t xml:space="preserve">of all budget expenditures, which corresponded to the long-term average. </w:t>
            </w:r>
          </w:p>
        </w:tc>
      </w:tr>
      <w:tr w:rsidR="008F2E83" w:rsidRPr="00A00994" w14:paraId="610894A5" w14:textId="77777777" w:rsidTr="00EE762D">
        <w:trPr>
          <w:trHeight w:val="170"/>
        </w:trPr>
        <w:tc>
          <w:tcPr>
            <w:tcW w:w="1805" w:type="dxa"/>
            <w:vMerge w:val="restart"/>
            <w:shd w:val="clear" w:color="auto" w:fill="auto"/>
            <w:tcMar>
              <w:left w:w="0" w:type="dxa"/>
            </w:tcMar>
          </w:tcPr>
          <w:p w14:paraId="4827EF04" w14:textId="77777777" w:rsidR="008F2E83" w:rsidRPr="00A00994" w:rsidRDefault="008F2E83" w:rsidP="000C7A79">
            <w:pPr>
              <w:pStyle w:val="Marginlie"/>
              <w:rPr>
                <w:lang w:val="en-GB"/>
              </w:rPr>
            </w:pPr>
          </w:p>
        </w:tc>
        <w:tc>
          <w:tcPr>
            <w:tcW w:w="217" w:type="dxa"/>
            <w:vMerge w:val="restart"/>
            <w:shd w:val="clear" w:color="auto" w:fill="auto"/>
            <w:tcMar>
              <w:left w:w="0" w:type="dxa"/>
            </w:tcMar>
          </w:tcPr>
          <w:p w14:paraId="3F093CC7"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606D6D57" w14:textId="3472D97D" w:rsidR="008F2E83" w:rsidRPr="00A00994" w:rsidRDefault="00E30601" w:rsidP="0052792D">
            <w:pPr>
              <w:spacing w:after="20" w:line="240" w:lineRule="auto"/>
              <w:jc w:val="left"/>
              <w:rPr>
                <w:rFonts w:cs="Arial"/>
                <w:bCs/>
                <w:lang w:val="en-GB"/>
              </w:rPr>
            </w:pPr>
            <w:r w:rsidRPr="00A00994">
              <w:rPr>
                <w:b/>
                <w:lang w:val="en-GB"/>
              </w:rPr>
              <w:t xml:space="preserve">Chart </w:t>
            </w:r>
            <w:r w:rsidR="008F2E83" w:rsidRPr="00A00994">
              <w:rPr>
                <w:b/>
                <w:lang w:val="en-GB"/>
              </w:rPr>
              <w:t>1</w:t>
            </w:r>
            <w:r w:rsidR="0052792D" w:rsidRPr="00A00994">
              <w:rPr>
                <w:b/>
                <w:lang w:val="en-GB"/>
              </w:rPr>
              <w:t>8</w:t>
            </w:r>
            <w:r w:rsidR="008F2E83" w:rsidRPr="00A00994">
              <w:rPr>
                <w:b/>
                <w:lang w:val="en-GB"/>
              </w:rPr>
              <w:t xml:space="preserve"> </w:t>
            </w:r>
            <w:r w:rsidR="00D35123" w:rsidRPr="00A00994">
              <w:rPr>
                <w:rFonts w:cs="Arial"/>
                <w:b/>
                <w:bCs/>
                <w:spacing w:val="-6"/>
                <w:lang w:val="en-GB"/>
              </w:rPr>
              <w:t xml:space="preserve">Selected expenditures of the state budget within H1 </w:t>
            </w:r>
            <w:r w:rsidR="00D35123" w:rsidRPr="00A00994">
              <w:rPr>
                <w:rFonts w:cs="Arial"/>
                <w:bCs/>
                <w:spacing w:val="-6"/>
                <w:lang w:val="en-GB"/>
              </w:rPr>
              <w:t xml:space="preserve">(in CZK bn) </w:t>
            </w:r>
          </w:p>
        </w:tc>
      </w:tr>
      <w:tr w:rsidR="008F2E83" w:rsidRPr="00A00994" w14:paraId="16838208" w14:textId="77777777" w:rsidTr="00B32F31">
        <w:tblPrEx>
          <w:tblCellMar>
            <w:left w:w="70" w:type="dxa"/>
            <w:right w:w="70" w:type="dxa"/>
          </w:tblCellMar>
        </w:tblPrEx>
        <w:trPr>
          <w:trHeight w:val="170"/>
        </w:trPr>
        <w:tc>
          <w:tcPr>
            <w:tcW w:w="1805" w:type="dxa"/>
            <w:vMerge/>
            <w:shd w:val="clear" w:color="auto" w:fill="auto"/>
          </w:tcPr>
          <w:p w14:paraId="213B6951" w14:textId="77777777" w:rsidR="008F2E83" w:rsidRPr="00A00994" w:rsidRDefault="008F2E83" w:rsidP="000C7A79">
            <w:pPr>
              <w:pStyle w:val="Marginlie"/>
              <w:rPr>
                <w:lang w:val="en-GB"/>
              </w:rPr>
            </w:pPr>
          </w:p>
        </w:tc>
        <w:tc>
          <w:tcPr>
            <w:tcW w:w="217" w:type="dxa"/>
            <w:vMerge/>
            <w:shd w:val="clear" w:color="auto" w:fill="auto"/>
          </w:tcPr>
          <w:p w14:paraId="7F440710" w14:textId="77777777" w:rsidR="008F2E83" w:rsidRPr="00A00994" w:rsidRDefault="008F2E83" w:rsidP="000C7A79">
            <w:pPr>
              <w:pStyle w:val="Textpoznpodarou"/>
              <w:jc w:val="both"/>
              <w:rPr>
                <w:spacing w:val="-4"/>
                <w:lang w:val="en-GB"/>
              </w:rPr>
            </w:pPr>
          </w:p>
        </w:tc>
        <w:tc>
          <w:tcPr>
            <w:tcW w:w="7647" w:type="dxa"/>
            <w:shd w:val="clear" w:color="auto" w:fill="auto"/>
          </w:tcPr>
          <w:p w14:paraId="6FCFEB51" w14:textId="1963AA4A" w:rsidR="008F2E83" w:rsidRPr="00A00994" w:rsidRDefault="00B32F31" w:rsidP="000C7A79">
            <w:pPr>
              <w:spacing w:after="0"/>
              <w:rPr>
                <w:spacing w:val="-6"/>
                <w:lang w:val="en-GB"/>
              </w:rPr>
            </w:pPr>
            <w:r>
              <w:rPr>
                <w:noProof/>
              </w:rPr>
              <w:drawing>
                <wp:inline distT="0" distB="0" distL="0" distR="0" wp14:anchorId="1F88A4DD" wp14:editId="1A4B6F1B">
                  <wp:extent cx="4759876" cy="3401149"/>
                  <wp:effectExtent l="0" t="0" r="3175" b="889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F2E83" w:rsidRPr="00A00994" w14:paraId="2D5A877D" w14:textId="77777777" w:rsidTr="00EE762D">
        <w:trPr>
          <w:trHeight w:val="170"/>
        </w:trPr>
        <w:tc>
          <w:tcPr>
            <w:tcW w:w="1805" w:type="dxa"/>
            <w:vMerge/>
            <w:shd w:val="clear" w:color="auto" w:fill="auto"/>
            <w:tcMar>
              <w:left w:w="0" w:type="dxa"/>
            </w:tcMar>
          </w:tcPr>
          <w:p w14:paraId="4E202D45" w14:textId="77777777" w:rsidR="008F2E83" w:rsidRPr="00A00994" w:rsidRDefault="008F2E83" w:rsidP="000C7A79">
            <w:pPr>
              <w:pStyle w:val="Marginlie"/>
              <w:rPr>
                <w:lang w:val="en-GB"/>
              </w:rPr>
            </w:pPr>
          </w:p>
        </w:tc>
        <w:tc>
          <w:tcPr>
            <w:tcW w:w="217" w:type="dxa"/>
            <w:vMerge/>
            <w:shd w:val="clear" w:color="auto" w:fill="auto"/>
            <w:tcMar>
              <w:left w:w="0" w:type="dxa"/>
            </w:tcMar>
          </w:tcPr>
          <w:p w14:paraId="43758B08" w14:textId="77777777" w:rsidR="008F2E83" w:rsidRPr="00A00994" w:rsidRDefault="008F2E83" w:rsidP="000C7A79">
            <w:pPr>
              <w:pStyle w:val="Textpoznpodarou"/>
              <w:jc w:val="both"/>
              <w:rPr>
                <w:spacing w:val="-4"/>
                <w:lang w:val="en-GB"/>
              </w:rPr>
            </w:pPr>
          </w:p>
        </w:tc>
        <w:tc>
          <w:tcPr>
            <w:tcW w:w="7647" w:type="dxa"/>
            <w:shd w:val="clear" w:color="auto" w:fill="auto"/>
            <w:tcMar>
              <w:left w:w="0" w:type="dxa"/>
            </w:tcMar>
          </w:tcPr>
          <w:p w14:paraId="75158193" w14:textId="49D5FEC6" w:rsidR="00D35123" w:rsidRPr="00A00994" w:rsidRDefault="008F2E83" w:rsidP="00D35123">
            <w:pPr>
              <w:pStyle w:val="Textpoznpodarou"/>
              <w:rPr>
                <w:spacing w:val="-4"/>
                <w:sz w:val="14"/>
                <w:szCs w:val="14"/>
                <w:lang w:val="en-GB"/>
              </w:rPr>
            </w:pPr>
            <w:r w:rsidRPr="00A00994">
              <w:rPr>
                <w:spacing w:val="-4"/>
                <w:sz w:val="14"/>
                <w:szCs w:val="14"/>
                <w:lang w:val="en-GB"/>
              </w:rPr>
              <w:t>*</w:t>
            </w:r>
            <w:r w:rsidR="00D35123" w:rsidRPr="00A00994">
              <w:rPr>
                <w:spacing w:val="-6"/>
                <w:sz w:val="14"/>
                <w:szCs w:val="14"/>
                <w:lang w:val="en-GB"/>
              </w:rPr>
              <w:t xml:space="preserve"> Covers expenditures on salaries in central government institutions. Does not include e.g. wage costs of regional education.</w:t>
            </w:r>
          </w:p>
          <w:p w14:paraId="5518C848" w14:textId="730FCE34" w:rsidR="00D35123" w:rsidRPr="00A00994" w:rsidRDefault="00D35123" w:rsidP="00D35123">
            <w:pPr>
              <w:pStyle w:val="Textpoznpodarou"/>
              <w:rPr>
                <w:spacing w:val="-6"/>
                <w:sz w:val="14"/>
                <w:szCs w:val="14"/>
                <w:lang w:val="en-GB"/>
              </w:rPr>
            </w:pPr>
            <w:r w:rsidRPr="00A00994">
              <w:rPr>
                <w:spacing w:val="-6"/>
                <w:sz w:val="14"/>
                <w:szCs w:val="14"/>
                <w:lang w:val="en-GB"/>
              </w:rPr>
              <w:t>**Also includes the foster care benefits.     ***Includes Material deprivation assistance benefits, Benefits for people with disabilities, Care benefits based on Act on State Social Support.</w:t>
            </w:r>
            <w:r w:rsidR="00246649" w:rsidRPr="00A00994">
              <w:rPr>
                <w:spacing w:val="-6"/>
                <w:sz w:val="14"/>
                <w:szCs w:val="14"/>
                <w:lang w:val="en-GB"/>
              </w:rPr>
              <w:t xml:space="preserve"> Humanitarian aid provided for citizens of Ukraine are also included here.</w:t>
            </w:r>
          </w:p>
          <w:p w14:paraId="76265063" w14:textId="512B802B" w:rsidR="008F2E83" w:rsidRPr="00A00994" w:rsidRDefault="00D35123" w:rsidP="00246649">
            <w:pPr>
              <w:pStyle w:val="Textpoznpodarou"/>
              <w:rPr>
                <w:spacing w:val="-4"/>
                <w:sz w:val="14"/>
                <w:szCs w:val="14"/>
                <w:lang w:val="en-GB"/>
              </w:rPr>
            </w:pPr>
            <w:r w:rsidRPr="00A00994">
              <w:rPr>
                <w:spacing w:val="-6"/>
                <w:sz w:val="14"/>
                <w:szCs w:val="14"/>
                <w:lang w:val="en-GB"/>
              </w:rPr>
              <w:t xml:space="preserve">****Contains mainly expenditures on purchase of services, materials, energies or other services (e.g. expenditures on repairs and maintenance).    *****Corresponds to the balance of the budget chapter State debt.                                             </w:t>
            </w:r>
            <w:r w:rsidR="008F2E83" w:rsidRPr="00A00994">
              <w:rPr>
                <w:spacing w:val="-4"/>
                <w:sz w:val="14"/>
                <w:szCs w:val="14"/>
                <w:lang w:val="en-GB"/>
              </w:rPr>
              <w:t>.</w:t>
            </w:r>
          </w:p>
          <w:p w14:paraId="6C5FAC1B" w14:textId="136C5D1E" w:rsidR="002857D3" w:rsidRPr="00B44097" w:rsidRDefault="00E30601" w:rsidP="00B44097">
            <w:pPr>
              <w:pStyle w:val="Textpoznpodarou"/>
              <w:spacing w:after="200"/>
              <w:rPr>
                <w:spacing w:val="-4"/>
                <w:sz w:val="14"/>
                <w:szCs w:val="14"/>
                <w:lang w:val="en-GB"/>
              </w:rPr>
            </w:pPr>
            <w:r w:rsidRPr="00A00994">
              <w:rPr>
                <w:spacing w:val="-4"/>
                <w:sz w:val="14"/>
                <w:szCs w:val="14"/>
                <w:lang w:val="en-GB"/>
              </w:rPr>
              <w:t>Source</w:t>
            </w:r>
            <w:r w:rsidR="008F2E83" w:rsidRPr="00A00994">
              <w:rPr>
                <w:spacing w:val="-4"/>
                <w:sz w:val="14"/>
                <w:szCs w:val="14"/>
                <w:lang w:val="en-GB"/>
              </w:rPr>
              <w:t>: MF </w:t>
            </w:r>
            <w:r w:rsidRPr="00A00994">
              <w:rPr>
                <w:spacing w:val="-4"/>
                <w:sz w:val="14"/>
                <w:szCs w:val="14"/>
                <w:lang w:val="en-GB"/>
              </w:rPr>
              <w:t>C</w:t>
            </w:r>
            <w:r w:rsidR="008F2E83" w:rsidRPr="00A00994">
              <w:rPr>
                <w:spacing w:val="-4"/>
                <w:sz w:val="14"/>
                <w:szCs w:val="14"/>
                <w:lang w:val="en-GB"/>
              </w:rPr>
              <w:t>R, M</w:t>
            </w:r>
            <w:r w:rsidRPr="00A00994">
              <w:rPr>
                <w:spacing w:val="-4"/>
                <w:sz w:val="14"/>
                <w:szCs w:val="14"/>
                <w:lang w:val="en-GB"/>
              </w:rPr>
              <w:t>LSA</w:t>
            </w:r>
          </w:p>
        </w:tc>
      </w:tr>
      <w:tr w:rsidR="00AA0A80" w:rsidRPr="00A00994" w14:paraId="205BCD79" w14:textId="77777777" w:rsidTr="00EE762D">
        <w:trPr>
          <w:trHeight w:val="170"/>
        </w:trPr>
        <w:tc>
          <w:tcPr>
            <w:tcW w:w="1805" w:type="dxa"/>
            <w:shd w:val="clear" w:color="auto" w:fill="auto"/>
            <w:tcMar>
              <w:left w:w="0" w:type="dxa"/>
            </w:tcMar>
          </w:tcPr>
          <w:p w14:paraId="55014FB0" w14:textId="77F8BA43" w:rsidR="00AA0A80" w:rsidRPr="00A00994" w:rsidRDefault="00AA0A80" w:rsidP="00AA0A80">
            <w:pPr>
              <w:pStyle w:val="Marginlie"/>
              <w:rPr>
                <w:lang w:val="en-GB"/>
              </w:rPr>
            </w:pPr>
            <w:r w:rsidRPr="00A00994">
              <w:rPr>
                <w:lang w:val="en-GB"/>
              </w:rPr>
              <w:lastRenderedPageBreak/>
              <w:t xml:space="preserve">Half-yearly positive SB balance towards the EU budget was under the effect of weaker revenues the lowest in the last four years. </w:t>
            </w:r>
          </w:p>
        </w:tc>
        <w:tc>
          <w:tcPr>
            <w:tcW w:w="217" w:type="dxa"/>
            <w:shd w:val="clear" w:color="auto" w:fill="auto"/>
            <w:tcMar>
              <w:left w:w="0" w:type="dxa"/>
            </w:tcMar>
          </w:tcPr>
          <w:p w14:paraId="2E5AF6D1"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72BB8EA2" w14:textId="1C0E8DDC" w:rsidR="00AA0A80" w:rsidRPr="00A00994" w:rsidRDefault="00AA0A80" w:rsidP="00AA0A80">
            <w:pPr>
              <w:rPr>
                <w:rFonts w:cs="Arial"/>
                <w:color w:val="0D0D0D" w:themeColor="text1" w:themeTint="F2"/>
                <w:spacing w:val="-6"/>
                <w:lang w:val="en-GB"/>
              </w:rPr>
            </w:pPr>
            <w:r w:rsidRPr="00A00994">
              <w:rPr>
                <w:color w:val="0D0D0D" w:themeColor="text1" w:themeTint="F2"/>
                <w:spacing w:val="-2"/>
                <w:lang w:val="en-GB"/>
              </w:rPr>
              <w:t>Despite stronger year-on-year decrease of the majority of revenue types the CR remained towards the EU budget the net recipient in H1 2022. The structural funds preserved the position of the most significant revenue channel (17.7 CZK bn), even though these flows into the CR reduced by more than one half against H1 2020 (the similar was also valid for the cohesion funds). The volume of otherwise fairly stable in the long-term direct payments in agriculture decreased substantially slower (to 17.1 bn). 6.1 CZK bn was allocated to the rural development (incl. the area of fishing). It represented the only revenue title, where the CR gained more year-on-year. Half-yearly total domestic payments into the Union budget practically stagnated similarly to the previous two years (32.5 CZK bn). The CR thus acquired from the EU budget net 15.9 CZK bn so far this year (the least since H1 2018). If revenue from the EU tool Recovery and Resilience Facility</w:t>
            </w:r>
            <w:r w:rsidRPr="00A00994">
              <w:rPr>
                <w:color w:val="0D0D0D" w:themeColor="text1" w:themeTint="F2"/>
                <w:spacing w:val="-2"/>
                <w:vertAlign w:val="superscript"/>
                <w:lang w:val="en-GB"/>
              </w:rPr>
              <w:footnoteReference w:id="16"/>
            </w:r>
            <w:r w:rsidRPr="00A00994">
              <w:rPr>
                <w:color w:val="0D0D0D" w:themeColor="text1" w:themeTint="F2"/>
                <w:spacing w:val="-2"/>
                <w:lang w:val="en-GB"/>
              </w:rPr>
              <w:t xml:space="preserve"> were also included, the positive balance would be 23.5 bn.</w:t>
            </w:r>
          </w:p>
        </w:tc>
      </w:tr>
      <w:tr w:rsidR="00AA0A80" w:rsidRPr="00A00994" w14:paraId="5609F5EB" w14:textId="77777777" w:rsidTr="00EE762D">
        <w:trPr>
          <w:trHeight w:val="170"/>
        </w:trPr>
        <w:tc>
          <w:tcPr>
            <w:tcW w:w="1805" w:type="dxa"/>
            <w:shd w:val="clear" w:color="auto" w:fill="auto"/>
            <w:tcMar>
              <w:left w:w="0" w:type="dxa"/>
            </w:tcMar>
          </w:tcPr>
          <w:p w14:paraId="050C8DAC" w14:textId="011E207F" w:rsidR="00AA0A80" w:rsidRPr="00A00994" w:rsidRDefault="00AA0A80" w:rsidP="00AA0A80">
            <w:pPr>
              <w:pStyle w:val="Marginlie"/>
              <w:rPr>
                <w:lang w:val="en-GB"/>
              </w:rPr>
            </w:pPr>
            <w:r w:rsidRPr="00A00994">
              <w:rPr>
                <w:lang w:val="en-GB"/>
              </w:rPr>
              <w:t xml:space="preserve">Budget deficit of the government institutions sector shrank nearly by one half in the CR year-on-year, still it remained deep. </w:t>
            </w:r>
          </w:p>
          <w:p w14:paraId="4DA3A8FF" w14:textId="77777777" w:rsidR="00AA0A80" w:rsidRPr="00A00994" w:rsidRDefault="00AA0A80" w:rsidP="00AA0A80">
            <w:pPr>
              <w:pStyle w:val="Marginlie"/>
              <w:rPr>
                <w:lang w:val="en-GB"/>
              </w:rPr>
            </w:pPr>
          </w:p>
          <w:p w14:paraId="1A970A3E" w14:textId="77777777" w:rsidR="00AA0A80" w:rsidRPr="00A00994" w:rsidRDefault="00AA0A80" w:rsidP="00AA0A80">
            <w:pPr>
              <w:pStyle w:val="Marginlie"/>
              <w:rPr>
                <w:lang w:val="en-GB"/>
              </w:rPr>
            </w:pPr>
          </w:p>
          <w:p w14:paraId="2F70AA91" w14:textId="77777777" w:rsidR="00AA0A80" w:rsidRPr="00A00994" w:rsidRDefault="00AA0A80" w:rsidP="00AA0A80">
            <w:pPr>
              <w:pStyle w:val="Marginlie"/>
              <w:rPr>
                <w:lang w:val="en-GB"/>
              </w:rPr>
            </w:pPr>
          </w:p>
          <w:p w14:paraId="104C3F71" w14:textId="77777777" w:rsidR="00AA0A80" w:rsidRPr="00A00994" w:rsidRDefault="00AA0A80" w:rsidP="00AA0A80">
            <w:pPr>
              <w:pStyle w:val="Marginlie"/>
              <w:rPr>
                <w:lang w:val="en-GB"/>
              </w:rPr>
            </w:pPr>
          </w:p>
          <w:p w14:paraId="582A7F75" w14:textId="77777777" w:rsidR="00AA0A80" w:rsidRPr="00A00994" w:rsidRDefault="00AA0A80" w:rsidP="00AA0A80">
            <w:pPr>
              <w:pStyle w:val="Marginlie"/>
              <w:rPr>
                <w:lang w:val="en-GB"/>
              </w:rPr>
            </w:pPr>
          </w:p>
          <w:p w14:paraId="71688830" w14:textId="77777777" w:rsidR="00AA0A80" w:rsidRPr="00A00994" w:rsidRDefault="00AA0A80" w:rsidP="00AA0A80">
            <w:pPr>
              <w:pStyle w:val="Marginlie"/>
              <w:rPr>
                <w:lang w:val="en-GB"/>
              </w:rPr>
            </w:pPr>
          </w:p>
          <w:p w14:paraId="523D8DBA" w14:textId="77777777" w:rsidR="00AA0A80" w:rsidRPr="00A00994" w:rsidRDefault="00AA0A80" w:rsidP="00AA0A80">
            <w:pPr>
              <w:pStyle w:val="Marginlie"/>
              <w:rPr>
                <w:lang w:val="en-GB"/>
              </w:rPr>
            </w:pPr>
          </w:p>
          <w:p w14:paraId="1E72EED1" w14:textId="0ADD2F6F" w:rsidR="00AA0A80" w:rsidRPr="00A00994" w:rsidRDefault="00AA0A80" w:rsidP="00AA0A80">
            <w:pPr>
              <w:pStyle w:val="Marginlie"/>
              <w:rPr>
                <w:lang w:val="en-GB"/>
              </w:rPr>
            </w:pPr>
            <w:r w:rsidRPr="00A00994">
              <w:rPr>
                <w:lang w:val="en-GB"/>
              </w:rPr>
              <w:t xml:space="preserve">Growth of the consolidated government institution debt slowed down in the CR.  </w:t>
            </w:r>
          </w:p>
        </w:tc>
        <w:tc>
          <w:tcPr>
            <w:tcW w:w="217" w:type="dxa"/>
            <w:shd w:val="clear" w:color="auto" w:fill="auto"/>
            <w:tcMar>
              <w:left w:w="0" w:type="dxa"/>
            </w:tcMar>
          </w:tcPr>
          <w:p w14:paraId="3A407E06"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572F8B90" w14:textId="2828C2CF" w:rsidR="00AA0A80" w:rsidRPr="00A00994" w:rsidRDefault="00AA0A80" w:rsidP="00AA0A80">
            <w:pPr>
              <w:rPr>
                <w:rFonts w:cs="Arial"/>
                <w:color w:val="0D0D0D" w:themeColor="text1" w:themeTint="F2"/>
                <w:spacing w:val="-6"/>
                <w:lang w:val="en-GB"/>
              </w:rPr>
            </w:pPr>
            <w:r w:rsidRPr="00A00994">
              <w:rPr>
                <w:rFonts w:cs="Arial"/>
                <w:color w:val="0D0D0D" w:themeColor="text1" w:themeTint="F2"/>
                <w:spacing w:val="-6"/>
                <w:lang w:val="en-GB"/>
              </w:rPr>
              <w:t>Government institution sector (VI) budget in the CR ended in deficit of 75.3 CZK bn in Q1 2022</w:t>
            </w:r>
            <w:r w:rsidRPr="00A00994">
              <w:rPr>
                <w:rStyle w:val="Znakapoznpodarou"/>
                <w:color w:val="0D0D0D" w:themeColor="text1" w:themeTint="F2"/>
                <w:spacing w:val="-6"/>
                <w:lang w:val="en-GB"/>
              </w:rPr>
              <w:footnoteReference w:id="17"/>
            </w:r>
            <w:r w:rsidRPr="00A00994">
              <w:rPr>
                <w:rFonts w:cs="Arial"/>
                <w:color w:val="0D0D0D" w:themeColor="text1" w:themeTint="F2"/>
                <w:spacing w:val="-6"/>
                <w:lang w:val="en-GB"/>
              </w:rPr>
              <w:t>. Even though it represented a deficit by nearly one half lower year-on-year, it was simultaneously the second worse result achieved within Q1 in the history of the independent CR. Substantial slowdown of growth of total expenditures VI (to 1.2% year-on-year), which was mainly associated with the termination of majority of support programmes for the entities impacted by the plunge of demand during the pandemics, contributed to the deficit moderation in Q1. Parallelly</w:t>
            </w:r>
            <w:r>
              <w:rPr>
                <w:rFonts w:cs="Arial"/>
                <w:color w:val="0D0D0D" w:themeColor="text1" w:themeTint="F2"/>
                <w:spacing w:val="-6"/>
                <w:lang w:val="en-GB"/>
              </w:rPr>
              <w:t>,</w:t>
            </w:r>
            <w:r w:rsidRPr="00A00994">
              <w:rPr>
                <w:rFonts w:cs="Arial"/>
                <w:color w:val="0D0D0D" w:themeColor="text1" w:themeTint="F2"/>
                <w:spacing w:val="-6"/>
                <w:lang w:val="en-GB"/>
              </w:rPr>
              <w:t xml:space="preserve"> the acceleration of the revenue growth occurred (to 13.6%) – both under the influence of the total revival of the economy and impact of the high price growth. Revenue VI from the product taxes (+27 CZK bn, </w:t>
            </w:r>
            <w:r>
              <w:rPr>
                <w:rFonts w:cs="Arial"/>
                <w:color w:val="0D0D0D" w:themeColor="text1" w:themeTint="F2"/>
                <w:spacing w:val="-6"/>
                <w:lang w:val="en-GB"/>
              </w:rPr>
              <w:t>i.e.</w:t>
            </w:r>
            <w:r w:rsidRPr="00A00994">
              <w:rPr>
                <w:rFonts w:cs="Arial"/>
                <w:color w:val="0D0D0D" w:themeColor="text1" w:themeTint="F2"/>
                <w:spacing w:val="-6"/>
                <w:lang w:val="en-GB"/>
              </w:rPr>
              <w:t xml:space="preserve"> +20%) as well as from net social contributions of both employers and workers themselves (+21 bn, +9%) thus grew swiftly. In both cases it concerned revenues substantially exceeding their pre-crisis maximum. Budget deficit fell solely to the central VI, since regional VI as well as health insurance companies recorded mild budget surplus (similarly to the beginning of last year). Gross consolidated debt of the sector </w:t>
            </w:r>
            <w:r w:rsidRPr="00A00994">
              <w:rPr>
                <w:lang w:val="en-GB"/>
              </w:rPr>
              <w:t xml:space="preserve">VI rose to 2 683 CZK bn, year-on-year by 6.8% this year in March. The size of the debt grew continuously since half of year 2019, this year’s increase was however the lowest since the beginning of pandemics so far.  </w:t>
            </w:r>
          </w:p>
        </w:tc>
      </w:tr>
      <w:tr w:rsidR="00AA0A80" w:rsidRPr="00A00994" w14:paraId="44BC0AB6" w14:textId="77777777" w:rsidTr="00EE762D">
        <w:trPr>
          <w:trHeight w:val="170"/>
        </w:trPr>
        <w:tc>
          <w:tcPr>
            <w:tcW w:w="1805" w:type="dxa"/>
            <w:shd w:val="clear" w:color="auto" w:fill="auto"/>
            <w:tcMar>
              <w:left w:w="0" w:type="dxa"/>
            </w:tcMar>
          </w:tcPr>
          <w:p w14:paraId="572C13B5" w14:textId="3BCCD72B" w:rsidR="00AA0A80" w:rsidRPr="00A00994" w:rsidRDefault="00AA0A80" w:rsidP="00AA0A80">
            <w:pPr>
              <w:pStyle w:val="Marginlie"/>
              <w:rPr>
                <w:lang w:val="en-GB"/>
              </w:rPr>
            </w:pPr>
            <w:r w:rsidRPr="00A00994">
              <w:rPr>
                <w:lang w:val="en-GB"/>
              </w:rPr>
              <w:t xml:space="preserve">Budget deficit of the government institution sector in the EU dropped for the fifth quarter in a row, specifically to the lowest value since the onset of pandemics. </w:t>
            </w:r>
          </w:p>
        </w:tc>
        <w:tc>
          <w:tcPr>
            <w:tcW w:w="217" w:type="dxa"/>
            <w:shd w:val="clear" w:color="auto" w:fill="auto"/>
            <w:tcMar>
              <w:left w:w="0" w:type="dxa"/>
            </w:tcMar>
          </w:tcPr>
          <w:p w14:paraId="50FCF0B4"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12AAFD17" w14:textId="2F66E45A" w:rsidR="00AA0A80" w:rsidRPr="00A00994" w:rsidRDefault="00AA0A80" w:rsidP="00AA0A80">
            <w:pPr>
              <w:rPr>
                <w:rFonts w:cs="Arial"/>
                <w:color w:val="0D0D0D" w:themeColor="text1" w:themeTint="F2"/>
                <w:spacing w:val="-6"/>
                <w:lang w:val="en-GB"/>
              </w:rPr>
            </w:pPr>
            <w:r w:rsidRPr="00A00994">
              <w:rPr>
                <w:rFonts w:cs="Arial"/>
                <w:color w:val="0D0D0D" w:themeColor="text1" w:themeTint="F2"/>
                <w:spacing w:val="-6"/>
                <w:lang w:val="en-GB"/>
              </w:rPr>
              <w:t>Post crisis revival of the economy together with strong reduction of the extraordinary public expenditures tied to the pandemics are gradually reflected in the improved budget of the government institutions sector in the EU countries. Sector VI budget deficit</w:t>
            </w:r>
            <w:r w:rsidRPr="00A00994">
              <w:rPr>
                <w:rStyle w:val="Znakapoznpodarou"/>
                <w:color w:val="0D0D0D" w:themeColor="text1" w:themeTint="F2"/>
                <w:spacing w:val="-6"/>
                <w:lang w:val="en-GB"/>
              </w:rPr>
              <w:footnoteReference w:id="18"/>
            </w:r>
            <w:r w:rsidRPr="00A00994">
              <w:rPr>
                <w:rFonts w:cs="Arial"/>
                <w:color w:val="0D0D0D" w:themeColor="text1" w:themeTint="F2"/>
                <w:spacing w:val="-6"/>
                <w:lang w:val="en-GB"/>
              </w:rPr>
              <w:t xml:space="preserve"> decreased for the fifth time in a row in the Union quarter-on-quarter and it amounted to 2.2% of GDP at the beginning of this year (the least since the end of year 2019). The relative deficit was thus lower than in the CR (−3.5% of GDP) or Spain (−4.4%) and France (−3.8%), the deepest deficits troubled Italy and Malta. Hungary (−6.9% of GDP) and Slovakia (−3.7%) were hit the most within the Central Europe (similarly to the whole last year), in contrast Poland (−1.2%) and Germany (−0.4%) headed towards the balanced budget this year so far. In comparison to Q1 2021, when a number of states proceeded with counter pandemic restriction, the balance of sector VI budget improved in the vast majority of Union members this year. Only Bulgaria and also Denmark (whose budget still ended in mild surplus) experienced an apparent deterioration.</w:t>
            </w:r>
          </w:p>
        </w:tc>
      </w:tr>
      <w:tr w:rsidR="00AA0A80" w:rsidRPr="00A00994" w14:paraId="12B49020" w14:textId="77777777" w:rsidTr="00EE762D">
        <w:trPr>
          <w:trHeight w:val="170"/>
        </w:trPr>
        <w:tc>
          <w:tcPr>
            <w:tcW w:w="1805" w:type="dxa"/>
            <w:shd w:val="clear" w:color="auto" w:fill="auto"/>
            <w:tcMar>
              <w:left w:w="0" w:type="dxa"/>
            </w:tcMar>
          </w:tcPr>
          <w:p w14:paraId="7CF3BA29" w14:textId="08447B53" w:rsidR="00AA0A80" w:rsidRPr="00A00994" w:rsidRDefault="00AA0A80" w:rsidP="00AA0A80">
            <w:pPr>
              <w:pStyle w:val="Marginlie"/>
              <w:rPr>
                <w:lang w:val="en-GB"/>
              </w:rPr>
            </w:pPr>
            <w:r w:rsidRPr="00A00994">
              <w:rPr>
                <w:lang w:val="en-GB"/>
              </w:rPr>
              <w:t xml:space="preserve">The indebtedness rate in the EU started mildly decreasing following the last year’s absolute peak. </w:t>
            </w:r>
            <w:r w:rsidRPr="00A00994">
              <w:rPr>
                <w:lang w:val="en-GB"/>
              </w:rPr>
              <w:lastRenderedPageBreak/>
              <w:t xml:space="preserve">Nearly all member states recorded a positive shift. </w:t>
            </w:r>
          </w:p>
          <w:p w14:paraId="2D39B321" w14:textId="77777777" w:rsidR="00AA0A80" w:rsidRPr="00A00994" w:rsidRDefault="00AA0A80" w:rsidP="00AA0A80">
            <w:pPr>
              <w:pStyle w:val="Marginlie"/>
              <w:rPr>
                <w:lang w:val="en-GB"/>
              </w:rPr>
            </w:pPr>
          </w:p>
        </w:tc>
        <w:tc>
          <w:tcPr>
            <w:tcW w:w="217" w:type="dxa"/>
            <w:shd w:val="clear" w:color="auto" w:fill="auto"/>
            <w:tcMar>
              <w:left w:w="0" w:type="dxa"/>
            </w:tcMar>
          </w:tcPr>
          <w:p w14:paraId="1999B2C3" w14:textId="77777777" w:rsidR="00AA0A80" w:rsidRPr="00A00994" w:rsidRDefault="00AA0A80" w:rsidP="00AA0A80">
            <w:pPr>
              <w:pStyle w:val="Textpoznpodarou"/>
              <w:jc w:val="both"/>
              <w:rPr>
                <w:spacing w:val="-4"/>
                <w:lang w:val="en-GB"/>
              </w:rPr>
            </w:pPr>
          </w:p>
        </w:tc>
        <w:tc>
          <w:tcPr>
            <w:tcW w:w="7647" w:type="dxa"/>
            <w:shd w:val="clear" w:color="auto" w:fill="auto"/>
            <w:tcMar>
              <w:left w:w="0" w:type="dxa"/>
            </w:tcMar>
          </w:tcPr>
          <w:p w14:paraId="386B980A" w14:textId="2501919B" w:rsidR="00AA0A80" w:rsidRPr="00A00994" w:rsidRDefault="00AA0A80" w:rsidP="00AA0A80">
            <w:pPr>
              <w:rPr>
                <w:rFonts w:cs="Arial"/>
                <w:color w:val="0D0D0D" w:themeColor="text1" w:themeTint="F2"/>
                <w:spacing w:val="-6"/>
                <w:lang w:val="en-GB"/>
              </w:rPr>
            </w:pPr>
            <w:r w:rsidRPr="00A00994">
              <w:rPr>
                <w:rFonts w:cs="Arial"/>
                <w:color w:val="0D0D0D" w:themeColor="text1" w:themeTint="F2"/>
                <w:spacing w:val="-3"/>
                <w:lang w:val="en-GB"/>
              </w:rPr>
              <w:t>The indebtedness of sector VI, which ascended to the historically highest level at the beginning of the last year, arrived at 87.8% of GDP (res. 95.6% in the euro area</w:t>
            </w:r>
            <w:r w:rsidRPr="00A00994">
              <w:rPr>
                <w:rFonts w:cs="Arial"/>
                <w:color w:val="0D0D0D" w:themeColor="text1" w:themeTint="F2"/>
                <w:spacing w:val="-4"/>
                <w:lang w:val="en-GB"/>
              </w:rPr>
              <w:t xml:space="preserve">) in the EU at the end of Q1 2022. All member states reported a year-on-year reduction of the indebtedness </w:t>
            </w:r>
            <w:r w:rsidRPr="00A00994">
              <w:rPr>
                <w:rFonts w:cs="Arial"/>
                <w:color w:val="0D0D0D" w:themeColor="text1" w:themeTint="F2"/>
                <w:lang w:val="en-GB"/>
              </w:rPr>
              <w:t>(whole EU by 4.5 p.p., the CR by 1.1</w:t>
            </w:r>
            <w:r w:rsidRPr="00A00994">
              <w:rPr>
                <w:rFonts w:cs="Arial"/>
                <w:color w:val="0D0D0D" w:themeColor="text1" w:themeTint="F2"/>
                <w:spacing w:val="-3"/>
                <w:lang w:val="en-GB"/>
              </w:rPr>
              <w:t xml:space="preserve"> p.p.), apart from Romania, Slovakia </w:t>
            </w:r>
            <w:r w:rsidRPr="00A00994">
              <w:rPr>
                <w:rFonts w:cs="Arial"/>
                <w:color w:val="0D0D0D" w:themeColor="text1" w:themeTint="F2"/>
                <w:spacing w:val="-3"/>
                <w:lang w:val="en-GB"/>
              </w:rPr>
              <w:lastRenderedPageBreak/>
              <w:t>and Malta (where a mild increase manifested). The debt in the Union was nevertheless higher by 10 p.p. compared to the lowest indebtedness level from the year of the pre-pandemic boom (period 2014 till 2019), by nearly 20 p. p. (+13 p.p. in the CR) in the most affected states (Greece, Italy, Spain, France). On the contrary only Ireland fared considerably better than before the pandemics (−4 p.p.). This year’s indebtedness corresponded</w:t>
            </w:r>
            <w:r w:rsidR="001F406B">
              <w:rPr>
                <w:rFonts w:cs="Arial"/>
                <w:color w:val="0D0D0D" w:themeColor="text1" w:themeTint="F2"/>
                <w:spacing w:val="-3"/>
                <w:lang w:val="en-GB"/>
              </w:rPr>
              <w:t xml:space="preserve"> to the level</w:t>
            </w:r>
            <w:r w:rsidRPr="00A00994">
              <w:rPr>
                <w:rFonts w:cs="Arial"/>
                <w:color w:val="0D0D0D" w:themeColor="text1" w:themeTint="F2"/>
                <w:spacing w:val="-3"/>
                <w:lang w:val="en-GB"/>
              </w:rPr>
              <w:t xml:space="preserve"> from the end of year 2019 in Denmark and Sweden and both countries thus solidified their position among the least indebted economies. The indebtedness rate arrived at 42.8% of GDP in the CR, which marked the eighth lowest value in the Union and at the same time still sovereign </w:t>
            </w:r>
            <w:r w:rsidR="001F406B">
              <w:rPr>
                <w:rFonts w:cs="Arial"/>
                <w:color w:val="0D0D0D" w:themeColor="text1" w:themeTint="F2"/>
                <w:spacing w:val="-3"/>
                <w:lang w:val="en-GB"/>
              </w:rPr>
              <w:t xml:space="preserve">best </w:t>
            </w:r>
            <w:r w:rsidRPr="00A00994">
              <w:rPr>
                <w:rFonts w:cs="Arial"/>
                <w:color w:val="0D0D0D" w:themeColor="text1" w:themeTint="F2"/>
                <w:spacing w:val="-3"/>
                <w:lang w:val="en-GB"/>
              </w:rPr>
              <w:t xml:space="preserve">position among the Central European states. </w:t>
            </w:r>
          </w:p>
        </w:tc>
      </w:tr>
    </w:tbl>
    <w:p w14:paraId="3409E2F5" w14:textId="77777777" w:rsidR="008F2E83" w:rsidRPr="00A00994" w:rsidRDefault="008F2E83" w:rsidP="008F2E83">
      <w:pPr>
        <w:pStyle w:val="Nadpis11"/>
        <w:spacing w:after="0"/>
        <w:rPr>
          <w:b w:val="0"/>
          <w:sz w:val="2"/>
          <w:szCs w:val="2"/>
          <w:lang w:val="en-GB"/>
        </w:rPr>
      </w:pPr>
    </w:p>
    <w:p w14:paraId="5BAB8EA3" w14:textId="23A06DC9" w:rsidR="000663F0" w:rsidRPr="00A00994" w:rsidRDefault="000663F0" w:rsidP="00A315D0">
      <w:pPr>
        <w:pStyle w:val="Nadpis11"/>
        <w:rPr>
          <w:b w:val="0"/>
          <w:sz w:val="2"/>
          <w:szCs w:val="2"/>
          <w:lang w:val="en-GB"/>
        </w:rPr>
      </w:pPr>
    </w:p>
    <w:sectPr w:rsidR="000663F0" w:rsidRPr="00A00994" w:rsidSect="00DE4B99">
      <w:headerReference w:type="even" r:id="rId11"/>
      <w:headerReference w:type="default" r:id="rId12"/>
      <w:footerReference w:type="even" r:id="rId13"/>
      <w:footerReference w:type="default" r:id="rId14"/>
      <w:pgSz w:w="11906" w:h="16838" w:code="9"/>
      <w:pgMar w:top="1134" w:right="1134" w:bottom="1418" w:left="1134" w:header="680" w:footer="737" w:gutter="0"/>
      <w:pgNumType w:start="3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77CA" w16cid:durableId="26F13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667D" w14:textId="77777777" w:rsidR="006C35B7" w:rsidRDefault="006C35B7" w:rsidP="00E71A58">
      <w:r>
        <w:separator/>
      </w:r>
    </w:p>
  </w:endnote>
  <w:endnote w:type="continuationSeparator" w:id="0">
    <w:p w14:paraId="46A04287" w14:textId="77777777" w:rsidR="006C35B7" w:rsidRDefault="006C35B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31208740" w:rsidR="00073B58" w:rsidRPr="00932443" w:rsidRDefault="00073B58"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DE4B99">
      <w:rPr>
        <w:szCs w:val="16"/>
      </w:rPr>
      <w:t>40</w:t>
    </w:r>
    <w:r w:rsidRPr="00932443">
      <w:rPr>
        <w:szCs w:val="16"/>
      </w:rPr>
      <w:fldChar w:fldCharType="end"/>
    </w:r>
    <w:r w:rsidRPr="00932443">
      <w:rPr>
        <w:szCs w:val="16"/>
      </w:rPr>
      <w:tab/>
    </w:r>
    <w:r w:rsidRPr="00D060D1">
      <w:rPr>
        <w:szCs w:val="16"/>
        <w:lang w:val="en-GB"/>
      </w:rPr>
      <w:t>First half of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7CE9F47" w:rsidR="00073B58" w:rsidRPr="00932443" w:rsidRDefault="00073B58" w:rsidP="00FA6CB6">
    <w:pPr>
      <w:pStyle w:val="Zpat"/>
      <w:rPr>
        <w:szCs w:val="16"/>
      </w:rPr>
    </w:pPr>
    <w:r w:rsidRPr="00FA6CB6">
      <w:rPr>
        <w:szCs w:val="16"/>
      </w:rPr>
      <w:tab/>
    </w:r>
    <w:r w:rsidRPr="00D060D1">
      <w:rPr>
        <w:szCs w:val="16"/>
        <w:lang w:val="en-GB"/>
      </w:rPr>
      <w:t xml:space="preserve">First </w:t>
    </w:r>
    <w:r>
      <w:rPr>
        <w:szCs w:val="16"/>
        <w:lang w:val="en-GB"/>
      </w:rPr>
      <w:t>h</w:t>
    </w:r>
    <w:r w:rsidRPr="00D060D1">
      <w:rPr>
        <w:szCs w:val="16"/>
        <w:lang w:val="en-GB"/>
      </w:rPr>
      <w:t>alf of 202</w:t>
    </w:r>
    <w:r>
      <w:rPr>
        <w:lang w:eastAsia="cs-CZ"/>
      </w:rPr>
      <w:drawing>
        <wp:anchor distT="0" distB="0" distL="114300" distR="114300" simplePos="0" relativeHeight="251670016" behindDoc="0" locked="0" layoutInCell="1" allowOverlap="1" wp14:anchorId="3E4346EB" wp14:editId="36046FDA">
          <wp:simplePos x="0" y="0"/>
          <wp:positionH relativeFrom="margin">
            <wp:posOffset>0</wp:posOffset>
          </wp:positionH>
          <wp:positionV relativeFrom="paragraph">
            <wp:posOffset>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DE4B99">
      <w:rPr>
        <w:rStyle w:val="ZpatChar"/>
        <w:szCs w:val="16"/>
      </w:rPr>
      <w:t>39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7276" w14:textId="77777777" w:rsidR="006C35B7" w:rsidRDefault="006C35B7" w:rsidP="00A21B4D">
      <w:pPr>
        <w:spacing w:after="0"/>
      </w:pPr>
      <w:r>
        <w:separator/>
      </w:r>
    </w:p>
  </w:footnote>
  <w:footnote w:type="continuationSeparator" w:id="0">
    <w:p w14:paraId="57D6A8EF" w14:textId="77777777" w:rsidR="006C35B7" w:rsidRDefault="006C35B7" w:rsidP="00E71A58">
      <w:r>
        <w:continuationSeparator/>
      </w:r>
    </w:p>
  </w:footnote>
  <w:footnote w:id="1">
    <w:p w14:paraId="6A9BDE10" w14:textId="1EC5722B" w:rsidR="00073B58" w:rsidRPr="004764B7" w:rsidRDefault="00073B58" w:rsidP="004764B7">
      <w:pPr>
        <w:pStyle w:val="Textpoznpodarou"/>
        <w:jc w:val="both"/>
        <w:rPr>
          <w:spacing w:val="-3"/>
          <w:sz w:val="16"/>
          <w:szCs w:val="16"/>
          <w:lang w:val="en-GB"/>
        </w:rPr>
      </w:pPr>
      <w:r w:rsidRPr="004A27B5">
        <w:rPr>
          <w:rStyle w:val="Znakapoznpodarou"/>
          <w:spacing w:val="-3"/>
          <w:sz w:val="16"/>
          <w:szCs w:val="16"/>
        </w:rPr>
        <w:footnoteRef/>
      </w:r>
      <w:r w:rsidRPr="004A27B5">
        <w:rPr>
          <w:spacing w:val="-3"/>
          <w:sz w:val="16"/>
          <w:szCs w:val="16"/>
        </w:rPr>
        <w:t xml:space="preserve"> </w:t>
      </w:r>
      <w:r w:rsidRPr="004764B7">
        <w:rPr>
          <w:spacing w:val="-3"/>
          <w:sz w:val="16"/>
          <w:szCs w:val="16"/>
          <w:lang w:val="en-GB"/>
        </w:rPr>
        <w:t>Unless stated otherwise</w:t>
      </w:r>
      <w:r w:rsidRPr="004764B7">
        <w:rPr>
          <w:color w:val="0D0D0D" w:themeColor="text1" w:themeTint="F2"/>
          <w:spacing w:val="-3"/>
          <w:sz w:val="16"/>
          <w:szCs w:val="16"/>
          <w:lang w:val="en-GB"/>
        </w:rPr>
        <w:t xml:space="preserve">, </w:t>
      </w:r>
      <w:r w:rsidRPr="0000724D">
        <w:rPr>
          <w:sz w:val="16"/>
          <w:szCs w:val="16"/>
          <w:lang w:val="en-GB"/>
        </w:rPr>
        <w:t xml:space="preserve">all data related to the state budget stem from the data of the Ministry of Finance regarding the </w:t>
      </w:r>
      <w:r>
        <w:rPr>
          <w:sz w:val="16"/>
          <w:szCs w:val="16"/>
          <w:lang w:val="en-GB"/>
        </w:rPr>
        <w:t xml:space="preserve">treasury </w:t>
      </w:r>
      <w:r w:rsidRPr="0000724D">
        <w:rPr>
          <w:sz w:val="16"/>
          <w:szCs w:val="16"/>
          <w:lang w:val="en-GB"/>
        </w:rPr>
        <w:t>fulfilment</w:t>
      </w:r>
      <w:r>
        <w:rPr>
          <w:sz w:val="16"/>
          <w:szCs w:val="16"/>
          <w:lang w:val="en-GB"/>
        </w:rPr>
        <w:t xml:space="preserve">. </w:t>
      </w:r>
    </w:p>
  </w:footnote>
  <w:footnote w:id="2">
    <w:p w14:paraId="78A2EB1E" w14:textId="186485EF" w:rsidR="00073B58" w:rsidRPr="004764B7" w:rsidRDefault="00073B58" w:rsidP="004764B7">
      <w:pPr>
        <w:pStyle w:val="Textpoznpodarou"/>
        <w:jc w:val="both"/>
        <w:rPr>
          <w:sz w:val="16"/>
          <w:szCs w:val="16"/>
          <w:lang w:val="en-GB"/>
        </w:rPr>
      </w:pPr>
      <w:r w:rsidRPr="004764B7">
        <w:rPr>
          <w:rStyle w:val="Znakapoznpodarou"/>
          <w:sz w:val="16"/>
          <w:szCs w:val="16"/>
          <w:lang w:val="en-GB"/>
        </w:rPr>
        <w:footnoteRef/>
      </w:r>
      <w:r w:rsidRPr="004764B7">
        <w:rPr>
          <w:sz w:val="16"/>
          <w:szCs w:val="16"/>
          <w:lang w:val="en-GB"/>
        </w:rPr>
        <w:t xml:space="preserve"> </w:t>
      </w:r>
      <w:r>
        <w:rPr>
          <w:sz w:val="16"/>
          <w:szCs w:val="16"/>
          <w:lang w:val="en-GB"/>
        </w:rPr>
        <w:t>It affected mainly the drawing of investment as well as possibilities to pre-finance some current transfers and also restricted further sources of funding a</w:t>
      </w:r>
      <w:r>
        <w:rPr>
          <w:spacing w:val="-4"/>
          <w:sz w:val="16"/>
          <w:szCs w:val="16"/>
          <w:lang w:val="en-GB"/>
        </w:rPr>
        <w:t>t the beginning of the year</w:t>
      </w:r>
      <w:r w:rsidRPr="004764B7">
        <w:rPr>
          <w:spacing w:val="-4"/>
          <w:sz w:val="16"/>
          <w:szCs w:val="16"/>
          <w:lang w:val="en-GB"/>
        </w:rPr>
        <w:t xml:space="preserve"> (</w:t>
      </w:r>
      <w:r>
        <w:rPr>
          <w:spacing w:val="-4"/>
          <w:sz w:val="16"/>
          <w:szCs w:val="16"/>
          <w:lang w:val="en-GB"/>
        </w:rPr>
        <w:t xml:space="preserve">e.g. extra-budgetary resources </w:t>
      </w:r>
      <w:r w:rsidRPr="004764B7">
        <w:rPr>
          <w:sz w:val="16"/>
          <w:szCs w:val="16"/>
          <w:lang w:val="en-GB"/>
        </w:rPr>
        <w:t xml:space="preserve">– </w:t>
      </w:r>
      <w:r>
        <w:rPr>
          <w:sz w:val="16"/>
          <w:szCs w:val="16"/>
          <w:lang w:val="en-GB"/>
        </w:rPr>
        <w:t>mainly the claims from the unused expenditures from the previous years</w:t>
      </w:r>
      <w:r w:rsidRPr="004764B7">
        <w:rPr>
          <w:sz w:val="16"/>
          <w:szCs w:val="16"/>
          <w:lang w:val="en-GB"/>
        </w:rPr>
        <w:t>).</w:t>
      </w:r>
    </w:p>
  </w:footnote>
  <w:footnote w:id="3">
    <w:p w14:paraId="1D22DFE7" w14:textId="65BC22EB" w:rsidR="00073B58" w:rsidRPr="004764B7" w:rsidRDefault="00073B58" w:rsidP="004764B7">
      <w:pPr>
        <w:pStyle w:val="Textpoznpodarou"/>
        <w:jc w:val="both"/>
        <w:rPr>
          <w:sz w:val="16"/>
          <w:szCs w:val="16"/>
          <w:lang w:val="en-GB"/>
        </w:rPr>
      </w:pPr>
      <w:r w:rsidRPr="004764B7">
        <w:rPr>
          <w:rStyle w:val="Znakapoznpodarou"/>
          <w:sz w:val="16"/>
          <w:szCs w:val="16"/>
          <w:lang w:val="en-GB"/>
        </w:rPr>
        <w:footnoteRef/>
      </w:r>
      <w:r w:rsidRPr="004764B7">
        <w:rPr>
          <w:sz w:val="16"/>
          <w:szCs w:val="16"/>
          <w:lang w:val="en-GB"/>
        </w:rPr>
        <w:t xml:space="preserve"> </w:t>
      </w:r>
      <w:r>
        <w:rPr>
          <w:sz w:val="16"/>
          <w:szCs w:val="16"/>
          <w:lang w:val="en-GB"/>
        </w:rPr>
        <w:t xml:space="preserve">Here it is considered the tax collection at the level of all public budgets and not including the social security insurance. </w:t>
      </w:r>
    </w:p>
  </w:footnote>
  <w:footnote w:id="4">
    <w:p w14:paraId="565FAA38" w14:textId="034AB494" w:rsidR="00073B58" w:rsidRPr="004764B7" w:rsidRDefault="00073B58" w:rsidP="004764B7">
      <w:pPr>
        <w:pStyle w:val="Textpoznpodarou"/>
        <w:jc w:val="both"/>
        <w:rPr>
          <w:sz w:val="16"/>
          <w:szCs w:val="16"/>
          <w:lang w:val="en-GB"/>
        </w:rPr>
      </w:pPr>
      <w:r w:rsidRPr="004764B7">
        <w:rPr>
          <w:rStyle w:val="Znakapoznpodarou"/>
          <w:sz w:val="16"/>
          <w:szCs w:val="16"/>
          <w:lang w:val="en-GB"/>
        </w:rPr>
        <w:footnoteRef/>
      </w:r>
      <w:r w:rsidRPr="004764B7">
        <w:rPr>
          <w:sz w:val="16"/>
          <w:szCs w:val="16"/>
          <w:lang w:val="en-GB"/>
        </w:rPr>
        <w:t xml:space="preserve"> </w:t>
      </w:r>
      <w:r>
        <w:rPr>
          <w:sz w:val="16"/>
          <w:szCs w:val="16"/>
          <w:lang w:val="en-GB"/>
        </w:rPr>
        <w:t>While the comparison with the beginning of year 2020 was by 2.9% lower still in Q</w:t>
      </w:r>
      <w:r w:rsidRPr="004764B7">
        <w:rPr>
          <w:sz w:val="16"/>
          <w:szCs w:val="16"/>
          <w:lang w:val="en-GB"/>
        </w:rPr>
        <w:t>1</w:t>
      </w:r>
      <w:r>
        <w:rPr>
          <w:sz w:val="16"/>
          <w:szCs w:val="16"/>
          <w:lang w:val="en-GB"/>
        </w:rPr>
        <w:t xml:space="preserve"> </w:t>
      </w:r>
      <w:r w:rsidRPr="004764B7">
        <w:rPr>
          <w:sz w:val="16"/>
          <w:szCs w:val="16"/>
          <w:lang w:val="en-GB"/>
        </w:rPr>
        <w:t>2022</w:t>
      </w:r>
      <w:r>
        <w:rPr>
          <w:sz w:val="16"/>
          <w:szCs w:val="16"/>
          <w:lang w:val="en-GB"/>
        </w:rPr>
        <w:t>, it already surpassed in total by 9.9% the level from H1 2019 in this year</w:t>
      </w:r>
      <w:r>
        <w:rPr>
          <w:sz w:val="16"/>
          <w:szCs w:val="16"/>
          <w:lang w:val="en-US"/>
        </w:rPr>
        <w:t xml:space="preserve">’s half-year. </w:t>
      </w:r>
    </w:p>
  </w:footnote>
  <w:footnote w:id="5">
    <w:p w14:paraId="0230EE8A" w14:textId="40070EEF" w:rsidR="00073B58" w:rsidRPr="004764B7" w:rsidRDefault="00073B58" w:rsidP="004764B7">
      <w:pPr>
        <w:pStyle w:val="Textpoznpodarou"/>
        <w:jc w:val="both"/>
        <w:rPr>
          <w:lang w:val="en-GB"/>
        </w:rPr>
      </w:pPr>
      <w:r w:rsidRPr="004764B7">
        <w:rPr>
          <w:spacing w:val="-4"/>
          <w:sz w:val="16"/>
          <w:szCs w:val="16"/>
          <w:vertAlign w:val="superscript"/>
          <w:lang w:val="en-GB"/>
        </w:rPr>
        <w:footnoteRef/>
      </w:r>
      <w:r w:rsidRPr="004764B7">
        <w:rPr>
          <w:spacing w:val="-4"/>
          <w:sz w:val="16"/>
          <w:szCs w:val="16"/>
          <w:lang w:val="en-GB"/>
        </w:rPr>
        <w:t xml:space="preserve"> </w:t>
      </w:r>
      <w:r>
        <w:rPr>
          <w:spacing w:val="-4"/>
          <w:sz w:val="16"/>
          <w:szCs w:val="16"/>
          <w:lang w:val="en-GB"/>
        </w:rPr>
        <w:t xml:space="preserve">Based on Act No. </w:t>
      </w:r>
      <w:r w:rsidRPr="004764B7">
        <w:rPr>
          <w:spacing w:val="-4"/>
          <w:sz w:val="16"/>
          <w:szCs w:val="16"/>
          <w:lang w:val="en-GB"/>
        </w:rPr>
        <w:t xml:space="preserve">57/2022 </w:t>
      </w:r>
      <w:r>
        <w:rPr>
          <w:spacing w:val="-4"/>
          <w:sz w:val="16"/>
          <w:szCs w:val="16"/>
          <w:lang w:val="en-GB"/>
        </w:rPr>
        <w:t>Coll.</w:t>
      </w:r>
      <w:r w:rsidRPr="004764B7">
        <w:rPr>
          <w:spacing w:val="-4"/>
          <w:sz w:val="16"/>
          <w:szCs w:val="16"/>
          <w:lang w:val="en-GB"/>
        </w:rPr>
        <w:t>,</w:t>
      </w:r>
      <w:r>
        <w:rPr>
          <w:spacing w:val="-4"/>
          <w:sz w:val="16"/>
          <w:szCs w:val="16"/>
          <w:lang w:val="en-GB"/>
        </w:rPr>
        <w:t xml:space="preserve"> on the state budget, approved by the Chamber of Deputies of the Parliament of the CR on </w:t>
      </w:r>
      <w:r w:rsidRPr="004764B7">
        <w:rPr>
          <w:spacing w:val="-4"/>
          <w:sz w:val="16"/>
          <w:szCs w:val="16"/>
          <w:lang w:val="en-GB"/>
        </w:rPr>
        <w:t>10</w:t>
      </w:r>
      <w:r w:rsidRPr="004B6AC1">
        <w:rPr>
          <w:spacing w:val="-4"/>
          <w:sz w:val="16"/>
          <w:szCs w:val="16"/>
          <w:vertAlign w:val="superscript"/>
          <w:lang w:val="en-GB"/>
        </w:rPr>
        <w:t>th</w:t>
      </w:r>
      <w:r>
        <w:rPr>
          <w:spacing w:val="-4"/>
          <w:sz w:val="16"/>
          <w:szCs w:val="16"/>
          <w:lang w:val="en-GB"/>
        </w:rPr>
        <w:t xml:space="preserve"> March </w:t>
      </w:r>
      <w:r w:rsidRPr="004764B7">
        <w:rPr>
          <w:spacing w:val="-4"/>
          <w:sz w:val="16"/>
          <w:szCs w:val="16"/>
          <w:lang w:val="en-GB"/>
        </w:rPr>
        <w:t>2022.</w:t>
      </w:r>
    </w:p>
  </w:footnote>
  <w:footnote w:id="6">
    <w:p w14:paraId="2A3BD0DE" w14:textId="7265FA82" w:rsidR="00073B58" w:rsidRPr="00123B2A" w:rsidRDefault="00073B58" w:rsidP="004764B7">
      <w:pPr>
        <w:pStyle w:val="Textpoznpodarou"/>
        <w:jc w:val="both"/>
        <w:rPr>
          <w:sz w:val="16"/>
          <w:szCs w:val="16"/>
        </w:rPr>
      </w:pPr>
      <w:r w:rsidRPr="004764B7">
        <w:rPr>
          <w:rStyle w:val="Znakapoznpodarou"/>
          <w:sz w:val="16"/>
          <w:szCs w:val="16"/>
          <w:lang w:val="en-GB"/>
        </w:rPr>
        <w:footnoteRef/>
      </w:r>
      <w:r w:rsidRPr="004764B7">
        <w:rPr>
          <w:sz w:val="16"/>
          <w:szCs w:val="16"/>
          <w:lang w:val="en-GB"/>
        </w:rPr>
        <w:t xml:space="preserve"> </w:t>
      </w:r>
      <w:r>
        <w:rPr>
          <w:sz w:val="16"/>
          <w:szCs w:val="16"/>
          <w:lang w:val="en-GB"/>
        </w:rPr>
        <w:t>Effective as of 1</w:t>
      </w:r>
      <w:r w:rsidRPr="00613A32">
        <w:rPr>
          <w:sz w:val="16"/>
          <w:szCs w:val="16"/>
          <w:vertAlign w:val="superscript"/>
          <w:lang w:val="en-GB"/>
        </w:rPr>
        <w:t>st</w:t>
      </w:r>
      <w:r>
        <w:rPr>
          <w:sz w:val="16"/>
          <w:szCs w:val="16"/>
          <w:lang w:val="en-GB"/>
        </w:rPr>
        <w:t xml:space="preserve"> June until 30</w:t>
      </w:r>
      <w:r w:rsidRPr="00613A32">
        <w:rPr>
          <w:sz w:val="16"/>
          <w:szCs w:val="16"/>
          <w:vertAlign w:val="superscript"/>
          <w:lang w:val="en-GB"/>
        </w:rPr>
        <w:t>th</w:t>
      </w:r>
      <w:r>
        <w:rPr>
          <w:sz w:val="16"/>
          <w:szCs w:val="16"/>
          <w:lang w:val="en-GB"/>
        </w:rPr>
        <w:t xml:space="preserve"> September </w:t>
      </w:r>
      <w:r w:rsidRPr="004764B7">
        <w:rPr>
          <w:sz w:val="16"/>
          <w:szCs w:val="16"/>
          <w:lang w:val="en-GB"/>
        </w:rPr>
        <w:t>2022</w:t>
      </w:r>
      <w:r>
        <w:rPr>
          <w:sz w:val="16"/>
          <w:szCs w:val="16"/>
          <w:lang w:val="en-GB"/>
        </w:rPr>
        <w:t xml:space="preserve">, the consumer tax rate on petrol and diesel fuels is temporarily lowered by </w:t>
      </w:r>
      <w:r w:rsidRPr="004764B7">
        <w:rPr>
          <w:sz w:val="16"/>
          <w:szCs w:val="16"/>
          <w:lang w:val="en-GB"/>
        </w:rPr>
        <w:t>1</w:t>
      </w:r>
      <w:r>
        <w:rPr>
          <w:sz w:val="16"/>
          <w:szCs w:val="16"/>
          <w:lang w:val="en-GB"/>
        </w:rPr>
        <w:t>.</w:t>
      </w:r>
      <w:r w:rsidRPr="004764B7">
        <w:rPr>
          <w:sz w:val="16"/>
          <w:szCs w:val="16"/>
          <w:lang w:val="en-GB"/>
        </w:rPr>
        <w:t>50</w:t>
      </w:r>
      <w:r>
        <w:rPr>
          <w:sz w:val="16"/>
          <w:szCs w:val="16"/>
          <w:lang w:val="en-GB"/>
        </w:rPr>
        <w:t xml:space="preserve"> CZK per litre. </w:t>
      </w:r>
    </w:p>
  </w:footnote>
  <w:footnote w:id="7">
    <w:p w14:paraId="53C898FC" w14:textId="7B93290E" w:rsidR="00073B58" w:rsidRPr="00D526FA" w:rsidRDefault="00073B58" w:rsidP="00617174">
      <w:pPr>
        <w:pStyle w:val="Textpoznpodarou"/>
        <w:jc w:val="both"/>
        <w:rPr>
          <w:sz w:val="16"/>
          <w:szCs w:val="16"/>
          <w:lang w:val="en-GB"/>
        </w:rPr>
      </w:pPr>
      <w:r w:rsidRPr="00D526FA">
        <w:rPr>
          <w:rStyle w:val="Znakapoznpodarou"/>
          <w:sz w:val="16"/>
          <w:szCs w:val="16"/>
          <w:lang w:val="en-GB"/>
        </w:rPr>
        <w:footnoteRef/>
      </w:r>
      <w:r w:rsidRPr="00D526FA">
        <w:rPr>
          <w:sz w:val="16"/>
          <w:szCs w:val="16"/>
          <w:lang w:val="en-GB"/>
        </w:rPr>
        <w:t xml:space="preserve"> It is the payment for payers, which have mandatory audit, or their tax return is processed and submitted </w:t>
      </w:r>
      <w:r>
        <w:rPr>
          <w:sz w:val="16"/>
          <w:szCs w:val="16"/>
          <w:lang w:val="en-GB"/>
        </w:rPr>
        <w:t xml:space="preserve">by </w:t>
      </w:r>
      <w:r w:rsidRPr="00D526FA">
        <w:rPr>
          <w:sz w:val="16"/>
          <w:szCs w:val="16"/>
          <w:lang w:val="en-GB"/>
        </w:rPr>
        <w:t xml:space="preserve">tax advisor. </w:t>
      </w:r>
    </w:p>
  </w:footnote>
  <w:footnote w:id="8">
    <w:p w14:paraId="51A1DF33" w14:textId="645399F6" w:rsidR="00073B58" w:rsidRPr="004B0A56" w:rsidRDefault="00073B58" w:rsidP="00617174">
      <w:pPr>
        <w:autoSpaceDE w:val="0"/>
        <w:autoSpaceDN w:val="0"/>
        <w:adjustRightInd w:val="0"/>
        <w:spacing w:after="0" w:line="240" w:lineRule="auto"/>
        <w:rPr>
          <w:rFonts w:ascii="Calibri" w:eastAsia="Calibri" w:hAnsi="Calibri" w:cs="Calibri"/>
          <w:sz w:val="16"/>
          <w:szCs w:val="16"/>
          <w:lang w:val="en-GB" w:eastAsia="en-US"/>
        </w:rPr>
      </w:pPr>
      <w:r w:rsidRPr="00D526FA">
        <w:rPr>
          <w:rStyle w:val="Znakapoznpodarou"/>
          <w:sz w:val="16"/>
          <w:szCs w:val="16"/>
          <w:lang w:val="en-GB"/>
        </w:rPr>
        <w:footnoteRef/>
      </w:r>
      <w:r w:rsidRPr="00D526FA">
        <w:rPr>
          <w:sz w:val="16"/>
          <w:szCs w:val="16"/>
          <w:lang w:val="en-GB"/>
        </w:rPr>
        <w:t xml:space="preserve"> High year-on-year growth of the collection of the corporate tax was partially influenced by last year’s shift of term</w:t>
      </w:r>
      <w:r w:rsidRPr="004B0A56">
        <w:rPr>
          <w:sz w:val="16"/>
          <w:szCs w:val="16"/>
          <w:lang w:val="en-GB"/>
        </w:rPr>
        <w:t xml:space="preserve"> for the payment of tax advance (based on the individual requests of companies) with negative impact on the income of this tax into the SB in the amount of 6.4 CZK bn (for H1 2021). Further it also contained the change in the taxation of the reserves of the health insurance companies. </w:t>
      </w:r>
    </w:p>
  </w:footnote>
  <w:footnote w:id="9">
    <w:p w14:paraId="49FC97B2" w14:textId="57154038" w:rsidR="00073B58" w:rsidRPr="00A11E70" w:rsidRDefault="00073B58" w:rsidP="00B973A0">
      <w:pPr>
        <w:pStyle w:val="Textpoznpodarou"/>
        <w:jc w:val="both"/>
        <w:rPr>
          <w:sz w:val="16"/>
          <w:szCs w:val="16"/>
          <w:lang w:val="en-GB"/>
        </w:rPr>
      </w:pPr>
      <w:r w:rsidRPr="00271248">
        <w:rPr>
          <w:rStyle w:val="Znakapoznpodarou"/>
          <w:sz w:val="16"/>
          <w:szCs w:val="16"/>
        </w:rPr>
        <w:footnoteRef/>
      </w:r>
      <w:r w:rsidRPr="00271248">
        <w:rPr>
          <w:sz w:val="16"/>
          <w:szCs w:val="16"/>
        </w:rPr>
        <w:t xml:space="preserve"> </w:t>
      </w:r>
      <w:r w:rsidRPr="00A11E70">
        <w:rPr>
          <w:sz w:val="16"/>
          <w:szCs w:val="16"/>
          <w:lang w:val="en-GB"/>
        </w:rPr>
        <w:t>Total of the monthly expenditures of all organisational units of the sta</w:t>
      </w:r>
      <w:r>
        <w:rPr>
          <w:sz w:val="16"/>
          <w:szCs w:val="16"/>
          <w:lang w:val="en-GB"/>
        </w:rPr>
        <w:t>t</w:t>
      </w:r>
      <w:r w:rsidRPr="00A11E70">
        <w:rPr>
          <w:sz w:val="16"/>
          <w:szCs w:val="16"/>
          <w:lang w:val="en-GB"/>
        </w:rPr>
        <w:t>e thus could reach maximum of one twel</w:t>
      </w:r>
      <w:r>
        <w:rPr>
          <w:sz w:val="16"/>
          <w:szCs w:val="16"/>
          <w:lang w:val="en-GB"/>
        </w:rPr>
        <w:t>fth</w:t>
      </w:r>
      <w:r w:rsidRPr="00A11E70">
        <w:rPr>
          <w:sz w:val="16"/>
          <w:szCs w:val="16"/>
          <w:lang w:val="en-GB"/>
        </w:rPr>
        <w:t xml:space="preserve"> of total SB expenditures set according to the approved Act on SB from year 2021. This led among other things to the postponement of the non-essential operating expenditures as well as investment. </w:t>
      </w:r>
    </w:p>
  </w:footnote>
  <w:footnote w:id="10">
    <w:p w14:paraId="7A545E47" w14:textId="53B24AF1" w:rsidR="00073B58" w:rsidRPr="00A11E70" w:rsidRDefault="00073B58" w:rsidP="00B973A0">
      <w:pPr>
        <w:pStyle w:val="Textpoznpodarou"/>
        <w:jc w:val="both"/>
        <w:rPr>
          <w:sz w:val="16"/>
          <w:szCs w:val="16"/>
          <w:lang w:val="en-GB"/>
        </w:rPr>
      </w:pPr>
      <w:r w:rsidRPr="00A11E70">
        <w:rPr>
          <w:rStyle w:val="Znakapoznpodarou"/>
          <w:sz w:val="16"/>
          <w:szCs w:val="16"/>
          <w:lang w:val="en-GB"/>
        </w:rPr>
        <w:footnoteRef/>
      </w:r>
      <w:r w:rsidRPr="00A11E70">
        <w:rPr>
          <w:sz w:val="16"/>
          <w:szCs w:val="16"/>
          <w:lang w:val="en-GB"/>
        </w:rPr>
        <w:t xml:space="preserve"> T</w:t>
      </w:r>
      <w:r>
        <w:rPr>
          <w:sz w:val="16"/>
          <w:szCs w:val="16"/>
          <w:lang w:val="en-GB"/>
        </w:rPr>
        <w:t>his aid culminated last year in Q</w:t>
      </w:r>
      <w:r w:rsidRPr="00A11E70">
        <w:rPr>
          <w:sz w:val="16"/>
          <w:szCs w:val="16"/>
          <w:lang w:val="en-GB"/>
        </w:rPr>
        <w:t>2</w:t>
      </w:r>
      <w:r>
        <w:rPr>
          <w:sz w:val="16"/>
          <w:szCs w:val="16"/>
          <w:lang w:val="en-GB"/>
        </w:rPr>
        <w:t xml:space="preserve"> when it comprised of </w:t>
      </w:r>
      <w:r w:rsidRPr="00A11E70">
        <w:rPr>
          <w:sz w:val="16"/>
          <w:szCs w:val="16"/>
          <w:lang w:val="en-GB"/>
        </w:rPr>
        <w:t>64</w:t>
      </w:r>
      <w:r>
        <w:rPr>
          <w:sz w:val="16"/>
          <w:szCs w:val="16"/>
          <w:lang w:val="en-GB"/>
        </w:rPr>
        <w:t xml:space="preserve"> CZK bn </w:t>
      </w:r>
      <w:r w:rsidRPr="00A11E70">
        <w:rPr>
          <w:sz w:val="16"/>
          <w:szCs w:val="16"/>
          <w:lang w:val="en-GB"/>
        </w:rPr>
        <w:t>(</w:t>
      </w:r>
      <w:r>
        <w:rPr>
          <w:sz w:val="16"/>
          <w:szCs w:val="16"/>
          <w:lang w:val="en-GB"/>
        </w:rPr>
        <w:t>101 bn in total for the entire H</w:t>
      </w:r>
      <w:r w:rsidRPr="00A11E70">
        <w:rPr>
          <w:sz w:val="16"/>
          <w:szCs w:val="16"/>
          <w:lang w:val="en-GB"/>
        </w:rPr>
        <w:t>1)</w:t>
      </w:r>
      <w:r>
        <w:rPr>
          <w:sz w:val="16"/>
          <w:szCs w:val="16"/>
          <w:lang w:val="en-GB"/>
        </w:rPr>
        <w:t xml:space="preserve">. It mainly consisted of compensation of part of wages and mandatory transfers </w:t>
      </w:r>
      <w:r w:rsidRPr="00A11E70">
        <w:rPr>
          <w:color w:val="0D0D0D" w:themeColor="text1" w:themeTint="F2"/>
          <w:spacing w:val="-4"/>
          <w:sz w:val="16"/>
          <w:szCs w:val="16"/>
          <w:lang w:val="en-GB"/>
        </w:rPr>
        <w:t>(</w:t>
      </w:r>
      <w:r>
        <w:rPr>
          <w:color w:val="0D0D0D" w:themeColor="text1" w:themeTint="F2"/>
          <w:spacing w:val="-4"/>
          <w:sz w:val="16"/>
          <w:szCs w:val="16"/>
          <w:lang w:val="en-GB"/>
        </w:rPr>
        <w:t>within the A</w:t>
      </w:r>
      <w:r w:rsidRPr="00A11E70">
        <w:rPr>
          <w:color w:val="0D0D0D" w:themeColor="text1" w:themeTint="F2"/>
          <w:spacing w:val="-4"/>
          <w:sz w:val="16"/>
          <w:szCs w:val="16"/>
          <w:lang w:val="en-GB"/>
        </w:rPr>
        <w:t xml:space="preserve">ntivirus A, A+ </w:t>
      </w:r>
      <w:r>
        <w:rPr>
          <w:color w:val="0D0D0D" w:themeColor="text1" w:themeTint="F2"/>
          <w:spacing w:val="-4"/>
          <w:sz w:val="16"/>
          <w:szCs w:val="16"/>
          <w:lang w:val="en-GB"/>
        </w:rPr>
        <w:t xml:space="preserve">and </w:t>
      </w:r>
      <w:r w:rsidRPr="00A11E70">
        <w:rPr>
          <w:color w:val="0D0D0D" w:themeColor="text1" w:themeTint="F2"/>
          <w:spacing w:val="-4"/>
          <w:sz w:val="16"/>
          <w:szCs w:val="16"/>
          <w:lang w:val="en-GB"/>
        </w:rPr>
        <w:t>B</w:t>
      </w:r>
      <w:r>
        <w:rPr>
          <w:color w:val="0D0D0D" w:themeColor="text1" w:themeTint="F2"/>
          <w:spacing w:val="-4"/>
          <w:sz w:val="16"/>
          <w:szCs w:val="16"/>
          <w:lang w:val="en-GB"/>
        </w:rPr>
        <w:t xml:space="preserve"> programme</w:t>
      </w:r>
      <w:r w:rsidRPr="00A11E70">
        <w:rPr>
          <w:color w:val="0D0D0D" w:themeColor="text1" w:themeTint="F2"/>
          <w:spacing w:val="-4"/>
          <w:sz w:val="16"/>
          <w:szCs w:val="16"/>
          <w:lang w:val="en-GB"/>
        </w:rPr>
        <w:t>), spe</w:t>
      </w:r>
      <w:r>
        <w:rPr>
          <w:color w:val="0D0D0D" w:themeColor="text1" w:themeTint="F2"/>
          <w:spacing w:val="-4"/>
          <w:sz w:val="16"/>
          <w:szCs w:val="16"/>
          <w:lang w:val="en-GB"/>
        </w:rPr>
        <w:t xml:space="preserve">cial programmes to directly support the hit sectors of the economy </w:t>
      </w:r>
      <w:r w:rsidRPr="00A11E70">
        <w:rPr>
          <w:color w:val="0D0D0D" w:themeColor="text1" w:themeTint="F2"/>
          <w:spacing w:val="-4"/>
          <w:sz w:val="16"/>
          <w:szCs w:val="16"/>
          <w:lang w:val="en-GB"/>
        </w:rPr>
        <w:t>(</w:t>
      </w:r>
      <w:r>
        <w:rPr>
          <w:color w:val="0D0D0D" w:themeColor="text1" w:themeTint="F2"/>
          <w:spacing w:val="-4"/>
          <w:sz w:val="16"/>
          <w:szCs w:val="16"/>
          <w:lang w:val="en-GB"/>
        </w:rPr>
        <w:t xml:space="preserve">e.g. </w:t>
      </w:r>
      <w:r w:rsidRPr="00A11E70">
        <w:rPr>
          <w:color w:val="0D0D0D" w:themeColor="text1" w:themeTint="F2"/>
          <w:spacing w:val="-4"/>
          <w:sz w:val="16"/>
          <w:szCs w:val="16"/>
          <w:lang w:val="en-GB"/>
        </w:rPr>
        <w:t>COVID</w:t>
      </w:r>
      <w:r>
        <w:rPr>
          <w:color w:val="0D0D0D" w:themeColor="text1" w:themeTint="F2"/>
          <w:spacing w:val="-4"/>
          <w:sz w:val="16"/>
          <w:szCs w:val="16"/>
          <w:lang w:val="en-GB"/>
        </w:rPr>
        <w:t xml:space="preserve"> Rent</w:t>
      </w:r>
      <w:r w:rsidRPr="00A11E70">
        <w:rPr>
          <w:color w:val="0D0D0D" w:themeColor="text1" w:themeTint="F2"/>
          <w:spacing w:val="-4"/>
          <w:sz w:val="16"/>
          <w:szCs w:val="16"/>
          <w:lang w:val="en-GB"/>
        </w:rPr>
        <w:t xml:space="preserve">, COVID </w:t>
      </w:r>
      <w:r>
        <w:rPr>
          <w:color w:val="0D0D0D" w:themeColor="text1" w:themeTint="F2"/>
          <w:spacing w:val="-4"/>
          <w:sz w:val="16"/>
          <w:szCs w:val="16"/>
          <w:lang w:val="en-GB"/>
        </w:rPr>
        <w:t>Uncovered costs</w:t>
      </w:r>
      <w:r w:rsidRPr="00A11E70">
        <w:rPr>
          <w:color w:val="0D0D0D" w:themeColor="text1" w:themeTint="F2"/>
          <w:spacing w:val="-4"/>
          <w:sz w:val="16"/>
          <w:szCs w:val="16"/>
          <w:lang w:val="en-GB"/>
        </w:rPr>
        <w:t>),</w:t>
      </w:r>
      <w:r>
        <w:rPr>
          <w:color w:val="0D0D0D" w:themeColor="text1" w:themeTint="F2"/>
          <w:spacing w:val="-4"/>
          <w:sz w:val="16"/>
          <w:szCs w:val="16"/>
          <w:lang w:val="en-GB"/>
        </w:rPr>
        <w:t xml:space="preserve"> higher outlays in healthcare</w:t>
      </w:r>
      <w:r w:rsidRPr="00A11E70">
        <w:rPr>
          <w:color w:val="0D0D0D" w:themeColor="text1" w:themeTint="F2"/>
          <w:spacing w:val="-4"/>
          <w:sz w:val="16"/>
          <w:szCs w:val="16"/>
          <w:lang w:val="en-GB"/>
        </w:rPr>
        <w:t xml:space="preserve"> (</w:t>
      </w:r>
      <w:r>
        <w:rPr>
          <w:color w:val="0D0D0D" w:themeColor="text1" w:themeTint="F2"/>
          <w:spacing w:val="-4"/>
          <w:sz w:val="16"/>
          <w:szCs w:val="16"/>
          <w:lang w:val="en-GB"/>
        </w:rPr>
        <w:t>especially increase of the state payment per so called state insured person, raised personal costs of employees in health and social works</w:t>
      </w:r>
      <w:r w:rsidRPr="00A11E70">
        <w:rPr>
          <w:color w:val="0D0D0D" w:themeColor="text1" w:themeTint="F2"/>
          <w:spacing w:val="-4"/>
          <w:sz w:val="16"/>
          <w:szCs w:val="16"/>
          <w:lang w:val="en-GB"/>
        </w:rPr>
        <w:t>, </w:t>
      </w:r>
      <w:r>
        <w:rPr>
          <w:color w:val="0D0D0D" w:themeColor="text1" w:themeTint="F2"/>
          <w:spacing w:val="-4"/>
          <w:sz w:val="16"/>
          <w:szCs w:val="16"/>
          <w:lang w:val="en-GB"/>
        </w:rPr>
        <w:t>purchases of protective equipment</w:t>
      </w:r>
      <w:r w:rsidRPr="00A11E70">
        <w:rPr>
          <w:color w:val="0D0D0D" w:themeColor="text1" w:themeTint="F2"/>
          <w:spacing w:val="-4"/>
          <w:sz w:val="16"/>
          <w:szCs w:val="16"/>
          <w:lang w:val="en-GB"/>
        </w:rPr>
        <w:t>) a</w:t>
      </w:r>
      <w:r>
        <w:rPr>
          <w:color w:val="0D0D0D" w:themeColor="text1" w:themeTint="F2"/>
          <w:spacing w:val="-4"/>
          <w:sz w:val="16"/>
          <w:szCs w:val="16"/>
          <w:lang w:val="en-GB"/>
        </w:rPr>
        <w:t xml:space="preserve">nd finally also the increased expenditures on some social benefits </w:t>
      </w:r>
      <w:r w:rsidRPr="00A11E70">
        <w:rPr>
          <w:color w:val="0D0D0D" w:themeColor="text1" w:themeTint="F2"/>
          <w:spacing w:val="-4"/>
          <w:sz w:val="16"/>
          <w:szCs w:val="16"/>
          <w:lang w:val="en-GB"/>
        </w:rPr>
        <w:t>(</w:t>
      </w:r>
      <w:r>
        <w:rPr>
          <w:color w:val="0D0D0D" w:themeColor="text1" w:themeTint="F2"/>
          <w:spacing w:val="-4"/>
          <w:sz w:val="16"/>
          <w:szCs w:val="16"/>
          <w:lang w:val="en-GB"/>
        </w:rPr>
        <w:t>care benefits, extraordinary contribution for employee in quarantine or isolation</w:t>
      </w:r>
      <w:r w:rsidRPr="00A11E70">
        <w:rPr>
          <w:color w:val="0D0D0D" w:themeColor="text1" w:themeTint="F2"/>
          <w:spacing w:val="-4"/>
          <w:sz w:val="16"/>
          <w:szCs w:val="16"/>
          <w:lang w:val="en-GB"/>
        </w:rPr>
        <w:t>).</w:t>
      </w:r>
    </w:p>
  </w:footnote>
  <w:footnote w:id="11">
    <w:p w14:paraId="11B1C919" w14:textId="6AAE88D9" w:rsidR="00073B58" w:rsidRPr="00B973A0" w:rsidRDefault="00073B58" w:rsidP="00B973A0">
      <w:pPr>
        <w:pStyle w:val="Textpoznpodarou"/>
        <w:jc w:val="both"/>
        <w:rPr>
          <w:sz w:val="16"/>
          <w:szCs w:val="16"/>
          <w:lang w:val="en-GB"/>
        </w:rPr>
      </w:pPr>
      <w:r w:rsidRPr="00B973A0">
        <w:rPr>
          <w:rStyle w:val="Znakapoznpodarou"/>
          <w:sz w:val="16"/>
          <w:szCs w:val="16"/>
          <w:lang w:val="en-GB"/>
        </w:rPr>
        <w:footnoteRef/>
      </w:r>
      <w:r w:rsidRPr="00B973A0">
        <w:rPr>
          <w:sz w:val="16"/>
          <w:szCs w:val="16"/>
          <w:lang w:val="en-GB"/>
        </w:rPr>
        <w:t xml:space="preserve"> M</w:t>
      </w:r>
      <w:r>
        <w:rPr>
          <w:sz w:val="16"/>
          <w:szCs w:val="16"/>
          <w:lang w:val="en-GB"/>
        </w:rPr>
        <w:t xml:space="preserve">onthly payments by state increased from 1767 CZK to 1967 CZK per person as of </w:t>
      </w:r>
      <w:r w:rsidRPr="00B973A0">
        <w:rPr>
          <w:sz w:val="16"/>
          <w:szCs w:val="16"/>
          <w:lang w:val="en-GB"/>
        </w:rPr>
        <w:t>1</w:t>
      </w:r>
      <w:r w:rsidRPr="00CA5EBE">
        <w:rPr>
          <w:sz w:val="16"/>
          <w:szCs w:val="16"/>
          <w:vertAlign w:val="superscript"/>
          <w:lang w:val="en-GB"/>
        </w:rPr>
        <w:t>st</w:t>
      </w:r>
      <w:r>
        <w:rPr>
          <w:sz w:val="16"/>
          <w:szCs w:val="16"/>
          <w:lang w:val="en-GB"/>
        </w:rPr>
        <w:t xml:space="preserve"> January </w:t>
      </w:r>
      <w:r w:rsidRPr="00B973A0">
        <w:rPr>
          <w:sz w:val="16"/>
          <w:szCs w:val="16"/>
          <w:lang w:val="en-GB"/>
        </w:rPr>
        <w:t>2022</w:t>
      </w:r>
      <w:r>
        <w:rPr>
          <w:sz w:val="16"/>
          <w:szCs w:val="16"/>
          <w:lang w:val="en-GB"/>
        </w:rPr>
        <w:t>. According to the amendment to the Act on public health insurance approved later however the payment fell to 1567 CZK as of 1</w:t>
      </w:r>
      <w:r w:rsidRPr="00261C26">
        <w:rPr>
          <w:sz w:val="16"/>
          <w:szCs w:val="16"/>
          <w:vertAlign w:val="superscript"/>
          <w:lang w:val="en-GB"/>
        </w:rPr>
        <w:t>st</w:t>
      </w:r>
      <w:r>
        <w:rPr>
          <w:sz w:val="16"/>
          <w:szCs w:val="16"/>
          <w:lang w:val="en-GB"/>
        </w:rPr>
        <w:t xml:space="preserve"> July 2022. The average monthly payment for the whole year 2022 will total </w:t>
      </w:r>
      <w:r w:rsidRPr="00B973A0">
        <w:rPr>
          <w:sz w:val="16"/>
          <w:szCs w:val="16"/>
          <w:lang w:val="en-GB"/>
        </w:rPr>
        <w:t xml:space="preserve">1 767 </w:t>
      </w:r>
      <w:r>
        <w:rPr>
          <w:sz w:val="16"/>
          <w:szCs w:val="16"/>
          <w:lang w:val="en-GB"/>
        </w:rPr>
        <w:t xml:space="preserve">CZK and it will thus be maintained at the level from year </w:t>
      </w:r>
      <w:r w:rsidRPr="00B973A0">
        <w:rPr>
          <w:sz w:val="16"/>
          <w:szCs w:val="16"/>
          <w:lang w:val="en-GB"/>
        </w:rPr>
        <w:t>2021.</w:t>
      </w:r>
    </w:p>
  </w:footnote>
  <w:footnote w:id="12">
    <w:p w14:paraId="6C7C8EEF" w14:textId="42185A15" w:rsidR="00073B58" w:rsidRPr="00B97ABC" w:rsidRDefault="00073B58" w:rsidP="00B973A0">
      <w:pPr>
        <w:pStyle w:val="Textpoznpodarou"/>
        <w:jc w:val="both"/>
        <w:rPr>
          <w:sz w:val="16"/>
          <w:szCs w:val="16"/>
        </w:rPr>
      </w:pPr>
      <w:r w:rsidRPr="00B973A0">
        <w:rPr>
          <w:rStyle w:val="Znakapoznpodarou"/>
          <w:sz w:val="16"/>
          <w:szCs w:val="16"/>
          <w:lang w:val="en-GB"/>
        </w:rPr>
        <w:footnoteRef/>
      </w:r>
      <w:r w:rsidRPr="00B973A0">
        <w:rPr>
          <w:sz w:val="16"/>
          <w:szCs w:val="16"/>
          <w:lang w:val="en-GB"/>
        </w:rPr>
        <w:t xml:space="preserve"> </w:t>
      </w:r>
      <w:r>
        <w:rPr>
          <w:sz w:val="16"/>
          <w:szCs w:val="16"/>
          <w:lang w:val="en-GB"/>
        </w:rPr>
        <w:t>It c</w:t>
      </w:r>
      <w:r w:rsidRPr="00956F60">
        <w:rPr>
          <w:sz w:val="16"/>
          <w:szCs w:val="16"/>
          <w:lang w:val="en-GB"/>
        </w:rPr>
        <w:t>orresponds to the balance of the budget chapter State debt</w:t>
      </w:r>
      <w:r>
        <w:rPr>
          <w:sz w:val="16"/>
          <w:szCs w:val="16"/>
          <w:lang w:val="en-GB"/>
        </w:rPr>
        <w:t xml:space="preserve">. </w:t>
      </w:r>
    </w:p>
  </w:footnote>
  <w:footnote w:id="13">
    <w:p w14:paraId="01845247" w14:textId="6DB38B36" w:rsidR="00073B58" w:rsidRPr="00E00CB7" w:rsidRDefault="00073B58" w:rsidP="00956F60">
      <w:pPr>
        <w:pStyle w:val="Textpoznpodarou"/>
        <w:jc w:val="both"/>
        <w:rPr>
          <w:spacing w:val="-4"/>
          <w:lang w:val="en-GB"/>
        </w:rPr>
      </w:pPr>
      <w:r w:rsidRPr="00E00CB7">
        <w:rPr>
          <w:rStyle w:val="Znakapoznpodarou"/>
          <w:spacing w:val="-4"/>
          <w:sz w:val="16"/>
          <w:szCs w:val="16"/>
          <w:lang w:val="en-GB"/>
        </w:rPr>
        <w:footnoteRef/>
      </w:r>
      <w:r w:rsidRPr="00E00CB7">
        <w:rPr>
          <w:spacing w:val="-4"/>
          <w:sz w:val="16"/>
          <w:szCs w:val="16"/>
          <w:lang w:val="en-GB"/>
        </w:rPr>
        <w:t xml:space="preserve"> It is expressed as the difference between revenues and expenditure on pensions form the SB. </w:t>
      </w:r>
      <w:r>
        <w:rPr>
          <w:spacing w:val="-4"/>
          <w:sz w:val="16"/>
          <w:szCs w:val="16"/>
          <w:lang w:val="en-GB"/>
        </w:rPr>
        <w:t xml:space="preserve">Expenditures do not contain the costs of administration of the pension insurance system. </w:t>
      </w:r>
    </w:p>
  </w:footnote>
  <w:footnote w:id="14">
    <w:p w14:paraId="4C550D30" w14:textId="3051D618" w:rsidR="00073B58" w:rsidRPr="00E00CB7" w:rsidRDefault="00073B58" w:rsidP="00956F60">
      <w:pPr>
        <w:autoSpaceDE w:val="0"/>
        <w:autoSpaceDN w:val="0"/>
        <w:adjustRightInd w:val="0"/>
        <w:spacing w:after="0" w:line="240" w:lineRule="auto"/>
        <w:rPr>
          <w:rFonts w:ascii="Calibri" w:eastAsia="Calibri" w:hAnsi="Calibri" w:cs="Calibri"/>
          <w:sz w:val="16"/>
          <w:szCs w:val="16"/>
          <w:lang w:val="en-GB" w:eastAsia="en-US"/>
        </w:rPr>
      </w:pPr>
      <w:r w:rsidRPr="00E00CB7">
        <w:rPr>
          <w:rStyle w:val="Znakapoznpodarou"/>
          <w:sz w:val="16"/>
          <w:szCs w:val="16"/>
          <w:lang w:val="en-GB"/>
        </w:rPr>
        <w:footnoteRef/>
      </w:r>
      <w:r w:rsidRPr="00E00CB7">
        <w:rPr>
          <w:sz w:val="16"/>
          <w:szCs w:val="16"/>
          <w:lang w:val="en-GB"/>
        </w:rPr>
        <w:t xml:space="preserve"> </w:t>
      </w:r>
      <w:r>
        <w:rPr>
          <w:sz w:val="16"/>
          <w:szCs w:val="16"/>
          <w:lang w:val="en-GB"/>
        </w:rPr>
        <w:t xml:space="preserve">Lower expenditures on the weight significant parental allowances </w:t>
      </w:r>
      <w:r w:rsidRPr="00E00CB7">
        <w:rPr>
          <w:sz w:val="16"/>
          <w:szCs w:val="16"/>
          <w:lang w:val="en-GB"/>
        </w:rPr>
        <w:t>(−7</w:t>
      </w:r>
      <w:r>
        <w:rPr>
          <w:sz w:val="16"/>
          <w:szCs w:val="16"/>
          <w:lang w:val="en-GB"/>
        </w:rPr>
        <w:t>.</w:t>
      </w:r>
      <w:r w:rsidRPr="00E00CB7">
        <w:rPr>
          <w:sz w:val="16"/>
          <w:szCs w:val="16"/>
          <w:lang w:val="en-GB"/>
        </w:rPr>
        <w:t>2%)</w:t>
      </w:r>
      <w:r>
        <w:rPr>
          <w:sz w:val="16"/>
          <w:szCs w:val="16"/>
          <w:lang w:val="en-GB"/>
        </w:rPr>
        <w:t xml:space="preserve"> mainly stood in the background</w:t>
      </w:r>
      <w:r w:rsidRPr="00E00CB7">
        <w:rPr>
          <w:sz w:val="16"/>
          <w:szCs w:val="16"/>
          <w:lang w:val="en-GB"/>
        </w:rPr>
        <w:t>,</w:t>
      </w:r>
      <w:r>
        <w:rPr>
          <w:sz w:val="16"/>
          <w:szCs w:val="16"/>
          <w:lang w:val="en-GB"/>
        </w:rPr>
        <w:t xml:space="preserve"> in contrast the income tested benefit experienced growth </w:t>
      </w:r>
      <w:r w:rsidRPr="00E00CB7">
        <w:rPr>
          <w:sz w:val="16"/>
          <w:szCs w:val="16"/>
          <w:lang w:val="en-GB"/>
        </w:rPr>
        <w:t xml:space="preserve">– </w:t>
      </w:r>
      <w:r>
        <w:rPr>
          <w:sz w:val="16"/>
          <w:szCs w:val="16"/>
          <w:lang w:val="en-GB"/>
        </w:rPr>
        <w:t>housing allowance</w:t>
      </w:r>
      <w:r w:rsidRPr="00E00CB7">
        <w:rPr>
          <w:sz w:val="16"/>
          <w:szCs w:val="16"/>
          <w:lang w:val="en-GB"/>
        </w:rPr>
        <w:t xml:space="preserve"> (+10</w:t>
      </w:r>
      <w:r>
        <w:rPr>
          <w:sz w:val="16"/>
          <w:szCs w:val="16"/>
          <w:lang w:val="en-GB"/>
        </w:rPr>
        <w:t>.</w:t>
      </w:r>
      <w:r w:rsidRPr="00E00CB7">
        <w:rPr>
          <w:sz w:val="16"/>
          <w:szCs w:val="16"/>
          <w:lang w:val="en-GB"/>
        </w:rPr>
        <w:t>2%) a</w:t>
      </w:r>
      <w:r>
        <w:rPr>
          <w:sz w:val="16"/>
          <w:szCs w:val="16"/>
          <w:lang w:val="en-GB"/>
        </w:rPr>
        <w:t xml:space="preserve">nd child allowance </w:t>
      </w:r>
      <w:r w:rsidRPr="00E00CB7">
        <w:rPr>
          <w:sz w:val="16"/>
          <w:szCs w:val="16"/>
          <w:lang w:val="en-GB"/>
        </w:rPr>
        <w:t>(+56</w:t>
      </w:r>
      <w:r>
        <w:rPr>
          <w:sz w:val="16"/>
          <w:szCs w:val="16"/>
          <w:lang w:val="en-GB"/>
        </w:rPr>
        <w:t>.</w:t>
      </w:r>
      <w:r w:rsidRPr="00E00CB7">
        <w:rPr>
          <w:sz w:val="16"/>
          <w:szCs w:val="16"/>
          <w:lang w:val="en-GB"/>
        </w:rPr>
        <w:t>5%).</w:t>
      </w:r>
      <w:r>
        <w:rPr>
          <w:sz w:val="16"/>
          <w:szCs w:val="16"/>
          <w:lang w:val="en-GB"/>
        </w:rPr>
        <w:t xml:space="preserve"> For the last mentioned item, the impact of legislative changes in force since last year</w:t>
      </w:r>
      <w:r>
        <w:rPr>
          <w:sz w:val="16"/>
          <w:szCs w:val="16"/>
          <w:lang w:val="en-US"/>
        </w:rPr>
        <w:t>’</w:t>
      </w:r>
      <w:r>
        <w:rPr>
          <w:sz w:val="16"/>
          <w:szCs w:val="16"/>
        </w:rPr>
        <w:t xml:space="preserve">s July </w:t>
      </w:r>
      <w:r w:rsidRPr="00E00CB7">
        <w:rPr>
          <w:sz w:val="16"/>
          <w:szCs w:val="16"/>
          <w:lang w:val="en-GB"/>
        </w:rPr>
        <w:t>(</w:t>
      </w:r>
      <w:r>
        <w:rPr>
          <w:sz w:val="16"/>
          <w:szCs w:val="16"/>
          <w:lang w:val="en-GB"/>
        </w:rPr>
        <w:t xml:space="preserve">especially increase of the limit of the relevant income establishing the right to the child allowance from </w:t>
      </w:r>
      <w:r w:rsidRPr="00E00CB7">
        <w:rPr>
          <w:sz w:val="16"/>
          <w:szCs w:val="16"/>
          <w:lang w:val="en-GB"/>
        </w:rPr>
        <w:t>2</w:t>
      </w:r>
      <w:r>
        <w:rPr>
          <w:sz w:val="16"/>
          <w:szCs w:val="16"/>
          <w:lang w:val="en-GB"/>
        </w:rPr>
        <w:t>.</w:t>
      </w:r>
      <w:r w:rsidRPr="00E00CB7">
        <w:rPr>
          <w:sz w:val="16"/>
          <w:szCs w:val="16"/>
          <w:lang w:val="en-GB"/>
        </w:rPr>
        <w:t>7</w:t>
      </w:r>
      <w:r>
        <w:rPr>
          <w:sz w:val="16"/>
          <w:szCs w:val="16"/>
          <w:lang w:val="en-GB"/>
        </w:rPr>
        <w:t xml:space="preserve"> to </w:t>
      </w:r>
      <w:r w:rsidRPr="00E00CB7">
        <w:rPr>
          <w:sz w:val="16"/>
          <w:szCs w:val="16"/>
          <w:lang w:val="en-GB"/>
        </w:rPr>
        <w:t>3</w:t>
      </w:r>
      <w:r>
        <w:rPr>
          <w:sz w:val="16"/>
          <w:szCs w:val="16"/>
          <w:lang w:val="en-GB"/>
        </w:rPr>
        <w:t>.</w:t>
      </w:r>
      <w:r w:rsidRPr="00E00CB7">
        <w:rPr>
          <w:sz w:val="16"/>
          <w:szCs w:val="16"/>
          <w:lang w:val="en-GB"/>
        </w:rPr>
        <w:t>4</w:t>
      </w:r>
      <w:r>
        <w:rPr>
          <w:sz w:val="16"/>
          <w:szCs w:val="16"/>
          <w:lang w:val="en-GB"/>
        </w:rPr>
        <w:t xml:space="preserve">multiple of the minimum subsistence amount and increase of the child allowance amount by </w:t>
      </w:r>
      <w:r w:rsidRPr="00E00CB7">
        <w:rPr>
          <w:sz w:val="16"/>
          <w:szCs w:val="16"/>
          <w:lang w:val="en-GB"/>
        </w:rPr>
        <w:t>26%).</w:t>
      </w:r>
    </w:p>
  </w:footnote>
  <w:footnote w:id="15">
    <w:p w14:paraId="75E7C865" w14:textId="675BAD0C" w:rsidR="00073B58" w:rsidRPr="00E00CB7" w:rsidRDefault="00073B58" w:rsidP="00956F60">
      <w:pPr>
        <w:pStyle w:val="Textpoznpodarou"/>
        <w:jc w:val="both"/>
        <w:rPr>
          <w:sz w:val="16"/>
          <w:szCs w:val="16"/>
          <w:lang w:val="en-GB"/>
        </w:rPr>
      </w:pPr>
      <w:r w:rsidRPr="00E00CB7">
        <w:rPr>
          <w:rStyle w:val="Znakapoznpodarou"/>
          <w:sz w:val="16"/>
          <w:szCs w:val="16"/>
          <w:lang w:val="en-GB"/>
        </w:rPr>
        <w:footnoteRef/>
      </w:r>
      <w:r w:rsidRPr="00E00CB7">
        <w:rPr>
          <w:sz w:val="16"/>
          <w:szCs w:val="16"/>
          <w:lang w:val="en-GB"/>
        </w:rPr>
        <w:t xml:space="preserve"> S</w:t>
      </w:r>
      <w:r>
        <w:rPr>
          <w:sz w:val="16"/>
          <w:szCs w:val="16"/>
          <w:lang w:val="en-GB"/>
        </w:rPr>
        <w:t xml:space="preserve">imilar half-yearly “run-up” of investment was however apparent also last year or in years </w:t>
      </w:r>
      <w:r w:rsidRPr="00E00CB7">
        <w:rPr>
          <w:sz w:val="16"/>
          <w:szCs w:val="16"/>
          <w:lang w:val="en-GB"/>
        </w:rPr>
        <w:t>2018 a</w:t>
      </w:r>
      <w:r>
        <w:rPr>
          <w:sz w:val="16"/>
          <w:szCs w:val="16"/>
          <w:lang w:val="en-GB"/>
        </w:rPr>
        <w:t>nd</w:t>
      </w:r>
      <w:r w:rsidRPr="00E00CB7">
        <w:rPr>
          <w:sz w:val="16"/>
          <w:szCs w:val="16"/>
          <w:lang w:val="en-GB"/>
        </w:rPr>
        <w:t xml:space="preserve"> 2019. </w:t>
      </w:r>
    </w:p>
  </w:footnote>
  <w:footnote w:id="16">
    <w:p w14:paraId="7564EB96" w14:textId="77777777" w:rsidR="00073B58" w:rsidRPr="00E00CB7" w:rsidRDefault="00073B58" w:rsidP="00956F60">
      <w:pPr>
        <w:pStyle w:val="Textpoznpodarou"/>
        <w:jc w:val="both"/>
        <w:rPr>
          <w:sz w:val="16"/>
          <w:szCs w:val="16"/>
          <w:lang w:val="en-GB"/>
        </w:rPr>
      </w:pPr>
      <w:r w:rsidRPr="00E00CB7">
        <w:rPr>
          <w:rStyle w:val="Znakapoznpodarou"/>
          <w:sz w:val="16"/>
          <w:szCs w:val="16"/>
          <w:lang w:val="en-GB"/>
        </w:rPr>
        <w:footnoteRef/>
      </w:r>
      <w:r w:rsidRPr="00E00CB7">
        <w:rPr>
          <w:sz w:val="16"/>
          <w:szCs w:val="16"/>
          <w:lang w:val="en-GB"/>
        </w:rPr>
        <w:t xml:space="preserve"> </w:t>
      </w:r>
      <w:r>
        <w:rPr>
          <w:sz w:val="16"/>
          <w:szCs w:val="16"/>
          <w:lang w:val="en-GB"/>
        </w:rPr>
        <w:t xml:space="preserve">It funds mainly the investment and reform projects of the EU member states via the national restoration plans. </w:t>
      </w:r>
      <w:r>
        <w:rPr>
          <w:rFonts w:cs="Arial"/>
          <w:color w:val="000000"/>
          <w:sz w:val="16"/>
          <w:szCs w:val="16"/>
          <w:lang w:val="en-GB"/>
        </w:rPr>
        <w:t xml:space="preserve">The CR started to draw on it for the first time this year. </w:t>
      </w:r>
    </w:p>
  </w:footnote>
  <w:footnote w:id="17">
    <w:p w14:paraId="0B879FF9" w14:textId="1D0ADD5E" w:rsidR="00073B58" w:rsidRPr="00956F60" w:rsidRDefault="00073B58" w:rsidP="00956F60">
      <w:pPr>
        <w:pStyle w:val="Textpoznpodarou"/>
        <w:jc w:val="both"/>
        <w:rPr>
          <w:sz w:val="16"/>
          <w:szCs w:val="16"/>
          <w:lang w:val="en-GB"/>
        </w:rPr>
      </w:pPr>
      <w:r w:rsidRPr="008C2F4A">
        <w:rPr>
          <w:rStyle w:val="Znakapoznpodarou"/>
          <w:sz w:val="16"/>
          <w:szCs w:val="16"/>
        </w:rPr>
        <w:footnoteRef/>
      </w:r>
      <w:r w:rsidRPr="008C2F4A">
        <w:rPr>
          <w:sz w:val="16"/>
          <w:szCs w:val="16"/>
        </w:rPr>
        <w:t xml:space="preserve"> </w:t>
      </w:r>
      <w:r>
        <w:rPr>
          <w:sz w:val="16"/>
          <w:szCs w:val="16"/>
          <w:lang w:val="en-GB"/>
        </w:rPr>
        <w:t>Data regarding the budget of government institutions for Q</w:t>
      </w:r>
      <w:r w:rsidRPr="00E56530">
        <w:rPr>
          <w:sz w:val="16"/>
          <w:szCs w:val="16"/>
          <w:lang w:val="en-GB"/>
        </w:rPr>
        <w:t>2</w:t>
      </w:r>
      <w:r>
        <w:rPr>
          <w:sz w:val="16"/>
          <w:szCs w:val="16"/>
          <w:lang w:val="en-GB"/>
        </w:rPr>
        <w:t xml:space="preserve"> 2</w:t>
      </w:r>
      <w:r w:rsidRPr="00E56530">
        <w:rPr>
          <w:sz w:val="16"/>
          <w:szCs w:val="16"/>
          <w:lang w:val="en-GB"/>
        </w:rPr>
        <w:t>02</w:t>
      </w:r>
      <w:r>
        <w:rPr>
          <w:sz w:val="16"/>
          <w:szCs w:val="16"/>
          <w:lang w:val="en-GB"/>
        </w:rPr>
        <w:t>2</w:t>
      </w:r>
      <w:r w:rsidRPr="00E56530">
        <w:rPr>
          <w:sz w:val="16"/>
          <w:szCs w:val="16"/>
          <w:lang w:val="en-GB"/>
        </w:rPr>
        <w:t xml:space="preserve"> </w:t>
      </w:r>
      <w:r>
        <w:rPr>
          <w:sz w:val="16"/>
          <w:szCs w:val="16"/>
          <w:lang w:val="en-GB"/>
        </w:rPr>
        <w:t>will be published by the CZSO on 3</w:t>
      </w:r>
      <w:r w:rsidRPr="00471D6A">
        <w:rPr>
          <w:sz w:val="16"/>
          <w:szCs w:val="16"/>
          <w:vertAlign w:val="superscript"/>
          <w:lang w:val="en-GB"/>
        </w:rPr>
        <w:t>rd</w:t>
      </w:r>
      <w:r>
        <w:rPr>
          <w:sz w:val="16"/>
          <w:szCs w:val="16"/>
          <w:lang w:val="en-GB"/>
        </w:rPr>
        <w:t xml:space="preserve"> October </w:t>
      </w:r>
      <w:r w:rsidRPr="00E56530">
        <w:rPr>
          <w:sz w:val="16"/>
          <w:szCs w:val="16"/>
          <w:lang w:val="en-GB"/>
        </w:rPr>
        <w:t>20</w:t>
      </w:r>
      <w:r>
        <w:rPr>
          <w:sz w:val="16"/>
          <w:szCs w:val="16"/>
          <w:lang w:val="en-GB"/>
        </w:rPr>
        <w:t>2</w:t>
      </w:r>
      <w:r w:rsidRPr="00E56530">
        <w:rPr>
          <w:sz w:val="16"/>
          <w:szCs w:val="16"/>
          <w:lang w:val="en-GB"/>
        </w:rPr>
        <w:t>2</w:t>
      </w:r>
      <w:r>
        <w:rPr>
          <w:sz w:val="16"/>
          <w:szCs w:val="16"/>
          <w:lang w:val="en-GB"/>
        </w:rPr>
        <w:t>, Eurostat then on 21</w:t>
      </w:r>
      <w:r w:rsidRPr="00471D6A">
        <w:rPr>
          <w:sz w:val="16"/>
          <w:szCs w:val="16"/>
          <w:vertAlign w:val="superscript"/>
          <w:lang w:val="en-GB"/>
        </w:rPr>
        <w:t>st</w:t>
      </w:r>
      <w:r>
        <w:rPr>
          <w:sz w:val="16"/>
          <w:szCs w:val="16"/>
          <w:lang w:val="en-GB"/>
        </w:rPr>
        <w:t xml:space="preserve"> October 2022</w:t>
      </w:r>
      <w:r w:rsidRPr="00E56530">
        <w:rPr>
          <w:sz w:val="16"/>
          <w:szCs w:val="16"/>
          <w:lang w:val="en-GB"/>
        </w:rPr>
        <w:t>.</w:t>
      </w:r>
      <w:r>
        <w:rPr>
          <w:sz w:val="16"/>
          <w:szCs w:val="16"/>
          <w:lang w:val="en-GB"/>
        </w:rPr>
        <w:t xml:space="preserve"> More detailed assessment of the development for this year</w:t>
      </w:r>
      <w:r>
        <w:rPr>
          <w:sz w:val="16"/>
          <w:szCs w:val="16"/>
          <w:lang w:val="en-US"/>
        </w:rPr>
        <w:t>’</w:t>
      </w:r>
      <w:r>
        <w:rPr>
          <w:sz w:val="16"/>
          <w:szCs w:val="16"/>
        </w:rPr>
        <w:t xml:space="preserve">s </w:t>
      </w:r>
      <w:r>
        <w:rPr>
          <w:sz w:val="16"/>
          <w:szCs w:val="16"/>
          <w:lang w:val="en-GB"/>
        </w:rPr>
        <w:t>Q1</w:t>
      </w:r>
      <w:r w:rsidRPr="00E56530">
        <w:rPr>
          <w:sz w:val="16"/>
          <w:szCs w:val="16"/>
          <w:lang w:val="en-GB"/>
        </w:rPr>
        <w:t> </w:t>
      </w:r>
      <w:r>
        <w:rPr>
          <w:sz w:val="16"/>
          <w:szCs w:val="16"/>
          <w:lang w:val="en-GB"/>
        </w:rPr>
        <w:t>is contained in the publication Analysis of the sector accounts</w:t>
      </w:r>
      <w:r w:rsidRPr="00E56530">
        <w:rPr>
          <w:sz w:val="16"/>
          <w:szCs w:val="16"/>
          <w:lang w:val="en-GB"/>
        </w:rPr>
        <w:t>:</w:t>
      </w:r>
    </w:p>
    <w:p w14:paraId="6D10CD26" w14:textId="77777777" w:rsidR="00073B58" w:rsidRPr="00956F60" w:rsidRDefault="006C35B7" w:rsidP="00956F60">
      <w:pPr>
        <w:pStyle w:val="Textpoznpodarou"/>
        <w:jc w:val="both"/>
        <w:rPr>
          <w:sz w:val="16"/>
          <w:szCs w:val="16"/>
          <w:lang w:val="en-GB"/>
        </w:rPr>
      </w:pPr>
      <w:hyperlink r:id="rId1" w:history="1">
        <w:r w:rsidR="00073B58" w:rsidRPr="00956F60">
          <w:rPr>
            <w:rStyle w:val="Hypertextovodkaz"/>
            <w:sz w:val="16"/>
            <w:szCs w:val="16"/>
            <w:lang w:val="en-GB"/>
          </w:rPr>
          <w:t>https://www.czso.cz/csu/czso/cri/analyza-ctvrtletnich-sektorovych-uctu-1-ctvrtleti-2022</w:t>
        </w:r>
      </w:hyperlink>
    </w:p>
  </w:footnote>
  <w:footnote w:id="18">
    <w:p w14:paraId="389B25C3" w14:textId="44DB16BF" w:rsidR="00073B58" w:rsidRPr="00956F60" w:rsidRDefault="00073B58" w:rsidP="00956F60">
      <w:pPr>
        <w:pStyle w:val="Textpoznpodarou"/>
        <w:jc w:val="both"/>
        <w:rPr>
          <w:sz w:val="16"/>
          <w:szCs w:val="16"/>
          <w:lang w:val="en-GB"/>
        </w:rPr>
      </w:pPr>
      <w:r w:rsidRPr="00956F60">
        <w:rPr>
          <w:rStyle w:val="Znakapoznpodarou"/>
          <w:sz w:val="16"/>
          <w:szCs w:val="16"/>
          <w:lang w:val="en-GB"/>
        </w:rPr>
        <w:footnoteRef/>
      </w:r>
      <w:r w:rsidRPr="00956F60">
        <w:rPr>
          <w:sz w:val="16"/>
          <w:szCs w:val="16"/>
          <w:lang w:val="en-GB"/>
        </w:rPr>
        <w:t xml:space="preserve"> </w:t>
      </w:r>
      <w:r>
        <w:rPr>
          <w:sz w:val="16"/>
          <w:szCs w:val="16"/>
          <w:lang w:val="en-GB"/>
        </w:rPr>
        <w:t xml:space="preserve">Unless stated otherwise, data given below regarding the budget of sector </w:t>
      </w:r>
      <w:r w:rsidRPr="00956F60">
        <w:rPr>
          <w:sz w:val="16"/>
          <w:szCs w:val="16"/>
          <w:lang w:val="en-GB"/>
        </w:rPr>
        <w:t xml:space="preserve">VI </w:t>
      </w:r>
      <w:r>
        <w:rPr>
          <w:sz w:val="16"/>
          <w:szCs w:val="16"/>
          <w:lang w:val="en-GB"/>
        </w:rPr>
        <w:t xml:space="preserve">are expressed after seasonal adjustment.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5496D026" w:rsidR="00073B58" w:rsidRPr="00D060D1" w:rsidRDefault="00073B58" w:rsidP="00937AE2">
    <w:pPr>
      <w:pStyle w:val="Zhlav"/>
      <w:rPr>
        <w:lang w:val="en-GB"/>
      </w:rPr>
    </w:pPr>
    <w:r w:rsidRPr="00D060D1">
      <w:rPr>
        <w:lang w:val="en-GB"/>
      </w:rPr>
      <w:t>The Czech Economy Development</w:t>
    </w:r>
  </w:p>
  <w:p w14:paraId="3E881AB3" w14:textId="77777777" w:rsidR="00073B58" w:rsidRPr="006F5416" w:rsidRDefault="00073B5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0E20256D" w:rsidR="00073B58" w:rsidRPr="00D060D1" w:rsidRDefault="00073B58" w:rsidP="00937AE2">
    <w:pPr>
      <w:pStyle w:val="Zhlav"/>
      <w:rPr>
        <w:lang w:val="en-GB"/>
      </w:rPr>
    </w:pPr>
    <w:r w:rsidRPr="00D060D1">
      <w:rPr>
        <w:lang w:val="en-GB"/>
      </w:rPr>
      <w:t>The Czech Economy Development</w:t>
    </w:r>
  </w:p>
  <w:p w14:paraId="57266714" w14:textId="77777777" w:rsidR="00073B58" w:rsidRPr="006F5416" w:rsidRDefault="00073B5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2A2B"/>
    <w:rsid w:val="0000370A"/>
    <w:rsid w:val="00003849"/>
    <w:rsid w:val="00003D02"/>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68D"/>
    <w:rsid w:val="00010702"/>
    <w:rsid w:val="00010A2C"/>
    <w:rsid w:val="0001128E"/>
    <w:rsid w:val="00011912"/>
    <w:rsid w:val="0001193B"/>
    <w:rsid w:val="00011E90"/>
    <w:rsid w:val="000129B7"/>
    <w:rsid w:val="0001387D"/>
    <w:rsid w:val="00014CE1"/>
    <w:rsid w:val="00014ED0"/>
    <w:rsid w:val="0001641E"/>
    <w:rsid w:val="00016420"/>
    <w:rsid w:val="00016BDB"/>
    <w:rsid w:val="00017B01"/>
    <w:rsid w:val="000200BE"/>
    <w:rsid w:val="000204E5"/>
    <w:rsid w:val="000205D1"/>
    <w:rsid w:val="00020F22"/>
    <w:rsid w:val="0002195D"/>
    <w:rsid w:val="00021F9B"/>
    <w:rsid w:val="000228AE"/>
    <w:rsid w:val="000230CC"/>
    <w:rsid w:val="000233D1"/>
    <w:rsid w:val="000234D6"/>
    <w:rsid w:val="00023D29"/>
    <w:rsid w:val="00024280"/>
    <w:rsid w:val="00024348"/>
    <w:rsid w:val="000243D4"/>
    <w:rsid w:val="00024449"/>
    <w:rsid w:val="00026109"/>
    <w:rsid w:val="0002622B"/>
    <w:rsid w:val="00026389"/>
    <w:rsid w:val="0002669F"/>
    <w:rsid w:val="000279E5"/>
    <w:rsid w:val="000305E0"/>
    <w:rsid w:val="00031AE0"/>
    <w:rsid w:val="00031BB2"/>
    <w:rsid w:val="000322EF"/>
    <w:rsid w:val="00032AE0"/>
    <w:rsid w:val="00033FCD"/>
    <w:rsid w:val="00034776"/>
    <w:rsid w:val="000348AF"/>
    <w:rsid w:val="00034B70"/>
    <w:rsid w:val="00034DF7"/>
    <w:rsid w:val="00034E68"/>
    <w:rsid w:val="000350C8"/>
    <w:rsid w:val="00036195"/>
    <w:rsid w:val="000374B2"/>
    <w:rsid w:val="000376C0"/>
    <w:rsid w:val="000403A7"/>
    <w:rsid w:val="00040632"/>
    <w:rsid w:val="00040A64"/>
    <w:rsid w:val="00041AFC"/>
    <w:rsid w:val="00041CEC"/>
    <w:rsid w:val="00041D02"/>
    <w:rsid w:val="00042596"/>
    <w:rsid w:val="00042A4A"/>
    <w:rsid w:val="00043A33"/>
    <w:rsid w:val="00044183"/>
    <w:rsid w:val="0004431D"/>
    <w:rsid w:val="00044AAC"/>
    <w:rsid w:val="00045426"/>
    <w:rsid w:val="0004694F"/>
    <w:rsid w:val="00046F2F"/>
    <w:rsid w:val="00047AD4"/>
    <w:rsid w:val="00047D54"/>
    <w:rsid w:val="00047EC5"/>
    <w:rsid w:val="0005054A"/>
    <w:rsid w:val="00050A87"/>
    <w:rsid w:val="00051506"/>
    <w:rsid w:val="00051A2E"/>
    <w:rsid w:val="000522E4"/>
    <w:rsid w:val="0005312A"/>
    <w:rsid w:val="00053713"/>
    <w:rsid w:val="0005434E"/>
    <w:rsid w:val="00054C5F"/>
    <w:rsid w:val="00055CB6"/>
    <w:rsid w:val="0005621E"/>
    <w:rsid w:val="00056628"/>
    <w:rsid w:val="000572DD"/>
    <w:rsid w:val="00057B1E"/>
    <w:rsid w:val="0006033F"/>
    <w:rsid w:val="000603ED"/>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65"/>
    <w:rsid w:val="000663F0"/>
    <w:rsid w:val="00066558"/>
    <w:rsid w:val="000671DB"/>
    <w:rsid w:val="00067982"/>
    <w:rsid w:val="0007053D"/>
    <w:rsid w:val="00070A87"/>
    <w:rsid w:val="000712B3"/>
    <w:rsid w:val="00071A7C"/>
    <w:rsid w:val="00071E38"/>
    <w:rsid w:val="00071E60"/>
    <w:rsid w:val="00072FF5"/>
    <w:rsid w:val="00073A5A"/>
    <w:rsid w:val="00073B58"/>
    <w:rsid w:val="000746AF"/>
    <w:rsid w:val="0007474E"/>
    <w:rsid w:val="00074988"/>
    <w:rsid w:val="0007512B"/>
    <w:rsid w:val="00075551"/>
    <w:rsid w:val="000767F5"/>
    <w:rsid w:val="00076CCB"/>
    <w:rsid w:val="00076D90"/>
    <w:rsid w:val="00077FF0"/>
    <w:rsid w:val="00081A55"/>
    <w:rsid w:val="0008263E"/>
    <w:rsid w:val="00082C19"/>
    <w:rsid w:val="00082F89"/>
    <w:rsid w:val="00083457"/>
    <w:rsid w:val="000837CD"/>
    <w:rsid w:val="00083B7F"/>
    <w:rsid w:val="00084BFF"/>
    <w:rsid w:val="00085395"/>
    <w:rsid w:val="000863DC"/>
    <w:rsid w:val="00086896"/>
    <w:rsid w:val="00086AC1"/>
    <w:rsid w:val="00086D19"/>
    <w:rsid w:val="0008729C"/>
    <w:rsid w:val="00087634"/>
    <w:rsid w:val="00087F2B"/>
    <w:rsid w:val="00090694"/>
    <w:rsid w:val="00090EE2"/>
    <w:rsid w:val="00090FC6"/>
    <w:rsid w:val="000913B1"/>
    <w:rsid w:val="0009190F"/>
    <w:rsid w:val="0009290F"/>
    <w:rsid w:val="00093241"/>
    <w:rsid w:val="00093868"/>
    <w:rsid w:val="000940BC"/>
    <w:rsid w:val="00094A84"/>
    <w:rsid w:val="00095025"/>
    <w:rsid w:val="00095135"/>
    <w:rsid w:val="0009626E"/>
    <w:rsid w:val="0009644D"/>
    <w:rsid w:val="00097191"/>
    <w:rsid w:val="000974D1"/>
    <w:rsid w:val="00097784"/>
    <w:rsid w:val="0009799E"/>
    <w:rsid w:val="00097E48"/>
    <w:rsid w:val="000A07CB"/>
    <w:rsid w:val="000A0BC0"/>
    <w:rsid w:val="000A1183"/>
    <w:rsid w:val="000A12ED"/>
    <w:rsid w:val="000A17BB"/>
    <w:rsid w:val="000A1D49"/>
    <w:rsid w:val="000A212B"/>
    <w:rsid w:val="000A242D"/>
    <w:rsid w:val="000A256D"/>
    <w:rsid w:val="000A2643"/>
    <w:rsid w:val="000A2E5F"/>
    <w:rsid w:val="000A3A2C"/>
    <w:rsid w:val="000A3D9E"/>
    <w:rsid w:val="000A4A54"/>
    <w:rsid w:val="000A4ED9"/>
    <w:rsid w:val="000A50C7"/>
    <w:rsid w:val="000A5DB7"/>
    <w:rsid w:val="000A6597"/>
    <w:rsid w:val="000A6753"/>
    <w:rsid w:val="000A6D94"/>
    <w:rsid w:val="000A7377"/>
    <w:rsid w:val="000A74A4"/>
    <w:rsid w:val="000A775A"/>
    <w:rsid w:val="000A7D63"/>
    <w:rsid w:val="000A7FF4"/>
    <w:rsid w:val="000B03CC"/>
    <w:rsid w:val="000B0842"/>
    <w:rsid w:val="000B2B79"/>
    <w:rsid w:val="000B4212"/>
    <w:rsid w:val="000B54B5"/>
    <w:rsid w:val="000B67B7"/>
    <w:rsid w:val="000B6A0A"/>
    <w:rsid w:val="000C0127"/>
    <w:rsid w:val="000C0CA6"/>
    <w:rsid w:val="000C0EA8"/>
    <w:rsid w:val="000C0EB2"/>
    <w:rsid w:val="000C13A2"/>
    <w:rsid w:val="000C21E7"/>
    <w:rsid w:val="000C23EC"/>
    <w:rsid w:val="000C26A2"/>
    <w:rsid w:val="000C290E"/>
    <w:rsid w:val="000C30C3"/>
    <w:rsid w:val="000C3408"/>
    <w:rsid w:val="000C35AB"/>
    <w:rsid w:val="000C3F7B"/>
    <w:rsid w:val="000C45A5"/>
    <w:rsid w:val="000C4769"/>
    <w:rsid w:val="000C4D56"/>
    <w:rsid w:val="000C5DFA"/>
    <w:rsid w:val="000C62C0"/>
    <w:rsid w:val="000C6306"/>
    <w:rsid w:val="000C6AFD"/>
    <w:rsid w:val="000C6C90"/>
    <w:rsid w:val="000C72B7"/>
    <w:rsid w:val="000C7A79"/>
    <w:rsid w:val="000D0A26"/>
    <w:rsid w:val="000D13CB"/>
    <w:rsid w:val="000D1ECA"/>
    <w:rsid w:val="000D2196"/>
    <w:rsid w:val="000D246F"/>
    <w:rsid w:val="000D27C9"/>
    <w:rsid w:val="000D2C2E"/>
    <w:rsid w:val="000D2F9F"/>
    <w:rsid w:val="000D3058"/>
    <w:rsid w:val="000D310A"/>
    <w:rsid w:val="000D3EF4"/>
    <w:rsid w:val="000D4761"/>
    <w:rsid w:val="000D4DC0"/>
    <w:rsid w:val="000D55BA"/>
    <w:rsid w:val="000D5637"/>
    <w:rsid w:val="000D5A03"/>
    <w:rsid w:val="000D5BED"/>
    <w:rsid w:val="000D5ED3"/>
    <w:rsid w:val="000D616C"/>
    <w:rsid w:val="000D6AD9"/>
    <w:rsid w:val="000D6F4E"/>
    <w:rsid w:val="000D6FDA"/>
    <w:rsid w:val="000D73BB"/>
    <w:rsid w:val="000E0820"/>
    <w:rsid w:val="000E0E96"/>
    <w:rsid w:val="000E298B"/>
    <w:rsid w:val="000E2C7D"/>
    <w:rsid w:val="000E3E56"/>
    <w:rsid w:val="000E440D"/>
    <w:rsid w:val="000E4AC5"/>
    <w:rsid w:val="000E6253"/>
    <w:rsid w:val="000E6A04"/>
    <w:rsid w:val="000E6AC4"/>
    <w:rsid w:val="000E6E4D"/>
    <w:rsid w:val="000E6FBD"/>
    <w:rsid w:val="000E6FCB"/>
    <w:rsid w:val="000F090B"/>
    <w:rsid w:val="000F15F7"/>
    <w:rsid w:val="000F1AA2"/>
    <w:rsid w:val="000F378E"/>
    <w:rsid w:val="000F3F3B"/>
    <w:rsid w:val="000F4721"/>
    <w:rsid w:val="000F47E8"/>
    <w:rsid w:val="000F5C59"/>
    <w:rsid w:val="000F629E"/>
    <w:rsid w:val="000F70E4"/>
    <w:rsid w:val="000F76EA"/>
    <w:rsid w:val="001002DE"/>
    <w:rsid w:val="001006AB"/>
    <w:rsid w:val="00100A8B"/>
    <w:rsid w:val="00100F5C"/>
    <w:rsid w:val="001014D9"/>
    <w:rsid w:val="00101B15"/>
    <w:rsid w:val="00101CDA"/>
    <w:rsid w:val="00102037"/>
    <w:rsid w:val="00103DCB"/>
    <w:rsid w:val="001041F2"/>
    <w:rsid w:val="00104C4C"/>
    <w:rsid w:val="00105015"/>
    <w:rsid w:val="001055D2"/>
    <w:rsid w:val="001057C2"/>
    <w:rsid w:val="00105B09"/>
    <w:rsid w:val="0010707E"/>
    <w:rsid w:val="00107124"/>
    <w:rsid w:val="0011038E"/>
    <w:rsid w:val="00111573"/>
    <w:rsid w:val="00111E98"/>
    <w:rsid w:val="001125EF"/>
    <w:rsid w:val="00112CAB"/>
    <w:rsid w:val="0011440C"/>
    <w:rsid w:val="00114C33"/>
    <w:rsid w:val="00116D3F"/>
    <w:rsid w:val="00117474"/>
    <w:rsid w:val="00117623"/>
    <w:rsid w:val="00117642"/>
    <w:rsid w:val="00117FEA"/>
    <w:rsid w:val="001200CF"/>
    <w:rsid w:val="001208E3"/>
    <w:rsid w:val="00120F97"/>
    <w:rsid w:val="00121609"/>
    <w:rsid w:val="0012192F"/>
    <w:rsid w:val="00122994"/>
    <w:rsid w:val="00123204"/>
    <w:rsid w:val="00124B46"/>
    <w:rsid w:val="001257BE"/>
    <w:rsid w:val="001257E0"/>
    <w:rsid w:val="00125D69"/>
    <w:rsid w:val="00126538"/>
    <w:rsid w:val="00126A48"/>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5DA"/>
    <w:rsid w:val="001459BC"/>
    <w:rsid w:val="00145D5C"/>
    <w:rsid w:val="00146310"/>
    <w:rsid w:val="001502B9"/>
    <w:rsid w:val="00150ECA"/>
    <w:rsid w:val="00150FA4"/>
    <w:rsid w:val="00151707"/>
    <w:rsid w:val="00152C86"/>
    <w:rsid w:val="00152F4F"/>
    <w:rsid w:val="00153264"/>
    <w:rsid w:val="0015329F"/>
    <w:rsid w:val="00153378"/>
    <w:rsid w:val="00153D54"/>
    <w:rsid w:val="001544A1"/>
    <w:rsid w:val="001553B8"/>
    <w:rsid w:val="001554C2"/>
    <w:rsid w:val="00156D04"/>
    <w:rsid w:val="001571C0"/>
    <w:rsid w:val="0015753D"/>
    <w:rsid w:val="00157984"/>
    <w:rsid w:val="00157CC9"/>
    <w:rsid w:val="00160C21"/>
    <w:rsid w:val="001612F4"/>
    <w:rsid w:val="00161553"/>
    <w:rsid w:val="0016206D"/>
    <w:rsid w:val="0016216F"/>
    <w:rsid w:val="0016256B"/>
    <w:rsid w:val="00162C26"/>
    <w:rsid w:val="00162F81"/>
    <w:rsid w:val="00163793"/>
    <w:rsid w:val="00164CA1"/>
    <w:rsid w:val="00165313"/>
    <w:rsid w:val="001665AB"/>
    <w:rsid w:val="00167485"/>
    <w:rsid w:val="001679F5"/>
    <w:rsid w:val="00167B92"/>
    <w:rsid w:val="00167CB9"/>
    <w:rsid w:val="00167DD8"/>
    <w:rsid w:val="001705AD"/>
    <w:rsid w:val="001706D6"/>
    <w:rsid w:val="001714F2"/>
    <w:rsid w:val="00171BA9"/>
    <w:rsid w:val="00171E8E"/>
    <w:rsid w:val="00171FEA"/>
    <w:rsid w:val="00173622"/>
    <w:rsid w:val="001738A5"/>
    <w:rsid w:val="00173CB7"/>
    <w:rsid w:val="001742E7"/>
    <w:rsid w:val="00174501"/>
    <w:rsid w:val="00174965"/>
    <w:rsid w:val="00175B9F"/>
    <w:rsid w:val="00176217"/>
    <w:rsid w:val="001762F4"/>
    <w:rsid w:val="001777BA"/>
    <w:rsid w:val="00181029"/>
    <w:rsid w:val="00181BBC"/>
    <w:rsid w:val="00181E9D"/>
    <w:rsid w:val="00182D3C"/>
    <w:rsid w:val="0018385F"/>
    <w:rsid w:val="00183931"/>
    <w:rsid w:val="00183BCF"/>
    <w:rsid w:val="00184017"/>
    <w:rsid w:val="0018477D"/>
    <w:rsid w:val="001847BB"/>
    <w:rsid w:val="00184B08"/>
    <w:rsid w:val="00185010"/>
    <w:rsid w:val="001854F2"/>
    <w:rsid w:val="00185C22"/>
    <w:rsid w:val="00186BA9"/>
    <w:rsid w:val="00187D50"/>
    <w:rsid w:val="00190796"/>
    <w:rsid w:val="00190B4D"/>
    <w:rsid w:val="00191298"/>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DBF"/>
    <w:rsid w:val="001A1F68"/>
    <w:rsid w:val="001A21FA"/>
    <w:rsid w:val="001A4D7C"/>
    <w:rsid w:val="001A4DC3"/>
    <w:rsid w:val="001A4EF0"/>
    <w:rsid w:val="001A552F"/>
    <w:rsid w:val="001A6015"/>
    <w:rsid w:val="001A70B1"/>
    <w:rsid w:val="001A7672"/>
    <w:rsid w:val="001B01CB"/>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44E"/>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081"/>
    <w:rsid w:val="001C544D"/>
    <w:rsid w:val="001C5A8A"/>
    <w:rsid w:val="001C5C63"/>
    <w:rsid w:val="001C5E46"/>
    <w:rsid w:val="001C69CE"/>
    <w:rsid w:val="001C6B3B"/>
    <w:rsid w:val="001C7051"/>
    <w:rsid w:val="001C7A26"/>
    <w:rsid w:val="001C7E3F"/>
    <w:rsid w:val="001D0EF1"/>
    <w:rsid w:val="001D1A44"/>
    <w:rsid w:val="001D2029"/>
    <w:rsid w:val="001D22C2"/>
    <w:rsid w:val="001D2C99"/>
    <w:rsid w:val="001D3852"/>
    <w:rsid w:val="001D3B75"/>
    <w:rsid w:val="001D452E"/>
    <w:rsid w:val="001D4E19"/>
    <w:rsid w:val="001D54C1"/>
    <w:rsid w:val="001D556E"/>
    <w:rsid w:val="001D5DF2"/>
    <w:rsid w:val="001D6175"/>
    <w:rsid w:val="001D68B2"/>
    <w:rsid w:val="001D7EFD"/>
    <w:rsid w:val="001D7F60"/>
    <w:rsid w:val="001E085B"/>
    <w:rsid w:val="001E111C"/>
    <w:rsid w:val="001E149B"/>
    <w:rsid w:val="001E15CB"/>
    <w:rsid w:val="001E3227"/>
    <w:rsid w:val="001E3306"/>
    <w:rsid w:val="001E4452"/>
    <w:rsid w:val="001E504C"/>
    <w:rsid w:val="001E56AC"/>
    <w:rsid w:val="001E5A17"/>
    <w:rsid w:val="001E74C5"/>
    <w:rsid w:val="001F1236"/>
    <w:rsid w:val="001F1CAE"/>
    <w:rsid w:val="001F2F90"/>
    <w:rsid w:val="001F406B"/>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549F"/>
    <w:rsid w:val="00206516"/>
    <w:rsid w:val="00206CF4"/>
    <w:rsid w:val="002070CF"/>
    <w:rsid w:val="002071D5"/>
    <w:rsid w:val="00210941"/>
    <w:rsid w:val="002111E5"/>
    <w:rsid w:val="0021149E"/>
    <w:rsid w:val="002118B9"/>
    <w:rsid w:val="00211E4A"/>
    <w:rsid w:val="00213691"/>
    <w:rsid w:val="002142C0"/>
    <w:rsid w:val="002151B4"/>
    <w:rsid w:val="00217BED"/>
    <w:rsid w:val="00217C5B"/>
    <w:rsid w:val="002208C9"/>
    <w:rsid w:val="00220A43"/>
    <w:rsid w:val="0022139E"/>
    <w:rsid w:val="00222729"/>
    <w:rsid w:val="0022287B"/>
    <w:rsid w:val="002228DB"/>
    <w:rsid w:val="00223185"/>
    <w:rsid w:val="00223264"/>
    <w:rsid w:val="002233D6"/>
    <w:rsid w:val="002235EA"/>
    <w:rsid w:val="002243FB"/>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8C7"/>
    <w:rsid w:val="00244A15"/>
    <w:rsid w:val="002452D9"/>
    <w:rsid w:val="00246649"/>
    <w:rsid w:val="00247319"/>
    <w:rsid w:val="002474FE"/>
    <w:rsid w:val="0024799E"/>
    <w:rsid w:val="00247E60"/>
    <w:rsid w:val="00251496"/>
    <w:rsid w:val="00251B08"/>
    <w:rsid w:val="00251C53"/>
    <w:rsid w:val="00251F7A"/>
    <w:rsid w:val="00252AB9"/>
    <w:rsid w:val="002532B1"/>
    <w:rsid w:val="00253C0F"/>
    <w:rsid w:val="00253ED9"/>
    <w:rsid w:val="002558C1"/>
    <w:rsid w:val="00256207"/>
    <w:rsid w:val="002575F3"/>
    <w:rsid w:val="002603E1"/>
    <w:rsid w:val="002605FE"/>
    <w:rsid w:val="0026120E"/>
    <w:rsid w:val="002617EE"/>
    <w:rsid w:val="0026183A"/>
    <w:rsid w:val="00261C26"/>
    <w:rsid w:val="00262582"/>
    <w:rsid w:val="002626B4"/>
    <w:rsid w:val="0026288F"/>
    <w:rsid w:val="0026291D"/>
    <w:rsid w:val="00262CF3"/>
    <w:rsid w:val="002631D6"/>
    <w:rsid w:val="00264309"/>
    <w:rsid w:val="00264992"/>
    <w:rsid w:val="00264B4F"/>
    <w:rsid w:val="00264B85"/>
    <w:rsid w:val="0026564B"/>
    <w:rsid w:val="0026588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881"/>
    <w:rsid w:val="00282AD4"/>
    <w:rsid w:val="0028341F"/>
    <w:rsid w:val="002837AE"/>
    <w:rsid w:val="00283C13"/>
    <w:rsid w:val="00283F7B"/>
    <w:rsid w:val="0028431A"/>
    <w:rsid w:val="002853FA"/>
    <w:rsid w:val="00285412"/>
    <w:rsid w:val="002857D3"/>
    <w:rsid w:val="00286220"/>
    <w:rsid w:val="0029110B"/>
    <w:rsid w:val="00291640"/>
    <w:rsid w:val="00291EBD"/>
    <w:rsid w:val="0029237E"/>
    <w:rsid w:val="00292997"/>
    <w:rsid w:val="00293043"/>
    <w:rsid w:val="00293D24"/>
    <w:rsid w:val="00293FC1"/>
    <w:rsid w:val="0029461A"/>
    <w:rsid w:val="00294F74"/>
    <w:rsid w:val="0029509B"/>
    <w:rsid w:val="0029588F"/>
    <w:rsid w:val="00295E96"/>
    <w:rsid w:val="00297256"/>
    <w:rsid w:val="00297A5C"/>
    <w:rsid w:val="00297D51"/>
    <w:rsid w:val="002A0122"/>
    <w:rsid w:val="002A016B"/>
    <w:rsid w:val="002A0B40"/>
    <w:rsid w:val="002A103E"/>
    <w:rsid w:val="002A16D4"/>
    <w:rsid w:val="002A1E4F"/>
    <w:rsid w:val="002A230C"/>
    <w:rsid w:val="002A23F9"/>
    <w:rsid w:val="002A2AF7"/>
    <w:rsid w:val="002A3209"/>
    <w:rsid w:val="002A35F7"/>
    <w:rsid w:val="002A38F3"/>
    <w:rsid w:val="002A3EA2"/>
    <w:rsid w:val="002A4701"/>
    <w:rsid w:val="002A4F23"/>
    <w:rsid w:val="002A51AC"/>
    <w:rsid w:val="002A532A"/>
    <w:rsid w:val="002A5846"/>
    <w:rsid w:val="002A5D3A"/>
    <w:rsid w:val="002A5D97"/>
    <w:rsid w:val="002A603E"/>
    <w:rsid w:val="002A63B9"/>
    <w:rsid w:val="002A6FCC"/>
    <w:rsid w:val="002A7089"/>
    <w:rsid w:val="002B0692"/>
    <w:rsid w:val="002B0763"/>
    <w:rsid w:val="002B1619"/>
    <w:rsid w:val="002B3DD7"/>
    <w:rsid w:val="002B3EF4"/>
    <w:rsid w:val="002B4845"/>
    <w:rsid w:val="002B5567"/>
    <w:rsid w:val="002B5812"/>
    <w:rsid w:val="002B6545"/>
    <w:rsid w:val="002B72AA"/>
    <w:rsid w:val="002B764D"/>
    <w:rsid w:val="002B7E7F"/>
    <w:rsid w:val="002C1110"/>
    <w:rsid w:val="002C1BC2"/>
    <w:rsid w:val="002C1F09"/>
    <w:rsid w:val="002C22A4"/>
    <w:rsid w:val="002C260B"/>
    <w:rsid w:val="002C27A6"/>
    <w:rsid w:val="002C288C"/>
    <w:rsid w:val="002C2EB0"/>
    <w:rsid w:val="002C31E4"/>
    <w:rsid w:val="002C398D"/>
    <w:rsid w:val="002C40D2"/>
    <w:rsid w:val="002C43BD"/>
    <w:rsid w:val="002C5245"/>
    <w:rsid w:val="002C564A"/>
    <w:rsid w:val="002C59D8"/>
    <w:rsid w:val="002C5FEB"/>
    <w:rsid w:val="002C6494"/>
    <w:rsid w:val="002D05CB"/>
    <w:rsid w:val="002D0E59"/>
    <w:rsid w:val="002D2127"/>
    <w:rsid w:val="002D2C4F"/>
    <w:rsid w:val="002D3EBB"/>
    <w:rsid w:val="002D455C"/>
    <w:rsid w:val="002D6066"/>
    <w:rsid w:val="002D6A4C"/>
    <w:rsid w:val="002E01AD"/>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59E"/>
    <w:rsid w:val="002E792B"/>
    <w:rsid w:val="002E7AEB"/>
    <w:rsid w:val="002E7B79"/>
    <w:rsid w:val="002F0C47"/>
    <w:rsid w:val="002F1B09"/>
    <w:rsid w:val="002F1D56"/>
    <w:rsid w:val="002F1DCB"/>
    <w:rsid w:val="002F1DE4"/>
    <w:rsid w:val="002F327C"/>
    <w:rsid w:val="002F333D"/>
    <w:rsid w:val="002F351A"/>
    <w:rsid w:val="002F357F"/>
    <w:rsid w:val="002F46D6"/>
    <w:rsid w:val="002F498A"/>
    <w:rsid w:val="002F4AD8"/>
    <w:rsid w:val="002F5285"/>
    <w:rsid w:val="002F5820"/>
    <w:rsid w:val="002F58CC"/>
    <w:rsid w:val="002F5F60"/>
    <w:rsid w:val="002F616A"/>
    <w:rsid w:val="002F64BB"/>
    <w:rsid w:val="002F7D9B"/>
    <w:rsid w:val="00300C31"/>
    <w:rsid w:val="003017EC"/>
    <w:rsid w:val="00302165"/>
    <w:rsid w:val="00303BB4"/>
    <w:rsid w:val="00304194"/>
    <w:rsid w:val="00304771"/>
    <w:rsid w:val="00304F9C"/>
    <w:rsid w:val="0030521E"/>
    <w:rsid w:val="003052D4"/>
    <w:rsid w:val="00305863"/>
    <w:rsid w:val="00305FE5"/>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7C6"/>
    <w:rsid w:val="00316B3D"/>
    <w:rsid w:val="00317343"/>
    <w:rsid w:val="0032058C"/>
    <w:rsid w:val="003208D0"/>
    <w:rsid w:val="003209D6"/>
    <w:rsid w:val="003217B9"/>
    <w:rsid w:val="00321924"/>
    <w:rsid w:val="00321AF1"/>
    <w:rsid w:val="00321EB6"/>
    <w:rsid w:val="003220A5"/>
    <w:rsid w:val="00322CF6"/>
    <w:rsid w:val="003238E0"/>
    <w:rsid w:val="00323A1C"/>
    <w:rsid w:val="00323A2F"/>
    <w:rsid w:val="0032417B"/>
    <w:rsid w:val="003247E1"/>
    <w:rsid w:val="00324B59"/>
    <w:rsid w:val="00325071"/>
    <w:rsid w:val="00325E46"/>
    <w:rsid w:val="003263F9"/>
    <w:rsid w:val="0032656E"/>
    <w:rsid w:val="0032788F"/>
    <w:rsid w:val="00332190"/>
    <w:rsid w:val="00332A98"/>
    <w:rsid w:val="003334BD"/>
    <w:rsid w:val="00333973"/>
    <w:rsid w:val="00333CD0"/>
    <w:rsid w:val="0033448D"/>
    <w:rsid w:val="00334AD2"/>
    <w:rsid w:val="00334CB6"/>
    <w:rsid w:val="00336F1E"/>
    <w:rsid w:val="0033709C"/>
    <w:rsid w:val="003370C5"/>
    <w:rsid w:val="003373C6"/>
    <w:rsid w:val="0033753A"/>
    <w:rsid w:val="00340BF3"/>
    <w:rsid w:val="00341D26"/>
    <w:rsid w:val="00341F05"/>
    <w:rsid w:val="0034210C"/>
    <w:rsid w:val="0034335E"/>
    <w:rsid w:val="003434C5"/>
    <w:rsid w:val="00344668"/>
    <w:rsid w:val="00344940"/>
    <w:rsid w:val="00344E77"/>
    <w:rsid w:val="00346234"/>
    <w:rsid w:val="003462D9"/>
    <w:rsid w:val="0034699F"/>
    <w:rsid w:val="0034723F"/>
    <w:rsid w:val="00347247"/>
    <w:rsid w:val="003474B6"/>
    <w:rsid w:val="00347DD4"/>
    <w:rsid w:val="00350580"/>
    <w:rsid w:val="00350B13"/>
    <w:rsid w:val="00352B43"/>
    <w:rsid w:val="00352C28"/>
    <w:rsid w:val="003541BB"/>
    <w:rsid w:val="00354F89"/>
    <w:rsid w:val="0035506D"/>
    <w:rsid w:val="0036077F"/>
    <w:rsid w:val="00360C86"/>
    <w:rsid w:val="00360F7A"/>
    <w:rsid w:val="00360FBC"/>
    <w:rsid w:val="00361537"/>
    <w:rsid w:val="00361FB7"/>
    <w:rsid w:val="0036242A"/>
    <w:rsid w:val="003627D3"/>
    <w:rsid w:val="00362C23"/>
    <w:rsid w:val="00362DCA"/>
    <w:rsid w:val="00362E90"/>
    <w:rsid w:val="00364FA0"/>
    <w:rsid w:val="003657F3"/>
    <w:rsid w:val="00365844"/>
    <w:rsid w:val="00365DA5"/>
    <w:rsid w:val="00365EF5"/>
    <w:rsid w:val="00365F61"/>
    <w:rsid w:val="0036624C"/>
    <w:rsid w:val="00366461"/>
    <w:rsid w:val="003667F6"/>
    <w:rsid w:val="00367F84"/>
    <w:rsid w:val="003712BC"/>
    <w:rsid w:val="00372164"/>
    <w:rsid w:val="003738BD"/>
    <w:rsid w:val="00374263"/>
    <w:rsid w:val="0037445E"/>
    <w:rsid w:val="003746F0"/>
    <w:rsid w:val="00374A20"/>
    <w:rsid w:val="00374B96"/>
    <w:rsid w:val="00374E21"/>
    <w:rsid w:val="0037537A"/>
    <w:rsid w:val="0037713E"/>
    <w:rsid w:val="00377B2E"/>
    <w:rsid w:val="00380C9B"/>
    <w:rsid w:val="0038102E"/>
    <w:rsid w:val="003810F0"/>
    <w:rsid w:val="003815D4"/>
    <w:rsid w:val="003818DC"/>
    <w:rsid w:val="003820ED"/>
    <w:rsid w:val="00382513"/>
    <w:rsid w:val="00382D80"/>
    <w:rsid w:val="00383388"/>
    <w:rsid w:val="003834F8"/>
    <w:rsid w:val="003838D0"/>
    <w:rsid w:val="003840C2"/>
    <w:rsid w:val="00384327"/>
    <w:rsid w:val="00384A89"/>
    <w:rsid w:val="00385086"/>
    <w:rsid w:val="00385D98"/>
    <w:rsid w:val="003866AA"/>
    <w:rsid w:val="00390306"/>
    <w:rsid w:val="003908A6"/>
    <w:rsid w:val="00390CE5"/>
    <w:rsid w:val="0039109D"/>
    <w:rsid w:val="00391989"/>
    <w:rsid w:val="00391A6C"/>
    <w:rsid w:val="003927F6"/>
    <w:rsid w:val="0039398D"/>
    <w:rsid w:val="00393B3F"/>
    <w:rsid w:val="0039402D"/>
    <w:rsid w:val="003962CA"/>
    <w:rsid w:val="00396739"/>
    <w:rsid w:val="003978B1"/>
    <w:rsid w:val="003A04F6"/>
    <w:rsid w:val="003A0837"/>
    <w:rsid w:val="003A2B4D"/>
    <w:rsid w:val="003A2D12"/>
    <w:rsid w:val="003A2E46"/>
    <w:rsid w:val="003A2EBA"/>
    <w:rsid w:val="003A3343"/>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C8D"/>
    <w:rsid w:val="003B1EA8"/>
    <w:rsid w:val="003B1F9D"/>
    <w:rsid w:val="003B2A8D"/>
    <w:rsid w:val="003B2AD1"/>
    <w:rsid w:val="003B2D2E"/>
    <w:rsid w:val="003B3135"/>
    <w:rsid w:val="003B376A"/>
    <w:rsid w:val="003B42C7"/>
    <w:rsid w:val="003B461F"/>
    <w:rsid w:val="003B483F"/>
    <w:rsid w:val="003B4998"/>
    <w:rsid w:val="003B5A32"/>
    <w:rsid w:val="003B5B59"/>
    <w:rsid w:val="003B709D"/>
    <w:rsid w:val="003B7B50"/>
    <w:rsid w:val="003C0B07"/>
    <w:rsid w:val="003C2284"/>
    <w:rsid w:val="003C2CE7"/>
    <w:rsid w:val="003C2DB8"/>
    <w:rsid w:val="003C3490"/>
    <w:rsid w:val="003C3608"/>
    <w:rsid w:val="003C3AE8"/>
    <w:rsid w:val="003C3D2C"/>
    <w:rsid w:val="003C4058"/>
    <w:rsid w:val="003C4E13"/>
    <w:rsid w:val="003C53AB"/>
    <w:rsid w:val="003C58A5"/>
    <w:rsid w:val="003C6221"/>
    <w:rsid w:val="003C63D7"/>
    <w:rsid w:val="003C672E"/>
    <w:rsid w:val="003C68CC"/>
    <w:rsid w:val="003C7D39"/>
    <w:rsid w:val="003C7E62"/>
    <w:rsid w:val="003D12B9"/>
    <w:rsid w:val="003D1A33"/>
    <w:rsid w:val="003D1E7A"/>
    <w:rsid w:val="003D242B"/>
    <w:rsid w:val="003D2492"/>
    <w:rsid w:val="003D29AA"/>
    <w:rsid w:val="003D2A99"/>
    <w:rsid w:val="003D4EFE"/>
    <w:rsid w:val="003D55EA"/>
    <w:rsid w:val="003D6920"/>
    <w:rsid w:val="003E0249"/>
    <w:rsid w:val="003E08A4"/>
    <w:rsid w:val="003E1EF8"/>
    <w:rsid w:val="003E2DFB"/>
    <w:rsid w:val="003E4466"/>
    <w:rsid w:val="003E4C91"/>
    <w:rsid w:val="003E52D8"/>
    <w:rsid w:val="003E585F"/>
    <w:rsid w:val="003E5FA9"/>
    <w:rsid w:val="003E62F1"/>
    <w:rsid w:val="003E6F84"/>
    <w:rsid w:val="003F0148"/>
    <w:rsid w:val="003F313C"/>
    <w:rsid w:val="003F33B1"/>
    <w:rsid w:val="003F33B9"/>
    <w:rsid w:val="003F37FC"/>
    <w:rsid w:val="003F3E76"/>
    <w:rsid w:val="003F4318"/>
    <w:rsid w:val="003F4B2C"/>
    <w:rsid w:val="003F551C"/>
    <w:rsid w:val="003F5A2B"/>
    <w:rsid w:val="003F5B3D"/>
    <w:rsid w:val="003F626D"/>
    <w:rsid w:val="003F72ED"/>
    <w:rsid w:val="003F778A"/>
    <w:rsid w:val="003F79B6"/>
    <w:rsid w:val="003F7D23"/>
    <w:rsid w:val="00400050"/>
    <w:rsid w:val="004002C8"/>
    <w:rsid w:val="00400468"/>
    <w:rsid w:val="0040099D"/>
    <w:rsid w:val="00400B87"/>
    <w:rsid w:val="004016CB"/>
    <w:rsid w:val="00401B23"/>
    <w:rsid w:val="00402ADB"/>
    <w:rsid w:val="0040368D"/>
    <w:rsid w:val="00403D1D"/>
    <w:rsid w:val="00403F57"/>
    <w:rsid w:val="00404398"/>
    <w:rsid w:val="004046BD"/>
    <w:rsid w:val="0040488D"/>
    <w:rsid w:val="00404BAB"/>
    <w:rsid w:val="004052EF"/>
    <w:rsid w:val="00405318"/>
    <w:rsid w:val="004059D2"/>
    <w:rsid w:val="00405FFC"/>
    <w:rsid w:val="004060C9"/>
    <w:rsid w:val="004066D0"/>
    <w:rsid w:val="00406B0D"/>
    <w:rsid w:val="00406C2E"/>
    <w:rsid w:val="00406CDA"/>
    <w:rsid w:val="00406EB0"/>
    <w:rsid w:val="00407711"/>
    <w:rsid w:val="0040772C"/>
    <w:rsid w:val="00407C13"/>
    <w:rsid w:val="004103F6"/>
    <w:rsid w:val="00410638"/>
    <w:rsid w:val="00412511"/>
    <w:rsid w:val="004125C2"/>
    <w:rsid w:val="00412DFA"/>
    <w:rsid w:val="00413465"/>
    <w:rsid w:val="004149AC"/>
    <w:rsid w:val="0041501E"/>
    <w:rsid w:val="00415452"/>
    <w:rsid w:val="004159C3"/>
    <w:rsid w:val="00415A57"/>
    <w:rsid w:val="00416730"/>
    <w:rsid w:val="00416DAC"/>
    <w:rsid w:val="00417068"/>
    <w:rsid w:val="00417106"/>
    <w:rsid w:val="00420792"/>
    <w:rsid w:val="00420880"/>
    <w:rsid w:val="00421179"/>
    <w:rsid w:val="004225D7"/>
    <w:rsid w:val="004227DA"/>
    <w:rsid w:val="00423623"/>
    <w:rsid w:val="0042425A"/>
    <w:rsid w:val="0042470E"/>
    <w:rsid w:val="00424B72"/>
    <w:rsid w:val="00425352"/>
    <w:rsid w:val="00425734"/>
    <w:rsid w:val="00426C99"/>
    <w:rsid w:val="004272BE"/>
    <w:rsid w:val="00427654"/>
    <w:rsid w:val="004305E4"/>
    <w:rsid w:val="00430C96"/>
    <w:rsid w:val="0043174F"/>
    <w:rsid w:val="00431BFF"/>
    <w:rsid w:val="00432199"/>
    <w:rsid w:val="00432A58"/>
    <w:rsid w:val="004331C3"/>
    <w:rsid w:val="00433C17"/>
    <w:rsid w:val="00434617"/>
    <w:rsid w:val="00434DE9"/>
    <w:rsid w:val="00435051"/>
    <w:rsid w:val="00435C69"/>
    <w:rsid w:val="004360FB"/>
    <w:rsid w:val="00437701"/>
    <w:rsid w:val="00437CED"/>
    <w:rsid w:val="004407BF"/>
    <w:rsid w:val="00440900"/>
    <w:rsid w:val="0044121D"/>
    <w:rsid w:val="00441BF6"/>
    <w:rsid w:val="00441D2B"/>
    <w:rsid w:val="00441F8B"/>
    <w:rsid w:val="00442085"/>
    <w:rsid w:val="0044279E"/>
    <w:rsid w:val="004441A0"/>
    <w:rsid w:val="00444618"/>
    <w:rsid w:val="00444C8C"/>
    <w:rsid w:val="00445861"/>
    <w:rsid w:val="00445A8E"/>
    <w:rsid w:val="00446D44"/>
    <w:rsid w:val="0045078A"/>
    <w:rsid w:val="0045086D"/>
    <w:rsid w:val="00450DAB"/>
    <w:rsid w:val="0045125B"/>
    <w:rsid w:val="00451E25"/>
    <w:rsid w:val="00451EF1"/>
    <w:rsid w:val="004521DF"/>
    <w:rsid w:val="00452E60"/>
    <w:rsid w:val="0045321B"/>
    <w:rsid w:val="00456FE5"/>
    <w:rsid w:val="00457490"/>
    <w:rsid w:val="00457744"/>
    <w:rsid w:val="0045778B"/>
    <w:rsid w:val="0045786C"/>
    <w:rsid w:val="00457953"/>
    <w:rsid w:val="0046011D"/>
    <w:rsid w:val="004604D8"/>
    <w:rsid w:val="00460656"/>
    <w:rsid w:val="00460FB3"/>
    <w:rsid w:val="00463205"/>
    <w:rsid w:val="00463D3C"/>
    <w:rsid w:val="00464851"/>
    <w:rsid w:val="00464990"/>
    <w:rsid w:val="00464BF5"/>
    <w:rsid w:val="00466595"/>
    <w:rsid w:val="00466B3E"/>
    <w:rsid w:val="0046746A"/>
    <w:rsid w:val="00467B14"/>
    <w:rsid w:val="004706ED"/>
    <w:rsid w:val="004707FE"/>
    <w:rsid w:val="00470EDC"/>
    <w:rsid w:val="00471533"/>
    <w:rsid w:val="00471D6A"/>
    <w:rsid w:val="00472418"/>
    <w:rsid w:val="0047276D"/>
    <w:rsid w:val="00472AF6"/>
    <w:rsid w:val="00473482"/>
    <w:rsid w:val="00473491"/>
    <w:rsid w:val="00474646"/>
    <w:rsid w:val="004748E0"/>
    <w:rsid w:val="00474A04"/>
    <w:rsid w:val="00476240"/>
    <w:rsid w:val="00476439"/>
    <w:rsid w:val="00476450"/>
    <w:rsid w:val="004764B7"/>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880"/>
    <w:rsid w:val="00484ECE"/>
    <w:rsid w:val="00485145"/>
    <w:rsid w:val="00485E4D"/>
    <w:rsid w:val="00485E82"/>
    <w:rsid w:val="00486132"/>
    <w:rsid w:val="0048686D"/>
    <w:rsid w:val="004868F4"/>
    <w:rsid w:val="00486A4D"/>
    <w:rsid w:val="00487FC3"/>
    <w:rsid w:val="004915CB"/>
    <w:rsid w:val="004924DC"/>
    <w:rsid w:val="00492879"/>
    <w:rsid w:val="00493E85"/>
    <w:rsid w:val="00494464"/>
    <w:rsid w:val="00495145"/>
    <w:rsid w:val="0049531F"/>
    <w:rsid w:val="00496A39"/>
    <w:rsid w:val="004979A5"/>
    <w:rsid w:val="004A0144"/>
    <w:rsid w:val="004A0328"/>
    <w:rsid w:val="004A036E"/>
    <w:rsid w:val="004A0498"/>
    <w:rsid w:val="004A06B0"/>
    <w:rsid w:val="004A0D0E"/>
    <w:rsid w:val="004A14E4"/>
    <w:rsid w:val="004A204E"/>
    <w:rsid w:val="004A2642"/>
    <w:rsid w:val="004A26A5"/>
    <w:rsid w:val="004A27F0"/>
    <w:rsid w:val="004A3212"/>
    <w:rsid w:val="004A37CD"/>
    <w:rsid w:val="004A40D9"/>
    <w:rsid w:val="004A49A5"/>
    <w:rsid w:val="004A4F8A"/>
    <w:rsid w:val="004A52AB"/>
    <w:rsid w:val="004A5494"/>
    <w:rsid w:val="004A5D4E"/>
    <w:rsid w:val="004A61C5"/>
    <w:rsid w:val="004A62A0"/>
    <w:rsid w:val="004A77B8"/>
    <w:rsid w:val="004A77DF"/>
    <w:rsid w:val="004B0A56"/>
    <w:rsid w:val="004B1417"/>
    <w:rsid w:val="004B18DF"/>
    <w:rsid w:val="004B1D3D"/>
    <w:rsid w:val="004B305C"/>
    <w:rsid w:val="004B31B8"/>
    <w:rsid w:val="004B339A"/>
    <w:rsid w:val="004B3BD0"/>
    <w:rsid w:val="004B4C83"/>
    <w:rsid w:val="004B55B7"/>
    <w:rsid w:val="004B5BFA"/>
    <w:rsid w:val="004B6005"/>
    <w:rsid w:val="004B619E"/>
    <w:rsid w:val="004B6468"/>
    <w:rsid w:val="004B6AC1"/>
    <w:rsid w:val="004B6EF8"/>
    <w:rsid w:val="004B7125"/>
    <w:rsid w:val="004B756A"/>
    <w:rsid w:val="004B7A0C"/>
    <w:rsid w:val="004B7FB1"/>
    <w:rsid w:val="004C06D6"/>
    <w:rsid w:val="004C0970"/>
    <w:rsid w:val="004C0B3F"/>
    <w:rsid w:val="004C0F87"/>
    <w:rsid w:val="004C1178"/>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438"/>
    <w:rsid w:val="004C6E0E"/>
    <w:rsid w:val="004C70DC"/>
    <w:rsid w:val="004C7100"/>
    <w:rsid w:val="004D0211"/>
    <w:rsid w:val="004D0794"/>
    <w:rsid w:val="004D07B9"/>
    <w:rsid w:val="004D0822"/>
    <w:rsid w:val="004D108E"/>
    <w:rsid w:val="004D122F"/>
    <w:rsid w:val="004D2A9A"/>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22B"/>
    <w:rsid w:val="004F3272"/>
    <w:rsid w:val="004F33A0"/>
    <w:rsid w:val="004F3873"/>
    <w:rsid w:val="004F3BD2"/>
    <w:rsid w:val="004F46ED"/>
    <w:rsid w:val="004F49A3"/>
    <w:rsid w:val="004F4C99"/>
    <w:rsid w:val="004F5358"/>
    <w:rsid w:val="004F55FA"/>
    <w:rsid w:val="004F6339"/>
    <w:rsid w:val="004F6484"/>
    <w:rsid w:val="004F6539"/>
    <w:rsid w:val="005021F1"/>
    <w:rsid w:val="00503D54"/>
    <w:rsid w:val="005040D3"/>
    <w:rsid w:val="005048E2"/>
    <w:rsid w:val="00504BA2"/>
    <w:rsid w:val="00505FC8"/>
    <w:rsid w:val="00506603"/>
    <w:rsid w:val="0050686E"/>
    <w:rsid w:val="0050689D"/>
    <w:rsid w:val="005077F5"/>
    <w:rsid w:val="005108C0"/>
    <w:rsid w:val="0051094F"/>
    <w:rsid w:val="00511217"/>
    <w:rsid w:val="00511873"/>
    <w:rsid w:val="0051190D"/>
    <w:rsid w:val="00511BAF"/>
    <w:rsid w:val="00512461"/>
    <w:rsid w:val="00512501"/>
    <w:rsid w:val="00512585"/>
    <w:rsid w:val="00512A2F"/>
    <w:rsid w:val="00513B7E"/>
    <w:rsid w:val="00513E9D"/>
    <w:rsid w:val="0051475D"/>
    <w:rsid w:val="00514B11"/>
    <w:rsid w:val="00514DED"/>
    <w:rsid w:val="0051500A"/>
    <w:rsid w:val="00515485"/>
    <w:rsid w:val="00515BE9"/>
    <w:rsid w:val="00515C74"/>
    <w:rsid w:val="00515CEB"/>
    <w:rsid w:val="0051630F"/>
    <w:rsid w:val="00516337"/>
    <w:rsid w:val="00517113"/>
    <w:rsid w:val="00517615"/>
    <w:rsid w:val="0052007E"/>
    <w:rsid w:val="0052032E"/>
    <w:rsid w:val="00520F4A"/>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728"/>
    <w:rsid w:val="00530A68"/>
    <w:rsid w:val="00530AD4"/>
    <w:rsid w:val="0053129F"/>
    <w:rsid w:val="00531C5A"/>
    <w:rsid w:val="00532CE7"/>
    <w:rsid w:val="00532D8B"/>
    <w:rsid w:val="0053324C"/>
    <w:rsid w:val="00533A8D"/>
    <w:rsid w:val="00534A28"/>
    <w:rsid w:val="00535018"/>
    <w:rsid w:val="0053595E"/>
    <w:rsid w:val="00537571"/>
    <w:rsid w:val="00540056"/>
    <w:rsid w:val="0054101E"/>
    <w:rsid w:val="005410E2"/>
    <w:rsid w:val="00541508"/>
    <w:rsid w:val="00541AE3"/>
    <w:rsid w:val="00542748"/>
    <w:rsid w:val="00543498"/>
    <w:rsid w:val="00544011"/>
    <w:rsid w:val="005441A8"/>
    <w:rsid w:val="00544BE5"/>
    <w:rsid w:val="005453A3"/>
    <w:rsid w:val="005455F6"/>
    <w:rsid w:val="0054582F"/>
    <w:rsid w:val="00546FC7"/>
    <w:rsid w:val="005500D6"/>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57EFC"/>
    <w:rsid w:val="00560825"/>
    <w:rsid w:val="00560C41"/>
    <w:rsid w:val="00560CAC"/>
    <w:rsid w:val="00561751"/>
    <w:rsid w:val="00561F44"/>
    <w:rsid w:val="00562015"/>
    <w:rsid w:val="005621B9"/>
    <w:rsid w:val="00562B4D"/>
    <w:rsid w:val="00562DB1"/>
    <w:rsid w:val="00563EB8"/>
    <w:rsid w:val="005647BF"/>
    <w:rsid w:val="00564AF1"/>
    <w:rsid w:val="005655DB"/>
    <w:rsid w:val="00565E88"/>
    <w:rsid w:val="005662F5"/>
    <w:rsid w:val="00567339"/>
    <w:rsid w:val="005678EE"/>
    <w:rsid w:val="00567910"/>
    <w:rsid w:val="00570270"/>
    <w:rsid w:val="00570464"/>
    <w:rsid w:val="00570BC3"/>
    <w:rsid w:val="0057182A"/>
    <w:rsid w:val="00571E59"/>
    <w:rsid w:val="00572079"/>
    <w:rsid w:val="00572900"/>
    <w:rsid w:val="00572C04"/>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D30"/>
    <w:rsid w:val="00590608"/>
    <w:rsid w:val="00590B28"/>
    <w:rsid w:val="00591187"/>
    <w:rsid w:val="005911BE"/>
    <w:rsid w:val="00591273"/>
    <w:rsid w:val="005915EA"/>
    <w:rsid w:val="00591E9E"/>
    <w:rsid w:val="005927A4"/>
    <w:rsid w:val="00593152"/>
    <w:rsid w:val="00593389"/>
    <w:rsid w:val="00593FE6"/>
    <w:rsid w:val="005956A3"/>
    <w:rsid w:val="00595958"/>
    <w:rsid w:val="00595CAB"/>
    <w:rsid w:val="0059622E"/>
    <w:rsid w:val="00597671"/>
    <w:rsid w:val="00597BBF"/>
    <w:rsid w:val="005A040C"/>
    <w:rsid w:val="005A0443"/>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2756"/>
    <w:rsid w:val="005B41C9"/>
    <w:rsid w:val="005B44E6"/>
    <w:rsid w:val="005B4853"/>
    <w:rsid w:val="005B62D1"/>
    <w:rsid w:val="005B6CA1"/>
    <w:rsid w:val="005B6F04"/>
    <w:rsid w:val="005B770C"/>
    <w:rsid w:val="005C06ED"/>
    <w:rsid w:val="005C0CE1"/>
    <w:rsid w:val="005C11B8"/>
    <w:rsid w:val="005C181B"/>
    <w:rsid w:val="005C19E3"/>
    <w:rsid w:val="005C216C"/>
    <w:rsid w:val="005C230A"/>
    <w:rsid w:val="005C2609"/>
    <w:rsid w:val="005C2B30"/>
    <w:rsid w:val="005C412B"/>
    <w:rsid w:val="005C43EC"/>
    <w:rsid w:val="005C45DD"/>
    <w:rsid w:val="005C4704"/>
    <w:rsid w:val="005C4CB1"/>
    <w:rsid w:val="005C70AB"/>
    <w:rsid w:val="005C771D"/>
    <w:rsid w:val="005D015C"/>
    <w:rsid w:val="005D1117"/>
    <w:rsid w:val="005D3F06"/>
    <w:rsid w:val="005D4608"/>
    <w:rsid w:val="005D4B73"/>
    <w:rsid w:val="005D533D"/>
    <w:rsid w:val="005D5645"/>
    <w:rsid w:val="005D5802"/>
    <w:rsid w:val="005D5AA9"/>
    <w:rsid w:val="005D66E6"/>
    <w:rsid w:val="005D7119"/>
    <w:rsid w:val="005D7508"/>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CB0"/>
    <w:rsid w:val="005F6D7F"/>
    <w:rsid w:val="005F6DFE"/>
    <w:rsid w:val="005F7174"/>
    <w:rsid w:val="005F724F"/>
    <w:rsid w:val="0060120D"/>
    <w:rsid w:val="006017C1"/>
    <w:rsid w:val="00601ADE"/>
    <w:rsid w:val="00601EEF"/>
    <w:rsid w:val="0060255A"/>
    <w:rsid w:val="00602998"/>
    <w:rsid w:val="00602EB3"/>
    <w:rsid w:val="00604307"/>
    <w:rsid w:val="0060487F"/>
    <w:rsid w:val="00604EAD"/>
    <w:rsid w:val="0060513F"/>
    <w:rsid w:val="006063BB"/>
    <w:rsid w:val="006065E2"/>
    <w:rsid w:val="0060694B"/>
    <w:rsid w:val="006104FB"/>
    <w:rsid w:val="0061176D"/>
    <w:rsid w:val="0061200F"/>
    <w:rsid w:val="00612756"/>
    <w:rsid w:val="00612A2F"/>
    <w:rsid w:val="00612AAE"/>
    <w:rsid w:val="00612B07"/>
    <w:rsid w:val="00612FD9"/>
    <w:rsid w:val="006139E0"/>
    <w:rsid w:val="00613A32"/>
    <w:rsid w:val="00613BAF"/>
    <w:rsid w:val="00614D35"/>
    <w:rsid w:val="006156B4"/>
    <w:rsid w:val="00615DAF"/>
    <w:rsid w:val="00616254"/>
    <w:rsid w:val="0061672A"/>
    <w:rsid w:val="00616E05"/>
    <w:rsid w:val="00617174"/>
    <w:rsid w:val="00617985"/>
    <w:rsid w:val="00620B77"/>
    <w:rsid w:val="00621190"/>
    <w:rsid w:val="0062131B"/>
    <w:rsid w:val="00621E26"/>
    <w:rsid w:val="006224EA"/>
    <w:rsid w:val="0062263A"/>
    <w:rsid w:val="006227DF"/>
    <w:rsid w:val="006234A0"/>
    <w:rsid w:val="006235CD"/>
    <w:rsid w:val="006236C8"/>
    <w:rsid w:val="00624093"/>
    <w:rsid w:val="006240A3"/>
    <w:rsid w:val="00625A19"/>
    <w:rsid w:val="00625A84"/>
    <w:rsid w:val="00626079"/>
    <w:rsid w:val="006305F7"/>
    <w:rsid w:val="00630741"/>
    <w:rsid w:val="00631698"/>
    <w:rsid w:val="00631E44"/>
    <w:rsid w:val="00632B4B"/>
    <w:rsid w:val="0063476C"/>
    <w:rsid w:val="00634C57"/>
    <w:rsid w:val="00634CE7"/>
    <w:rsid w:val="006350D5"/>
    <w:rsid w:val="006359F7"/>
    <w:rsid w:val="00635C51"/>
    <w:rsid w:val="0063642C"/>
    <w:rsid w:val="00636492"/>
    <w:rsid w:val="0063714C"/>
    <w:rsid w:val="006376B3"/>
    <w:rsid w:val="00637858"/>
    <w:rsid w:val="006404A7"/>
    <w:rsid w:val="00640A38"/>
    <w:rsid w:val="00640E6B"/>
    <w:rsid w:val="0064123E"/>
    <w:rsid w:val="00641787"/>
    <w:rsid w:val="0064179B"/>
    <w:rsid w:val="00642489"/>
    <w:rsid w:val="0064341F"/>
    <w:rsid w:val="00644055"/>
    <w:rsid w:val="00644137"/>
    <w:rsid w:val="0064478C"/>
    <w:rsid w:val="0064513D"/>
    <w:rsid w:val="00645160"/>
    <w:rsid w:val="006451E4"/>
    <w:rsid w:val="0064574B"/>
    <w:rsid w:val="006459DF"/>
    <w:rsid w:val="00645B33"/>
    <w:rsid w:val="00646B42"/>
    <w:rsid w:val="006516CB"/>
    <w:rsid w:val="00652E30"/>
    <w:rsid w:val="00653BD0"/>
    <w:rsid w:val="00654110"/>
    <w:rsid w:val="00654604"/>
    <w:rsid w:val="00656C5D"/>
    <w:rsid w:val="00656CFB"/>
    <w:rsid w:val="00656D25"/>
    <w:rsid w:val="00657E87"/>
    <w:rsid w:val="00660D2D"/>
    <w:rsid w:val="00661C41"/>
    <w:rsid w:val="00661E03"/>
    <w:rsid w:val="00661EC9"/>
    <w:rsid w:val="00661EF8"/>
    <w:rsid w:val="00662469"/>
    <w:rsid w:val="0066411C"/>
    <w:rsid w:val="00664205"/>
    <w:rsid w:val="00664647"/>
    <w:rsid w:val="00664803"/>
    <w:rsid w:val="0066502F"/>
    <w:rsid w:val="006653CC"/>
    <w:rsid w:val="00665982"/>
    <w:rsid w:val="00665A05"/>
    <w:rsid w:val="00665BA4"/>
    <w:rsid w:val="00666BF3"/>
    <w:rsid w:val="00667856"/>
    <w:rsid w:val="00667AF2"/>
    <w:rsid w:val="00670489"/>
    <w:rsid w:val="006710C9"/>
    <w:rsid w:val="00671D85"/>
    <w:rsid w:val="00672586"/>
    <w:rsid w:val="006727BC"/>
    <w:rsid w:val="006741CD"/>
    <w:rsid w:val="00674D89"/>
    <w:rsid w:val="0067514E"/>
    <w:rsid w:val="00675E37"/>
    <w:rsid w:val="0067623E"/>
    <w:rsid w:val="0067635D"/>
    <w:rsid w:val="00676736"/>
    <w:rsid w:val="006769A4"/>
    <w:rsid w:val="006769C6"/>
    <w:rsid w:val="00676D76"/>
    <w:rsid w:val="00676F9F"/>
    <w:rsid w:val="00677519"/>
    <w:rsid w:val="00677591"/>
    <w:rsid w:val="00677594"/>
    <w:rsid w:val="0067794F"/>
    <w:rsid w:val="00677FA3"/>
    <w:rsid w:val="0068032F"/>
    <w:rsid w:val="00680D37"/>
    <w:rsid w:val="00681060"/>
    <w:rsid w:val="0068174E"/>
    <w:rsid w:val="0068177E"/>
    <w:rsid w:val="00681DCE"/>
    <w:rsid w:val="00682110"/>
    <w:rsid w:val="0068260E"/>
    <w:rsid w:val="00683CE6"/>
    <w:rsid w:val="006846B3"/>
    <w:rsid w:val="00684B9B"/>
    <w:rsid w:val="00684D59"/>
    <w:rsid w:val="00684E25"/>
    <w:rsid w:val="006858A4"/>
    <w:rsid w:val="00685C08"/>
    <w:rsid w:val="00686718"/>
    <w:rsid w:val="00686A63"/>
    <w:rsid w:val="00686BFA"/>
    <w:rsid w:val="00686DED"/>
    <w:rsid w:val="00686DFB"/>
    <w:rsid w:val="006875A0"/>
    <w:rsid w:val="006878C6"/>
    <w:rsid w:val="00687D27"/>
    <w:rsid w:val="00691943"/>
    <w:rsid w:val="00691FB9"/>
    <w:rsid w:val="0069212C"/>
    <w:rsid w:val="00693550"/>
    <w:rsid w:val="00694622"/>
    <w:rsid w:val="006948DE"/>
    <w:rsid w:val="00695065"/>
    <w:rsid w:val="00695BEF"/>
    <w:rsid w:val="00696251"/>
    <w:rsid w:val="006966C7"/>
    <w:rsid w:val="006968C1"/>
    <w:rsid w:val="00696DBC"/>
    <w:rsid w:val="0069752C"/>
    <w:rsid w:val="006977B8"/>
    <w:rsid w:val="006977F6"/>
    <w:rsid w:val="00697A13"/>
    <w:rsid w:val="006A0DD4"/>
    <w:rsid w:val="006A109C"/>
    <w:rsid w:val="006A30E5"/>
    <w:rsid w:val="006A39A7"/>
    <w:rsid w:val="006A4E91"/>
    <w:rsid w:val="006A5F4B"/>
    <w:rsid w:val="006A6114"/>
    <w:rsid w:val="006A6565"/>
    <w:rsid w:val="006A7665"/>
    <w:rsid w:val="006A7691"/>
    <w:rsid w:val="006A7E73"/>
    <w:rsid w:val="006A7EE2"/>
    <w:rsid w:val="006B0514"/>
    <w:rsid w:val="006B0F92"/>
    <w:rsid w:val="006B2785"/>
    <w:rsid w:val="006B27C7"/>
    <w:rsid w:val="006B3006"/>
    <w:rsid w:val="006B344A"/>
    <w:rsid w:val="006B3B51"/>
    <w:rsid w:val="006B3EF1"/>
    <w:rsid w:val="006B4485"/>
    <w:rsid w:val="006B58C9"/>
    <w:rsid w:val="006B60ED"/>
    <w:rsid w:val="006B6CC5"/>
    <w:rsid w:val="006B74AC"/>
    <w:rsid w:val="006B757F"/>
    <w:rsid w:val="006B78D8"/>
    <w:rsid w:val="006B79EA"/>
    <w:rsid w:val="006C0C5D"/>
    <w:rsid w:val="006C113F"/>
    <w:rsid w:val="006C123E"/>
    <w:rsid w:val="006C15A1"/>
    <w:rsid w:val="006C1752"/>
    <w:rsid w:val="006C1DDC"/>
    <w:rsid w:val="006C28CA"/>
    <w:rsid w:val="006C2BBF"/>
    <w:rsid w:val="006C2FBD"/>
    <w:rsid w:val="006C3336"/>
    <w:rsid w:val="006C3495"/>
    <w:rsid w:val="006C35B7"/>
    <w:rsid w:val="006C36E1"/>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04D"/>
    <w:rsid w:val="006D18B3"/>
    <w:rsid w:val="006D1E89"/>
    <w:rsid w:val="006D26CE"/>
    <w:rsid w:val="006D2A74"/>
    <w:rsid w:val="006D317E"/>
    <w:rsid w:val="006D3E8A"/>
    <w:rsid w:val="006D47D9"/>
    <w:rsid w:val="006D61F6"/>
    <w:rsid w:val="006E1081"/>
    <w:rsid w:val="006E1332"/>
    <w:rsid w:val="006E19CB"/>
    <w:rsid w:val="006E2364"/>
    <w:rsid w:val="006E2589"/>
    <w:rsid w:val="006E279A"/>
    <w:rsid w:val="006E313B"/>
    <w:rsid w:val="006E34B2"/>
    <w:rsid w:val="006E3A45"/>
    <w:rsid w:val="006E4078"/>
    <w:rsid w:val="006E4F68"/>
    <w:rsid w:val="006E51C4"/>
    <w:rsid w:val="006E53AD"/>
    <w:rsid w:val="006E58CB"/>
    <w:rsid w:val="006E6A93"/>
    <w:rsid w:val="006E7227"/>
    <w:rsid w:val="006E7410"/>
    <w:rsid w:val="006E761A"/>
    <w:rsid w:val="006F0646"/>
    <w:rsid w:val="006F0741"/>
    <w:rsid w:val="006F0EE2"/>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448"/>
    <w:rsid w:val="007008A9"/>
    <w:rsid w:val="00700E8A"/>
    <w:rsid w:val="0070398A"/>
    <w:rsid w:val="00705242"/>
    <w:rsid w:val="007055E0"/>
    <w:rsid w:val="007056ED"/>
    <w:rsid w:val="00705C47"/>
    <w:rsid w:val="00705F4E"/>
    <w:rsid w:val="0070658E"/>
    <w:rsid w:val="007065C5"/>
    <w:rsid w:val="007068E1"/>
    <w:rsid w:val="00706AA0"/>
    <w:rsid w:val="00706AD4"/>
    <w:rsid w:val="00707150"/>
    <w:rsid w:val="00711CF9"/>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504"/>
    <w:rsid w:val="00721601"/>
    <w:rsid w:val="00722777"/>
    <w:rsid w:val="00723435"/>
    <w:rsid w:val="00723436"/>
    <w:rsid w:val="007240E2"/>
    <w:rsid w:val="0072454C"/>
    <w:rsid w:val="0072583E"/>
    <w:rsid w:val="00725BB5"/>
    <w:rsid w:val="00726978"/>
    <w:rsid w:val="00727C02"/>
    <w:rsid w:val="0073008E"/>
    <w:rsid w:val="00730A8B"/>
    <w:rsid w:val="00730AE8"/>
    <w:rsid w:val="00730F1B"/>
    <w:rsid w:val="007310AC"/>
    <w:rsid w:val="0073186D"/>
    <w:rsid w:val="0073261D"/>
    <w:rsid w:val="0073333D"/>
    <w:rsid w:val="007335AE"/>
    <w:rsid w:val="00733EF2"/>
    <w:rsid w:val="007343D9"/>
    <w:rsid w:val="00734F71"/>
    <w:rsid w:val="00735448"/>
    <w:rsid w:val="00736F07"/>
    <w:rsid w:val="007377BD"/>
    <w:rsid w:val="00737DEC"/>
    <w:rsid w:val="0074004D"/>
    <w:rsid w:val="00741493"/>
    <w:rsid w:val="007434E5"/>
    <w:rsid w:val="00743DB7"/>
    <w:rsid w:val="0074499B"/>
    <w:rsid w:val="0074501E"/>
    <w:rsid w:val="007450BF"/>
    <w:rsid w:val="0074599A"/>
    <w:rsid w:val="00746F45"/>
    <w:rsid w:val="007471A1"/>
    <w:rsid w:val="0074744D"/>
    <w:rsid w:val="007477BD"/>
    <w:rsid w:val="007477DA"/>
    <w:rsid w:val="00747EE9"/>
    <w:rsid w:val="007511CD"/>
    <w:rsid w:val="007520B6"/>
    <w:rsid w:val="007520F6"/>
    <w:rsid w:val="00752180"/>
    <w:rsid w:val="00752323"/>
    <w:rsid w:val="0075291E"/>
    <w:rsid w:val="007532B7"/>
    <w:rsid w:val="00753CAB"/>
    <w:rsid w:val="00754A70"/>
    <w:rsid w:val="00754BC9"/>
    <w:rsid w:val="00755202"/>
    <w:rsid w:val="00755D3A"/>
    <w:rsid w:val="00757140"/>
    <w:rsid w:val="00757241"/>
    <w:rsid w:val="0075751D"/>
    <w:rsid w:val="0075763E"/>
    <w:rsid w:val="007578D3"/>
    <w:rsid w:val="0076029B"/>
    <w:rsid w:val="007602CF"/>
    <w:rsid w:val="00760391"/>
    <w:rsid w:val="007609C6"/>
    <w:rsid w:val="007615F3"/>
    <w:rsid w:val="0076175D"/>
    <w:rsid w:val="00761CB5"/>
    <w:rsid w:val="007622B7"/>
    <w:rsid w:val="007629D5"/>
    <w:rsid w:val="007635F8"/>
    <w:rsid w:val="00763B85"/>
    <w:rsid w:val="00763DB7"/>
    <w:rsid w:val="007644A2"/>
    <w:rsid w:val="00764932"/>
    <w:rsid w:val="00764974"/>
    <w:rsid w:val="00764C76"/>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0D"/>
    <w:rsid w:val="00771972"/>
    <w:rsid w:val="007721AD"/>
    <w:rsid w:val="00772279"/>
    <w:rsid w:val="00772DAB"/>
    <w:rsid w:val="00772FF9"/>
    <w:rsid w:val="0077348B"/>
    <w:rsid w:val="007734F5"/>
    <w:rsid w:val="007743DB"/>
    <w:rsid w:val="00774D2C"/>
    <w:rsid w:val="007759C8"/>
    <w:rsid w:val="00775E00"/>
    <w:rsid w:val="0077605B"/>
    <w:rsid w:val="00776169"/>
    <w:rsid w:val="00776527"/>
    <w:rsid w:val="00777040"/>
    <w:rsid w:val="00777CE6"/>
    <w:rsid w:val="00777D57"/>
    <w:rsid w:val="00780EF1"/>
    <w:rsid w:val="00781A91"/>
    <w:rsid w:val="00781AD3"/>
    <w:rsid w:val="00781F36"/>
    <w:rsid w:val="00783576"/>
    <w:rsid w:val="00784492"/>
    <w:rsid w:val="00785778"/>
    <w:rsid w:val="00785890"/>
    <w:rsid w:val="00786C87"/>
    <w:rsid w:val="0078755E"/>
    <w:rsid w:val="007877C9"/>
    <w:rsid w:val="0079058A"/>
    <w:rsid w:val="00790764"/>
    <w:rsid w:val="0079085F"/>
    <w:rsid w:val="00790E96"/>
    <w:rsid w:val="00791005"/>
    <w:rsid w:val="00792007"/>
    <w:rsid w:val="007924BF"/>
    <w:rsid w:val="007932D3"/>
    <w:rsid w:val="00793597"/>
    <w:rsid w:val="00793D78"/>
    <w:rsid w:val="0079420B"/>
    <w:rsid w:val="0079453C"/>
    <w:rsid w:val="00794677"/>
    <w:rsid w:val="00794925"/>
    <w:rsid w:val="00795759"/>
    <w:rsid w:val="007971DC"/>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A7A92"/>
    <w:rsid w:val="007A7B13"/>
    <w:rsid w:val="007B04B0"/>
    <w:rsid w:val="007B0834"/>
    <w:rsid w:val="007B0E83"/>
    <w:rsid w:val="007B11FA"/>
    <w:rsid w:val="007B12AF"/>
    <w:rsid w:val="007B1396"/>
    <w:rsid w:val="007B16D6"/>
    <w:rsid w:val="007B1D1B"/>
    <w:rsid w:val="007B2011"/>
    <w:rsid w:val="007B2CFE"/>
    <w:rsid w:val="007B309B"/>
    <w:rsid w:val="007B3D5E"/>
    <w:rsid w:val="007B3DCB"/>
    <w:rsid w:val="007B54AE"/>
    <w:rsid w:val="007B561F"/>
    <w:rsid w:val="007B5725"/>
    <w:rsid w:val="007B5C1F"/>
    <w:rsid w:val="007B60D7"/>
    <w:rsid w:val="007B6689"/>
    <w:rsid w:val="007B66AD"/>
    <w:rsid w:val="007B6747"/>
    <w:rsid w:val="007B6F72"/>
    <w:rsid w:val="007B74AA"/>
    <w:rsid w:val="007B75E8"/>
    <w:rsid w:val="007C0069"/>
    <w:rsid w:val="007C06AF"/>
    <w:rsid w:val="007C09FB"/>
    <w:rsid w:val="007C10BD"/>
    <w:rsid w:val="007C162D"/>
    <w:rsid w:val="007C1EC4"/>
    <w:rsid w:val="007C1F0C"/>
    <w:rsid w:val="007C1FFB"/>
    <w:rsid w:val="007C289D"/>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171"/>
    <w:rsid w:val="007D42E5"/>
    <w:rsid w:val="007D4458"/>
    <w:rsid w:val="007D6A9F"/>
    <w:rsid w:val="007D6AF9"/>
    <w:rsid w:val="007D7763"/>
    <w:rsid w:val="007E0535"/>
    <w:rsid w:val="007E07F2"/>
    <w:rsid w:val="007E0D4A"/>
    <w:rsid w:val="007E0D64"/>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2DE"/>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4D33"/>
    <w:rsid w:val="0080559E"/>
    <w:rsid w:val="00805AF3"/>
    <w:rsid w:val="00806C9C"/>
    <w:rsid w:val="0080734C"/>
    <w:rsid w:val="00807C82"/>
    <w:rsid w:val="00810BD0"/>
    <w:rsid w:val="008117CC"/>
    <w:rsid w:val="00811FF8"/>
    <w:rsid w:val="0081294E"/>
    <w:rsid w:val="008129AC"/>
    <w:rsid w:val="00813D58"/>
    <w:rsid w:val="00813DCA"/>
    <w:rsid w:val="0081402B"/>
    <w:rsid w:val="008161A6"/>
    <w:rsid w:val="008165B8"/>
    <w:rsid w:val="00816905"/>
    <w:rsid w:val="00816D98"/>
    <w:rsid w:val="00816E42"/>
    <w:rsid w:val="00817040"/>
    <w:rsid w:val="00817A17"/>
    <w:rsid w:val="00817EC1"/>
    <w:rsid w:val="008207D1"/>
    <w:rsid w:val="00820D2A"/>
    <w:rsid w:val="0082112D"/>
    <w:rsid w:val="00821624"/>
    <w:rsid w:val="00821FF6"/>
    <w:rsid w:val="00822490"/>
    <w:rsid w:val="00822574"/>
    <w:rsid w:val="00822980"/>
    <w:rsid w:val="00822F08"/>
    <w:rsid w:val="0082371F"/>
    <w:rsid w:val="00824BA6"/>
    <w:rsid w:val="00825120"/>
    <w:rsid w:val="00825C4D"/>
    <w:rsid w:val="00826A08"/>
    <w:rsid w:val="00826AC0"/>
    <w:rsid w:val="00827094"/>
    <w:rsid w:val="00827186"/>
    <w:rsid w:val="00827C8E"/>
    <w:rsid w:val="00830569"/>
    <w:rsid w:val="00830AEA"/>
    <w:rsid w:val="00830E86"/>
    <w:rsid w:val="0083143E"/>
    <w:rsid w:val="008315B8"/>
    <w:rsid w:val="008315D5"/>
    <w:rsid w:val="00831CDE"/>
    <w:rsid w:val="00831F2B"/>
    <w:rsid w:val="008320CF"/>
    <w:rsid w:val="008324A3"/>
    <w:rsid w:val="00832B76"/>
    <w:rsid w:val="00832F77"/>
    <w:rsid w:val="008331B4"/>
    <w:rsid w:val="00834304"/>
    <w:rsid w:val="00834336"/>
    <w:rsid w:val="00834FAA"/>
    <w:rsid w:val="008354FB"/>
    <w:rsid w:val="00835FF1"/>
    <w:rsid w:val="00836086"/>
    <w:rsid w:val="0083630F"/>
    <w:rsid w:val="008369DA"/>
    <w:rsid w:val="00836A06"/>
    <w:rsid w:val="008374BC"/>
    <w:rsid w:val="0083785E"/>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669"/>
    <w:rsid w:val="00850E83"/>
    <w:rsid w:val="0085114D"/>
    <w:rsid w:val="00851163"/>
    <w:rsid w:val="008520A8"/>
    <w:rsid w:val="00852210"/>
    <w:rsid w:val="00852217"/>
    <w:rsid w:val="00853282"/>
    <w:rsid w:val="0085334C"/>
    <w:rsid w:val="00854291"/>
    <w:rsid w:val="00855408"/>
    <w:rsid w:val="00855D03"/>
    <w:rsid w:val="00856D65"/>
    <w:rsid w:val="00856FA4"/>
    <w:rsid w:val="00860943"/>
    <w:rsid w:val="00860D79"/>
    <w:rsid w:val="00861289"/>
    <w:rsid w:val="00861B41"/>
    <w:rsid w:val="00861B9F"/>
    <w:rsid w:val="00861BE3"/>
    <w:rsid w:val="008625D3"/>
    <w:rsid w:val="008627B1"/>
    <w:rsid w:val="00862C0A"/>
    <w:rsid w:val="00863434"/>
    <w:rsid w:val="0086344F"/>
    <w:rsid w:val="00863949"/>
    <w:rsid w:val="008641AC"/>
    <w:rsid w:val="00865E4C"/>
    <w:rsid w:val="00866074"/>
    <w:rsid w:val="0086720C"/>
    <w:rsid w:val="00867546"/>
    <w:rsid w:val="0086781C"/>
    <w:rsid w:val="00867934"/>
    <w:rsid w:val="0086796D"/>
    <w:rsid w:val="00867DAB"/>
    <w:rsid w:val="0087000B"/>
    <w:rsid w:val="008701E4"/>
    <w:rsid w:val="008704E9"/>
    <w:rsid w:val="008705FB"/>
    <w:rsid w:val="00870ECD"/>
    <w:rsid w:val="008710A4"/>
    <w:rsid w:val="0087186F"/>
    <w:rsid w:val="008726F0"/>
    <w:rsid w:val="0087347C"/>
    <w:rsid w:val="008734E7"/>
    <w:rsid w:val="0087368D"/>
    <w:rsid w:val="008740CC"/>
    <w:rsid w:val="0087442A"/>
    <w:rsid w:val="00874578"/>
    <w:rsid w:val="00874FE8"/>
    <w:rsid w:val="00875A32"/>
    <w:rsid w:val="00875CC1"/>
    <w:rsid w:val="00876086"/>
    <w:rsid w:val="00876297"/>
    <w:rsid w:val="00876651"/>
    <w:rsid w:val="00876E83"/>
    <w:rsid w:val="008772BC"/>
    <w:rsid w:val="00880A0E"/>
    <w:rsid w:val="00880C61"/>
    <w:rsid w:val="00880D68"/>
    <w:rsid w:val="008817FE"/>
    <w:rsid w:val="00881CD7"/>
    <w:rsid w:val="00882911"/>
    <w:rsid w:val="00882F6E"/>
    <w:rsid w:val="00883202"/>
    <w:rsid w:val="00884E02"/>
    <w:rsid w:val="0088502B"/>
    <w:rsid w:val="008851D8"/>
    <w:rsid w:val="008854EB"/>
    <w:rsid w:val="00885D40"/>
    <w:rsid w:val="008869C4"/>
    <w:rsid w:val="008873D4"/>
    <w:rsid w:val="00890CB1"/>
    <w:rsid w:val="00891D31"/>
    <w:rsid w:val="00891EDF"/>
    <w:rsid w:val="00892872"/>
    <w:rsid w:val="0089296D"/>
    <w:rsid w:val="00893E85"/>
    <w:rsid w:val="00893EBE"/>
    <w:rsid w:val="00893F40"/>
    <w:rsid w:val="00894029"/>
    <w:rsid w:val="00894031"/>
    <w:rsid w:val="00894C5D"/>
    <w:rsid w:val="00895508"/>
    <w:rsid w:val="008964BB"/>
    <w:rsid w:val="008967E9"/>
    <w:rsid w:val="00896A5C"/>
    <w:rsid w:val="00896AA1"/>
    <w:rsid w:val="00896E33"/>
    <w:rsid w:val="008972D2"/>
    <w:rsid w:val="0089754C"/>
    <w:rsid w:val="00897CFA"/>
    <w:rsid w:val="008A0659"/>
    <w:rsid w:val="008A0ADD"/>
    <w:rsid w:val="008A0D27"/>
    <w:rsid w:val="008A1A58"/>
    <w:rsid w:val="008A1C59"/>
    <w:rsid w:val="008A29A7"/>
    <w:rsid w:val="008A37E2"/>
    <w:rsid w:val="008A388E"/>
    <w:rsid w:val="008A394E"/>
    <w:rsid w:val="008A3CBA"/>
    <w:rsid w:val="008A4B59"/>
    <w:rsid w:val="008A58DB"/>
    <w:rsid w:val="008A63E1"/>
    <w:rsid w:val="008A66B7"/>
    <w:rsid w:val="008A68BB"/>
    <w:rsid w:val="008A6AA5"/>
    <w:rsid w:val="008A7127"/>
    <w:rsid w:val="008B0CBA"/>
    <w:rsid w:val="008B0E9E"/>
    <w:rsid w:val="008B2639"/>
    <w:rsid w:val="008B3537"/>
    <w:rsid w:val="008B3690"/>
    <w:rsid w:val="008B3A80"/>
    <w:rsid w:val="008B3AEC"/>
    <w:rsid w:val="008B3C07"/>
    <w:rsid w:val="008B3F7B"/>
    <w:rsid w:val="008B43CA"/>
    <w:rsid w:val="008B5068"/>
    <w:rsid w:val="008B50AC"/>
    <w:rsid w:val="008B5324"/>
    <w:rsid w:val="008B5C99"/>
    <w:rsid w:val="008B6106"/>
    <w:rsid w:val="008B7C02"/>
    <w:rsid w:val="008B7D2B"/>
    <w:rsid w:val="008B7EF9"/>
    <w:rsid w:val="008C0049"/>
    <w:rsid w:val="008C0314"/>
    <w:rsid w:val="008C0900"/>
    <w:rsid w:val="008C0E88"/>
    <w:rsid w:val="008C0EBE"/>
    <w:rsid w:val="008C1717"/>
    <w:rsid w:val="008C17F0"/>
    <w:rsid w:val="008C1CB5"/>
    <w:rsid w:val="008C3B05"/>
    <w:rsid w:val="008C3B6A"/>
    <w:rsid w:val="008C4A3C"/>
    <w:rsid w:val="008C4B50"/>
    <w:rsid w:val="008C5A37"/>
    <w:rsid w:val="008C5AB8"/>
    <w:rsid w:val="008C7132"/>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709"/>
    <w:rsid w:val="008D3ACD"/>
    <w:rsid w:val="008D6C3A"/>
    <w:rsid w:val="008D70E2"/>
    <w:rsid w:val="008D7BFE"/>
    <w:rsid w:val="008D7F47"/>
    <w:rsid w:val="008E0001"/>
    <w:rsid w:val="008E039E"/>
    <w:rsid w:val="008E0C88"/>
    <w:rsid w:val="008E292B"/>
    <w:rsid w:val="008E2C57"/>
    <w:rsid w:val="008E31FF"/>
    <w:rsid w:val="008E3287"/>
    <w:rsid w:val="008E36AE"/>
    <w:rsid w:val="008E38E4"/>
    <w:rsid w:val="008E3DFA"/>
    <w:rsid w:val="008E51EB"/>
    <w:rsid w:val="008E5746"/>
    <w:rsid w:val="008E5925"/>
    <w:rsid w:val="008E5997"/>
    <w:rsid w:val="008E64D7"/>
    <w:rsid w:val="008E6DCB"/>
    <w:rsid w:val="008E6F06"/>
    <w:rsid w:val="008E7000"/>
    <w:rsid w:val="008E723E"/>
    <w:rsid w:val="008E7B8E"/>
    <w:rsid w:val="008E7FC9"/>
    <w:rsid w:val="008F00AE"/>
    <w:rsid w:val="008F0107"/>
    <w:rsid w:val="008F029B"/>
    <w:rsid w:val="008F04BA"/>
    <w:rsid w:val="008F0589"/>
    <w:rsid w:val="008F0FBC"/>
    <w:rsid w:val="008F2A5D"/>
    <w:rsid w:val="008F2BC7"/>
    <w:rsid w:val="008F2E83"/>
    <w:rsid w:val="008F3636"/>
    <w:rsid w:val="008F3AD4"/>
    <w:rsid w:val="008F3FC9"/>
    <w:rsid w:val="008F509F"/>
    <w:rsid w:val="008F5383"/>
    <w:rsid w:val="008F585B"/>
    <w:rsid w:val="008F7FB0"/>
    <w:rsid w:val="009003A8"/>
    <w:rsid w:val="009005E4"/>
    <w:rsid w:val="0090081B"/>
    <w:rsid w:val="00900977"/>
    <w:rsid w:val="009011BB"/>
    <w:rsid w:val="00901C7F"/>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2C6"/>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66E"/>
    <w:rsid w:val="00920EC4"/>
    <w:rsid w:val="0092180B"/>
    <w:rsid w:val="00921F14"/>
    <w:rsid w:val="00922443"/>
    <w:rsid w:val="0092276B"/>
    <w:rsid w:val="0092292F"/>
    <w:rsid w:val="00922D28"/>
    <w:rsid w:val="00923970"/>
    <w:rsid w:val="00923CB0"/>
    <w:rsid w:val="00923D8C"/>
    <w:rsid w:val="00924871"/>
    <w:rsid w:val="00924AC8"/>
    <w:rsid w:val="00924D6B"/>
    <w:rsid w:val="00925429"/>
    <w:rsid w:val="00925615"/>
    <w:rsid w:val="0092597A"/>
    <w:rsid w:val="00926520"/>
    <w:rsid w:val="009266A3"/>
    <w:rsid w:val="00926CF0"/>
    <w:rsid w:val="009273A9"/>
    <w:rsid w:val="009301B5"/>
    <w:rsid w:val="00930251"/>
    <w:rsid w:val="0093033E"/>
    <w:rsid w:val="009305FC"/>
    <w:rsid w:val="00930A99"/>
    <w:rsid w:val="00930FB1"/>
    <w:rsid w:val="0093139F"/>
    <w:rsid w:val="009318C3"/>
    <w:rsid w:val="00932239"/>
    <w:rsid w:val="00932443"/>
    <w:rsid w:val="00932B32"/>
    <w:rsid w:val="0093305E"/>
    <w:rsid w:val="00933BFC"/>
    <w:rsid w:val="00933F4A"/>
    <w:rsid w:val="009341F1"/>
    <w:rsid w:val="00934FF2"/>
    <w:rsid w:val="009358D7"/>
    <w:rsid w:val="00935BD4"/>
    <w:rsid w:val="00935DFE"/>
    <w:rsid w:val="00935F70"/>
    <w:rsid w:val="0093648B"/>
    <w:rsid w:val="00937017"/>
    <w:rsid w:val="009373B2"/>
    <w:rsid w:val="00937AE2"/>
    <w:rsid w:val="009400F5"/>
    <w:rsid w:val="0094061F"/>
    <w:rsid w:val="00940F0F"/>
    <w:rsid w:val="00941912"/>
    <w:rsid w:val="00942393"/>
    <w:rsid w:val="0094416B"/>
    <w:rsid w:val="0094427A"/>
    <w:rsid w:val="009449C6"/>
    <w:rsid w:val="00944A17"/>
    <w:rsid w:val="00944C7C"/>
    <w:rsid w:val="00945245"/>
    <w:rsid w:val="00945523"/>
    <w:rsid w:val="00946C43"/>
    <w:rsid w:val="00950921"/>
    <w:rsid w:val="009513F7"/>
    <w:rsid w:val="00951D68"/>
    <w:rsid w:val="00951E5B"/>
    <w:rsid w:val="00952050"/>
    <w:rsid w:val="00952315"/>
    <w:rsid w:val="009523D9"/>
    <w:rsid w:val="00952B7B"/>
    <w:rsid w:val="0095357B"/>
    <w:rsid w:val="009538B3"/>
    <w:rsid w:val="00953B93"/>
    <w:rsid w:val="00954F39"/>
    <w:rsid w:val="009555FD"/>
    <w:rsid w:val="00955BAD"/>
    <w:rsid w:val="0095664B"/>
    <w:rsid w:val="009568DC"/>
    <w:rsid w:val="00956F60"/>
    <w:rsid w:val="00957140"/>
    <w:rsid w:val="00957445"/>
    <w:rsid w:val="0095759C"/>
    <w:rsid w:val="00960F4F"/>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928"/>
    <w:rsid w:val="00965A10"/>
    <w:rsid w:val="00965AD0"/>
    <w:rsid w:val="009670A3"/>
    <w:rsid w:val="009674BE"/>
    <w:rsid w:val="00967675"/>
    <w:rsid w:val="00970FB5"/>
    <w:rsid w:val="009715F2"/>
    <w:rsid w:val="00971710"/>
    <w:rsid w:val="00971B87"/>
    <w:rsid w:val="00971C77"/>
    <w:rsid w:val="0097203A"/>
    <w:rsid w:val="00972FCD"/>
    <w:rsid w:val="00973324"/>
    <w:rsid w:val="009736DF"/>
    <w:rsid w:val="009741AE"/>
    <w:rsid w:val="009741FC"/>
    <w:rsid w:val="00974475"/>
    <w:rsid w:val="00974782"/>
    <w:rsid w:val="00974923"/>
    <w:rsid w:val="009757EA"/>
    <w:rsid w:val="00975909"/>
    <w:rsid w:val="0097737B"/>
    <w:rsid w:val="009774CA"/>
    <w:rsid w:val="00977C3D"/>
    <w:rsid w:val="00980C28"/>
    <w:rsid w:val="00980D3D"/>
    <w:rsid w:val="0098103E"/>
    <w:rsid w:val="0098157D"/>
    <w:rsid w:val="00983101"/>
    <w:rsid w:val="00983E41"/>
    <w:rsid w:val="009845E1"/>
    <w:rsid w:val="00984D1B"/>
    <w:rsid w:val="00986246"/>
    <w:rsid w:val="00987A30"/>
    <w:rsid w:val="00987F57"/>
    <w:rsid w:val="00990312"/>
    <w:rsid w:val="0099182E"/>
    <w:rsid w:val="00991957"/>
    <w:rsid w:val="00991D45"/>
    <w:rsid w:val="00992BB3"/>
    <w:rsid w:val="00992CF3"/>
    <w:rsid w:val="00993194"/>
    <w:rsid w:val="0099321E"/>
    <w:rsid w:val="00994171"/>
    <w:rsid w:val="00994868"/>
    <w:rsid w:val="00994976"/>
    <w:rsid w:val="00994D28"/>
    <w:rsid w:val="00994F2C"/>
    <w:rsid w:val="00995720"/>
    <w:rsid w:val="009957CC"/>
    <w:rsid w:val="009968D6"/>
    <w:rsid w:val="00996BD9"/>
    <w:rsid w:val="00997213"/>
    <w:rsid w:val="009974E8"/>
    <w:rsid w:val="00997953"/>
    <w:rsid w:val="00997D55"/>
    <w:rsid w:val="009A0349"/>
    <w:rsid w:val="009A0BFF"/>
    <w:rsid w:val="009A10A0"/>
    <w:rsid w:val="009A1CAB"/>
    <w:rsid w:val="009A2359"/>
    <w:rsid w:val="009A24F1"/>
    <w:rsid w:val="009A27E0"/>
    <w:rsid w:val="009A2DBB"/>
    <w:rsid w:val="009A4D57"/>
    <w:rsid w:val="009A5049"/>
    <w:rsid w:val="009A51A5"/>
    <w:rsid w:val="009A5309"/>
    <w:rsid w:val="009A5759"/>
    <w:rsid w:val="009A60D1"/>
    <w:rsid w:val="009A6225"/>
    <w:rsid w:val="009A64F5"/>
    <w:rsid w:val="009B00D2"/>
    <w:rsid w:val="009B05B3"/>
    <w:rsid w:val="009B0CAF"/>
    <w:rsid w:val="009B1324"/>
    <w:rsid w:val="009B2558"/>
    <w:rsid w:val="009B284F"/>
    <w:rsid w:val="009B35A0"/>
    <w:rsid w:val="009B3764"/>
    <w:rsid w:val="009B3840"/>
    <w:rsid w:val="009B52AC"/>
    <w:rsid w:val="009B553D"/>
    <w:rsid w:val="009B59EA"/>
    <w:rsid w:val="009B66CE"/>
    <w:rsid w:val="009B6A37"/>
    <w:rsid w:val="009B6FD3"/>
    <w:rsid w:val="009B72BE"/>
    <w:rsid w:val="009B78A4"/>
    <w:rsid w:val="009B7DB2"/>
    <w:rsid w:val="009C03DB"/>
    <w:rsid w:val="009C15AF"/>
    <w:rsid w:val="009C1750"/>
    <w:rsid w:val="009C1E76"/>
    <w:rsid w:val="009C243F"/>
    <w:rsid w:val="009C2E29"/>
    <w:rsid w:val="009C3032"/>
    <w:rsid w:val="009C3170"/>
    <w:rsid w:val="009C37BD"/>
    <w:rsid w:val="009C3E8F"/>
    <w:rsid w:val="009C554B"/>
    <w:rsid w:val="009C5E83"/>
    <w:rsid w:val="009C6AE5"/>
    <w:rsid w:val="009C7126"/>
    <w:rsid w:val="009C719E"/>
    <w:rsid w:val="009C7238"/>
    <w:rsid w:val="009C7799"/>
    <w:rsid w:val="009D07A9"/>
    <w:rsid w:val="009D0AE2"/>
    <w:rsid w:val="009D0D9F"/>
    <w:rsid w:val="009D0EBB"/>
    <w:rsid w:val="009D2890"/>
    <w:rsid w:val="009D2C46"/>
    <w:rsid w:val="009D3ACD"/>
    <w:rsid w:val="009D3F73"/>
    <w:rsid w:val="009D4254"/>
    <w:rsid w:val="009D4847"/>
    <w:rsid w:val="009D4F21"/>
    <w:rsid w:val="009D587D"/>
    <w:rsid w:val="009D6EA6"/>
    <w:rsid w:val="009D7731"/>
    <w:rsid w:val="009D7C31"/>
    <w:rsid w:val="009E1120"/>
    <w:rsid w:val="009E1393"/>
    <w:rsid w:val="009E1922"/>
    <w:rsid w:val="009E1A3D"/>
    <w:rsid w:val="009E3EA1"/>
    <w:rsid w:val="009E4715"/>
    <w:rsid w:val="009E4A58"/>
    <w:rsid w:val="009E5273"/>
    <w:rsid w:val="009E57A8"/>
    <w:rsid w:val="009E5B85"/>
    <w:rsid w:val="009E5DDB"/>
    <w:rsid w:val="009E74B3"/>
    <w:rsid w:val="009F1CA6"/>
    <w:rsid w:val="009F2921"/>
    <w:rsid w:val="009F42CF"/>
    <w:rsid w:val="009F4982"/>
    <w:rsid w:val="009F4CA7"/>
    <w:rsid w:val="009F4F6A"/>
    <w:rsid w:val="009F55BA"/>
    <w:rsid w:val="009F7541"/>
    <w:rsid w:val="009F7D36"/>
    <w:rsid w:val="009F7D61"/>
    <w:rsid w:val="009F7DF4"/>
    <w:rsid w:val="00A00994"/>
    <w:rsid w:val="00A009B0"/>
    <w:rsid w:val="00A00E71"/>
    <w:rsid w:val="00A0187B"/>
    <w:rsid w:val="00A02E8B"/>
    <w:rsid w:val="00A0306F"/>
    <w:rsid w:val="00A03511"/>
    <w:rsid w:val="00A03B10"/>
    <w:rsid w:val="00A03E2E"/>
    <w:rsid w:val="00A04616"/>
    <w:rsid w:val="00A04717"/>
    <w:rsid w:val="00A05D8F"/>
    <w:rsid w:val="00A05EB1"/>
    <w:rsid w:val="00A05EE4"/>
    <w:rsid w:val="00A06F99"/>
    <w:rsid w:val="00A1004C"/>
    <w:rsid w:val="00A1053B"/>
    <w:rsid w:val="00A106E6"/>
    <w:rsid w:val="00A10D66"/>
    <w:rsid w:val="00A113A4"/>
    <w:rsid w:val="00A11E70"/>
    <w:rsid w:val="00A12A8E"/>
    <w:rsid w:val="00A12CAD"/>
    <w:rsid w:val="00A12D93"/>
    <w:rsid w:val="00A133F9"/>
    <w:rsid w:val="00A14114"/>
    <w:rsid w:val="00A1576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1ED3"/>
    <w:rsid w:val="00A22073"/>
    <w:rsid w:val="00A2229E"/>
    <w:rsid w:val="00A22361"/>
    <w:rsid w:val="00A223E0"/>
    <w:rsid w:val="00A22418"/>
    <w:rsid w:val="00A22959"/>
    <w:rsid w:val="00A2312C"/>
    <w:rsid w:val="00A23158"/>
    <w:rsid w:val="00A232D7"/>
    <w:rsid w:val="00A237C6"/>
    <w:rsid w:val="00A23847"/>
    <w:rsid w:val="00A23E43"/>
    <w:rsid w:val="00A24726"/>
    <w:rsid w:val="00A24DEB"/>
    <w:rsid w:val="00A24ED9"/>
    <w:rsid w:val="00A251DB"/>
    <w:rsid w:val="00A25216"/>
    <w:rsid w:val="00A252AC"/>
    <w:rsid w:val="00A2597D"/>
    <w:rsid w:val="00A2628E"/>
    <w:rsid w:val="00A264E0"/>
    <w:rsid w:val="00A264F5"/>
    <w:rsid w:val="00A266BF"/>
    <w:rsid w:val="00A26777"/>
    <w:rsid w:val="00A2731E"/>
    <w:rsid w:val="00A309AC"/>
    <w:rsid w:val="00A30F65"/>
    <w:rsid w:val="00A315D0"/>
    <w:rsid w:val="00A3279E"/>
    <w:rsid w:val="00A33DB1"/>
    <w:rsid w:val="00A33EEB"/>
    <w:rsid w:val="00A35900"/>
    <w:rsid w:val="00A35982"/>
    <w:rsid w:val="00A35F33"/>
    <w:rsid w:val="00A36E9D"/>
    <w:rsid w:val="00A401A3"/>
    <w:rsid w:val="00A4064D"/>
    <w:rsid w:val="00A40EAC"/>
    <w:rsid w:val="00A418BC"/>
    <w:rsid w:val="00A419FF"/>
    <w:rsid w:val="00A41FCF"/>
    <w:rsid w:val="00A42593"/>
    <w:rsid w:val="00A42936"/>
    <w:rsid w:val="00A433ED"/>
    <w:rsid w:val="00A43CF8"/>
    <w:rsid w:val="00A43DF2"/>
    <w:rsid w:val="00A445A8"/>
    <w:rsid w:val="00A44ADE"/>
    <w:rsid w:val="00A44B0D"/>
    <w:rsid w:val="00A44D21"/>
    <w:rsid w:val="00A45087"/>
    <w:rsid w:val="00A45489"/>
    <w:rsid w:val="00A45858"/>
    <w:rsid w:val="00A4598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571D8"/>
    <w:rsid w:val="00A600E7"/>
    <w:rsid w:val="00A601E7"/>
    <w:rsid w:val="00A60AC1"/>
    <w:rsid w:val="00A626FF"/>
    <w:rsid w:val="00A62CB0"/>
    <w:rsid w:val="00A62CE1"/>
    <w:rsid w:val="00A65469"/>
    <w:rsid w:val="00A65528"/>
    <w:rsid w:val="00A655D3"/>
    <w:rsid w:val="00A662D9"/>
    <w:rsid w:val="00A6630C"/>
    <w:rsid w:val="00A6741E"/>
    <w:rsid w:val="00A67E29"/>
    <w:rsid w:val="00A7016A"/>
    <w:rsid w:val="00A7018D"/>
    <w:rsid w:val="00A7191D"/>
    <w:rsid w:val="00A722F9"/>
    <w:rsid w:val="00A72D42"/>
    <w:rsid w:val="00A73DB6"/>
    <w:rsid w:val="00A746C9"/>
    <w:rsid w:val="00A74C2A"/>
    <w:rsid w:val="00A75E40"/>
    <w:rsid w:val="00A76818"/>
    <w:rsid w:val="00A777FE"/>
    <w:rsid w:val="00A77D1D"/>
    <w:rsid w:val="00A77E6B"/>
    <w:rsid w:val="00A81652"/>
    <w:rsid w:val="00A82BF0"/>
    <w:rsid w:val="00A82C91"/>
    <w:rsid w:val="00A83150"/>
    <w:rsid w:val="00A83398"/>
    <w:rsid w:val="00A8394B"/>
    <w:rsid w:val="00A83D6E"/>
    <w:rsid w:val="00A83FD5"/>
    <w:rsid w:val="00A8521A"/>
    <w:rsid w:val="00A85323"/>
    <w:rsid w:val="00A853BF"/>
    <w:rsid w:val="00A857C0"/>
    <w:rsid w:val="00A85ACB"/>
    <w:rsid w:val="00A85DE3"/>
    <w:rsid w:val="00A85F12"/>
    <w:rsid w:val="00A86FEF"/>
    <w:rsid w:val="00A9036F"/>
    <w:rsid w:val="00A9092B"/>
    <w:rsid w:val="00A90F2C"/>
    <w:rsid w:val="00A90FED"/>
    <w:rsid w:val="00A91482"/>
    <w:rsid w:val="00A9189D"/>
    <w:rsid w:val="00A91E71"/>
    <w:rsid w:val="00A925B1"/>
    <w:rsid w:val="00A92A3E"/>
    <w:rsid w:val="00A934F9"/>
    <w:rsid w:val="00A938E0"/>
    <w:rsid w:val="00A940E3"/>
    <w:rsid w:val="00A942B7"/>
    <w:rsid w:val="00A94983"/>
    <w:rsid w:val="00A94DF9"/>
    <w:rsid w:val="00A9532C"/>
    <w:rsid w:val="00A95A5C"/>
    <w:rsid w:val="00A95F1A"/>
    <w:rsid w:val="00A96116"/>
    <w:rsid w:val="00A9614E"/>
    <w:rsid w:val="00A96422"/>
    <w:rsid w:val="00A96C0F"/>
    <w:rsid w:val="00A97075"/>
    <w:rsid w:val="00A970D7"/>
    <w:rsid w:val="00AA0A80"/>
    <w:rsid w:val="00AA0E80"/>
    <w:rsid w:val="00AA16F4"/>
    <w:rsid w:val="00AA17CD"/>
    <w:rsid w:val="00AA1D85"/>
    <w:rsid w:val="00AA212B"/>
    <w:rsid w:val="00AA212F"/>
    <w:rsid w:val="00AA2130"/>
    <w:rsid w:val="00AA2648"/>
    <w:rsid w:val="00AA26A9"/>
    <w:rsid w:val="00AA28FC"/>
    <w:rsid w:val="00AA2996"/>
    <w:rsid w:val="00AA2AF4"/>
    <w:rsid w:val="00AA3B9F"/>
    <w:rsid w:val="00AA4282"/>
    <w:rsid w:val="00AA43F2"/>
    <w:rsid w:val="00AA4790"/>
    <w:rsid w:val="00AA52BF"/>
    <w:rsid w:val="00AA559A"/>
    <w:rsid w:val="00AA67D6"/>
    <w:rsid w:val="00AA6C31"/>
    <w:rsid w:val="00AA7752"/>
    <w:rsid w:val="00AA7CE8"/>
    <w:rsid w:val="00AB1457"/>
    <w:rsid w:val="00AB2AF1"/>
    <w:rsid w:val="00AB32CB"/>
    <w:rsid w:val="00AB348F"/>
    <w:rsid w:val="00AB3AD7"/>
    <w:rsid w:val="00AB3BA7"/>
    <w:rsid w:val="00AB3EC7"/>
    <w:rsid w:val="00AB5A64"/>
    <w:rsid w:val="00AB5CA1"/>
    <w:rsid w:val="00AB6395"/>
    <w:rsid w:val="00AB6456"/>
    <w:rsid w:val="00AB75C5"/>
    <w:rsid w:val="00AC044E"/>
    <w:rsid w:val="00AC2118"/>
    <w:rsid w:val="00AC2395"/>
    <w:rsid w:val="00AC271D"/>
    <w:rsid w:val="00AC2960"/>
    <w:rsid w:val="00AC2AC4"/>
    <w:rsid w:val="00AC4284"/>
    <w:rsid w:val="00AC45BD"/>
    <w:rsid w:val="00AC50BB"/>
    <w:rsid w:val="00AC5256"/>
    <w:rsid w:val="00AC5AA9"/>
    <w:rsid w:val="00AC78F1"/>
    <w:rsid w:val="00AD0B22"/>
    <w:rsid w:val="00AD0EE7"/>
    <w:rsid w:val="00AD168E"/>
    <w:rsid w:val="00AD2530"/>
    <w:rsid w:val="00AD306C"/>
    <w:rsid w:val="00AD3A14"/>
    <w:rsid w:val="00AD44CD"/>
    <w:rsid w:val="00AD47A7"/>
    <w:rsid w:val="00AD5AD2"/>
    <w:rsid w:val="00AD6462"/>
    <w:rsid w:val="00AD66C5"/>
    <w:rsid w:val="00AD68C4"/>
    <w:rsid w:val="00AD71F9"/>
    <w:rsid w:val="00AE09B3"/>
    <w:rsid w:val="00AE1311"/>
    <w:rsid w:val="00AE18FB"/>
    <w:rsid w:val="00AE1A83"/>
    <w:rsid w:val="00AE2C25"/>
    <w:rsid w:val="00AE30BE"/>
    <w:rsid w:val="00AE3858"/>
    <w:rsid w:val="00AE3DAA"/>
    <w:rsid w:val="00AE3E6A"/>
    <w:rsid w:val="00AE417E"/>
    <w:rsid w:val="00AE56EE"/>
    <w:rsid w:val="00AE6414"/>
    <w:rsid w:val="00AE6A0F"/>
    <w:rsid w:val="00AE7269"/>
    <w:rsid w:val="00AE7739"/>
    <w:rsid w:val="00AE797C"/>
    <w:rsid w:val="00AE7CE7"/>
    <w:rsid w:val="00AE7FAB"/>
    <w:rsid w:val="00AF0DE4"/>
    <w:rsid w:val="00AF12A0"/>
    <w:rsid w:val="00AF1E87"/>
    <w:rsid w:val="00AF436B"/>
    <w:rsid w:val="00AF50DD"/>
    <w:rsid w:val="00AF5179"/>
    <w:rsid w:val="00AF5CC2"/>
    <w:rsid w:val="00AF660D"/>
    <w:rsid w:val="00AF6776"/>
    <w:rsid w:val="00AF6D54"/>
    <w:rsid w:val="00AF6F98"/>
    <w:rsid w:val="00AF7277"/>
    <w:rsid w:val="00B00550"/>
    <w:rsid w:val="00B00913"/>
    <w:rsid w:val="00B00D4D"/>
    <w:rsid w:val="00B01593"/>
    <w:rsid w:val="00B018DF"/>
    <w:rsid w:val="00B01D0F"/>
    <w:rsid w:val="00B01FF9"/>
    <w:rsid w:val="00B023F2"/>
    <w:rsid w:val="00B026FE"/>
    <w:rsid w:val="00B0271F"/>
    <w:rsid w:val="00B038CA"/>
    <w:rsid w:val="00B049A5"/>
    <w:rsid w:val="00B05F00"/>
    <w:rsid w:val="00B06DB4"/>
    <w:rsid w:val="00B07132"/>
    <w:rsid w:val="00B0750D"/>
    <w:rsid w:val="00B07674"/>
    <w:rsid w:val="00B07850"/>
    <w:rsid w:val="00B0799C"/>
    <w:rsid w:val="00B102CE"/>
    <w:rsid w:val="00B108C1"/>
    <w:rsid w:val="00B10A4D"/>
    <w:rsid w:val="00B10B82"/>
    <w:rsid w:val="00B10C90"/>
    <w:rsid w:val="00B11002"/>
    <w:rsid w:val="00B1114F"/>
    <w:rsid w:val="00B11A78"/>
    <w:rsid w:val="00B11B59"/>
    <w:rsid w:val="00B121B2"/>
    <w:rsid w:val="00B12B59"/>
    <w:rsid w:val="00B131B1"/>
    <w:rsid w:val="00B13671"/>
    <w:rsid w:val="00B141B6"/>
    <w:rsid w:val="00B14BC1"/>
    <w:rsid w:val="00B14E93"/>
    <w:rsid w:val="00B154DE"/>
    <w:rsid w:val="00B162C3"/>
    <w:rsid w:val="00B16DD1"/>
    <w:rsid w:val="00B16EB8"/>
    <w:rsid w:val="00B1700A"/>
    <w:rsid w:val="00B17E71"/>
    <w:rsid w:val="00B17FDE"/>
    <w:rsid w:val="00B20632"/>
    <w:rsid w:val="00B22210"/>
    <w:rsid w:val="00B22DD8"/>
    <w:rsid w:val="00B233BF"/>
    <w:rsid w:val="00B2379C"/>
    <w:rsid w:val="00B23D5D"/>
    <w:rsid w:val="00B23E6E"/>
    <w:rsid w:val="00B2450C"/>
    <w:rsid w:val="00B2464B"/>
    <w:rsid w:val="00B2501C"/>
    <w:rsid w:val="00B2687D"/>
    <w:rsid w:val="00B276F5"/>
    <w:rsid w:val="00B3108D"/>
    <w:rsid w:val="00B310AC"/>
    <w:rsid w:val="00B32DDB"/>
    <w:rsid w:val="00B32F31"/>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496"/>
    <w:rsid w:val="00B439DA"/>
    <w:rsid w:val="00B44097"/>
    <w:rsid w:val="00B4411A"/>
    <w:rsid w:val="00B44504"/>
    <w:rsid w:val="00B44566"/>
    <w:rsid w:val="00B45FE8"/>
    <w:rsid w:val="00B46604"/>
    <w:rsid w:val="00B47089"/>
    <w:rsid w:val="00B47587"/>
    <w:rsid w:val="00B5150A"/>
    <w:rsid w:val="00B51B36"/>
    <w:rsid w:val="00B52151"/>
    <w:rsid w:val="00B52188"/>
    <w:rsid w:val="00B530CD"/>
    <w:rsid w:val="00B53639"/>
    <w:rsid w:val="00B53C7D"/>
    <w:rsid w:val="00B53E56"/>
    <w:rsid w:val="00B55311"/>
    <w:rsid w:val="00B5597E"/>
    <w:rsid w:val="00B55A97"/>
    <w:rsid w:val="00B55F5E"/>
    <w:rsid w:val="00B5601B"/>
    <w:rsid w:val="00B56196"/>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67CA1"/>
    <w:rsid w:val="00B71FBF"/>
    <w:rsid w:val="00B734A0"/>
    <w:rsid w:val="00B73A14"/>
    <w:rsid w:val="00B73B91"/>
    <w:rsid w:val="00B74306"/>
    <w:rsid w:val="00B748BD"/>
    <w:rsid w:val="00B74FD7"/>
    <w:rsid w:val="00B754D6"/>
    <w:rsid w:val="00B76100"/>
    <w:rsid w:val="00B7680F"/>
    <w:rsid w:val="00B76B48"/>
    <w:rsid w:val="00B76D1E"/>
    <w:rsid w:val="00B77543"/>
    <w:rsid w:val="00B77584"/>
    <w:rsid w:val="00B77D23"/>
    <w:rsid w:val="00B77E34"/>
    <w:rsid w:val="00B80D44"/>
    <w:rsid w:val="00B80D89"/>
    <w:rsid w:val="00B80EC6"/>
    <w:rsid w:val="00B81288"/>
    <w:rsid w:val="00B8128A"/>
    <w:rsid w:val="00B81D70"/>
    <w:rsid w:val="00B81EBC"/>
    <w:rsid w:val="00B833B9"/>
    <w:rsid w:val="00B83AAF"/>
    <w:rsid w:val="00B83E07"/>
    <w:rsid w:val="00B84CF6"/>
    <w:rsid w:val="00B85016"/>
    <w:rsid w:val="00B8561A"/>
    <w:rsid w:val="00B86628"/>
    <w:rsid w:val="00B86643"/>
    <w:rsid w:val="00B868F7"/>
    <w:rsid w:val="00B86EB1"/>
    <w:rsid w:val="00B871A7"/>
    <w:rsid w:val="00B8792C"/>
    <w:rsid w:val="00B90131"/>
    <w:rsid w:val="00B9215C"/>
    <w:rsid w:val="00B9225C"/>
    <w:rsid w:val="00B92951"/>
    <w:rsid w:val="00B92D1D"/>
    <w:rsid w:val="00B92D7E"/>
    <w:rsid w:val="00B930CE"/>
    <w:rsid w:val="00B938C5"/>
    <w:rsid w:val="00B940A8"/>
    <w:rsid w:val="00B9554A"/>
    <w:rsid w:val="00B95940"/>
    <w:rsid w:val="00B95ACA"/>
    <w:rsid w:val="00B95C12"/>
    <w:rsid w:val="00B96035"/>
    <w:rsid w:val="00B96D74"/>
    <w:rsid w:val="00B9720E"/>
    <w:rsid w:val="00B973A0"/>
    <w:rsid w:val="00B97ACC"/>
    <w:rsid w:val="00B97FE2"/>
    <w:rsid w:val="00BA0E0B"/>
    <w:rsid w:val="00BA201A"/>
    <w:rsid w:val="00BA21DF"/>
    <w:rsid w:val="00BA2C4A"/>
    <w:rsid w:val="00BA361D"/>
    <w:rsid w:val="00BA3787"/>
    <w:rsid w:val="00BA403A"/>
    <w:rsid w:val="00BA4085"/>
    <w:rsid w:val="00BA4287"/>
    <w:rsid w:val="00BA46E8"/>
    <w:rsid w:val="00BA49DB"/>
    <w:rsid w:val="00BA4AE9"/>
    <w:rsid w:val="00BA4E19"/>
    <w:rsid w:val="00BA6436"/>
    <w:rsid w:val="00BA64F2"/>
    <w:rsid w:val="00BA684E"/>
    <w:rsid w:val="00BA6C2B"/>
    <w:rsid w:val="00BA7B64"/>
    <w:rsid w:val="00BB02A3"/>
    <w:rsid w:val="00BB0351"/>
    <w:rsid w:val="00BB0D48"/>
    <w:rsid w:val="00BB1209"/>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60A"/>
    <w:rsid w:val="00BC0930"/>
    <w:rsid w:val="00BC1537"/>
    <w:rsid w:val="00BC327F"/>
    <w:rsid w:val="00BC3512"/>
    <w:rsid w:val="00BC4A8C"/>
    <w:rsid w:val="00BC4B35"/>
    <w:rsid w:val="00BC50BE"/>
    <w:rsid w:val="00BC5332"/>
    <w:rsid w:val="00BC5715"/>
    <w:rsid w:val="00BC5C12"/>
    <w:rsid w:val="00BC641B"/>
    <w:rsid w:val="00BC69C7"/>
    <w:rsid w:val="00BC7154"/>
    <w:rsid w:val="00BC731E"/>
    <w:rsid w:val="00BC7614"/>
    <w:rsid w:val="00BC7BCB"/>
    <w:rsid w:val="00BC7EFA"/>
    <w:rsid w:val="00BD041B"/>
    <w:rsid w:val="00BD25BB"/>
    <w:rsid w:val="00BD2AF8"/>
    <w:rsid w:val="00BD366B"/>
    <w:rsid w:val="00BD3C09"/>
    <w:rsid w:val="00BD410B"/>
    <w:rsid w:val="00BD41DB"/>
    <w:rsid w:val="00BD4A73"/>
    <w:rsid w:val="00BD4EDD"/>
    <w:rsid w:val="00BD4EF4"/>
    <w:rsid w:val="00BD4EFA"/>
    <w:rsid w:val="00BD5822"/>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0AF"/>
    <w:rsid w:val="00BE7F5F"/>
    <w:rsid w:val="00BF02C8"/>
    <w:rsid w:val="00BF1481"/>
    <w:rsid w:val="00BF1578"/>
    <w:rsid w:val="00BF15CA"/>
    <w:rsid w:val="00BF1D12"/>
    <w:rsid w:val="00BF1D3A"/>
    <w:rsid w:val="00BF2B5B"/>
    <w:rsid w:val="00BF2D41"/>
    <w:rsid w:val="00BF3274"/>
    <w:rsid w:val="00BF32DC"/>
    <w:rsid w:val="00BF35C9"/>
    <w:rsid w:val="00BF4329"/>
    <w:rsid w:val="00BF4E43"/>
    <w:rsid w:val="00BF53D9"/>
    <w:rsid w:val="00BF5C4C"/>
    <w:rsid w:val="00BF765C"/>
    <w:rsid w:val="00BF77FC"/>
    <w:rsid w:val="00C000A4"/>
    <w:rsid w:val="00C006D6"/>
    <w:rsid w:val="00C00BD7"/>
    <w:rsid w:val="00C01410"/>
    <w:rsid w:val="00C015C0"/>
    <w:rsid w:val="00C02D23"/>
    <w:rsid w:val="00C03D4D"/>
    <w:rsid w:val="00C044F4"/>
    <w:rsid w:val="00C04B78"/>
    <w:rsid w:val="00C052AA"/>
    <w:rsid w:val="00C06EE3"/>
    <w:rsid w:val="00C07279"/>
    <w:rsid w:val="00C07749"/>
    <w:rsid w:val="00C07C67"/>
    <w:rsid w:val="00C102FB"/>
    <w:rsid w:val="00C107F8"/>
    <w:rsid w:val="00C11244"/>
    <w:rsid w:val="00C118A9"/>
    <w:rsid w:val="00C11D48"/>
    <w:rsid w:val="00C12304"/>
    <w:rsid w:val="00C12316"/>
    <w:rsid w:val="00C1234A"/>
    <w:rsid w:val="00C1246C"/>
    <w:rsid w:val="00C139F8"/>
    <w:rsid w:val="00C141AD"/>
    <w:rsid w:val="00C1493E"/>
    <w:rsid w:val="00C15708"/>
    <w:rsid w:val="00C15DBD"/>
    <w:rsid w:val="00C161C5"/>
    <w:rsid w:val="00C16DD1"/>
    <w:rsid w:val="00C172F7"/>
    <w:rsid w:val="00C2010D"/>
    <w:rsid w:val="00C20CB5"/>
    <w:rsid w:val="00C20DE9"/>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B76"/>
    <w:rsid w:val="00C31F21"/>
    <w:rsid w:val="00C32631"/>
    <w:rsid w:val="00C33301"/>
    <w:rsid w:val="00C33311"/>
    <w:rsid w:val="00C33B68"/>
    <w:rsid w:val="00C34430"/>
    <w:rsid w:val="00C34AD4"/>
    <w:rsid w:val="00C35570"/>
    <w:rsid w:val="00C3566B"/>
    <w:rsid w:val="00C35A2A"/>
    <w:rsid w:val="00C36A79"/>
    <w:rsid w:val="00C37234"/>
    <w:rsid w:val="00C401A9"/>
    <w:rsid w:val="00C401D2"/>
    <w:rsid w:val="00C4031A"/>
    <w:rsid w:val="00C405D4"/>
    <w:rsid w:val="00C419D5"/>
    <w:rsid w:val="00C41D54"/>
    <w:rsid w:val="00C42EBB"/>
    <w:rsid w:val="00C44644"/>
    <w:rsid w:val="00C4513B"/>
    <w:rsid w:val="00C475E8"/>
    <w:rsid w:val="00C50E79"/>
    <w:rsid w:val="00C5197D"/>
    <w:rsid w:val="00C525FB"/>
    <w:rsid w:val="00C5390B"/>
    <w:rsid w:val="00C53E99"/>
    <w:rsid w:val="00C54257"/>
    <w:rsid w:val="00C54697"/>
    <w:rsid w:val="00C550CE"/>
    <w:rsid w:val="00C553A5"/>
    <w:rsid w:val="00C55402"/>
    <w:rsid w:val="00C5603B"/>
    <w:rsid w:val="00C60AE3"/>
    <w:rsid w:val="00C61299"/>
    <w:rsid w:val="00C61F47"/>
    <w:rsid w:val="00C62828"/>
    <w:rsid w:val="00C63D91"/>
    <w:rsid w:val="00C655DA"/>
    <w:rsid w:val="00C672C1"/>
    <w:rsid w:val="00C706D2"/>
    <w:rsid w:val="00C7109C"/>
    <w:rsid w:val="00C715CC"/>
    <w:rsid w:val="00C719A3"/>
    <w:rsid w:val="00C71D2F"/>
    <w:rsid w:val="00C71D71"/>
    <w:rsid w:val="00C723DE"/>
    <w:rsid w:val="00C72984"/>
    <w:rsid w:val="00C73885"/>
    <w:rsid w:val="00C73C93"/>
    <w:rsid w:val="00C7435A"/>
    <w:rsid w:val="00C747B1"/>
    <w:rsid w:val="00C74FD1"/>
    <w:rsid w:val="00C753DD"/>
    <w:rsid w:val="00C75510"/>
    <w:rsid w:val="00C755F9"/>
    <w:rsid w:val="00C75752"/>
    <w:rsid w:val="00C75B60"/>
    <w:rsid w:val="00C761EC"/>
    <w:rsid w:val="00C76C2F"/>
    <w:rsid w:val="00C7704F"/>
    <w:rsid w:val="00C770C9"/>
    <w:rsid w:val="00C8090B"/>
    <w:rsid w:val="00C81070"/>
    <w:rsid w:val="00C8174E"/>
    <w:rsid w:val="00C8182D"/>
    <w:rsid w:val="00C82191"/>
    <w:rsid w:val="00C83134"/>
    <w:rsid w:val="00C831E7"/>
    <w:rsid w:val="00C832F3"/>
    <w:rsid w:val="00C84307"/>
    <w:rsid w:val="00C845A4"/>
    <w:rsid w:val="00C85545"/>
    <w:rsid w:val="00C855B5"/>
    <w:rsid w:val="00C85F0E"/>
    <w:rsid w:val="00C867F9"/>
    <w:rsid w:val="00C872AA"/>
    <w:rsid w:val="00C87817"/>
    <w:rsid w:val="00C87C6B"/>
    <w:rsid w:val="00C90357"/>
    <w:rsid w:val="00C90CF4"/>
    <w:rsid w:val="00C91C20"/>
    <w:rsid w:val="00C922DE"/>
    <w:rsid w:val="00C92843"/>
    <w:rsid w:val="00C92EB6"/>
    <w:rsid w:val="00C93389"/>
    <w:rsid w:val="00C948E6"/>
    <w:rsid w:val="00C94CDD"/>
    <w:rsid w:val="00C95123"/>
    <w:rsid w:val="00C95CB1"/>
    <w:rsid w:val="00C97588"/>
    <w:rsid w:val="00CA0346"/>
    <w:rsid w:val="00CA0BD5"/>
    <w:rsid w:val="00CA0DA1"/>
    <w:rsid w:val="00CA1BD6"/>
    <w:rsid w:val="00CA37FF"/>
    <w:rsid w:val="00CA423A"/>
    <w:rsid w:val="00CA47BC"/>
    <w:rsid w:val="00CA5EAD"/>
    <w:rsid w:val="00CA5EBE"/>
    <w:rsid w:val="00CA6AB4"/>
    <w:rsid w:val="00CA7255"/>
    <w:rsid w:val="00CA79E2"/>
    <w:rsid w:val="00CB0E4A"/>
    <w:rsid w:val="00CB111E"/>
    <w:rsid w:val="00CB1BEE"/>
    <w:rsid w:val="00CB2351"/>
    <w:rsid w:val="00CB2AA2"/>
    <w:rsid w:val="00CB4022"/>
    <w:rsid w:val="00CB4930"/>
    <w:rsid w:val="00CB4BA9"/>
    <w:rsid w:val="00CB4C48"/>
    <w:rsid w:val="00CB4C63"/>
    <w:rsid w:val="00CB5A48"/>
    <w:rsid w:val="00CB5E10"/>
    <w:rsid w:val="00CB613B"/>
    <w:rsid w:val="00CB6152"/>
    <w:rsid w:val="00CB64E1"/>
    <w:rsid w:val="00CB6C6F"/>
    <w:rsid w:val="00CB6E4D"/>
    <w:rsid w:val="00CB7D69"/>
    <w:rsid w:val="00CC009B"/>
    <w:rsid w:val="00CC0834"/>
    <w:rsid w:val="00CC0AEA"/>
    <w:rsid w:val="00CC20FE"/>
    <w:rsid w:val="00CC225C"/>
    <w:rsid w:val="00CC2E7D"/>
    <w:rsid w:val="00CC469E"/>
    <w:rsid w:val="00CC5BE8"/>
    <w:rsid w:val="00CC612B"/>
    <w:rsid w:val="00CC655F"/>
    <w:rsid w:val="00CC66F9"/>
    <w:rsid w:val="00CC6C2A"/>
    <w:rsid w:val="00CC6E69"/>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AF5"/>
    <w:rsid w:val="00CD2B78"/>
    <w:rsid w:val="00CD3866"/>
    <w:rsid w:val="00CD3FAB"/>
    <w:rsid w:val="00CD5456"/>
    <w:rsid w:val="00CD5C3E"/>
    <w:rsid w:val="00CD5C57"/>
    <w:rsid w:val="00CD6331"/>
    <w:rsid w:val="00CD7E9E"/>
    <w:rsid w:val="00CE03DD"/>
    <w:rsid w:val="00CE14BE"/>
    <w:rsid w:val="00CE17A4"/>
    <w:rsid w:val="00CE1BA9"/>
    <w:rsid w:val="00CE2D8F"/>
    <w:rsid w:val="00CE3532"/>
    <w:rsid w:val="00CE3E48"/>
    <w:rsid w:val="00CE46C0"/>
    <w:rsid w:val="00CE47B8"/>
    <w:rsid w:val="00CE4DAB"/>
    <w:rsid w:val="00CE4F15"/>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2E1"/>
    <w:rsid w:val="00D03A72"/>
    <w:rsid w:val="00D03BAE"/>
    <w:rsid w:val="00D040DD"/>
    <w:rsid w:val="00D04134"/>
    <w:rsid w:val="00D05C65"/>
    <w:rsid w:val="00D060D1"/>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0B69"/>
    <w:rsid w:val="00D214EF"/>
    <w:rsid w:val="00D215B0"/>
    <w:rsid w:val="00D21D6D"/>
    <w:rsid w:val="00D21D83"/>
    <w:rsid w:val="00D22A47"/>
    <w:rsid w:val="00D23331"/>
    <w:rsid w:val="00D235B7"/>
    <w:rsid w:val="00D23A99"/>
    <w:rsid w:val="00D23FAE"/>
    <w:rsid w:val="00D2455B"/>
    <w:rsid w:val="00D25F28"/>
    <w:rsid w:val="00D26071"/>
    <w:rsid w:val="00D260C7"/>
    <w:rsid w:val="00D269B9"/>
    <w:rsid w:val="00D273F7"/>
    <w:rsid w:val="00D2793E"/>
    <w:rsid w:val="00D27973"/>
    <w:rsid w:val="00D27F3A"/>
    <w:rsid w:val="00D3008B"/>
    <w:rsid w:val="00D31537"/>
    <w:rsid w:val="00D31E1E"/>
    <w:rsid w:val="00D31F1F"/>
    <w:rsid w:val="00D322A0"/>
    <w:rsid w:val="00D32824"/>
    <w:rsid w:val="00D334E2"/>
    <w:rsid w:val="00D350B1"/>
    <w:rsid w:val="00D35123"/>
    <w:rsid w:val="00D355CB"/>
    <w:rsid w:val="00D35AD6"/>
    <w:rsid w:val="00D35BBB"/>
    <w:rsid w:val="00D35E1A"/>
    <w:rsid w:val="00D36B0A"/>
    <w:rsid w:val="00D36DFB"/>
    <w:rsid w:val="00D36E1C"/>
    <w:rsid w:val="00D373AF"/>
    <w:rsid w:val="00D40556"/>
    <w:rsid w:val="00D406C8"/>
    <w:rsid w:val="00D40824"/>
    <w:rsid w:val="00D41829"/>
    <w:rsid w:val="00D41F74"/>
    <w:rsid w:val="00D42250"/>
    <w:rsid w:val="00D428C8"/>
    <w:rsid w:val="00D43034"/>
    <w:rsid w:val="00D43ED2"/>
    <w:rsid w:val="00D45649"/>
    <w:rsid w:val="00D47ED6"/>
    <w:rsid w:val="00D50100"/>
    <w:rsid w:val="00D50C95"/>
    <w:rsid w:val="00D50F46"/>
    <w:rsid w:val="00D511D8"/>
    <w:rsid w:val="00D5130D"/>
    <w:rsid w:val="00D5133A"/>
    <w:rsid w:val="00D526FA"/>
    <w:rsid w:val="00D5302A"/>
    <w:rsid w:val="00D533C4"/>
    <w:rsid w:val="00D5384E"/>
    <w:rsid w:val="00D544E7"/>
    <w:rsid w:val="00D5499F"/>
    <w:rsid w:val="00D5560A"/>
    <w:rsid w:val="00D559D2"/>
    <w:rsid w:val="00D56FBF"/>
    <w:rsid w:val="00D57677"/>
    <w:rsid w:val="00D5781F"/>
    <w:rsid w:val="00D60415"/>
    <w:rsid w:val="00D60E3C"/>
    <w:rsid w:val="00D60FA7"/>
    <w:rsid w:val="00D61FAB"/>
    <w:rsid w:val="00D63BE5"/>
    <w:rsid w:val="00D64685"/>
    <w:rsid w:val="00D6475F"/>
    <w:rsid w:val="00D655D4"/>
    <w:rsid w:val="00D65F61"/>
    <w:rsid w:val="00D66223"/>
    <w:rsid w:val="00D667B8"/>
    <w:rsid w:val="00D67D55"/>
    <w:rsid w:val="00D70289"/>
    <w:rsid w:val="00D7041F"/>
    <w:rsid w:val="00D70700"/>
    <w:rsid w:val="00D70800"/>
    <w:rsid w:val="00D70822"/>
    <w:rsid w:val="00D72076"/>
    <w:rsid w:val="00D721B4"/>
    <w:rsid w:val="00D726A9"/>
    <w:rsid w:val="00D728D5"/>
    <w:rsid w:val="00D72DBA"/>
    <w:rsid w:val="00D73D48"/>
    <w:rsid w:val="00D743E0"/>
    <w:rsid w:val="00D7469D"/>
    <w:rsid w:val="00D7490C"/>
    <w:rsid w:val="00D75AC1"/>
    <w:rsid w:val="00D77252"/>
    <w:rsid w:val="00D8084C"/>
    <w:rsid w:val="00D81809"/>
    <w:rsid w:val="00D82119"/>
    <w:rsid w:val="00D82EF1"/>
    <w:rsid w:val="00D84CC9"/>
    <w:rsid w:val="00D84F43"/>
    <w:rsid w:val="00D85114"/>
    <w:rsid w:val="00D85821"/>
    <w:rsid w:val="00D8598C"/>
    <w:rsid w:val="00D86677"/>
    <w:rsid w:val="00D87C06"/>
    <w:rsid w:val="00D9140D"/>
    <w:rsid w:val="00D915EA"/>
    <w:rsid w:val="00D919ED"/>
    <w:rsid w:val="00D922A1"/>
    <w:rsid w:val="00D928BE"/>
    <w:rsid w:val="00D932B8"/>
    <w:rsid w:val="00D932F0"/>
    <w:rsid w:val="00D933F2"/>
    <w:rsid w:val="00D94929"/>
    <w:rsid w:val="00D95302"/>
    <w:rsid w:val="00D95889"/>
    <w:rsid w:val="00D95C5D"/>
    <w:rsid w:val="00D96424"/>
    <w:rsid w:val="00D97400"/>
    <w:rsid w:val="00D97D00"/>
    <w:rsid w:val="00DA096C"/>
    <w:rsid w:val="00DA0DFB"/>
    <w:rsid w:val="00DA1445"/>
    <w:rsid w:val="00DA1AB6"/>
    <w:rsid w:val="00DA273D"/>
    <w:rsid w:val="00DA2E65"/>
    <w:rsid w:val="00DA37DE"/>
    <w:rsid w:val="00DA3ADF"/>
    <w:rsid w:val="00DA4174"/>
    <w:rsid w:val="00DA4F0A"/>
    <w:rsid w:val="00DA5241"/>
    <w:rsid w:val="00DA544C"/>
    <w:rsid w:val="00DA5F8E"/>
    <w:rsid w:val="00DA6364"/>
    <w:rsid w:val="00DA6938"/>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5FDA"/>
    <w:rsid w:val="00DB613B"/>
    <w:rsid w:val="00DB657E"/>
    <w:rsid w:val="00DB7342"/>
    <w:rsid w:val="00DB7489"/>
    <w:rsid w:val="00DB75A6"/>
    <w:rsid w:val="00DB791E"/>
    <w:rsid w:val="00DC0B4D"/>
    <w:rsid w:val="00DC0CBB"/>
    <w:rsid w:val="00DC17D0"/>
    <w:rsid w:val="00DC1A3D"/>
    <w:rsid w:val="00DC1DD1"/>
    <w:rsid w:val="00DC1E5D"/>
    <w:rsid w:val="00DC2B41"/>
    <w:rsid w:val="00DC2EA7"/>
    <w:rsid w:val="00DC3128"/>
    <w:rsid w:val="00DC435B"/>
    <w:rsid w:val="00DC4AC4"/>
    <w:rsid w:val="00DC53D8"/>
    <w:rsid w:val="00DC56FE"/>
    <w:rsid w:val="00DC5AB0"/>
    <w:rsid w:val="00DC5B3B"/>
    <w:rsid w:val="00DC5F11"/>
    <w:rsid w:val="00DC6C2D"/>
    <w:rsid w:val="00DC6D72"/>
    <w:rsid w:val="00DC7ABB"/>
    <w:rsid w:val="00DC7B1A"/>
    <w:rsid w:val="00DD04B0"/>
    <w:rsid w:val="00DD129F"/>
    <w:rsid w:val="00DD13FC"/>
    <w:rsid w:val="00DD1A3F"/>
    <w:rsid w:val="00DD29B5"/>
    <w:rsid w:val="00DD32DD"/>
    <w:rsid w:val="00DD33E8"/>
    <w:rsid w:val="00DD3CC0"/>
    <w:rsid w:val="00DD5287"/>
    <w:rsid w:val="00DD5B36"/>
    <w:rsid w:val="00DD5C58"/>
    <w:rsid w:val="00DD6191"/>
    <w:rsid w:val="00DD68F3"/>
    <w:rsid w:val="00DD7849"/>
    <w:rsid w:val="00DE03DE"/>
    <w:rsid w:val="00DE0D8B"/>
    <w:rsid w:val="00DE1237"/>
    <w:rsid w:val="00DE140F"/>
    <w:rsid w:val="00DE17E9"/>
    <w:rsid w:val="00DE2491"/>
    <w:rsid w:val="00DE3E5D"/>
    <w:rsid w:val="00DE450F"/>
    <w:rsid w:val="00DE4865"/>
    <w:rsid w:val="00DE4B99"/>
    <w:rsid w:val="00DE5A0C"/>
    <w:rsid w:val="00DE5CA6"/>
    <w:rsid w:val="00DE5E55"/>
    <w:rsid w:val="00DE622F"/>
    <w:rsid w:val="00DE6E29"/>
    <w:rsid w:val="00DE7156"/>
    <w:rsid w:val="00DE7AC8"/>
    <w:rsid w:val="00DF0830"/>
    <w:rsid w:val="00DF2C5D"/>
    <w:rsid w:val="00DF2CD3"/>
    <w:rsid w:val="00DF3643"/>
    <w:rsid w:val="00DF42FF"/>
    <w:rsid w:val="00DF4369"/>
    <w:rsid w:val="00DF4423"/>
    <w:rsid w:val="00DF4ADF"/>
    <w:rsid w:val="00DF57D6"/>
    <w:rsid w:val="00DF5D1E"/>
    <w:rsid w:val="00DF63B5"/>
    <w:rsid w:val="00DF77E4"/>
    <w:rsid w:val="00DF7F88"/>
    <w:rsid w:val="00E00B88"/>
    <w:rsid w:val="00E00CB7"/>
    <w:rsid w:val="00E010D9"/>
    <w:rsid w:val="00E01C0E"/>
    <w:rsid w:val="00E0368F"/>
    <w:rsid w:val="00E03805"/>
    <w:rsid w:val="00E03D73"/>
    <w:rsid w:val="00E03F9A"/>
    <w:rsid w:val="00E040DA"/>
    <w:rsid w:val="00E04694"/>
    <w:rsid w:val="00E05333"/>
    <w:rsid w:val="00E1168B"/>
    <w:rsid w:val="00E119E9"/>
    <w:rsid w:val="00E11C7E"/>
    <w:rsid w:val="00E12191"/>
    <w:rsid w:val="00E129E7"/>
    <w:rsid w:val="00E12ABE"/>
    <w:rsid w:val="00E12B1E"/>
    <w:rsid w:val="00E135EB"/>
    <w:rsid w:val="00E13995"/>
    <w:rsid w:val="00E1444C"/>
    <w:rsid w:val="00E156FE"/>
    <w:rsid w:val="00E1690C"/>
    <w:rsid w:val="00E16FC8"/>
    <w:rsid w:val="00E17262"/>
    <w:rsid w:val="00E17F36"/>
    <w:rsid w:val="00E20016"/>
    <w:rsid w:val="00E2009B"/>
    <w:rsid w:val="00E20BB9"/>
    <w:rsid w:val="00E20BCC"/>
    <w:rsid w:val="00E2251C"/>
    <w:rsid w:val="00E2363D"/>
    <w:rsid w:val="00E23C6A"/>
    <w:rsid w:val="00E2484B"/>
    <w:rsid w:val="00E25304"/>
    <w:rsid w:val="00E253A2"/>
    <w:rsid w:val="00E260F6"/>
    <w:rsid w:val="00E2665E"/>
    <w:rsid w:val="00E27127"/>
    <w:rsid w:val="00E27233"/>
    <w:rsid w:val="00E274BB"/>
    <w:rsid w:val="00E30601"/>
    <w:rsid w:val="00E30F15"/>
    <w:rsid w:val="00E31771"/>
    <w:rsid w:val="00E3186D"/>
    <w:rsid w:val="00E31A3E"/>
    <w:rsid w:val="00E32080"/>
    <w:rsid w:val="00E32426"/>
    <w:rsid w:val="00E32778"/>
    <w:rsid w:val="00E3309D"/>
    <w:rsid w:val="00E34E3F"/>
    <w:rsid w:val="00E350B1"/>
    <w:rsid w:val="00E35A53"/>
    <w:rsid w:val="00E35D83"/>
    <w:rsid w:val="00E3634A"/>
    <w:rsid w:val="00E3656B"/>
    <w:rsid w:val="00E3712B"/>
    <w:rsid w:val="00E3724A"/>
    <w:rsid w:val="00E378B1"/>
    <w:rsid w:val="00E41179"/>
    <w:rsid w:val="00E411F9"/>
    <w:rsid w:val="00E417BE"/>
    <w:rsid w:val="00E41CD5"/>
    <w:rsid w:val="00E42054"/>
    <w:rsid w:val="00E42D94"/>
    <w:rsid w:val="00E4372D"/>
    <w:rsid w:val="00E43A9E"/>
    <w:rsid w:val="00E44243"/>
    <w:rsid w:val="00E453F9"/>
    <w:rsid w:val="00E45D7D"/>
    <w:rsid w:val="00E4623F"/>
    <w:rsid w:val="00E4665D"/>
    <w:rsid w:val="00E467E3"/>
    <w:rsid w:val="00E47854"/>
    <w:rsid w:val="00E478E2"/>
    <w:rsid w:val="00E47EBA"/>
    <w:rsid w:val="00E50156"/>
    <w:rsid w:val="00E504EB"/>
    <w:rsid w:val="00E5076C"/>
    <w:rsid w:val="00E50D2E"/>
    <w:rsid w:val="00E50D7D"/>
    <w:rsid w:val="00E50E8A"/>
    <w:rsid w:val="00E51EF0"/>
    <w:rsid w:val="00E53470"/>
    <w:rsid w:val="00E5368D"/>
    <w:rsid w:val="00E539F6"/>
    <w:rsid w:val="00E54698"/>
    <w:rsid w:val="00E54BE9"/>
    <w:rsid w:val="00E54FB4"/>
    <w:rsid w:val="00E55046"/>
    <w:rsid w:val="00E5539A"/>
    <w:rsid w:val="00E55791"/>
    <w:rsid w:val="00E55AB2"/>
    <w:rsid w:val="00E55E1A"/>
    <w:rsid w:val="00E578A2"/>
    <w:rsid w:val="00E579ED"/>
    <w:rsid w:val="00E60043"/>
    <w:rsid w:val="00E61740"/>
    <w:rsid w:val="00E61EB5"/>
    <w:rsid w:val="00E62287"/>
    <w:rsid w:val="00E62EDE"/>
    <w:rsid w:val="00E6324D"/>
    <w:rsid w:val="00E636EC"/>
    <w:rsid w:val="00E65084"/>
    <w:rsid w:val="00E6519D"/>
    <w:rsid w:val="00E657C8"/>
    <w:rsid w:val="00E66062"/>
    <w:rsid w:val="00E6660E"/>
    <w:rsid w:val="00E66768"/>
    <w:rsid w:val="00E67305"/>
    <w:rsid w:val="00E673BD"/>
    <w:rsid w:val="00E67696"/>
    <w:rsid w:val="00E700B4"/>
    <w:rsid w:val="00E709AF"/>
    <w:rsid w:val="00E70A85"/>
    <w:rsid w:val="00E70C5F"/>
    <w:rsid w:val="00E71A58"/>
    <w:rsid w:val="00E728D7"/>
    <w:rsid w:val="00E72A26"/>
    <w:rsid w:val="00E72A7A"/>
    <w:rsid w:val="00E7335A"/>
    <w:rsid w:val="00E73986"/>
    <w:rsid w:val="00E73D21"/>
    <w:rsid w:val="00E7467D"/>
    <w:rsid w:val="00E747DC"/>
    <w:rsid w:val="00E74A2D"/>
    <w:rsid w:val="00E74FE4"/>
    <w:rsid w:val="00E75C94"/>
    <w:rsid w:val="00E76A08"/>
    <w:rsid w:val="00E76B9B"/>
    <w:rsid w:val="00E76E61"/>
    <w:rsid w:val="00E76EE4"/>
    <w:rsid w:val="00E77CC0"/>
    <w:rsid w:val="00E77E8B"/>
    <w:rsid w:val="00E77F50"/>
    <w:rsid w:val="00E80B3D"/>
    <w:rsid w:val="00E80CA3"/>
    <w:rsid w:val="00E8184F"/>
    <w:rsid w:val="00E81AAA"/>
    <w:rsid w:val="00E82618"/>
    <w:rsid w:val="00E82A0F"/>
    <w:rsid w:val="00E82A42"/>
    <w:rsid w:val="00E832F4"/>
    <w:rsid w:val="00E846B0"/>
    <w:rsid w:val="00E84E09"/>
    <w:rsid w:val="00E87CE2"/>
    <w:rsid w:val="00E90CA8"/>
    <w:rsid w:val="00E91113"/>
    <w:rsid w:val="00E911C6"/>
    <w:rsid w:val="00E920DE"/>
    <w:rsid w:val="00E930A1"/>
    <w:rsid w:val="00E93820"/>
    <w:rsid w:val="00E94A86"/>
    <w:rsid w:val="00E951AB"/>
    <w:rsid w:val="00E953F6"/>
    <w:rsid w:val="00E9580F"/>
    <w:rsid w:val="00E95882"/>
    <w:rsid w:val="00E95C3B"/>
    <w:rsid w:val="00E96143"/>
    <w:rsid w:val="00E96833"/>
    <w:rsid w:val="00E96869"/>
    <w:rsid w:val="00E97506"/>
    <w:rsid w:val="00E97BB5"/>
    <w:rsid w:val="00E97D5B"/>
    <w:rsid w:val="00E97F14"/>
    <w:rsid w:val="00EA02FE"/>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5E3D"/>
    <w:rsid w:val="00EA7419"/>
    <w:rsid w:val="00EB0203"/>
    <w:rsid w:val="00EB0E32"/>
    <w:rsid w:val="00EB1786"/>
    <w:rsid w:val="00EB1CDC"/>
    <w:rsid w:val="00EB1D89"/>
    <w:rsid w:val="00EB2693"/>
    <w:rsid w:val="00EB3E60"/>
    <w:rsid w:val="00EB4511"/>
    <w:rsid w:val="00EB48D7"/>
    <w:rsid w:val="00EB49F1"/>
    <w:rsid w:val="00EB4A8E"/>
    <w:rsid w:val="00EB4BC5"/>
    <w:rsid w:val="00EB5BF7"/>
    <w:rsid w:val="00EB5E79"/>
    <w:rsid w:val="00EB6788"/>
    <w:rsid w:val="00EB6FAC"/>
    <w:rsid w:val="00EB7BAC"/>
    <w:rsid w:val="00EB7CC9"/>
    <w:rsid w:val="00EC03D7"/>
    <w:rsid w:val="00EC0749"/>
    <w:rsid w:val="00EC0B86"/>
    <w:rsid w:val="00EC13A7"/>
    <w:rsid w:val="00EC1D31"/>
    <w:rsid w:val="00EC2EB6"/>
    <w:rsid w:val="00EC3F49"/>
    <w:rsid w:val="00EC4FFF"/>
    <w:rsid w:val="00EC5517"/>
    <w:rsid w:val="00EC6E8C"/>
    <w:rsid w:val="00EC729D"/>
    <w:rsid w:val="00ED0702"/>
    <w:rsid w:val="00ED0962"/>
    <w:rsid w:val="00ED0EF0"/>
    <w:rsid w:val="00ED112D"/>
    <w:rsid w:val="00ED12B9"/>
    <w:rsid w:val="00ED16B8"/>
    <w:rsid w:val="00ED1959"/>
    <w:rsid w:val="00ED1A00"/>
    <w:rsid w:val="00ED1DF0"/>
    <w:rsid w:val="00ED2386"/>
    <w:rsid w:val="00ED25F5"/>
    <w:rsid w:val="00ED2EA1"/>
    <w:rsid w:val="00ED3851"/>
    <w:rsid w:val="00ED39D7"/>
    <w:rsid w:val="00ED3E51"/>
    <w:rsid w:val="00ED3F10"/>
    <w:rsid w:val="00ED3F9B"/>
    <w:rsid w:val="00ED3FB3"/>
    <w:rsid w:val="00ED4D04"/>
    <w:rsid w:val="00ED566D"/>
    <w:rsid w:val="00ED5907"/>
    <w:rsid w:val="00ED5F5B"/>
    <w:rsid w:val="00ED62C6"/>
    <w:rsid w:val="00ED64C1"/>
    <w:rsid w:val="00ED72E7"/>
    <w:rsid w:val="00ED74BD"/>
    <w:rsid w:val="00ED781F"/>
    <w:rsid w:val="00EE0E7E"/>
    <w:rsid w:val="00EE2236"/>
    <w:rsid w:val="00EE249F"/>
    <w:rsid w:val="00EE2EB4"/>
    <w:rsid w:val="00EE3446"/>
    <w:rsid w:val="00EE3E78"/>
    <w:rsid w:val="00EE41FD"/>
    <w:rsid w:val="00EE460E"/>
    <w:rsid w:val="00EE4B1B"/>
    <w:rsid w:val="00EE5FBA"/>
    <w:rsid w:val="00EE601C"/>
    <w:rsid w:val="00EE6E06"/>
    <w:rsid w:val="00EE7179"/>
    <w:rsid w:val="00EE762D"/>
    <w:rsid w:val="00EF0D90"/>
    <w:rsid w:val="00EF150D"/>
    <w:rsid w:val="00EF1916"/>
    <w:rsid w:val="00EF1F5A"/>
    <w:rsid w:val="00EF22E2"/>
    <w:rsid w:val="00EF23B5"/>
    <w:rsid w:val="00EF326A"/>
    <w:rsid w:val="00EF3898"/>
    <w:rsid w:val="00EF47BF"/>
    <w:rsid w:val="00EF52F7"/>
    <w:rsid w:val="00EF59B1"/>
    <w:rsid w:val="00EF5A13"/>
    <w:rsid w:val="00EF5FF9"/>
    <w:rsid w:val="00EF600F"/>
    <w:rsid w:val="00EF77D4"/>
    <w:rsid w:val="00EF7CC7"/>
    <w:rsid w:val="00F00535"/>
    <w:rsid w:val="00F00853"/>
    <w:rsid w:val="00F00866"/>
    <w:rsid w:val="00F00EC8"/>
    <w:rsid w:val="00F0160B"/>
    <w:rsid w:val="00F0193E"/>
    <w:rsid w:val="00F028B4"/>
    <w:rsid w:val="00F02A91"/>
    <w:rsid w:val="00F03E2F"/>
    <w:rsid w:val="00F03F8D"/>
    <w:rsid w:val="00F04811"/>
    <w:rsid w:val="00F0488C"/>
    <w:rsid w:val="00F04955"/>
    <w:rsid w:val="00F06203"/>
    <w:rsid w:val="00F073ED"/>
    <w:rsid w:val="00F07C4C"/>
    <w:rsid w:val="00F07E45"/>
    <w:rsid w:val="00F10F11"/>
    <w:rsid w:val="00F11159"/>
    <w:rsid w:val="00F1146D"/>
    <w:rsid w:val="00F115E4"/>
    <w:rsid w:val="00F11AC4"/>
    <w:rsid w:val="00F11C1D"/>
    <w:rsid w:val="00F11D01"/>
    <w:rsid w:val="00F120A5"/>
    <w:rsid w:val="00F12CFB"/>
    <w:rsid w:val="00F13E60"/>
    <w:rsid w:val="00F13F81"/>
    <w:rsid w:val="00F13FDB"/>
    <w:rsid w:val="00F15653"/>
    <w:rsid w:val="00F15AAA"/>
    <w:rsid w:val="00F15BEF"/>
    <w:rsid w:val="00F16F10"/>
    <w:rsid w:val="00F17898"/>
    <w:rsid w:val="00F17FBF"/>
    <w:rsid w:val="00F204BF"/>
    <w:rsid w:val="00F207C2"/>
    <w:rsid w:val="00F21337"/>
    <w:rsid w:val="00F219A1"/>
    <w:rsid w:val="00F235B2"/>
    <w:rsid w:val="00F23E20"/>
    <w:rsid w:val="00F24407"/>
    <w:rsid w:val="00F249CE"/>
    <w:rsid w:val="00F24FAA"/>
    <w:rsid w:val="00F25040"/>
    <w:rsid w:val="00F269D7"/>
    <w:rsid w:val="00F26D1F"/>
    <w:rsid w:val="00F27071"/>
    <w:rsid w:val="00F27331"/>
    <w:rsid w:val="00F276D3"/>
    <w:rsid w:val="00F27EE5"/>
    <w:rsid w:val="00F27FB1"/>
    <w:rsid w:val="00F27FD6"/>
    <w:rsid w:val="00F307CB"/>
    <w:rsid w:val="00F30C0C"/>
    <w:rsid w:val="00F30C65"/>
    <w:rsid w:val="00F3148E"/>
    <w:rsid w:val="00F31E10"/>
    <w:rsid w:val="00F321D2"/>
    <w:rsid w:val="00F32649"/>
    <w:rsid w:val="00F33523"/>
    <w:rsid w:val="00F3364D"/>
    <w:rsid w:val="00F33914"/>
    <w:rsid w:val="00F340B2"/>
    <w:rsid w:val="00F349BF"/>
    <w:rsid w:val="00F34DDC"/>
    <w:rsid w:val="00F36191"/>
    <w:rsid w:val="00F3629F"/>
    <w:rsid w:val="00F36DF3"/>
    <w:rsid w:val="00F371A2"/>
    <w:rsid w:val="00F37362"/>
    <w:rsid w:val="00F375CB"/>
    <w:rsid w:val="00F37EDC"/>
    <w:rsid w:val="00F40205"/>
    <w:rsid w:val="00F437CC"/>
    <w:rsid w:val="00F43A4E"/>
    <w:rsid w:val="00F44537"/>
    <w:rsid w:val="00F458BE"/>
    <w:rsid w:val="00F46185"/>
    <w:rsid w:val="00F46423"/>
    <w:rsid w:val="00F4696A"/>
    <w:rsid w:val="00F47067"/>
    <w:rsid w:val="00F47234"/>
    <w:rsid w:val="00F50451"/>
    <w:rsid w:val="00F51ADD"/>
    <w:rsid w:val="00F525AB"/>
    <w:rsid w:val="00F525EB"/>
    <w:rsid w:val="00F52BFA"/>
    <w:rsid w:val="00F52CB5"/>
    <w:rsid w:val="00F53378"/>
    <w:rsid w:val="00F53A68"/>
    <w:rsid w:val="00F53D2E"/>
    <w:rsid w:val="00F54934"/>
    <w:rsid w:val="00F55A92"/>
    <w:rsid w:val="00F5615B"/>
    <w:rsid w:val="00F5635E"/>
    <w:rsid w:val="00F5657D"/>
    <w:rsid w:val="00F57427"/>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113"/>
    <w:rsid w:val="00F71393"/>
    <w:rsid w:val="00F7150B"/>
    <w:rsid w:val="00F7162D"/>
    <w:rsid w:val="00F717E4"/>
    <w:rsid w:val="00F71DE6"/>
    <w:rsid w:val="00F72C79"/>
    <w:rsid w:val="00F72D71"/>
    <w:rsid w:val="00F7381C"/>
    <w:rsid w:val="00F73A0C"/>
    <w:rsid w:val="00F73AA6"/>
    <w:rsid w:val="00F7467F"/>
    <w:rsid w:val="00F752DC"/>
    <w:rsid w:val="00F7549F"/>
    <w:rsid w:val="00F756DB"/>
    <w:rsid w:val="00F766BE"/>
    <w:rsid w:val="00F767A8"/>
    <w:rsid w:val="00F77590"/>
    <w:rsid w:val="00F77A50"/>
    <w:rsid w:val="00F77E95"/>
    <w:rsid w:val="00F809C0"/>
    <w:rsid w:val="00F81B0F"/>
    <w:rsid w:val="00F822CE"/>
    <w:rsid w:val="00F823E4"/>
    <w:rsid w:val="00F82D14"/>
    <w:rsid w:val="00F842EB"/>
    <w:rsid w:val="00F84E7D"/>
    <w:rsid w:val="00F85066"/>
    <w:rsid w:val="00F8670E"/>
    <w:rsid w:val="00F867A2"/>
    <w:rsid w:val="00F874F8"/>
    <w:rsid w:val="00F87A4D"/>
    <w:rsid w:val="00F90A3E"/>
    <w:rsid w:val="00F90C68"/>
    <w:rsid w:val="00F90EEB"/>
    <w:rsid w:val="00F91B66"/>
    <w:rsid w:val="00F93688"/>
    <w:rsid w:val="00F939F3"/>
    <w:rsid w:val="00F93C6E"/>
    <w:rsid w:val="00F93F2C"/>
    <w:rsid w:val="00F947E9"/>
    <w:rsid w:val="00F962AD"/>
    <w:rsid w:val="00F9644E"/>
    <w:rsid w:val="00F96EE8"/>
    <w:rsid w:val="00FA0105"/>
    <w:rsid w:val="00FA05A0"/>
    <w:rsid w:val="00FA0AEF"/>
    <w:rsid w:val="00FA12B0"/>
    <w:rsid w:val="00FA17CC"/>
    <w:rsid w:val="00FA1CFE"/>
    <w:rsid w:val="00FA1EE7"/>
    <w:rsid w:val="00FA1F01"/>
    <w:rsid w:val="00FA26DF"/>
    <w:rsid w:val="00FA32BC"/>
    <w:rsid w:val="00FA3E13"/>
    <w:rsid w:val="00FA3FA8"/>
    <w:rsid w:val="00FA4059"/>
    <w:rsid w:val="00FA4574"/>
    <w:rsid w:val="00FA48A4"/>
    <w:rsid w:val="00FA4CB7"/>
    <w:rsid w:val="00FA5112"/>
    <w:rsid w:val="00FA5526"/>
    <w:rsid w:val="00FA5D48"/>
    <w:rsid w:val="00FA5D4D"/>
    <w:rsid w:val="00FA6122"/>
    <w:rsid w:val="00FA6CB6"/>
    <w:rsid w:val="00FA70D3"/>
    <w:rsid w:val="00FA792A"/>
    <w:rsid w:val="00FA7AEC"/>
    <w:rsid w:val="00FB0AEA"/>
    <w:rsid w:val="00FB0EE2"/>
    <w:rsid w:val="00FB1A79"/>
    <w:rsid w:val="00FB1B48"/>
    <w:rsid w:val="00FB208B"/>
    <w:rsid w:val="00FB2B2D"/>
    <w:rsid w:val="00FB542E"/>
    <w:rsid w:val="00FB5580"/>
    <w:rsid w:val="00FB564F"/>
    <w:rsid w:val="00FB7DBB"/>
    <w:rsid w:val="00FC05F8"/>
    <w:rsid w:val="00FC077B"/>
    <w:rsid w:val="00FC0BE0"/>
    <w:rsid w:val="00FC0E5F"/>
    <w:rsid w:val="00FC1070"/>
    <w:rsid w:val="00FC1266"/>
    <w:rsid w:val="00FC1A95"/>
    <w:rsid w:val="00FC1ED4"/>
    <w:rsid w:val="00FC35BF"/>
    <w:rsid w:val="00FC3BEC"/>
    <w:rsid w:val="00FC42C5"/>
    <w:rsid w:val="00FC440B"/>
    <w:rsid w:val="00FC4F4B"/>
    <w:rsid w:val="00FC56DE"/>
    <w:rsid w:val="00FC63D9"/>
    <w:rsid w:val="00FC64DE"/>
    <w:rsid w:val="00FC6785"/>
    <w:rsid w:val="00FC684B"/>
    <w:rsid w:val="00FC7136"/>
    <w:rsid w:val="00FC7D98"/>
    <w:rsid w:val="00FC7EB2"/>
    <w:rsid w:val="00FD1135"/>
    <w:rsid w:val="00FD3265"/>
    <w:rsid w:val="00FD3BFE"/>
    <w:rsid w:val="00FD3CF7"/>
    <w:rsid w:val="00FD4124"/>
    <w:rsid w:val="00FD4916"/>
    <w:rsid w:val="00FD4D12"/>
    <w:rsid w:val="00FD4F73"/>
    <w:rsid w:val="00FD595E"/>
    <w:rsid w:val="00FD62E6"/>
    <w:rsid w:val="00FD7802"/>
    <w:rsid w:val="00FD7D3B"/>
    <w:rsid w:val="00FD7F83"/>
    <w:rsid w:val="00FD7FBE"/>
    <w:rsid w:val="00FE0292"/>
    <w:rsid w:val="00FE1209"/>
    <w:rsid w:val="00FE27C7"/>
    <w:rsid w:val="00FE2814"/>
    <w:rsid w:val="00FE2C7E"/>
    <w:rsid w:val="00FE2F78"/>
    <w:rsid w:val="00FE3137"/>
    <w:rsid w:val="00FE346B"/>
    <w:rsid w:val="00FE346F"/>
    <w:rsid w:val="00FE431E"/>
    <w:rsid w:val="00FE460E"/>
    <w:rsid w:val="00FE48E4"/>
    <w:rsid w:val="00FE5466"/>
    <w:rsid w:val="00FE5BF1"/>
    <w:rsid w:val="00FE633D"/>
    <w:rsid w:val="00FE634C"/>
    <w:rsid w:val="00FE6E69"/>
    <w:rsid w:val="00FE6F59"/>
    <w:rsid w:val="00FF01B6"/>
    <w:rsid w:val="00FF0989"/>
    <w:rsid w:val="00FF0F79"/>
    <w:rsid w:val="00FF1136"/>
    <w:rsid w:val="00FF3D76"/>
    <w:rsid w:val="00FF445B"/>
    <w:rsid w:val="00FF5B8C"/>
    <w:rsid w:val="00FF63E6"/>
    <w:rsid w:val="00FF649C"/>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A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npsmoodstavce"/>
    <w:rsid w:val="0021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384443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1-ctvrtleti-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st&#225;tn&#237;%20rozpo&#269;et-2q-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st&#225;tn&#237;%20rozpo&#269;et-2q-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28E-2"/>
          <c:y val="1.7107238390107405E-2"/>
          <c:w val="0.84490897841708379"/>
          <c:h val="0.74168245309847347"/>
        </c:manualLayout>
      </c:layout>
      <c:barChart>
        <c:barDir val="col"/>
        <c:grouping val="stacked"/>
        <c:varyColors val="0"/>
        <c:ser>
          <c:idx val="1"/>
          <c:order val="1"/>
          <c:tx>
            <c:strRef>
              <c:f>'G1-Státní rozpočet-příjmy-2020'!$A$30</c:f>
              <c:strCache>
                <c:ptCount val="1"/>
                <c:pt idx="0">
                  <c:v>Other taxes and fees</c:v>
                </c:pt>
              </c:strCache>
            </c:strRef>
          </c:tx>
          <c:spPr>
            <a:solidFill>
              <a:schemeClr val="bg1">
                <a:lumMod val="75000"/>
              </a:schemeClr>
            </a:solidFill>
            <a:ln w="12700">
              <a:noFill/>
              <a:prstDash val="solid"/>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rozpočet-příjmy-2020'!$D$30:$S$30</c:f>
              <c:numCache>
                <c:formatCode>0.0</c:formatCode>
                <c:ptCount val="16"/>
                <c:pt idx="0">
                  <c:v>0.54595928439234964</c:v>
                </c:pt>
                <c:pt idx="1">
                  <c:v>0.46668473188209703</c:v>
                </c:pt>
                <c:pt idx="2">
                  <c:v>-0.46157268379491267</c:v>
                </c:pt>
                <c:pt idx="3">
                  <c:v>0.49531003312386968</c:v>
                </c:pt>
                <c:pt idx="4">
                  <c:v>1.0955064214410237</c:v>
                </c:pt>
                <c:pt idx="5">
                  <c:v>-0.43477551457132552</c:v>
                </c:pt>
                <c:pt idx="6">
                  <c:v>-8.2653412292815559E-2</c:v>
                </c:pt>
                <c:pt idx="7">
                  <c:v>0.17424975798643608</c:v>
                </c:pt>
                <c:pt idx="8">
                  <c:v>0.53125962426855389</c:v>
                </c:pt>
                <c:pt idx="9">
                  <c:v>0.44522675502175058</c:v>
                </c:pt>
                <c:pt idx="10">
                  <c:v>0.3176936390146764</c:v>
                </c:pt>
                <c:pt idx="11">
                  <c:v>0.37441716268589098</c:v>
                </c:pt>
                <c:pt idx="12">
                  <c:v>0.32332107581403891</c:v>
                </c:pt>
                <c:pt idx="13">
                  <c:v>0.37604522895516235</c:v>
                </c:pt>
                <c:pt idx="14">
                  <c:v>-0.58033296146059776</c:v>
                </c:pt>
                <c:pt idx="15">
                  <c:v>0.73043861302063806</c:v>
                </c:pt>
              </c:numCache>
            </c:numRef>
          </c:val>
          <c:extLst>
            <c:ext xmlns:c16="http://schemas.microsoft.com/office/drawing/2014/chart" uri="{C3380CC4-5D6E-409C-BE32-E72D297353CC}">
              <c16:uniqueId val="{00000000-112E-4907-B5FD-B837F71A3BD1}"/>
            </c:ext>
          </c:extLst>
        </c:ser>
        <c:ser>
          <c:idx val="3"/>
          <c:order val="2"/>
          <c:tx>
            <c:strRef>
              <c:f>'G1-Státní rozpočet-příjmy-2020'!$A$31</c:f>
              <c:strCache>
                <c:ptCount val="1"/>
                <c:pt idx="0">
                  <c:v>Income tax of natural persons (from employment)</c:v>
                </c:pt>
              </c:strCache>
            </c:strRef>
          </c:tx>
          <c:spPr>
            <a:solidFill>
              <a:srgbClr val="EA6C75"/>
            </a:solidFill>
            <a:ln w="19050">
              <a:noFill/>
              <a:prstDash val="sysDot"/>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rozpočet-příjmy-2020'!$D$31:$S$31</c:f>
              <c:numCache>
                <c:formatCode>0.0</c:formatCode>
                <c:ptCount val="16"/>
                <c:pt idx="0">
                  <c:v>1.3078346699568126</c:v>
                </c:pt>
                <c:pt idx="1">
                  <c:v>-0.37635865474362562</c:v>
                </c:pt>
                <c:pt idx="2">
                  <c:v>-2.6470915359804246</c:v>
                </c:pt>
                <c:pt idx="3">
                  <c:v>0.47364021917469173</c:v>
                </c:pt>
                <c:pt idx="4">
                  <c:v>-0.13443551385830171</c:v>
                </c:pt>
                <c:pt idx="5">
                  <c:v>0.76868928621709187</c:v>
                </c:pt>
                <c:pt idx="6">
                  <c:v>0.58399074131873729</c:v>
                </c:pt>
                <c:pt idx="7">
                  <c:v>1.3331489420550413</c:v>
                </c:pt>
                <c:pt idx="8">
                  <c:v>-0.27717893440098468</c:v>
                </c:pt>
                <c:pt idx="9">
                  <c:v>2.7153655001035406</c:v>
                </c:pt>
                <c:pt idx="10">
                  <c:v>2.0958296782759192</c:v>
                </c:pt>
                <c:pt idx="11">
                  <c:v>2.6381964014740937</c:v>
                </c:pt>
                <c:pt idx="12">
                  <c:v>2.8717758032576497</c:v>
                </c:pt>
                <c:pt idx="13">
                  <c:v>-3.7310659863948725</c:v>
                </c:pt>
                <c:pt idx="14">
                  <c:v>-4.8292639350837492</c:v>
                </c:pt>
                <c:pt idx="15">
                  <c:v>2.4982947677836331</c:v>
                </c:pt>
              </c:numCache>
            </c:numRef>
          </c:val>
          <c:extLst>
            <c:ext xmlns:c16="http://schemas.microsoft.com/office/drawing/2014/chart" uri="{C3380CC4-5D6E-409C-BE32-E72D297353CC}">
              <c16:uniqueId val="{00000001-112E-4907-B5FD-B837F71A3BD1}"/>
            </c:ext>
          </c:extLst>
        </c:ser>
        <c:ser>
          <c:idx val="4"/>
          <c:order val="3"/>
          <c:tx>
            <c:strRef>
              <c:f>'G1-Státní rozpočet-příjmy-2020'!$A$32</c:f>
              <c:strCache>
                <c:ptCount val="1"/>
                <c:pt idx="0">
                  <c:v>Income tax of legal persons (corporate tax)</c:v>
                </c:pt>
              </c:strCache>
            </c:strRef>
          </c:tx>
          <c:spPr>
            <a:solidFill>
              <a:schemeClr val="accent6">
                <a:lumMod val="60000"/>
                <a:lumOff val="40000"/>
              </a:schemeClr>
            </a:solidFill>
            <a:ln w="19050">
              <a:noFill/>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rozpočet-příjmy-2020'!$D$32:$S$32</c:f>
              <c:numCache>
                <c:formatCode>0.0</c:formatCode>
                <c:ptCount val="16"/>
                <c:pt idx="0">
                  <c:v>-0.32078963602714217</c:v>
                </c:pt>
                <c:pt idx="1">
                  <c:v>5.9133471833318252</c:v>
                </c:pt>
                <c:pt idx="2">
                  <c:v>-5.8002446891335788</c:v>
                </c:pt>
                <c:pt idx="3">
                  <c:v>2.28771321549082</c:v>
                </c:pt>
                <c:pt idx="4">
                  <c:v>-3.0948771488229725</c:v>
                </c:pt>
                <c:pt idx="5">
                  <c:v>-0.3519639588906085</c:v>
                </c:pt>
                <c:pt idx="6">
                  <c:v>-0.52038778929392293</c:v>
                </c:pt>
                <c:pt idx="7">
                  <c:v>1.5378232609597586</c:v>
                </c:pt>
                <c:pt idx="8">
                  <c:v>1.545015912124013</c:v>
                </c:pt>
                <c:pt idx="9">
                  <c:v>2.3012010768274993</c:v>
                </c:pt>
                <c:pt idx="10">
                  <c:v>1.5576471703928498</c:v>
                </c:pt>
                <c:pt idx="11">
                  <c:v>-1.5174506828525801E-2</c:v>
                </c:pt>
                <c:pt idx="12">
                  <c:v>1.1964034041960514</c:v>
                </c:pt>
                <c:pt idx="13">
                  <c:v>-4.7390510722411321</c:v>
                </c:pt>
                <c:pt idx="14">
                  <c:v>8.0545419061014734</c:v>
                </c:pt>
                <c:pt idx="15">
                  <c:v>3.4197627439298519</c:v>
                </c:pt>
              </c:numCache>
            </c:numRef>
          </c:val>
          <c:extLst>
            <c:ext xmlns:c16="http://schemas.microsoft.com/office/drawing/2014/chart" uri="{C3380CC4-5D6E-409C-BE32-E72D297353CC}">
              <c16:uniqueId val="{00000002-112E-4907-B5FD-B837F71A3BD1}"/>
            </c:ext>
          </c:extLst>
        </c:ser>
        <c:ser>
          <c:idx val="2"/>
          <c:order val="4"/>
          <c:tx>
            <c:strRef>
              <c:f>'G1-Státní rozpočet-příjmy-2020'!$A$33</c:f>
              <c:strCache>
                <c:ptCount val="1"/>
                <c:pt idx="0">
                  <c:v>Consumption tax</c:v>
                </c:pt>
              </c:strCache>
            </c:strRef>
          </c:tx>
          <c:spPr>
            <a:solidFill>
              <a:schemeClr val="accent5">
                <a:lumMod val="40000"/>
                <a:lumOff val="60000"/>
              </a:schemeClr>
            </a:solidFill>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rozpočet-příjmy-2020'!$D$33:$S$33</c:f>
              <c:numCache>
                <c:formatCode>0.0</c:formatCode>
                <c:ptCount val="16"/>
                <c:pt idx="0">
                  <c:v>-2.8439235040098723</c:v>
                </c:pt>
                <c:pt idx="1">
                  <c:v>0.59615210911390359</c:v>
                </c:pt>
                <c:pt idx="2">
                  <c:v>-0.7841174507841181</c:v>
                </c:pt>
                <c:pt idx="3">
                  <c:v>2.1855555211590265</c:v>
                </c:pt>
                <c:pt idx="4">
                  <c:v>1.2127799548067864</c:v>
                </c:pt>
                <c:pt idx="5">
                  <c:v>-0.51809094748697626</c:v>
                </c:pt>
                <c:pt idx="6">
                  <c:v>-0.60422804423572263</c:v>
                </c:pt>
                <c:pt idx="7">
                  <c:v>1.9416401604204097</c:v>
                </c:pt>
                <c:pt idx="8">
                  <c:v>-0.71604558053587719</c:v>
                </c:pt>
                <c:pt idx="9">
                  <c:v>1.4107475667840146</c:v>
                </c:pt>
                <c:pt idx="10">
                  <c:v>0.14462173119324545</c:v>
                </c:pt>
                <c:pt idx="11">
                  <c:v>0.15174506828528164</c:v>
                </c:pt>
                <c:pt idx="12">
                  <c:v>0.5951444531946295</c:v>
                </c:pt>
                <c:pt idx="13">
                  <c:v>-1.0191471511484216</c:v>
                </c:pt>
                <c:pt idx="14">
                  <c:v>-1.7143225663620509</c:v>
                </c:pt>
                <c:pt idx="15">
                  <c:v>2.2002268548922332</c:v>
                </c:pt>
              </c:numCache>
            </c:numRef>
          </c:val>
          <c:extLst>
            <c:ext xmlns:c16="http://schemas.microsoft.com/office/drawing/2014/chart" uri="{C3380CC4-5D6E-409C-BE32-E72D297353CC}">
              <c16:uniqueId val="{00000003-112E-4907-B5FD-B837F71A3BD1}"/>
            </c:ext>
          </c:extLst>
        </c:ser>
        <c:ser>
          <c:idx val="5"/>
          <c:order val="5"/>
          <c:tx>
            <c:strRef>
              <c:f>'G1-Státní rozpočet-příjmy-2020'!$A$34</c:f>
              <c:strCache>
                <c:ptCount val="1"/>
                <c:pt idx="0">
                  <c:v>VAT</c:v>
                </c:pt>
              </c:strCache>
            </c:strRef>
          </c:tx>
          <c:spPr>
            <a:solidFill>
              <a:srgbClr val="92D050"/>
            </a:solidFill>
            <a:ln>
              <a:noFill/>
            </a:ln>
          </c:spPr>
          <c:invertIfNegative val="0"/>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rozpočet-příjmy-2020'!$D$34:$S$34</c:f>
              <c:numCache>
                <c:formatCode>0.0</c:formatCode>
                <c:ptCount val="16"/>
                <c:pt idx="0">
                  <c:v>3.756940160394818</c:v>
                </c:pt>
                <c:pt idx="1">
                  <c:v>1.6830759040134915</c:v>
                </c:pt>
                <c:pt idx="2">
                  <c:v>-0.48659770881993442</c:v>
                </c:pt>
                <c:pt idx="3">
                  <c:v>2.7861189363217047</c:v>
                </c:pt>
                <c:pt idx="4">
                  <c:v>2.5056491519121336</c:v>
                </c:pt>
                <c:pt idx="5">
                  <c:v>-2.0695480782767839</c:v>
                </c:pt>
                <c:pt idx="6">
                  <c:v>5.1489480707359876</c:v>
                </c:pt>
                <c:pt idx="7">
                  <c:v>2.7824643894343817</c:v>
                </c:pt>
                <c:pt idx="8">
                  <c:v>-1.9351195975772471</c:v>
                </c:pt>
                <c:pt idx="9">
                  <c:v>2.3089666597639282</c:v>
                </c:pt>
                <c:pt idx="10">
                  <c:v>5.2514284359515448</c:v>
                </c:pt>
                <c:pt idx="11">
                  <c:v>3.210492087578587</c:v>
                </c:pt>
                <c:pt idx="12">
                  <c:v>1.1536019195484959</c:v>
                </c:pt>
                <c:pt idx="13">
                  <c:v>-2.3369375494227094</c:v>
                </c:pt>
                <c:pt idx="14">
                  <c:v>3.708391215298168</c:v>
                </c:pt>
                <c:pt idx="15">
                  <c:v>9.7532876810479028</c:v>
                </c:pt>
              </c:numCache>
            </c:numRef>
          </c:val>
          <c:extLst>
            <c:ext xmlns:c16="http://schemas.microsoft.com/office/drawing/2014/chart" uri="{C3380CC4-5D6E-409C-BE32-E72D297353CC}">
              <c16:uniqueId val="{00000004-112E-4907-B5FD-B837F71A3BD1}"/>
            </c:ext>
          </c:extLst>
        </c:ser>
        <c:dLbls>
          <c:showLegendKey val="0"/>
          <c:showVal val="0"/>
          <c:showCatName val="0"/>
          <c:showSerName val="0"/>
          <c:showPercent val="0"/>
          <c:showBubbleSize val="0"/>
        </c:dLbls>
        <c:gapWidth val="105"/>
        <c:overlap val="100"/>
        <c:axId val="194467712"/>
        <c:axId val="194473984"/>
      </c:barChart>
      <c:lineChart>
        <c:grouping val="standard"/>
        <c:varyColors val="0"/>
        <c:ser>
          <c:idx val="0"/>
          <c:order val="0"/>
          <c:tx>
            <c:strRef>
              <c:f>'G1-Státní rozpočet-příjmy-2020'!$A$29</c:f>
              <c:strCache>
                <c:ptCount val="1"/>
                <c:pt idx="0">
                  <c:v>Total tax income (excluding social security insurance)</c:v>
                </c:pt>
              </c:strCache>
            </c:strRef>
          </c:tx>
          <c:spPr>
            <a:ln w="19050">
              <a:noFill/>
            </a:ln>
          </c:spPr>
          <c:marker>
            <c:symbol val="circle"/>
            <c:size val="6"/>
            <c:spPr>
              <a:solidFill>
                <a:schemeClr val="bg1"/>
              </a:solidFill>
              <a:ln>
                <a:solidFill>
                  <a:schemeClr val="tx1">
                    <a:lumMod val="95000"/>
                    <a:lumOff val="5000"/>
                  </a:schemeClr>
                </a:solidFill>
              </a:ln>
            </c:spPr>
          </c:marker>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rozpočet-příjmy-2020'!$D$29:$S$29</c:f>
              <c:numCache>
                <c:formatCode>0.0</c:formatCode>
                <c:ptCount val="16"/>
                <c:pt idx="0">
                  <c:v>2.4460209747069683</c:v>
                </c:pt>
                <c:pt idx="1">
                  <c:v>8.2829012735976733</c:v>
                </c:pt>
                <c:pt idx="2">
                  <c:v>-10.179624068512965</c:v>
                </c:pt>
                <c:pt idx="3">
                  <c:v>8.228337925270111</c:v>
                </c:pt>
                <c:pt idx="4">
                  <c:v>1.5846228654786643</c:v>
                </c:pt>
                <c:pt idx="5">
                  <c:v>-2.6056892130086027</c:v>
                </c:pt>
                <c:pt idx="6">
                  <c:v>4.525669566232267</c:v>
                </c:pt>
                <c:pt idx="7">
                  <c:v>7.7693265108560183</c:v>
                </c:pt>
                <c:pt idx="8">
                  <c:v>-0.85206857612153897</c:v>
                </c:pt>
                <c:pt idx="9">
                  <c:v>9.1815075585007406</c:v>
                </c:pt>
                <c:pt idx="10">
                  <c:v>9.3672206548282304</c:v>
                </c:pt>
                <c:pt idx="11">
                  <c:v>6.3596762131953142</c:v>
                </c:pt>
                <c:pt idx="12">
                  <c:v>6.1402466560108451</c:v>
                </c:pt>
                <c:pt idx="13">
                  <c:v>-11.450156530251959</c:v>
                </c:pt>
                <c:pt idx="14">
                  <c:v>4.6390136584932407</c:v>
                </c:pt>
                <c:pt idx="15">
                  <c:v>18.602010660674281</c:v>
                </c:pt>
              </c:numCache>
            </c:numRef>
          </c:val>
          <c:smooth val="0"/>
          <c:extLst>
            <c:ext xmlns:c16="http://schemas.microsoft.com/office/drawing/2014/chart" uri="{C3380CC4-5D6E-409C-BE32-E72D297353CC}">
              <c16:uniqueId val="{00000005-112E-4907-B5FD-B837F71A3BD1}"/>
            </c:ext>
          </c:extLst>
        </c:ser>
        <c:dLbls>
          <c:showLegendKey val="0"/>
          <c:showVal val="0"/>
          <c:showCatName val="0"/>
          <c:showSerName val="0"/>
          <c:showPercent val="0"/>
          <c:showBubbleSize val="0"/>
        </c:dLbls>
        <c:marker val="1"/>
        <c:smooth val="0"/>
        <c:axId val="194467712"/>
        <c:axId val="194473984"/>
      </c:lineChart>
      <c:lineChart>
        <c:grouping val="standard"/>
        <c:varyColors val="0"/>
        <c:ser>
          <c:idx val="6"/>
          <c:order val="6"/>
          <c:tx>
            <c:strRef>
              <c:f>'G1-Státní rozpočet-příjmy-2020'!$A$35</c:f>
              <c:strCache>
                <c:ptCount val="1"/>
                <c:pt idx="0">
                  <c:v>State budget balance (SB, right axis)</c:v>
                </c:pt>
              </c:strCache>
            </c:strRef>
          </c:tx>
          <c:spPr>
            <a:ln w="19050">
              <a:solidFill>
                <a:schemeClr val="tx1">
                  <a:lumMod val="95000"/>
                  <a:lumOff val="5000"/>
                </a:schemeClr>
              </a:solidFill>
            </a:ln>
          </c:spPr>
          <c:marker>
            <c:symbol val="none"/>
          </c:marker>
          <c:cat>
            <c:numRef>
              <c:f>'G1-Státní rozpočet-příjmy-2020'!$D$28:$S$28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'G1-Státní rozpočet-příjmy-2020'!$D$35:$S$35</c:f>
              <c:numCache>
                <c:formatCode>#\ ##0.0</c:formatCode>
                <c:ptCount val="16"/>
                <c:pt idx="0">
                  <c:v>1.2749999999999999</c:v>
                </c:pt>
                <c:pt idx="1">
                  <c:v>-5.6520000000000001</c:v>
                </c:pt>
                <c:pt idx="2">
                  <c:v>-68.259</c:v>
                </c:pt>
                <c:pt idx="3">
                  <c:v>-75.662000000000006</c:v>
                </c:pt>
                <c:pt idx="4">
                  <c:v>-62.856000000000002</c:v>
                </c:pt>
                <c:pt idx="5">
                  <c:v>-71.721999999999994</c:v>
                </c:pt>
                <c:pt idx="6">
                  <c:v>-31.52</c:v>
                </c:pt>
                <c:pt idx="7">
                  <c:v>1.45</c:v>
                </c:pt>
                <c:pt idx="8">
                  <c:v>22.65</c:v>
                </c:pt>
                <c:pt idx="9">
                  <c:v>40.65</c:v>
                </c:pt>
                <c:pt idx="10">
                  <c:v>4.62</c:v>
                </c:pt>
                <c:pt idx="11">
                  <c:v>-5.88</c:v>
                </c:pt>
                <c:pt idx="12">
                  <c:v>-20.68</c:v>
                </c:pt>
                <c:pt idx="13">
                  <c:v>-195.24722774568022</c:v>
                </c:pt>
                <c:pt idx="14">
                  <c:v>-265.05468517270992</c:v>
                </c:pt>
                <c:pt idx="15">
                  <c:v>-182.95611616665997</c:v>
                </c:pt>
              </c:numCache>
            </c:numRef>
          </c:val>
          <c:smooth val="0"/>
          <c:extLst>
            <c:ext xmlns:c16="http://schemas.microsoft.com/office/drawing/2014/chart" uri="{C3380CC4-5D6E-409C-BE32-E72D297353CC}">
              <c16:uniqueId val="{00000006-112E-4907-B5FD-B837F71A3BD1}"/>
            </c:ext>
          </c:extLst>
        </c:ser>
        <c:dLbls>
          <c:showLegendKey val="0"/>
          <c:showVal val="0"/>
          <c:showCatName val="0"/>
          <c:showSerName val="0"/>
          <c:showPercent val="0"/>
          <c:showBubbleSize val="0"/>
        </c:dLbls>
        <c:marker val="1"/>
        <c:smooth val="0"/>
        <c:axId val="539204576"/>
        <c:axId val="556140592"/>
      </c:lineChart>
      <c:catAx>
        <c:axId val="194467712"/>
        <c:scaling>
          <c:orientation val="minMax"/>
        </c:scaling>
        <c:delete val="0"/>
        <c:axPos val="b"/>
        <c:numFmt formatCode="General" sourceLinked="1"/>
        <c:majorTickMark val="out"/>
        <c:minorTickMark val="none"/>
        <c:tickLblPos val="low"/>
        <c:spPr>
          <a:ln w="6350">
            <a:solidFill>
              <a:schemeClr val="tx1"/>
            </a:solidFill>
          </a:ln>
        </c:spPr>
        <c:txPr>
          <a:bodyPr/>
          <a:lstStyle/>
          <a:p>
            <a:pPr>
              <a:defRPr sz="800" b="0" i="0"/>
            </a:pPr>
            <a:endParaRPr lang="cs-CZ"/>
          </a:p>
        </c:txPr>
        <c:crossAx val="194473984"/>
        <c:crosses val="autoZero"/>
        <c:auto val="1"/>
        <c:lblAlgn val="ctr"/>
        <c:lblOffset val="0"/>
        <c:noMultiLvlLbl val="0"/>
      </c:catAx>
      <c:valAx>
        <c:axId val="194473984"/>
        <c:scaling>
          <c:orientation val="minMax"/>
          <c:max val="20"/>
          <c:min val="-24"/>
        </c:scaling>
        <c:delete val="0"/>
        <c:axPos val="l"/>
        <c:majorGridlines>
          <c:spPr>
            <a:ln w="6350">
              <a:solidFill>
                <a:schemeClr val="bg1">
                  <a:lumMod val="75000"/>
                </a:schemeClr>
              </a:solidFill>
            </a:ln>
          </c:spPr>
        </c:majorGridlines>
        <c:title>
          <c:tx>
            <c:rich>
              <a:bodyPr/>
              <a:lstStyle/>
              <a:p>
                <a:pPr>
                  <a:defRPr b="0"/>
                </a:pPr>
                <a:r>
                  <a:rPr lang="cs-CZ" b="0"/>
                  <a:t>Contribution to the growth of total tax income</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94467712"/>
        <c:crosses val="autoZero"/>
        <c:crossBetween val="between"/>
        <c:majorUnit val="4"/>
      </c:valAx>
      <c:valAx>
        <c:axId val="556140592"/>
        <c:scaling>
          <c:orientation val="minMax"/>
          <c:max val="250"/>
          <c:min val="-300"/>
        </c:scaling>
        <c:delete val="0"/>
        <c:axPos val="r"/>
        <c:title>
          <c:tx>
            <c:rich>
              <a:bodyPr/>
              <a:lstStyle/>
              <a:p>
                <a:pPr>
                  <a:defRPr b="0"/>
                </a:pPr>
                <a:r>
                  <a:rPr lang="cs-CZ" b="0"/>
                  <a:t>State budget balance</a:t>
                </a:r>
              </a:p>
            </c:rich>
          </c:tx>
          <c:layout>
            <c:manualLayout>
              <c:xMode val="edge"/>
              <c:yMode val="edge"/>
              <c:x val="0.9703665147000754"/>
              <c:y val="0.22250335132006971"/>
            </c:manualLayout>
          </c:layout>
          <c:overlay val="0"/>
        </c:title>
        <c:numFmt formatCode="#,##0" sourceLinked="0"/>
        <c:majorTickMark val="out"/>
        <c:minorTickMark val="none"/>
        <c:tickLblPos val="nextTo"/>
        <c:txPr>
          <a:bodyPr/>
          <a:lstStyle/>
          <a:p>
            <a:pPr>
              <a:defRPr sz="800" b="0" i="0"/>
            </a:pPr>
            <a:endParaRPr lang="cs-CZ"/>
          </a:p>
        </c:txPr>
        <c:crossAx val="539204576"/>
        <c:crosses val="max"/>
        <c:crossBetween val="between"/>
        <c:majorUnit val="50"/>
      </c:valAx>
      <c:catAx>
        <c:axId val="539204576"/>
        <c:scaling>
          <c:orientation val="minMax"/>
        </c:scaling>
        <c:delete val="1"/>
        <c:axPos val="b"/>
        <c:numFmt formatCode="General" sourceLinked="1"/>
        <c:majorTickMark val="out"/>
        <c:minorTickMark val="none"/>
        <c:tickLblPos val="nextTo"/>
        <c:crossAx val="556140592"/>
        <c:crosses val="autoZero"/>
        <c:auto val="1"/>
        <c:lblAlgn val="ctr"/>
        <c:lblOffset val="100"/>
        <c:noMultiLvlLbl val="0"/>
      </c:catAx>
      <c:spPr>
        <a:ln w="6350">
          <a:solidFill>
            <a:schemeClr val="tx1"/>
          </a:solidFill>
        </a:ln>
      </c:spPr>
    </c:plotArea>
    <c:legend>
      <c:legendPos val="b"/>
      <c:layout>
        <c:manualLayout>
          <c:xMode val="edge"/>
          <c:yMode val="edge"/>
          <c:x val="6.6963209162761925E-2"/>
          <c:y val="0.80336737023666083"/>
          <c:w val="0.84588095926887108"/>
          <c:h val="0.19298912883762878"/>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888679630405088E-2"/>
          <c:y val="1.7112323287741892E-2"/>
          <c:w val="0.84305011307017252"/>
          <c:h val="0.76067747074773961"/>
        </c:manualLayout>
      </c:layout>
      <c:barChart>
        <c:barDir val="col"/>
        <c:grouping val="clustered"/>
        <c:varyColors val="0"/>
        <c:ser>
          <c:idx val="0"/>
          <c:order val="0"/>
          <c:tx>
            <c:strRef>
              <c:f>'G2-St.rozpočet-výdaje-1q'!$B$30</c:f>
              <c:strCache>
                <c:ptCount val="1"/>
                <c:pt idx="0">
                  <c:v>Total current expenditures (right axis)</c:v>
                </c:pt>
              </c:strCache>
            </c:strRef>
          </c:tx>
          <c:spPr>
            <a:solidFill>
              <a:srgbClr val="D3D3D3"/>
            </a:solidFill>
            <a:ln>
              <a:noFill/>
            </a:ln>
          </c:spPr>
          <c:invertIfNegative val="0"/>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'G2-St.rozpočet-výdaje-1q'!$B$33:$B$48</c:f>
              <c:numCache>
                <c:formatCode>0.0</c:formatCode>
                <c:ptCount val="16"/>
                <c:pt idx="0">
                  <c:v>455.274</c:v>
                </c:pt>
                <c:pt idx="1">
                  <c:v>488.71899999999999</c:v>
                </c:pt>
                <c:pt idx="2">
                  <c:v>523.79999999999995</c:v>
                </c:pt>
                <c:pt idx="3">
                  <c:v>527.73400000000004</c:v>
                </c:pt>
                <c:pt idx="4">
                  <c:v>523.22</c:v>
                </c:pt>
                <c:pt idx="5">
                  <c:v>534.42999999999995</c:v>
                </c:pt>
                <c:pt idx="6">
                  <c:v>544.65</c:v>
                </c:pt>
                <c:pt idx="7">
                  <c:v>552.71100000000001</c:v>
                </c:pt>
                <c:pt idx="8">
                  <c:v>564.13</c:v>
                </c:pt>
                <c:pt idx="9">
                  <c:v>575.57000000000005</c:v>
                </c:pt>
                <c:pt idx="10">
                  <c:v>609.53</c:v>
                </c:pt>
                <c:pt idx="11">
                  <c:v>660.76</c:v>
                </c:pt>
                <c:pt idx="12">
                  <c:v>718.74153402592015</c:v>
                </c:pt>
                <c:pt idx="13">
                  <c:v>829.93717826878003</c:v>
                </c:pt>
                <c:pt idx="14">
                  <c:v>918.12541435127969</c:v>
                </c:pt>
                <c:pt idx="15">
                  <c:v>901.965444488</c:v>
                </c:pt>
              </c:numCache>
            </c:numRef>
          </c:val>
          <c:extLst>
            <c:ext xmlns:c16="http://schemas.microsoft.com/office/drawing/2014/chart" uri="{C3380CC4-5D6E-409C-BE32-E72D297353CC}">
              <c16:uniqueId val="{00000000-BD68-4A10-AD1F-277BEE3B8D36}"/>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'G2-St.rozpočet-výdaje-1q'!$C$30</c:f>
              <c:strCache>
                <c:ptCount val="1"/>
                <c:pt idx="0">
                  <c:v>Wages of employees in publ. admin.*</c:v>
                </c:pt>
              </c:strCache>
            </c:strRef>
          </c:tx>
          <c:spPr>
            <a:ln w="15875">
              <a:solidFill>
                <a:srgbClr val="F8A124"/>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'G2-St.rozpočet-výdaje-1q'!$C$33:$C$48</c:f>
              <c:numCache>
                <c:formatCode>0.0</c:formatCode>
                <c:ptCount val="16"/>
                <c:pt idx="0">
                  <c:v>37.92</c:v>
                </c:pt>
                <c:pt idx="1">
                  <c:v>37.729999999999997</c:v>
                </c:pt>
                <c:pt idx="2">
                  <c:v>38.979999999999997</c:v>
                </c:pt>
                <c:pt idx="3">
                  <c:v>39.36</c:v>
                </c:pt>
                <c:pt idx="4">
                  <c:v>35.700000000000003</c:v>
                </c:pt>
                <c:pt idx="5">
                  <c:v>36.299999999999997</c:v>
                </c:pt>
                <c:pt idx="6">
                  <c:v>36.880000000000003</c:v>
                </c:pt>
                <c:pt idx="7">
                  <c:v>38.090000000000003</c:v>
                </c:pt>
                <c:pt idx="8">
                  <c:v>41.88</c:v>
                </c:pt>
                <c:pt idx="9">
                  <c:v>43.22</c:v>
                </c:pt>
                <c:pt idx="10">
                  <c:v>46.52</c:v>
                </c:pt>
                <c:pt idx="11">
                  <c:v>53.13</c:v>
                </c:pt>
                <c:pt idx="12">
                  <c:v>57.572759809109989</c:v>
                </c:pt>
                <c:pt idx="13">
                  <c:v>60.066088983770015</c:v>
                </c:pt>
                <c:pt idx="14">
                  <c:v>60.729182157669975</c:v>
                </c:pt>
                <c:pt idx="15">
                  <c:v>60.899295771150001</c:v>
                </c:pt>
              </c:numCache>
            </c:numRef>
          </c:val>
          <c:smooth val="0"/>
          <c:extLst>
            <c:ext xmlns:c16="http://schemas.microsoft.com/office/drawing/2014/chart" uri="{C3380CC4-5D6E-409C-BE32-E72D297353CC}">
              <c16:uniqueId val="{00000001-BD68-4A10-AD1F-277BEE3B8D36}"/>
            </c:ext>
          </c:extLst>
        </c:ser>
        <c:ser>
          <c:idx val="6"/>
          <c:order val="2"/>
          <c:tx>
            <c:strRef>
              <c:f>'G2-St.rozpočet-výdaje-1q'!$D$30</c:f>
              <c:strCache>
                <c:ptCount val="1"/>
                <c:pt idx="0">
                  <c:v>Unemployment benefits</c:v>
                </c:pt>
              </c:strCache>
            </c:strRef>
          </c:tx>
          <c:spPr>
            <a:ln w="15875">
              <a:solidFill>
                <a:srgbClr val="48AEE7"/>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'G2-St.rozpočet-výdaje-1q'!$D$33:$D$48</c:f>
              <c:numCache>
                <c:formatCode>0.0</c:formatCode>
                <c:ptCount val="16"/>
                <c:pt idx="0">
                  <c:v>3.78</c:v>
                </c:pt>
                <c:pt idx="1">
                  <c:v>3.56</c:v>
                </c:pt>
                <c:pt idx="2">
                  <c:v>7.3049999999999997</c:v>
                </c:pt>
                <c:pt idx="3">
                  <c:v>7.77</c:v>
                </c:pt>
                <c:pt idx="4">
                  <c:v>6.2279999999999998</c:v>
                </c:pt>
                <c:pt idx="5">
                  <c:v>4.8410000000000002</c:v>
                </c:pt>
                <c:pt idx="6">
                  <c:v>5.3579999999999997</c:v>
                </c:pt>
                <c:pt idx="7">
                  <c:v>5.2690000000000001</c:v>
                </c:pt>
                <c:pt idx="8">
                  <c:v>4.6150000000000002</c:v>
                </c:pt>
                <c:pt idx="9">
                  <c:v>4.4829999999999997</c:v>
                </c:pt>
                <c:pt idx="10">
                  <c:v>4.3310000000000004</c:v>
                </c:pt>
                <c:pt idx="11">
                  <c:v>3.98</c:v>
                </c:pt>
                <c:pt idx="12">
                  <c:v>4.2361097359899995</c:v>
                </c:pt>
                <c:pt idx="13">
                  <c:v>5.1359402661699995</c:v>
                </c:pt>
                <c:pt idx="14">
                  <c:v>5.4746733001600001</c:v>
                </c:pt>
                <c:pt idx="15">
                  <c:v>5.0591815394900008</c:v>
                </c:pt>
              </c:numCache>
            </c:numRef>
          </c:val>
          <c:smooth val="0"/>
          <c:extLst>
            <c:ext xmlns:c16="http://schemas.microsoft.com/office/drawing/2014/chart" uri="{C3380CC4-5D6E-409C-BE32-E72D297353CC}">
              <c16:uniqueId val="{00000002-BD68-4A10-AD1F-277BEE3B8D36}"/>
            </c:ext>
          </c:extLst>
        </c:ser>
        <c:ser>
          <c:idx val="7"/>
          <c:order val="3"/>
          <c:tx>
            <c:strRef>
              <c:f>'G2-St.rozpočet-výdaje-1q'!$E$30</c:f>
              <c:strCache>
                <c:ptCount val="1"/>
                <c:pt idx="0">
                  <c:v>State social support**</c:v>
                </c:pt>
              </c:strCache>
            </c:strRef>
          </c:tx>
          <c:spPr>
            <a:ln w="15875">
              <a:solidFill>
                <a:srgbClr val="00B050"/>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'G2-St.rozpočet-výdaje-1q'!$E$33:$E$48</c:f>
              <c:numCache>
                <c:formatCode>0.0</c:formatCode>
                <c:ptCount val="16"/>
                <c:pt idx="0">
                  <c:v>23.83</c:v>
                </c:pt>
                <c:pt idx="1">
                  <c:v>21.52</c:v>
                </c:pt>
                <c:pt idx="2">
                  <c:v>20.594999999999999</c:v>
                </c:pt>
                <c:pt idx="3">
                  <c:v>20.64</c:v>
                </c:pt>
                <c:pt idx="4">
                  <c:v>18.405999999999999</c:v>
                </c:pt>
                <c:pt idx="5">
                  <c:v>17.881</c:v>
                </c:pt>
                <c:pt idx="6">
                  <c:v>18.681999999999999</c:v>
                </c:pt>
                <c:pt idx="7">
                  <c:v>18.91</c:v>
                </c:pt>
                <c:pt idx="8">
                  <c:v>18.873999999999999</c:v>
                </c:pt>
                <c:pt idx="9">
                  <c:v>18.963999999999999</c:v>
                </c:pt>
                <c:pt idx="10">
                  <c:v>18.742000000000001</c:v>
                </c:pt>
                <c:pt idx="11">
                  <c:v>19.53</c:v>
                </c:pt>
                <c:pt idx="12">
                  <c:v>19.01942501061</c:v>
                </c:pt>
                <c:pt idx="13">
                  <c:v>25.639216971080003</c:v>
                </c:pt>
                <c:pt idx="14">
                  <c:v>24.53789922679</c:v>
                </c:pt>
                <c:pt idx="15">
                  <c:v>24.165766431880002</c:v>
                </c:pt>
              </c:numCache>
            </c:numRef>
          </c:val>
          <c:smooth val="0"/>
          <c:extLst>
            <c:ext xmlns:c16="http://schemas.microsoft.com/office/drawing/2014/chart" uri="{C3380CC4-5D6E-409C-BE32-E72D297353CC}">
              <c16:uniqueId val="{00000003-BD68-4A10-AD1F-277BEE3B8D36}"/>
            </c:ext>
          </c:extLst>
        </c:ser>
        <c:ser>
          <c:idx val="2"/>
          <c:order val="4"/>
          <c:tx>
            <c:strRef>
              <c:f>'G2-St.rozpočet-výdaje-1q'!$F$30</c:f>
              <c:strCache>
                <c:ptCount val="1"/>
                <c:pt idx="0">
                  <c:v>Sickness benefits</c:v>
                </c:pt>
              </c:strCache>
            </c:strRef>
          </c:tx>
          <c:spPr>
            <a:ln w="15875">
              <a:solidFill>
                <a:srgbClr val="0071BC"/>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'G2-St.rozpočet-výdaje-1q'!$F$33:$F$48</c:f>
              <c:numCache>
                <c:formatCode>0.00</c:formatCode>
                <c:ptCount val="16"/>
                <c:pt idx="0">
                  <c:v>18.398</c:v>
                </c:pt>
                <c:pt idx="1">
                  <c:v>16.734000000000002</c:v>
                </c:pt>
                <c:pt idx="2">
                  <c:v>14.089</c:v>
                </c:pt>
                <c:pt idx="3">
                  <c:v>11.56</c:v>
                </c:pt>
                <c:pt idx="4">
                  <c:v>11.773</c:v>
                </c:pt>
                <c:pt idx="5">
                  <c:v>10.244</c:v>
                </c:pt>
                <c:pt idx="6">
                  <c:v>10.609</c:v>
                </c:pt>
                <c:pt idx="7">
                  <c:v>11.201000000000001</c:v>
                </c:pt>
                <c:pt idx="8">
                  <c:v>12.429</c:v>
                </c:pt>
                <c:pt idx="9">
                  <c:v>13.566000000000001</c:v>
                </c:pt>
                <c:pt idx="10">
                  <c:v>14.757999999999999</c:v>
                </c:pt>
                <c:pt idx="11">
                  <c:v>17.3</c:v>
                </c:pt>
                <c:pt idx="12">
                  <c:v>19.93</c:v>
                </c:pt>
                <c:pt idx="13">
                  <c:v>30.15</c:v>
                </c:pt>
                <c:pt idx="14">
                  <c:v>28.65</c:v>
                </c:pt>
                <c:pt idx="15">
                  <c:v>25.56</c:v>
                </c:pt>
              </c:numCache>
            </c:numRef>
          </c:val>
          <c:smooth val="0"/>
          <c:extLst>
            <c:ext xmlns:c16="http://schemas.microsoft.com/office/drawing/2014/chart" uri="{C3380CC4-5D6E-409C-BE32-E72D297353CC}">
              <c16:uniqueId val="{00000004-BD68-4A10-AD1F-277BEE3B8D36}"/>
            </c:ext>
          </c:extLst>
        </c:ser>
        <c:ser>
          <c:idx val="3"/>
          <c:order val="5"/>
          <c:tx>
            <c:strRef>
              <c:f>'G2-St.rozpočet-výdaje-1q'!$G$30</c:f>
              <c:strCache>
                <c:ptCount val="1"/>
                <c:pt idx="0">
                  <c:v>Social care benefits***</c:v>
                </c:pt>
              </c:strCache>
            </c:strRef>
          </c:tx>
          <c:spPr>
            <a:ln w="15875">
              <a:solidFill>
                <a:srgbClr val="7030A0"/>
              </a:solidFill>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'G2-St.rozpočet-výdaje-1q'!$G$33:$G$48</c:f>
              <c:numCache>
                <c:formatCode>0.00</c:formatCode>
                <c:ptCount val="16"/>
                <c:pt idx="0">
                  <c:v>11.690999999999999</c:v>
                </c:pt>
                <c:pt idx="1">
                  <c:v>13.247</c:v>
                </c:pt>
                <c:pt idx="2">
                  <c:v>13.003</c:v>
                </c:pt>
                <c:pt idx="3">
                  <c:v>13.486000000000001</c:v>
                </c:pt>
                <c:pt idx="4">
                  <c:v>12.911000000000001</c:v>
                </c:pt>
                <c:pt idx="5">
                  <c:v>13.282</c:v>
                </c:pt>
                <c:pt idx="6">
                  <c:v>15.668000000000001</c:v>
                </c:pt>
                <c:pt idx="7">
                  <c:v>16.734999999999999</c:v>
                </c:pt>
                <c:pt idx="8">
                  <c:v>16.93</c:v>
                </c:pt>
                <c:pt idx="9">
                  <c:v>16.78</c:v>
                </c:pt>
                <c:pt idx="10">
                  <c:v>17.489999999999998</c:v>
                </c:pt>
                <c:pt idx="11">
                  <c:v>17.100000000000001</c:v>
                </c:pt>
                <c:pt idx="12">
                  <c:v>17.32</c:v>
                </c:pt>
                <c:pt idx="13">
                  <c:v>20.09</c:v>
                </c:pt>
                <c:pt idx="14">
                  <c:v>20.37</c:v>
                </c:pt>
                <c:pt idx="15">
                  <c:v>26.55</c:v>
                </c:pt>
              </c:numCache>
            </c:numRef>
          </c:val>
          <c:smooth val="0"/>
          <c:extLst>
            <c:ext xmlns:c16="http://schemas.microsoft.com/office/drawing/2014/chart" uri="{C3380CC4-5D6E-409C-BE32-E72D297353CC}">
              <c16:uniqueId val="{00000005-BD68-4A10-AD1F-277BEE3B8D36}"/>
            </c:ext>
          </c:extLst>
        </c:ser>
        <c:ser>
          <c:idx val="4"/>
          <c:order val="6"/>
          <c:tx>
            <c:strRef>
              <c:f>'G2-St.rozpočet-výdaje-1q'!$H$30</c:f>
              <c:strCache>
                <c:ptCount val="1"/>
                <c:pt idx="0">
                  <c:v>Non-investment purchases****</c:v>
                </c:pt>
              </c:strCache>
            </c:strRef>
          </c:tx>
          <c:spPr>
            <a:ln w="15875">
              <a:solidFill>
                <a:srgbClr val="D5D000"/>
              </a:solidFill>
              <a:prstDash val="solid"/>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'G2-St.rozpočet-výdaje-1q'!$H$33:$H$48</c:f>
              <c:numCache>
                <c:formatCode>0.0</c:formatCode>
                <c:ptCount val="16"/>
                <c:pt idx="0">
                  <c:v>33.647000000000006</c:v>
                </c:pt>
                <c:pt idx="1">
                  <c:v>31.934000000000005</c:v>
                </c:pt>
                <c:pt idx="2">
                  <c:v>32.001999999999995</c:v>
                </c:pt>
                <c:pt idx="3">
                  <c:v>31.84</c:v>
                </c:pt>
                <c:pt idx="4">
                  <c:v>29.076999999999998</c:v>
                </c:pt>
                <c:pt idx="5">
                  <c:v>26.950000000000003</c:v>
                </c:pt>
                <c:pt idx="6">
                  <c:v>23.5</c:v>
                </c:pt>
                <c:pt idx="7">
                  <c:v>22.14</c:v>
                </c:pt>
                <c:pt idx="8">
                  <c:v>25.509999999999998</c:v>
                </c:pt>
                <c:pt idx="9">
                  <c:v>25.499999999999996</c:v>
                </c:pt>
                <c:pt idx="10">
                  <c:v>29.889999999999997</c:v>
                </c:pt>
                <c:pt idx="11">
                  <c:v>30.75</c:v>
                </c:pt>
                <c:pt idx="12">
                  <c:v>27.947201055630007</c:v>
                </c:pt>
                <c:pt idx="13">
                  <c:v>35.631314475349981</c:v>
                </c:pt>
                <c:pt idx="14">
                  <c:v>32.201508781230004</c:v>
                </c:pt>
                <c:pt idx="15">
                  <c:v>39.474180355079994</c:v>
                </c:pt>
              </c:numCache>
            </c:numRef>
          </c:val>
          <c:smooth val="0"/>
          <c:extLst>
            <c:ext xmlns:c16="http://schemas.microsoft.com/office/drawing/2014/chart" uri="{C3380CC4-5D6E-409C-BE32-E72D297353CC}">
              <c16:uniqueId val="{00000006-BD68-4A10-AD1F-277BEE3B8D36}"/>
            </c:ext>
          </c:extLst>
        </c:ser>
        <c:ser>
          <c:idx val="5"/>
          <c:order val="7"/>
          <c:tx>
            <c:strRef>
              <c:f>'G2-St.rozpočet-výdaje-1q'!$I$30</c:f>
              <c:strCache>
                <c:ptCount val="1"/>
                <c:pt idx="0">
                  <c:v>State debt (net expenditures) *****</c:v>
                </c:pt>
              </c:strCache>
            </c:strRef>
          </c:tx>
          <c:spPr>
            <a:ln w="15875">
              <a:solidFill>
                <a:srgbClr val="996633"/>
              </a:solidFill>
              <a:prstDash val="sysDash"/>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'G2-St.rozpočet-výdaje-1q'!$I$33:$I$48</c:f>
              <c:numCache>
                <c:formatCode>0.0</c:formatCode>
                <c:ptCount val="16"/>
                <c:pt idx="0">
                  <c:v>17.05</c:v>
                </c:pt>
                <c:pt idx="1">
                  <c:v>16.5</c:v>
                </c:pt>
                <c:pt idx="2">
                  <c:v>25.770000000000003</c:v>
                </c:pt>
                <c:pt idx="3">
                  <c:v>21.27</c:v>
                </c:pt>
                <c:pt idx="4">
                  <c:v>25.81</c:v>
                </c:pt>
                <c:pt idx="5">
                  <c:v>26.419999999999998</c:v>
                </c:pt>
                <c:pt idx="6">
                  <c:v>30.400000000000002</c:v>
                </c:pt>
                <c:pt idx="7">
                  <c:v>26.86</c:v>
                </c:pt>
                <c:pt idx="8">
                  <c:v>23.55</c:v>
                </c:pt>
                <c:pt idx="9">
                  <c:v>23.76</c:v>
                </c:pt>
                <c:pt idx="10">
                  <c:v>18.739999999999998</c:v>
                </c:pt>
                <c:pt idx="11">
                  <c:v>20.11</c:v>
                </c:pt>
                <c:pt idx="12">
                  <c:v>16.91954772339</c:v>
                </c:pt>
                <c:pt idx="13">
                  <c:v>12.518656263610001</c:v>
                </c:pt>
                <c:pt idx="14">
                  <c:v>18.61619246826</c:v>
                </c:pt>
                <c:pt idx="15">
                  <c:v>23.0003230005</c:v>
                </c:pt>
              </c:numCache>
            </c:numRef>
          </c:val>
          <c:smooth val="0"/>
          <c:extLst>
            <c:ext xmlns:c16="http://schemas.microsoft.com/office/drawing/2014/chart" uri="{C3380CC4-5D6E-409C-BE32-E72D297353CC}">
              <c16:uniqueId val="{00000007-BD68-4A10-AD1F-277BEE3B8D36}"/>
            </c:ext>
          </c:extLst>
        </c:ser>
        <c:ser>
          <c:idx val="8"/>
          <c:order val="8"/>
          <c:tx>
            <c:strRef>
              <c:f>'G2-St.rozpočet-výdaje-1q'!$J$30</c:f>
              <c:strCache>
                <c:ptCount val="1"/>
                <c:pt idx="0">
                  <c:v>Non-investment transfers to commercial ent.</c:v>
                </c:pt>
              </c:strCache>
            </c:strRef>
          </c:tx>
          <c:spPr>
            <a:ln w="15875">
              <a:solidFill>
                <a:schemeClr val="tx1">
                  <a:lumMod val="95000"/>
                  <a:lumOff val="5000"/>
                </a:schemeClr>
              </a:solidFill>
              <a:prstDash val="dash"/>
            </a:ln>
          </c:spPr>
          <c:marker>
            <c:symbol val="none"/>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'G2-St.rozpočet-výdaje-1q'!$J$33:$J$48</c:f>
              <c:numCache>
                <c:formatCode>0.0</c:formatCode>
                <c:ptCount val="16"/>
                <c:pt idx="0">
                  <c:v>11.638999999999999</c:v>
                </c:pt>
                <c:pt idx="1">
                  <c:v>13.86</c:v>
                </c:pt>
                <c:pt idx="2">
                  <c:v>13.8</c:v>
                </c:pt>
                <c:pt idx="3">
                  <c:v>15.068</c:v>
                </c:pt>
                <c:pt idx="4">
                  <c:v>15.095000000000001</c:v>
                </c:pt>
                <c:pt idx="5">
                  <c:v>18.314</c:v>
                </c:pt>
                <c:pt idx="6">
                  <c:v>16.995000000000001</c:v>
                </c:pt>
                <c:pt idx="7">
                  <c:v>19.023</c:v>
                </c:pt>
                <c:pt idx="8">
                  <c:v>18.837</c:v>
                </c:pt>
                <c:pt idx="9">
                  <c:v>18.062000000000001</c:v>
                </c:pt>
                <c:pt idx="10">
                  <c:v>23.908000000000001</c:v>
                </c:pt>
                <c:pt idx="11">
                  <c:v>28.649000000000001</c:v>
                </c:pt>
                <c:pt idx="12">
                  <c:v>28.899000000000001</c:v>
                </c:pt>
                <c:pt idx="13">
                  <c:v>52.881999999999998</c:v>
                </c:pt>
                <c:pt idx="14">
                  <c:v>85.23259722775002</c:v>
                </c:pt>
                <c:pt idx="15">
                  <c:v>34.100329251030004</c:v>
                </c:pt>
              </c:numCache>
            </c:numRef>
          </c:val>
          <c:smooth val="0"/>
          <c:extLst>
            <c:ext xmlns:c16="http://schemas.microsoft.com/office/drawing/2014/chart" uri="{C3380CC4-5D6E-409C-BE32-E72D297353CC}">
              <c16:uniqueId val="{00000008-BD68-4A10-AD1F-277BEE3B8D36}"/>
            </c:ext>
          </c:extLst>
        </c:ser>
        <c:ser>
          <c:idx val="9"/>
          <c:order val="9"/>
          <c:tx>
            <c:strRef>
              <c:f>'G2-St.rozpočet-výdaje-1q'!$K$30</c:f>
              <c:strCache>
                <c:ptCount val="1"/>
                <c:pt idx="0">
                  <c:v>Capital expenditures</c:v>
                </c:pt>
              </c:strCache>
            </c:strRef>
          </c:tx>
          <c:spPr>
            <a:ln w="9525">
              <a:solidFill>
                <a:srgbClr val="C00000"/>
              </a:solidFill>
              <a:prstDash val="sysDot"/>
            </a:ln>
          </c:spPr>
          <c:marker>
            <c:symbol val="circle"/>
            <c:size val="4"/>
            <c:spPr>
              <a:solidFill>
                <a:srgbClr val="C00000"/>
              </a:solidFill>
              <a:ln>
                <a:noFill/>
              </a:ln>
            </c:spPr>
          </c:marker>
          <c:cat>
            <c:numRef>
              <c:f>'G2-St.rozpočet-výdaje-1q'!$A$33:$A$48</c:f>
              <c:numCache>
                <c:formatCode>General</c:formatCod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numCache>
            </c:numRef>
          </c:cat>
          <c:val>
            <c:numRef>
              <c:f>'G2-St.rozpočet-výdaje-1q'!$K$33:$K$48</c:f>
              <c:numCache>
                <c:formatCode>0.0</c:formatCode>
                <c:ptCount val="16"/>
                <c:pt idx="0">
                  <c:v>26.771000000000001</c:v>
                </c:pt>
                <c:pt idx="1">
                  <c:v>53.505000000000003</c:v>
                </c:pt>
                <c:pt idx="2">
                  <c:v>51.149000000000001</c:v>
                </c:pt>
                <c:pt idx="3">
                  <c:v>55.872999999999998</c:v>
                </c:pt>
                <c:pt idx="4">
                  <c:v>47.277000000000001</c:v>
                </c:pt>
                <c:pt idx="5">
                  <c:v>41.93</c:v>
                </c:pt>
                <c:pt idx="6">
                  <c:v>36.779000000000003</c:v>
                </c:pt>
                <c:pt idx="7">
                  <c:v>34.893999999999998</c:v>
                </c:pt>
                <c:pt idx="8">
                  <c:v>54.02</c:v>
                </c:pt>
                <c:pt idx="9">
                  <c:v>39.090000000000003</c:v>
                </c:pt>
                <c:pt idx="10">
                  <c:v>20.309999999999999</c:v>
                </c:pt>
                <c:pt idx="11">
                  <c:v>33.25</c:v>
                </c:pt>
                <c:pt idx="12">
                  <c:v>45.820505926130004</c:v>
                </c:pt>
                <c:pt idx="13">
                  <c:v>64.976999301739994</c:v>
                </c:pt>
                <c:pt idx="14">
                  <c:v>59.7056835355</c:v>
                </c:pt>
                <c:pt idx="15">
                  <c:v>68.002101568619992</c:v>
                </c:pt>
              </c:numCache>
            </c:numRef>
          </c:val>
          <c:smooth val="0"/>
          <c:extLst>
            <c:ext xmlns:c16="http://schemas.microsoft.com/office/drawing/2014/chart" uri="{C3380CC4-5D6E-409C-BE32-E72D297353CC}">
              <c16:uniqueId val="{00000009-BD68-4A10-AD1F-277BEE3B8D36}"/>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95"/>
          <c:min val="0"/>
        </c:scaling>
        <c:delete val="0"/>
        <c:axPos val="l"/>
        <c:majorGridlines>
          <c:spPr>
            <a:ln w="6350">
              <a:solidFill>
                <a:schemeClr val="bg1">
                  <a:lumMod val="75000"/>
                </a:schemeClr>
              </a:solidFill>
            </a:ln>
          </c:spPr>
        </c:majorGridlines>
        <c:title>
          <c:tx>
            <c:rich>
              <a:bodyPr/>
              <a:lstStyle/>
              <a:p>
                <a:pPr>
                  <a:defRPr sz="700" b="0" i="1"/>
                </a:pPr>
                <a:r>
                  <a:rPr lang="cs-CZ" sz="700" b="0" i="1"/>
                  <a:t>Selected expenditures</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950"/>
          <c:min val="0"/>
        </c:scaling>
        <c:delete val="0"/>
        <c:axPos val="r"/>
        <c:title>
          <c:tx>
            <c:rich>
              <a:bodyPr/>
              <a:lstStyle/>
              <a:p>
                <a:pPr>
                  <a:defRPr sz="700" b="0" i="1"/>
                </a:pPr>
                <a:r>
                  <a:rPr lang="cs-CZ" sz="700" b="0" i="1"/>
                  <a:t>Total current expenditures</a:t>
                </a:r>
              </a:p>
            </c:rich>
          </c:tx>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5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7.8985250876283334E-3"/>
          <c:y val="0.82322179945659535"/>
          <c:w val="0.97897025048551689"/>
          <c:h val="0.16585489978301934"/>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CED2-D245-423C-8E04-BCB0360A1D6F}">
  <ds:schemaRefs>
    <ds:schemaRef ds:uri="http://schemas.openxmlformats.org/officeDocument/2006/bibliography"/>
  </ds:schemaRefs>
</ds:datastoreItem>
</file>

<file path=customXml/itemProps2.xml><?xml version="1.0" encoding="utf-8"?>
<ds:datastoreItem xmlns:ds="http://schemas.openxmlformats.org/officeDocument/2006/customXml" ds:itemID="{F8B187AE-6819-4E64-9E25-20EBA490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2808</Words>
  <Characters>16569</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19339</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3</cp:revision>
  <cp:lastPrinted>2019-04-08T10:52:00Z</cp:lastPrinted>
  <dcterms:created xsi:type="dcterms:W3CDTF">2022-10-14T10:28:00Z</dcterms:created>
  <dcterms:modified xsi:type="dcterms:W3CDTF">2022-10-14T10:43:00Z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2022-09-16T14:37:11Z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c768a867-054a-4443-ae84-aa18391251d8</vt:lpwstr>
  </property>
  <property fmtid="{D5CDD505-2E9C-101B-9397-08002B2CF9AE}" pid="8" name="MSIP_Label_29db9e61-aac5-4f6e-805d-ceb8cb9983a1_ContentBits">
    <vt:lpwstr>0</vt:lpwstr>
  </property>
</Properties>
</file>