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E40" w:rsidRPr="000A3A2C" w:rsidRDefault="00016992" w:rsidP="00E67696">
      <w:pPr>
        <w:rPr>
          <w:lang w:eastAsia="ar-SA"/>
        </w:rPr>
        <w:sectPr w:rsidR="00A75E40" w:rsidRPr="000A3A2C" w:rsidSect="0085114D">
          <w:pgSz w:w="11906" w:h="16838" w:code="9"/>
          <w:pgMar w:top="1134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466725</wp:posOffset>
                </wp:positionV>
                <wp:extent cx="2249805" cy="554355"/>
                <wp:effectExtent l="0" t="0" r="0" b="0"/>
                <wp:wrapSquare wrapText="bothSides"/>
                <wp:docPr id="5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49805" cy="554355"/>
                          <a:chOff x="567" y="851"/>
                          <a:chExt cx="2714" cy="667"/>
                        </a:xfrm>
                      </wpg:grpSpPr>
                      <wps:wsp>
                        <wps:cNvPr id="6" name="Rectangle 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15" y="901"/>
                            <a:ext cx="676" cy="154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7" y="1131"/>
                            <a:ext cx="1324" cy="154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88" y="1361"/>
                            <a:ext cx="603" cy="153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9" y="1311"/>
                            <a:ext cx="600" cy="207"/>
                          </a:xfrm>
                          <a:custGeom>
                            <a:avLst/>
                            <a:gdLst>
                              <a:gd name="T0" fmla="*/ 520 w 1200"/>
                              <a:gd name="T1" fmla="*/ 84 h 415"/>
                              <a:gd name="T2" fmla="*/ 537 w 1200"/>
                              <a:gd name="T3" fmla="*/ 88 h 415"/>
                              <a:gd name="T4" fmla="*/ 550 w 1200"/>
                              <a:gd name="T5" fmla="*/ 100 h 415"/>
                              <a:gd name="T6" fmla="*/ 557 w 1200"/>
                              <a:gd name="T7" fmla="*/ 114 h 415"/>
                              <a:gd name="T8" fmla="*/ 559 w 1200"/>
                              <a:gd name="T9" fmla="*/ 131 h 415"/>
                              <a:gd name="T10" fmla="*/ 554 w 1200"/>
                              <a:gd name="T11" fmla="*/ 147 h 415"/>
                              <a:gd name="T12" fmla="*/ 544 w 1200"/>
                              <a:gd name="T13" fmla="*/ 160 h 415"/>
                              <a:gd name="T14" fmla="*/ 530 w 1200"/>
                              <a:gd name="T15" fmla="*/ 168 h 415"/>
                              <a:gd name="T16" fmla="*/ 506 w 1200"/>
                              <a:gd name="T17" fmla="*/ 170 h 415"/>
                              <a:gd name="T18" fmla="*/ 540 w 1200"/>
                              <a:gd name="T19" fmla="*/ 202 h 415"/>
                              <a:gd name="T20" fmla="*/ 567 w 1200"/>
                              <a:gd name="T21" fmla="*/ 190 h 415"/>
                              <a:gd name="T22" fmla="*/ 587 w 1200"/>
                              <a:gd name="T23" fmla="*/ 169 h 415"/>
                              <a:gd name="T24" fmla="*/ 599 w 1200"/>
                              <a:gd name="T25" fmla="*/ 142 h 415"/>
                              <a:gd name="T26" fmla="*/ 599 w 1200"/>
                              <a:gd name="T27" fmla="*/ 111 h 415"/>
                              <a:gd name="T28" fmla="*/ 587 w 1200"/>
                              <a:gd name="T29" fmla="*/ 84 h 415"/>
                              <a:gd name="T30" fmla="*/ 567 w 1200"/>
                              <a:gd name="T31" fmla="*/ 63 h 415"/>
                              <a:gd name="T32" fmla="*/ 540 w 1200"/>
                              <a:gd name="T33" fmla="*/ 51 h 415"/>
                              <a:gd name="T34" fmla="*/ 466 w 1200"/>
                              <a:gd name="T35" fmla="*/ 204 h 415"/>
                              <a:gd name="T36" fmla="*/ 388 w 1200"/>
                              <a:gd name="T37" fmla="*/ 146 h 415"/>
                              <a:gd name="T38" fmla="*/ 393 w 1200"/>
                              <a:gd name="T39" fmla="*/ 50 h 415"/>
                              <a:gd name="T40" fmla="*/ 343 w 1200"/>
                              <a:gd name="T41" fmla="*/ 177 h 415"/>
                              <a:gd name="T42" fmla="*/ 257 w 1200"/>
                              <a:gd name="T43" fmla="*/ 18 h 415"/>
                              <a:gd name="T44" fmla="*/ 174 w 1200"/>
                              <a:gd name="T45" fmla="*/ 18 h 415"/>
                              <a:gd name="T46" fmla="*/ 216 w 1200"/>
                              <a:gd name="T47" fmla="*/ 81 h 415"/>
                              <a:gd name="T48" fmla="*/ 231 w 1200"/>
                              <a:gd name="T49" fmla="*/ 88 h 415"/>
                              <a:gd name="T50" fmla="*/ 235 w 1200"/>
                              <a:gd name="T51" fmla="*/ 104 h 415"/>
                              <a:gd name="T52" fmla="*/ 225 w 1200"/>
                              <a:gd name="T53" fmla="*/ 116 h 415"/>
                              <a:gd name="T54" fmla="*/ 204 w 1200"/>
                              <a:gd name="T55" fmla="*/ 119 h 415"/>
                              <a:gd name="T56" fmla="*/ 258 w 1200"/>
                              <a:gd name="T57" fmla="*/ 135 h 415"/>
                              <a:gd name="T58" fmla="*/ 271 w 1200"/>
                              <a:gd name="T59" fmla="*/ 121 h 415"/>
                              <a:gd name="T60" fmla="*/ 276 w 1200"/>
                              <a:gd name="T61" fmla="*/ 102 h 415"/>
                              <a:gd name="T62" fmla="*/ 275 w 1200"/>
                              <a:gd name="T63" fmla="*/ 83 h 415"/>
                              <a:gd name="T64" fmla="*/ 266 w 1200"/>
                              <a:gd name="T65" fmla="*/ 67 h 415"/>
                              <a:gd name="T66" fmla="*/ 252 w 1200"/>
                              <a:gd name="T67" fmla="*/ 55 h 415"/>
                              <a:gd name="T68" fmla="*/ 232 w 1200"/>
                              <a:gd name="T69" fmla="*/ 50 h 415"/>
                              <a:gd name="T70" fmla="*/ 204 w 1200"/>
                              <a:gd name="T71" fmla="*/ 204 h 415"/>
                              <a:gd name="T72" fmla="*/ 243 w 1200"/>
                              <a:gd name="T73" fmla="*/ 141 h 415"/>
                              <a:gd name="T74" fmla="*/ 67 w 1200"/>
                              <a:gd name="T75" fmla="*/ 42 h 415"/>
                              <a:gd name="T76" fmla="*/ 0 w 1200"/>
                              <a:gd name="T77" fmla="*/ 139 h 415"/>
                              <a:gd name="T78" fmla="*/ 3 w 1200"/>
                              <a:gd name="T79" fmla="*/ 166 h 415"/>
                              <a:gd name="T80" fmla="*/ 12 w 1200"/>
                              <a:gd name="T81" fmla="*/ 184 h 415"/>
                              <a:gd name="T82" fmla="*/ 34 w 1200"/>
                              <a:gd name="T83" fmla="*/ 201 h 415"/>
                              <a:gd name="T84" fmla="*/ 67 w 1200"/>
                              <a:gd name="T85" fmla="*/ 207 h 415"/>
                              <a:gd name="T86" fmla="*/ 96 w 1200"/>
                              <a:gd name="T87" fmla="*/ 202 h 415"/>
                              <a:gd name="T88" fmla="*/ 119 w 1200"/>
                              <a:gd name="T89" fmla="*/ 186 h 415"/>
                              <a:gd name="T90" fmla="*/ 131 w 1200"/>
                              <a:gd name="T91" fmla="*/ 166 h 415"/>
                              <a:gd name="T92" fmla="*/ 134 w 1200"/>
                              <a:gd name="T93" fmla="*/ 139 h 415"/>
                              <a:gd name="T94" fmla="*/ 95 w 1200"/>
                              <a:gd name="T95" fmla="*/ 143 h 415"/>
                              <a:gd name="T96" fmla="*/ 89 w 1200"/>
                              <a:gd name="T97" fmla="*/ 163 h 415"/>
                              <a:gd name="T98" fmla="*/ 78 w 1200"/>
                              <a:gd name="T99" fmla="*/ 170 h 415"/>
                              <a:gd name="T100" fmla="*/ 63 w 1200"/>
                              <a:gd name="T101" fmla="*/ 172 h 415"/>
                              <a:gd name="T102" fmla="*/ 52 w 1200"/>
                              <a:gd name="T103" fmla="*/ 168 h 415"/>
                              <a:gd name="T104" fmla="*/ 42 w 1200"/>
                              <a:gd name="T105" fmla="*/ 156 h 415"/>
                              <a:gd name="T106" fmla="*/ 40 w 1200"/>
                              <a:gd name="T107" fmla="*/ 50 h 415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0" h="415">
                                <a:moveTo>
                                  <a:pt x="1011" y="341"/>
                                </a:moveTo>
                                <a:lnTo>
                                  <a:pt x="1011" y="167"/>
                                </a:lnTo>
                                <a:lnTo>
                                  <a:pt x="1030" y="167"/>
                                </a:lnTo>
                                <a:lnTo>
                                  <a:pt x="1040" y="169"/>
                                </a:lnTo>
                                <a:lnTo>
                                  <a:pt x="1049" y="170"/>
                                </a:lnTo>
                                <a:lnTo>
                                  <a:pt x="1059" y="171"/>
                                </a:lnTo>
                                <a:lnTo>
                                  <a:pt x="1067" y="174"/>
                                </a:lnTo>
                                <a:lnTo>
                                  <a:pt x="1074" y="177"/>
                                </a:lnTo>
                                <a:lnTo>
                                  <a:pt x="1082" y="182"/>
                                </a:lnTo>
                                <a:lnTo>
                                  <a:pt x="1088" y="187"/>
                                </a:lnTo>
                                <a:lnTo>
                                  <a:pt x="1094" y="194"/>
                                </a:lnTo>
                                <a:lnTo>
                                  <a:pt x="1099" y="200"/>
                                </a:lnTo>
                                <a:lnTo>
                                  <a:pt x="1104" y="206"/>
                                </a:lnTo>
                                <a:lnTo>
                                  <a:pt x="1108" y="213"/>
                                </a:lnTo>
                                <a:lnTo>
                                  <a:pt x="1112" y="221"/>
                                </a:lnTo>
                                <a:lnTo>
                                  <a:pt x="1114" y="228"/>
                                </a:lnTo>
                                <a:lnTo>
                                  <a:pt x="1116" y="237"/>
                                </a:lnTo>
                                <a:lnTo>
                                  <a:pt x="1117" y="245"/>
                                </a:lnTo>
                                <a:lnTo>
                                  <a:pt x="1117" y="253"/>
                                </a:lnTo>
                                <a:lnTo>
                                  <a:pt x="1117" y="262"/>
                                </a:lnTo>
                                <a:lnTo>
                                  <a:pt x="1116" y="271"/>
                                </a:lnTo>
                                <a:lnTo>
                                  <a:pt x="1114" y="278"/>
                                </a:lnTo>
                                <a:lnTo>
                                  <a:pt x="1112" y="287"/>
                                </a:lnTo>
                                <a:lnTo>
                                  <a:pt x="1108" y="294"/>
                                </a:lnTo>
                                <a:lnTo>
                                  <a:pt x="1104" y="301"/>
                                </a:lnTo>
                                <a:lnTo>
                                  <a:pt x="1099" y="308"/>
                                </a:lnTo>
                                <a:lnTo>
                                  <a:pt x="1094" y="314"/>
                                </a:lnTo>
                                <a:lnTo>
                                  <a:pt x="1088" y="321"/>
                                </a:lnTo>
                                <a:lnTo>
                                  <a:pt x="1082" y="326"/>
                                </a:lnTo>
                                <a:lnTo>
                                  <a:pt x="1074" y="331"/>
                                </a:lnTo>
                                <a:lnTo>
                                  <a:pt x="1067" y="334"/>
                                </a:lnTo>
                                <a:lnTo>
                                  <a:pt x="1059" y="337"/>
                                </a:lnTo>
                                <a:lnTo>
                                  <a:pt x="1049" y="338"/>
                                </a:lnTo>
                                <a:lnTo>
                                  <a:pt x="1040" y="339"/>
                                </a:lnTo>
                                <a:lnTo>
                                  <a:pt x="1030" y="341"/>
                                </a:lnTo>
                                <a:lnTo>
                                  <a:pt x="1011" y="341"/>
                                </a:lnTo>
                                <a:close/>
                                <a:moveTo>
                                  <a:pt x="931" y="408"/>
                                </a:moveTo>
                                <a:lnTo>
                                  <a:pt x="1049" y="408"/>
                                </a:lnTo>
                                <a:lnTo>
                                  <a:pt x="1064" y="407"/>
                                </a:lnTo>
                                <a:lnTo>
                                  <a:pt x="1079" y="404"/>
                                </a:lnTo>
                                <a:lnTo>
                                  <a:pt x="1093" y="400"/>
                                </a:lnTo>
                                <a:lnTo>
                                  <a:pt x="1107" y="395"/>
                                </a:lnTo>
                                <a:lnTo>
                                  <a:pt x="1121" y="389"/>
                                </a:lnTo>
                                <a:lnTo>
                                  <a:pt x="1133" y="380"/>
                                </a:lnTo>
                                <a:lnTo>
                                  <a:pt x="1144" y="372"/>
                                </a:lnTo>
                                <a:lnTo>
                                  <a:pt x="1155" y="362"/>
                                </a:lnTo>
                                <a:lnTo>
                                  <a:pt x="1165" y="351"/>
                                </a:lnTo>
                                <a:lnTo>
                                  <a:pt x="1174" y="339"/>
                                </a:lnTo>
                                <a:lnTo>
                                  <a:pt x="1182" y="326"/>
                                </a:lnTo>
                                <a:lnTo>
                                  <a:pt x="1188" y="313"/>
                                </a:lnTo>
                                <a:lnTo>
                                  <a:pt x="1194" y="298"/>
                                </a:lnTo>
                                <a:lnTo>
                                  <a:pt x="1198" y="284"/>
                                </a:lnTo>
                                <a:lnTo>
                                  <a:pt x="1200" y="270"/>
                                </a:lnTo>
                                <a:lnTo>
                                  <a:pt x="1200" y="253"/>
                                </a:lnTo>
                                <a:lnTo>
                                  <a:pt x="1200" y="238"/>
                                </a:lnTo>
                                <a:lnTo>
                                  <a:pt x="1198" y="223"/>
                                </a:lnTo>
                                <a:lnTo>
                                  <a:pt x="1194" y="208"/>
                                </a:lnTo>
                                <a:lnTo>
                                  <a:pt x="1188" y="195"/>
                                </a:lnTo>
                                <a:lnTo>
                                  <a:pt x="1182" y="181"/>
                                </a:lnTo>
                                <a:lnTo>
                                  <a:pt x="1174" y="169"/>
                                </a:lnTo>
                                <a:lnTo>
                                  <a:pt x="1165" y="157"/>
                                </a:lnTo>
                                <a:lnTo>
                                  <a:pt x="1155" y="146"/>
                                </a:lnTo>
                                <a:lnTo>
                                  <a:pt x="1144" y="136"/>
                                </a:lnTo>
                                <a:lnTo>
                                  <a:pt x="1133" y="126"/>
                                </a:lnTo>
                                <a:lnTo>
                                  <a:pt x="1121" y="119"/>
                                </a:lnTo>
                                <a:lnTo>
                                  <a:pt x="1107" y="113"/>
                                </a:lnTo>
                                <a:lnTo>
                                  <a:pt x="1093" y="108"/>
                                </a:lnTo>
                                <a:lnTo>
                                  <a:pt x="1079" y="103"/>
                                </a:lnTo>
                                <a:lnTo>
                                  <a:pt x="1064" y="101"/>
                                </a:lnTo>
                                <a:lnTo>
                                  <a:pt x="1049" y="100"/>
                                </a:lnTo>
                                <a:lnTo>
                                  <a:pt x="931" y="100"/>
                                </a:lnTo>
                                <a:lnTo>
                                  <a:pt x="931" y="408"/>
                                </a:lnTo>
                                <a:close/>
                                <a:moveTo>
                                  <a:pt x="775" y="293"/>
                                </a:moveTo>
                                <a:lnTo>
                                  <a:pt x="708" y="293"/>
                                </a:lnTo>
                                <a:lnTo>
                                  <a:pt x="742" y="195"/>
                                </a:lnTo>
                                <a:lnTo>
                                  <a:pt x="775" y="293"/>
                                </a:lnTo>
                                <a:close/>
                                <a:moveTo>
                                  <a:pt x="797" y="354"/>
                                </a:moveTo>
                                <a:lnTo>
                                  <a:pt x="817" y="408"/>
                                </a:lnTo>
                                <a:lnTo>
                                  <a:pt x="901" y="408"/>
                                </a:lnTo>
                                <a:lnTo>
                                  <a:pt x="785" y="100"/>
                                </a:lnTo>
                                <a:lnTo>
                                  <a:pt x="698" y="100"/>
                                </a:lnTo>
                                <a:lnTo>
                                  <a:pt x="581" y="408"/>
                                </a:lnTo>
                                <a:lnTo>
                                  <a:pt x="665" y="408"/>
                                </a:lnTo>
                                <a:lnTo>
                                  <a:pt x="686" y="354"/>
                                </a:lnTo>
                                <a:lnTo>
                                  <a:pt x="797" y="354"/>
                                </a:lnTo>
                                <a:close/>
                                <a:moveTo>
                                  <a:pt x="347" y="37"/>
                                </a:moveTo>
                                <a:lnTo>
                                  <a:pt x="430" y="83"/>
                                </a:lnTo>
                                <a:lnTo>
                                  <a:pt x="513" y="37"/>
                                </a:lnTo>
                                <a:lnTo>
                                  <a:pt x="491" y="3"/>
                                </a:lnTo>
                                <a:lnTo>
                                  <a:pt x="430" y="34"/>
                                </a:lnTo>
                                <a:lnTo>
                                  <a:pt x="369" y="3"/>
                                </a:lnTo>
                                <a:lnTo>
                                  <a:pt x="347" y="37"/>
                                </a:lnTo>
                                <a:close/>
                                <a:moveTo>
                                  <a:pt x="407" y="238"/>
                                </a:moveTo>
                                <a:lnTo>
                                  <a:pt x="407" y="161"/>
                                </a:lnTo>
                                <a:lnTo>
                                  <a:pt x="422" y="161"/>
                                </a:lnTo>
                                <a:lnTo>
                                  <a:pt x="432" y="162"/>
                                </a:lnTo>
                                <a:lnTo>
                                  <a:pt x="442" y="164"/>
                                </a:lnTo>
                                <a:lnTo>
                                  <a:pt x="449" y="166"/>
                                </a:lnTo>
                                <a:lnTo>
                                  <a:pt x="455" y="170"/>
                                </a:lnTo>
                                <a:lnTo>
                                  <a:pt x="461" y="176"/>
                                </a:lnTo>
                                <a:lnTo>
                                  <a:pt x="466" y="182"/>
                                </a:lnTo>
                                <a:lnTo>
                                  <a:pt x="469" y="191"/>
                                </a:lnTo>
                                <a:lnTo>
                                  <a:pt x="470" y="200"/>
                                </a:lnTo>
                                <a:lnTo>
                                  <a:pt x="469" y="208"/>
                                </a:lnTo>
                                <a:lnTo>
                                  <a:pt x="466" y="216"/>
                                </a:lnTo>
                                <a:lnTo>
                                  <a:pt x="461" y="223"/>
                                </a:lnTo>
                                <a:lnTo>
                                  <a:pt x="455" y="230"/>
                                </a:lnTo>
                                <a:lnTo>
                                  <a:pt x="449" y="233"/>
                                </a:lnTo>
                                <a:lnTo>
                                  <a:pt x="442" y="236"/>
                                </a:lnTo>
                                <a:lnTo>
                                  <a:pt x="432" y="237"/>
                                </a:lnTo>
                                <a:lnTo>
                                  <a:pt x="422" y="238"/>
                                </a:lnTo>
                                <a:lnTo>
                                  <a:pt x="407" y="238"/>
                                </a:lnTo>
                                <a:close/>
                                <a:moveTo>
                                  <a:pt x="485" y="282"/>
                                </a:moveTo>
                                <a:lnTo>
                                  <a:pt x="498" y="278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70"/>
                                </a:lnTo>
                                <a:lnTo>
                                  <a:pt x="525" y="263"/>
                                </a:lnTo>
                                <a:lnTo>
                                  <a:pt x="531" y="257"/>
                                </a:lnTo>
                                <a:lnTo>
                                  <a:pt x="536" y="250"/>
                                </a:lnTo>
                                <a:lnTo>
                                  <a:pt x="541" y="242"/>
                                </a:lnTo>
                                <a:lnTo>
                                  <a:pt x="545" y="233"/>
                                </a:lnTo>
                                <a:lnTo>
                                  <a:pt x="549" y="225"/>
                                </a:lnTo>
                                <a:lnTo>
                                  <a:pt x="551" y="215"/>
                                </a:lnTo>
                                <a:lnTo>
                                  <a:pt x="552" y="205"/>
                                </a:lnTo>
                                <a:lnTo>
                                  <a:pt x="552" y="195"/>
                                </a:lnTo>
                                <a:lnTo>
                                  <a:pt x="552" y="186"/>
                                </a:lnTo>
                                <a:lnTo>
                                  <a:pt x="551" y="176"/>
                                </a:lnTo>
                                <a:lnTo>
                                  <a:pt x="549" y="167"/>
                                </a:lnTo>
                                <a:lnTo>
                                  <a:pt x="546" y="159"/>
                                </a:lnTo>
                                <a:lnTo>
                                  <a:pt x="542" y="150"/>
                                </a:lnTo>
                                <a:lnTo>
                                  <a:pt x="537" y="141"/>
                                </a:lnTo>
                                <a:lnTo>
                                  <a:pt x="532" y="134"/>
                                </a:lnTo>
                                <a:lnTo>
                                  <a:pt x="526" y="128"/>
                                </a:lnTo>
                                <a:lnTo>
                                  <a:pt x="519" y="120"/>
                                </a:lnTo>
                                <a:lnTo>
                                  <a:pt x="511" y="115"/>
                                </a:lnTo>
                                <a:lnTo>
                                  <a:pt x="504" y="110"/>
                                </a:lnTo>
                                <a:lnTo>
                                  <a:pt x="495" y="106"/>
                                </a:lnTo>
                                <a:lnTo>
                                  <a:pt x="485" y="104"/>
                                </a:lnTo>
                                <a:lnTo>
                                  <a:pt x="475" y="101"/>
                                </a:lnTo>
                                <a:lnTo>
                                  <a:pt x="463" y="100"/>
                                </a:lnTo>
                                <a:lnTo>
                                  <a:pt x="450" y="100"/>
                                </a:lnTo>
                                <a:lnTo>
                                  <a:pt x="327" y="100"/>
                                </a:lnTo>
                                <a:lnTo>
                                  <a:pt x="327" y="408"/>
                                </a:lnTo>
                                <a:lnTo>
                                  <a:pt x="407" y="408"/>
                                </a:lnTo>
                                <a:lnTo>
                                  <a:pt x="407" y="289"/>
                                </a:lnTo>
                                <a:lnTo>
                                  <a:pt x="483" y="408"/>
                                </a:lnTo>
                                <a:lnTo>
                                  <a:pt x="582" y="408"/>
                                </a:lnTo>
                                <a:lnTo>
                                  <a:pt x="485" y="282"/>
                                </a:lnTo>
                                <a:close/>
                                <a:moveTo>
                                  <a:pt x="210" y="35"/>
                                </a:moveTo>
                                <a:lnTo>
                                  <a:pt x="171" y="0"/>
                                </a:lnTo>
                                <a:lnTo>
                                  <a:pt x="105" y="56"/>
                                </a:lnTo>
                                <a:lnTo>
                                  <a:pt x="133" y="85"/>
                                </a:lnTo>
                                <a:lnTo>
                                  <a:pt x="210" y="35"/>
                                </a:lnTo>
                                <a:close/>
                                <a:moveTo>
                                  <a:pt x="8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278"/>
                                </a:lnTo>
                                <a:lnTo>
                                  <a:pt x="0" y="293"/>
                                </a:lnTo>
                                <a:lnTo>
                                  <a:pt x="2" y="308"/>
                                </a:lnTo>
                                <a:lnTo>
                                  <a:pt x="3" y="321"/>
                                </a:lnTo>
                                <a:lnTo>
                                  <a:pt x="5" y="333"/>
                                </a:lnTo>
                                <a:lnTo>
                                  <a:pt x="9" y="343"/>
                                </a:lnTo>
                                <a:lnTo>
                                  <a:pt x="13" y="353"/>
                                </a:lnTo>
                                <a:lnTo>
                                  <a:pt x="17" y="362"/>
                                </a:lnTo>
                                <a:lnTo>
                                  <a:pt x="23" y="369"/>
                                </a:lnTo>
                                <a:lnTo>
                                  <a:pt x="32" y="379"/>
                                </a:lnTo>
                                <a:lnTo>
                                  <a:pt x="43" y="389"/>
                                </a:lnTo>
                                <a:lnTo>
                                  <a:pt x="54" y="397"/>
                                </a:lnTo>
                                <a:lnTo>
                                  <a:pt x="68" y="403"/>
                                </a:lnTo>
                                <a:lnTo>
                                  <a:pt x="83" y="409"/>
                                </a:lnTo>
                                <a:lnTo>
                                  <a:pt x="99" y="413"/>
                                </a:lnTo>
                                <a:lnTo>
                                  <a:pt x="115" y="415"/>
                                </a:lnTo>
                                <a:lnTo>
                                  <a:pt x="133" y="415"/>
                                </a:lnTo>
                                <a:lnTo>
                                  <a:pt x="149" y="415"/>
                                </a:lnTo>
                                <a:lnTo>
                                  <a:pt x="165" y="413"/>
                                </a:lnTo>
                                <a:lnTo>
                                  <a:pt x="179" y="409"/>
                                </a:lnTo>
                                <a:lnTo>
                                  <a:pt x="192" y="404"/>
                                </a:lnTo>
                                <a:lnTo>
                                  <a:pt x="206" y="399"/>
                                </a:lnTo>
                                <a:lnTo>
                                  <a:pt x="217" y="392"/>
                                </a:lnTo>
                                <a:lnTo>
                                  <a:pt x="228" y="383"/>
                                </a:lnTo>
                                <a:lnTo>
                                  <a:pt x="238" y="372"/>
                                </a:lnTo>
                                <a:lnTo>
                                  <a:pt x="246" y="363"/>
                                </a:lnTo>
                                <a:lnTo>
                                  <a:pt x="253" y="353"/>
                                </a:lnTo>
                                <a:lnTo>
                                  <a:pt x="258" y="343"/>
                                </a:lnTo>
                                <a:lnTo>
                                  <a:pt x="262" y="333"/>
                                </a:lnTo>
                                <a:lnTo>
                                  <a:pt x="265" y="321"/>
                                </a:lnTo>
                                <a:lnTo>
                                  <a:pt x="267" y="308"/>
                                </a:lnTo>
                                <a:lnTo>
                                  <a:pt x="268" y="293"/>
                                </a:lnTo>
                                <a:lnTo>
                                  <a:pt x="268" y="278"/>
                                </a:lnTo>
                                <a:lnTo>
                                  <a:pt x="268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89" y="267"/>
                                </a:lnTo>
                                <a:lnTo>
                                  <a:pt x="189" y="287"/>
                                </a:lnTo>
                                <a:lnTo>
                                  <a:pt x="187" y="301"/>
                                </a:lnTo>
                                <a:lnTo>
                                  <a:pt x="185" y="311"/>
                                </a:lnTo>
                                <a:lnTo>
                                  <a:pt x="181" y="321"/>
                                </a:lnTo>
                                <a:lnTo>
                                  <a:pt x="177" y="326"/>
                                </a:lnTo>
                                <a:lnTo>
                                  <a:pt x="172" y="331"/>
                                </a:lnTo>
                                <a:lnTo>
                                  <a:pt x="167" y="334"/>
                                </a:lnTo>
                                <a:lnTo>
                                  <a:pt x="161" y="338"/>
                                </a:lnTo>
                                <a:lnTo>
                                  <a:pt x="155" y="341"/>
                                </a:lnTo>
                                <a:lnTo>
                                  <a:pt x="149" y="343"/>
                                </a:lnTo>
                                <a:lnTo>
                                  <a:pt x="141" y="344"/>
                                </a:lnTo>
                                <a:lnTo>
                                  <a:pt x="134" y="346"/>
                                </a:lnTo>
                                <a:lnTo>
                                  <a:pt x="126" y="344"/>
                                </a:lnTo>
                                <a:lnTo>
                                  <a:pt x="120" y="343"/>
                                </a:lnTo>
                                <a:lnTo>
                                  <a:pt x="114" y="342"/>
                                </a:lnTo>
                                <a:lnTo>
                                  <a:pt x="108" y="339"/>
                                </a:lnTo>
                                <a:lnTo>
                                  <a:pt x="103" y="336"/>
                                </a:lnTo>
                                <a:lnTo>
                                  <a:pt x="98" y="332"/>
                                </a:lnTo>
                                <a:lnTo>
                                  <a:pt x="93" y="327"/>
                                </a:lnTo>
                                <a:lnTo>
                                  <a:pt x="89" y="322"/>
                                </a:lnTo>
                                <a:lnTo>
                                  <a:pt x="84" y="312"/>
                                </a:lnTo>
                                <a:lnTo>
                                  <a:pt x="81" y="302"/>
                                </a:lnTo>
                                <a:lnTo>
                                  <a:pt x="80" y="288"/>
                                </a:lnTo>
                                <a:lnTo>
                                  <a:pt x="80" y="267"/>
                                </a:lnTo>
                                <a:lnTo>
                                  <a:pt x="8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2" y="1081"/>
                            <a:ext cx="1319" cy="208"/>
                          </a:xfrm>
                          <a:custGeom>
                            <a:avLst/>
                            <a:gdLst>
                              <a:gd name="T0" fmla="*/ 1221 w 2637"/>
                              <a:gd name="T1" fmla="*/ 204 h 416"/>
                              <a:gd name="T2" fmla="*/ 1166 w 2637"/>
                              <a:gd name="T3" fmla="*/ 50 h 416"/>
                              <a:gd name="T4" fmla="*/ 1072 w 2637"/>
                              <a:gd name="T5" fmla="*/ 137 h 416"/>
                              <a:gd name="T6" fmla="*/ 1004 w 2637"/>
                              <a:gd name="T7" fmla="*/ 54 h 416"/>
                              <a:gd name="T8" fmla="*/ 943 w 2637"/>
                              <a:gd name="T9" fmla="*/ 51 h 416"/>
                              <a:gd name="T10" fmla="*/ 900 w 2637"/>
                              <a:gd name="T11" fmla="*/ 82 h 416"/>
                              <a:gd name="T12" fmla="*/ 887 w 2637"/>
                              <a:gd name="T13" fmla="*/ 136 h 416"/>
                              <a:gd name="T14" fmla="*/ 907 w 2637"/>
                              <a:gd name="T15" fmla="*/ 181 h 416"/>
                              <a:gd name="T16" fmla="*/ 959 w 2637"/>
                              <a:gd name="T17" fmla="*/ 208 h 416"/>
                              <a:gd name="T18" fmla="*/ 1000 w 2637"/>
                              <a:gd name="T19" fmla="*/ 157 h 416"/>
                              <a:gd name="T20" fmla="*/ 969 w 2637"/>
                              <a:gd name="T21" fmla="*/ 169 h 416"/>
                              <a:gd name="T22" fmla="*/ 945 w 2637"/>
                              <a:gd name="T23" fmla="*/ 161 h 416"/>
                              <a:gd name="T24" fmla="*/ 929 w 2637"/>
                              <a:gd name="T25" fmla="*/ 137 h 416"/>
                              <a:gd name="T26" fmla="*/ 933 w 2637"/>
                              <a:gd name="T27" fmla="*/ 107 h 416"/>
                              <a:gd name="T28" fmla="*/ 953 w 2637"/>
                              <a:gd name="T29" fmla="*/ 89 h 416"/>
                              <a:gd name="T30" fmla="*/ 984 w 2637"/>
                              <a:gd name="T31" fmla="*/ 88 h 416"/>
                              <a:gd name="T32" fmla="*/ 864 w 2637"/>
                              <a:gd name="T33" fmla="*/ 50 h 416"/>
                              <a:gd name="T34" fmla="*/ 802 w 2637"/>
                              <a:gd name="T35" fmla="*/ 50 h 416"/>
                              <a:gd name="T36" fmla="*/ 680 w 2637"/>
                              <a:gd name="T37" fmla="*/ 59 h 416"/>
                              <a:gd name="T38" fmla="*/ 638 w 2637"/>
                              <a:gd name="T39" fmla="*/ 46 h 416"/>
                              <a:gd name="T40" fmla="*/ 602 w 2637"/>
                              <a:gd name="T41" fmla="*/ 54 h 416"/>
                              <a:gd name="T42" fmla="*/ 581 w 2637"/>
                              <a:gd name="T43" fmla="*/ 82 h 416"/>
                              <a:gd name="T44" fmla="*/ 583 w 2637"/>
                              <a:gd name="T45" fmla="*/ 116 h 416"/>
                              <a:gd name="T46" fmla="*/ 610 w 2637"/>
                              <a:gd name="T47" fmla="*/ 138 h 416"/>
                              <a:gd name="T48" fmla="*/ 644 w 2637"/>
                              <a:gd name="T49" fmla="*/ 153 h 416"/>
                              <a:gd name="T50" fmla="*/ 637 w 2637"/>
                              <a:gd name="T51" fmla="*/ 171 h 416"/>
                              <a:gd name="T52" fmla="*/ 608 w 2637"/>
                              <a:gd name="T53" fmla="*/ 170 h 416"/>
                              <a:gd name="T54" fmla="*/ 586 w 2637"/>
                              <a:gd name="T55" fmla="*/ 198 h 416"/>
                              <a:gd name="T56" fmla="*/ 633 w 2637"/>
                              <a:gd name="T57" fmla="*/ 208 h 416"/>
                              <a:gd name="T58" fmla="*/ 671 w 2637"/>
                              <a:gd name="T59" fmla="*/ 193 h 416"/>
                              <a:gd name="T60" fmla="*/ 687 w 2637"/>
                              <a:gd name="T61" fmla="*/ 160 h 416"/>
                              <a:gd name="T62" fmla="*/ 678 w 2637"/>
                              <a:gd name="T63" fmla="*/ 126 h 416"/>
                              <a:gd name="T64" fmla="*/ 638 w 2637"/>
                              <a:gd name="T65" fmla="*/ 107 h 416"/>
                              <a:gd name="T66" fmla="*/ 621 w 2637"/>
                              <a:gd name="T67" fmla="*/ 93 h 416"/>
                              <a:gd name="T68" fmla="*/ 635 w 2637"/>
                              <a:gd name="T69" fmla="*/ 80 h 416"/>
                              <a:gd name="T70" fmla="*/ 665 w 2637"/>
                              <a:gd name="T71" fmla="*/ 90 h 416"/>
                              <a:gd name="T72" fmla="*/ 452 w 2637"/>
                              <a:gd name="T73" fmla="*/ 84 h 416"/>
                              <a:gd name="T74" fmla="*/ 452 w 2637"/>
                              <a:gd name="T75" fmla="*/ 204 h 416"/>
                              <a:gd name="T76" fmla="*/ 343 w 2637"/>
                              <a:gd name="T77" fmla="*/ 204 h 416"/>
                              <a:gd name="T78" fmla="*/ 333 w 2637"/>
                              <a:gd name="T79" fmla="*/ 177 h 416"/>
                              <a:gd name="T80" fmla="*/ 158 w 2637"/>
                              <a:gd name="T81" fmla="*/ 204 h 416"/>
                              <a:gd name="T82" fmla="*/ 84 w 2637"/>
                              <a:gd name="T83" fmla="*/ 49 h 416"/>
                              <a:gd name="T84" fmla="*/ 42 w 2637"/>
                              <a:gd name="T85" fmla="*/ 48 h 416"/>
                              <a:gd name="T86" fmla="*/ 14 w 2637"/>
                              <a:gd name="T87" fmla="*/ 68 h 416"/>
                              <a:gd name="T88" fmla="*/ 6 w 2637"/>
                              <a:gd name="T89" fmla="*/ 103 h 416"/>
                              <a:gd name="T90" fmla="*/ 19 w 2637"/>
                              <a:gd name="T91" fmla="*/ 128 h 416"/>
                              <a:gd name="T92" fmla="*/ 64 w 2637"/>
                              <a:gd name="T93" fmla="*/ 147 h 416"/>
                              <a:gd name="T94" fmla="*/ 71 w 2637"/>
                              <a:gd name="T95" fmla="*/ 165 h 416"/>
                              <a:gd name="T96" fmla="*/ 48 w 2637"/>
                              <a:gd name="T97" fmla="*/ 174 h 416"/>
                              <a:gd name="T98" fmla="*/ 17 w 2637"/>
                              <a:gd name="T99" fmla="*/ 158 h 416"/>
                              <a:gd name="T100" fmla="*/ 40 w 2637"/>
                              <a:gd name="T101" fmla="*/ 207 h 416"/>
                              <a:gd name="T102" fmla="*/ 84 w 2637"/>
                              <a:gd name="T103" fmla="*/ 202 h 416"/>
                              <a:gd name="T104" fmla="*/ 110 w 2637"/>
                              <a:gd name="T105" fmla="*/ 176 h 416"/>
                              <a:gd name="T106" fmla="*/ 110 w 2637"/>
                              <a:gd name="T107" fmla="*/ 135 h 416"/>
                              <a:gd name="T108" fmla="*/ 93 w 2637"/>
                              <a:gd name="T109" fmla="*/ 117 h 416"/>
                              <a:gd name="T110" fmla="*/ 50 w 2637"/>
                              <a:gd name="T111" fmla="*/ 99 h 416"/>
                              <a:gd name="T112" fmla="*/ 53 w 2637"/>
                              <a:gd name="T113" fmla="*/ 84 h 416"/>
                              <a:gd name="T114" fmla="*/ 76 w 2637"/>
                              <a:gd name="T115" fmla="*/ 81 h 41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37" h="416">
                                <a:moveTo>
                                  <a:pt x="2561" y="35"/>
                                </a:moveTo>
                                <a:lnTo>
                                  <a:pt x="2524" y="0"/>
                                </a:lnTo>
                                <a:lnTo>
                                  <a:pt x="2458" y="56"/>
                                </a:lnTo>
                                <a:lnTo>
                                  <a:pt x="2485" y="84"/>
                                </a:lnTo>
                                <a:lnTo>
                                  <a:pt x="2561" y="35"/>
                                </a:lnTo>
                                <a:close/>
                                <a:moveTo>
                                  <a:pt x="2442" y="260"/>
                                </a:moveTo>
                                <a:lnTo>
                                  <a:pt x="2442" y="407"/>
                                </a:lnTo>
                                <a:lnTo>
                                  <a:pt x="2521" y="407"/>
                                </a:lnTo>
                                <a:lnTo>
                                  <a:pt x="2521" y="260"/>
                                </a:lnTo>
                                <a:lnTo>
                                  <a:pt x="2637" y="99"/>
                                </a:lnTo>
                                <a:lnTo>
                                  <a:pt x="2540" y="99"/>
                                </a:lnTo>
                                <a:lnTo>
                                  <a:pt x="2484" y="183"/>
                                </a:lnTo>
                                <a:lnTo>
                                  <a:pt x="2427" y="99"/>
                                </a:lnTo>
                                <a:lnTo>
                                  <a:pt x="2331" y="99"/>
                                </a:lnTo>
                                <a:lnTo>
                                  <a:pt x="2442" y="260"/>
                                </a:lnTo>
                                <a:close/>
                                <a:moveTo>
                                  <a:pt x="2143" y="226"/>
                                </a:moveTo>
                                <a:lnTo>
                                  <a:pt x="2143" y="99"/>
                                </a:lnTo>
                                <a:lnTo>
                                  <a:pt x="2063" y="99"/>
                                </a:lnTo>
                                <a:lnTo>
                                  <a:pt x="2063" y="407"/>
                                </a:lnTo>
                                <a:lnTo>
                                  <a:pt x="2143" y="407"/>
                                </a:lnTo>
                                <a:lnTo>
                                  <a:pt x="2143" y="274"/>
                                </a:lnTo>
                                <a:lnTo>
                                  <a:pt x="2247" y="407"/>
                                </a:lnTo>
                                <a:lnTo>
                                  <a:pt x="2351" y="407"/>
                                </a:lnTo>
                                <a:lnTo>
                                  <a:pt x="2217" y="245"/>
                                </a:lnTo>
                                <a:lnTo>
                                  <a:pt x="2340" y="99"/>
                                </a:lnTo>
                                <a:lnTo>
                                  <a:pt x="2240" y="99"/>
                                </a:lnTo>
                                <a:lnTo>
                                  <a:pt x="2143" y="226"/>
                                </a:lnTo>
                                <a:close/>
                                <a:moveTo>
                                  <a:pt x="2008" y="108"/>
                                </a:moveTo>
                                <a:lnTo>
                                  <a:pt x="1987" y="102"/>
                                </a:lnTo>
                                <a:lnTo>
                                  <a:pt x="1969" y="97"/>
                                </a:lnTo>
                                <a:lnTo>
                                  <a:pt x="1952" y="93"/>
                                </a:lnTo>
                                <a:lnTo>
                                  <a:pt x="1936" y="93"/>
                                </a:lnTo>
                                <a:lnTo>
                                  <a:pt x="1918" y="93"/>
                                </a:lnTo>
                                <a:lnTo>
                                  <a:pt x="1902" y="96"/>
                                </a:lnTo>
                                <a:lnTo>
                                  <a:pt x="1886" y="101"/>
                                </a:lnTo>
                                <a:lnTo>
                                  <a:pt x="1871" y="106"/>
                                </a:lnTo>
                                <a:lnTo>
                                  <a:pt x="1857" y="112"/>
                                </a:lnTo>
                                <a:lnTo>
                                  <a:pt x="1844" y="121"/>
                                </a:lnTo>
                                <a:lnTo>
                                  <a:pt x="1831" y="129"/>
                                </a:lnTo>
                                <a:lnTo>
                                  <a:pt x="1820" y="140"/>
                                </a:lnTo>
                                <a:lnTo>
                                  <a:pt x="1809" y="152"/>
                                </a:lnTo>
                                <a:lnTo>
                                  <a:pt x="1800" y="164"/>
                                </a:lnTo>
                                <a:lnTo>
                                  <a:pt x="1791" y="178"/>
                                </a:lnTo>
                                <a:lnTo>
                                  <a:pt x="1785" y="192"/>
                                </a:lnTo>
                                <a:lnTo>
                                  <a:pt x="1780" y="207"/>
                                </a:lnTo>
                                <a:lnTo>
                                  <a:pt x="1775" y="223"/>
                                </a:lnTo>
                                <a:lnTo>
                                  <a:pt x="1773" y="239"/>
                                </a:lnTo>
                                <a:lnTo>
                                  <a:pt x="1773" y="256"/>
                                </a:lnTo>
                                <a:lnTo>
                                  <a:pt x="1773" y="271"/>
                                </a:lnTo>
                                <a:lnTo>
                                  <a:pt x="1775" y="286"/>
                                </a:lnTo>
                                <a:lnTo>
                                  <a:pt x="1778" y="300"/>
                                </a:lnTo>
                                <a:lnTo>
                                  <a:pt x="1783" y="314"/>
                                </a:lnTo>
                                <a:lnTo>
                                  <a:pt x="1789" y="327"/>
                                </a:lnTo>
                                <a:lnTo>
                                  <a:pt x="1795" y="340"/>
                                </a:lnTo>
                                <a:lnTo>
                                  <a:pt x="1804" y="351"/>
                                </a:lnTo>
                                <a:lnTo>
                                  <a:pt x="1813" y="362"/>
                                </a:lnTo>
                                <a:lnTo>
                                  <a:pt x="1825" y="373"/>
                                </a:lnTo>
                                <a:lnTo>
                                  <a:pt x="1839" y="385"/>
                                </a:lnTo>
                                <a:lnTo>
                                  <a:pt x="1854" y="393"/>
                                </a:lnTo>
                                <a:lnTo>
                                  <a:pt x="1869" y="401"/>
                                </a:lnTo>
                                <a:lnTo>
                                  <a:pt x="1885" y="407"/>
                                </a:lnTo>
                                <a:lnTo>
                                  <a:pt x="1902" y="412"/>
                                </a:lnTo>
                                <a:lnTo>
                                  <a:pt x="1918" y="415"/>
                                </a:lnTo>
                                <a:lnTo>
                                  <a:pt x="1936" y="416"/>
                                </a:lnTo>
                                <a:lnTo>
                                  <a:pt x="1951" y="415"/>
                                </a:lnTo>
                                <a:lnTo>
                                  <a:pt x="1966" y="413"/>
                                </a:lnTo>
                                <a:lnTo>
                                  <a:pt x="1983" y="408"/>
                                </a:lnTo>
                                <a:lnTo>
                                  <a:pt x="2008" y="401"/>
                                </a:lnTo>
                                <a:lnTo>
                                  <a:pt x="2008" y="306"/>
                                </a:lnTo>
                                <a:lnTo>
                                  <a:pt x="1999" y="314"/>
                                </a:lnTo>
                                <a:lnTo>
                                  <a:pt x="1992" y="320"/>
                                </a:lnTo>
                                <a:lnTo>
                                  <a:pt x="1983" y="326"/>
                                </a:lnTo>
                                <a:lnTo>
                                  <a:pt x="1976" y="330"/>
                                </a:lnTo>
                                <a:lnTo>
                                  <a:pt x="1967" y="334"/>
                                </a:lnTo>
                                <a:lnTo>
                                  <a:pt x="1957" y="336"/>
                                </a:lnTo>
                                <a:lnTo>
                                  <a:pt x="1948" y="337"/>
                                </a:lnTo>
                                <a:lnTo>
                                  <a:pt x="1938" y="337"/>
                                </a:lnTo>
                                <a:lnTo>
                                  <a:pt x="1931" y="337"/>
                                </a:lnTo>
                                <a:lnTo>
                                  <a:pt x="1923" y="336"/>
                                </a:lnTo>
                                <a:lnTo>
                                  <a:pt x="1916" y="335"/>
                                </a:lnTo>
                                <a:lnTo>
                                  <a:pt x="1908" y="332"/>
                                </a:lnTo>
                                <a:lnTo>
                                  <a:pt x="1902" y="330"/>
                                </a:lnTo>
                                <a:lnTo>
                                  <a:pt x="1896" y="326"/>
                                </a:lnTo>
                                <a:lnTo>
                                  <a:pt x="1889" y="322"/>
                                </a:lnTo>
                                <a:lnTo>
                                  <a:pt x="1884" y="317"/>
                                </a:lnTo>
                                <a:lnTo>
                                  <a:pt x="1876" y="311"/>
                                </a:lnTo>
                                <a:lnTo>
                                  <a:pt x="1871" y="305"/>
                                </a:lnTo>
                                <a:lnTo>
                                  <a:pt x="1866" y="299"/>
                                </a:lnTo>
                                <a:lnTo>
                                  <a:pt x="1862" y="291"/>
                                </a:lnTo>
                                <a:lnTo>
                                  <a:pt x="1860" y="283"/>
                                </a:lnTo>
                                <a:lnTo>
                                  <a:pt x="1857" y="274"/>
                                </a:lnTo>
                                <a:lnTo>
                                  <a:pt x="1856" y="265"/>
                                </a:lnTo>
                                <a:lnTo>
                                  <a:pt x="1856" y="255"/>
                                </a:lnTo>
                                <a:lnTo>
                                  <a:pt x="1856" y="246"/>
                                </a:lnTo>
                                <a:lnTo>
                                  <a:pt x="1857" y="238"/>
                                </a:lnTo>
                                <a:lnTo>
                                  <a:pt x="1860" y="229"/>
                                </a:lnTo>
                                <a:lnTo>
                                  <a:pt x="1862" y="221"/>
                                </a:lnTo>
                                <a:lnTo>
                                  <a:pt x="1865" y="214"/>
                                </a:lnTo>
                                <a:lnTo>
                                  <a:pt x="1870" y="207"/>
                                </a:lnTo>
                                <a:lnTo>
                                  <a:pt x="1874" y="200"/>
                                </a:lnTo>
                                <a:lnTo>
                                  <a:pt x="1879" y="194"/>
                                </a:lnTo>
                                <a:lnTo>
                                  <a:pt x="1885" y="189"/>
                                </a:lnTo>
                                <a:lnTo>
                                  <a:pt x="1891" y="184"/>
                                </a:lnTo>
                                <a:lnTo>
                                  <a:pt x="1898" y="180"/>
                                </a:lnTo>
                                <a:lnTo>
                                  <a:pt x="1905" y="177"/>
                                </a:lnTo>
                                <a:lnTo>
                                  <a:pt x="1913" y="174"/>
                                </a:lnTo>
                                <a:lnTo>
                                  <a:pt x="1921" y="172"/>
                                </a:lnTo>
                                <a:lnTo>
                                  <a:pt x="1930" y="170"/>
                                </a:lnTo>
                                <a:lnTo>
                                  <a:pt x="1938" y="170"/>
                                </a:lnTo>
                                <a:lnTo>
                                  <a:pt x="1948" y="170"/>
                                </a:lnTo>
                                <a:lnTo>
                                  <a:pt x="1958" y="173"/>
                                </a:lnTo>
                                <a:lnTo>
                                  <a:pt x="1967" y="175"/>
                                </a:lnTo>
                                <a:lnTo>
                                  <a:pt x="1977" y="179"/>
                                </a:lnTo>
                                <a:lnTo>
                                  <a:pt x="1984" y="184"/>
                                </a:lnTo>
                                <a:lnTo>
                                  <a:pt x="1993" y="189"/>
                                </a:lnTo>
                                <a:lnTo>
                                  <a:pt x="2001" y="197"/>
                                </a:lnTo>
                                <a:lnTo>
                                  <a:pt x="2008" y="204"/>
                                </a:lnTo>
                                <a:lnTo>
                                  <a:pt x="2008" y="108"/>
                                </a:lnTo>
                                <a:close/>
                                <a:moveTo>
                                  <a:pt x="1727" y="99"/>
                                </a:moveTo>
                                <a:lnTo>
                                  <a:pt x="1647" y="99"/>
                                </a:lnTo>
                                <a:lnTo>
                                  <a:pt x="1647" y="407"/>
                                </a:lnTo>
                                <a:lnTo>
                                  <a:pt x="1727" y="407"/>
                                </a:lnTo>
                                <a:lnTo>
                                  <a:pt x="1727" y="99"/>
                                </a:lnTo>
                                <a:close/>
                                <a:moveTo>
                                  <a:pt x="1538" y="167"/>
                                </a:moveTo>
                                <a:lnTo>
                                  <a:pt x="1604" y="167"/>
                                </a:lnTo>
                                <a:lnTo>
                                  <a:pt x="1604" y="99"/>
                                </a:lnTo>
                                <a:lnTo>
                                  <a:pt x="1394" y="99"/>
                                </a:lnTo>
                                <a:lnTo>
                                  <a:pt x="1394" y="167"/>
                                </a:lnTo>
                                <a:lnTo>
                                  <a:pt x="1459" y="167"/>
                                </a:lnTo>
                                <a:lnTo>
                                  <a:pt x="1459" y="407"/>
                                </a:lnTo>
                                <a:lnTo>
                                  <a:pt x="1538" y="407"/>
                                </a:lnTo>
                                <a:lnTo>
                                  <a:pt x="1538" y="167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49" y="111"/>
                                </a:lnTo>
                                <a:lnTo>
                                  <a:pt x="1337" y="106"/>
                                </a:lnTo>
                                <a:lnTo>
                                  <a:pt x="1324" y="102"/>
                                </a:lnTo>
                                <a:lnTo>
                                  <a:pt x="1313" y="98"/>
                                </a:lnTo>
                                <a:lnTo>
                                  <a:pt x="1300" y="96"/>
                                </a:lnTo>
                                <a:lnTo>
                                  <a:pt x="1288" y="93"/>
                                </a:lnTo>
                                <a:lnTo>
                                  <a:pt x="1276" y="92"/>
                                </a:lnTo>
                                <a:lnTo>
                                  <a:pt x="1263" y="92"/>
                                </a:lnTo>
                                <a:lnTo>
                                  <a:pt x="1252" y="92"/>
                                </a:lnTo>
                                <a:lnTo>
                                  <a:pt x="1241" y="94"/>
                                </a:lnTo>
                                <a:lnTo>
                                  <a:pt x="1231" y="96"/>
                                </a:lnTo>
                                <a:lnTo>
                                  <a:pt x="1221" y="99"/>
                                </a:lnTo>
                                <a:lnTo>
                                  <a:pt x="1211" y="103"/>
                                </a:lnTo>
                                <a:lnTo>
                                  <a:pt x="1203" y="108"/>
                                </a:lnTo>
                                <a:lnTo>
                                  <a:pt x="1195" y="114"/>
                                </a:lnTo>
                                <a:lnTo>
                                  <a:pt x="1187" y="121"/>
                                </a:lnTo>
                                <a:lnTo>
                                  <a:pt x="1181" y="128"/>
                                </a:lnTo>
                                <a:lnTo>
                                  <a:pt x="1175" y="136"/>
                                </a:lnTo>
                                <a:lnTo>
                                  <a:pt x="1170" y="144"/>
                                </a:lnTo>
                                <a:lnTo>
                                  <a:pt x="1166" y="153"/>
                                </a:lnTo>
                                <a:lnTo>
                                  <a:pt x="1162" y="163"/>
                                </a:lnTo>
                                <a:lnTo>
                                  <a:pt x="1161" y="174"/>
                                </a:lnTo>
                                <a:lnTo>
                                  <a:pt x="1158" y="184"/>
                                </a:lnTo>
                                <a:lnTo>
                                  <a:pt x="1158" y="195"/>
                                </a:lnTo>
                                <a:lnTo>
                                  <a:pt x="1158" y="205"/>
                                </a:lnTo>
                                <a:lnTo>
                                  <a:pt x="1160" y="215"/>
                                </a:lnTo>
                                <a:lnTo>
                                  <a:pt x="1162" y="224"/>
                                </a:lnTo>
                                <a:lnTo>
                                  <a:pt x="1165" y="231"/>
                                </a:lnTo>
                                <a:lnTo>
                                  <a:pt x="1168" y="239"/>
                                </a:lnTo>
                                <a:lnTo>
                                  <a:pt x="1172" y="245"/>
                                </a:lnTo>
                                <a:lnTo>
                                  <a:pt x="1177" y="251"/>
                                </a:lnTo>
                                <a:lnTo>
                                  <a:pt x="1183" y="256"/>
                                </a:lnTo>
                                <a:lnTo>
                                  <a:pt x="1192" y="263"/>
                                </a:lnTo>
                                <a:lnTo>
                                  <a:pt x="1203" y="269"/>
                                </a:lnTo>
                                <a:lnTo>
                                  <a:pt x="1219" y="275"/>
                                </a:lnTo>
                                <a:lnTo>
                                  <a:pt x="1242" y="281"/>
                                </a:lnTo>
                                <a:lnTo>
                                  <a:pt x="1254" y="286"/>
                                </a:lnTo>
                                <a:lnTo>
                                  <a:pt x="1264" y="290"/>
                                </a:lnTo>
                                <a:lnTo>
                                  <a:pt x="1273" y="294"/>
                                </a:lnTo>
                                <a:lnTo>
                                  <a:pt x="1279" y="297"/>
                                </a:lnTo>
                                <a:lnTo>
                                  <a:pt x="1284" y="301"/>
                                </a:lnTo>
                                <a:lnTo>
                                  <a:pt x="1287" y="306"/>
                                </a:lnTo>
                                <a:lnTo>
                                  <a:pt x="1289" y="311"/>
                                </a:lnTo>
                                <a:lnTo>
                                  <a:pt x="1289" y="317"/>
                                </a:lnTo>
                                <a:lnTo>
                                  <a:pt x="1289" y="324"/>
                                </a:lnTo>
                                <a:lnTo>
                                  <a:pt x="1287" y="330"/>
                                </a:lnTo>
                                <a:lnTo>
                                  <a:pt x="1283" y="335"/>
                                </a:lnTo>
                                <a:lnTo>
                                  <a:pt x="1279" y="339"/>
                                </a:lnTo>
                                <a:lnTo>
                                  <a:pt x="1273" y="342"/>
                                </a:lnTo>
                                <a:lnTo>
                                  <a:pt x="1267" y="345"/>
                                </a:lnTo>
                                <a:lnTo>
                                  <a:pt x="1259" y="346"/>
                                </a:lnTo>
                                <a:lnTo>
                                  <a:pt x="1251" y="347"/>
                                </a:lnTo>
                                <a:lnTo>
                                  <a:pt x="1242" y="347"/>
                                </a:lnTo>
                                <a:lnTo>
                                  <a:pt x="1233" y="345"/>
                                </a:lnTo>
                                <a:lnTo>
                                  <a:pt x="1224" y="344"/>
                                </a:lnTo>
                                <a:lnTo>
                                  <a:pt x="1216" y="340"/>
                                </a:lnTo>
                                <a:lnTo>
                                  <a:pt x="1207" y="335"/>
                                </a:lnTo>
                                <a:lnTo>
                                  <a:pt x="1198" y="330"/>
                                </a:lnTo>
                                <a:lnTo>
                                  <a:pt x="1190" y="324"/>
                                </a:lnTo>
                                <a:lnTo>
                                  <a:pt x="1180" y="316"/>
                                </a:lnTo>
                                <a:lnTo>
                                  <a:pt x="1146" y="381"/>
                                </a:lnTo>
                                <a:lnTo>
                                  <a:pt x="1158" y="388"/>
                                </a:lnTo>
                                <a:lnTo>
                                  <a:pt x="1171" y="396"/>
                                </a:lnTo>
                                <a:lnTo>
                                  <a:pt x="1185" y="401"/>
                                </a:lnTo>
                                <a:lnTo>
                                  <a:pt x="1198" y="406"/>
                                </a:lnTo>
                                <a:lnTo>
                                  <a:pt x="1212" y="410"/>
                                </a:lnTo>
                                <a:lnTo>
                                  <a:pt x="1226" y="413"/>
                                </a:lnTo>
                                <a:lnTo>
                                  <a:pt x="1239" y="415"/>
                                </a:lnTo>
                                <a:lnTo>
                                  <a:pt x="1253" y="415"/>
                                </a:lnTo>
                                <a:lnTo>
                                  <a:pt x="1266" y="415"/>
                                </a:lnTo>
                                <a:lnTo>
                                  <a:pt x="1278" y="413"/>
                                </a:lnTo>
                                <a:lnTo>
                                  <a:pt x="1290" y="411"/>
                                </a:lnTo>
                                <a:lnTo>
                                  <a:pt x="1302" y="407"/>
                                </a:lnTo>
                                <a:lnTo>
                                  <a:pt x="1313" y="403"/>
                                </a:lnTo>
                                <a:lnTo>
                                  <a:pt x="1323" y="398"/>
                                </a:lnTo>
                                <a:lnTo>
                                  <a:pt x="1333" y="392"/>
                                </a:lnTo>
                                <a:lnTo>
                                  <a:pt x="1342" y="386"/>
                                </a:lnTo>
                                <a:lnTo>
                                  <a:pt x="1349" y="378"/>
                                </a:lnTo>
                                <a:lnTo>
                                  <a:pt x="1355" y="371"/>
                                </a:lnTo>
                                <a:lnTo>
                                  <a:pt x="1360" y="362"/>
                                </a:lnTo>
                                <a:lnTo>
                                  <a:pt x="1365" y="352"/>
                                </a:lnTo>
                                <a:lnTo>
                                  <a:pt x="1369" y="342"/>
                                </a:lnTo>
                                <a:lnTo>
                                  <a:pt x="1371" y="331"/>
                                </a:lnTo>
                                <a:lnTo>
                                  <a:pt x="1373" y="319"/>
                                </a:lnTo>
                                <a:lnTo>
                                  <a:pt x="1373" y="306"/>
                                </a:lnTo>
                                <a:lnTo>
                                  <a:pt x="1371" y="290"/>
                                </a:lnTo>
                                <a:lnTo>
                                  <a:pt x="1369" y="275"/>
                                </a:lnTo>
                                <a:lnTo>
                                  <a:pt x="1366" y="269"/>
                                </a:lnTo>
                                <a:lnTo>
                                  <a:pt x="1363" y="263"/>
                                </a:lnTo>
                                <a:lnTo>
                                  <a:pt x="1359" y="258"/>
                                </a:lnTo>
                                <a:lnTo>
                                  <a:pt x="1355" y="251"/>
                                </a:lnTo>
                                <a:lnTo>
                                  <a:pt x="1350" y="246"/>
                                </a:lnTo>
                                <a:lnTo>
                                  <a:pt x="1345" y="241"/>
                                </a:lnTo>
                                <a:lnTo>
                                  <a:pt x="1339" y="238"/>
                                </a:lnTo>
                                <a:lnTo>
                                  <a:pt x="1332" y="234"/>
                                </a:lnTo>
                                <a:lnTo>
                                  <a:pt x="1315" y="226"/>
                                </a:lnTo>
                                <a:lnTo>
                                  <a:pt x="1298" y="220"/>
                                </a:lnTo>
                                <a:lnTo>
                                  <a:pt x="1276" y="213"/>
                                </a:lnTo>
                                <a:lnTo>
                                  <a:pt x="1263" y="209"/>
                                </a:lnTo>
                                <a:lnTo>
                                  <a:pt x="1256" y="205"/>
                                </a:lnTo>
                                <a:lnTo>
                                  <a:pt x="1249" y="200"/>
                                </a:lnTo>
                                <a:lnTo>
                                  <a:pt x="1247" y="198"/>
                                </a:lnTo>
                                <a:lnTo>
                                  <a:pt x="1244" y="194"/>
                                </a:lnTo>
                                <a:lnTo>
                                  <a:pt x="1242" y="189"/>
                                </a:lnTo>
                                <a:lnTo>
                                  <a:pt x="1242" y="185"/>
                                </a:lnTo>
                                <a:lnTo>
                                  <a:pt x="1243" y="179"/>
                                </a:lnTo>
                                <a:lnTo>
                                  <a:pt x="1244" y="174"/>
                                </a:lnTo>
                                <a:lnTo>
                                  <a:pt x="1248" y="170"/>
                                </a:lnTo>
                                <a:lnTo>
                                  <a:pt x="1252" y="167"/>
                                </a:lnTo>
                                <a:lnTo>
                                  <a:pt x="1257" y="163"/>
                                </a:lnTo>
                                <a:lnTo>
                                  <a:pt x="1263" y="160"/>
                                </a:lnTo>
                                <a:lnTo>
                                  <a:pt x="1269" y="159"/>
                                </a:lnTo>
                                <a:lnTo>
                                  <a:pt x="1277" y="158"/>
                                </a:lnTo>
                                <a:lnTo>
                                  <a:pt x="1283" y="159"/>
                                </a:lnTo>
                                <a:lnTo>
                                  <a:pt x="1289" y="159"/>
                                </a:lnTo>
                                <a:lnTo>
                                  <a:pt x="1297" y="162"/>
                                </a:lnTo>
                                <a:lnTo>
                                  <a:pt x="1303" y="163"/>
                                </a:lnTo>
                                <a:lnTo>
                                  <a:pt x="1315" y="170"/>
                                </a:lnTo>
                                <a:lnTo>
                                  <a:pt x="1329" y="179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091" y="99"/>
                                </a:moveTo>
                                <a:lnTo>
                                  <a:pt x="1011" y="99"/>
                                </a:lnTo>
                                <a:lnTo>
                                  <a:pt x="1011" y="407"/>
                                </a:lnTo>
                                <a:lnTo>
                                  <a:pt x="1091" y="407"/>
                                </a:lnTo>
                                <a:lnTo>
                                  <a:pt x="1091" y="99"/>
                                </a:lnTo>
                                <a:close/>
                                <a:moveTo>
                                  <a:pt x="904" y="167"/>
                                </a:moveTo>
                                <a:lnTo>
                                  <a:pt x="970" y="167"/>
                                </a:lnTo>
                                <a:lnTo>
                                  <a:pt x="970" y="99"/>
                                </a:lnTo>
                                <a:lnTo>
                                  <a:pt x="758" y="99"/>
                                </a:lnTo>
                                <a:lnTo>
                                  <a:pt x="758" y="167"/>
                                </a:lnTo>
                                <a:lnTo>
                                  <a:pt x="825" y="167"/>
                                </a:lnTo>
                                <a:lnTo>
                                  <a:pt x="825" y="407"/>
                                </a:lnTo>
                                <a:lnTo>
                                  <a:pt x="904" y="407"/>
                                </a:lnTo>
                                <a:lnTo>
                                  <a:pt x="904" y="167"/>
                                </a:lnTo>
                                <a:close/>
                                <a:moveTo>
                                  <a:pt x="644" y="292"/>
                                </a:moveTo>
                                <a:lnTo>
                                  <a:pt x="578" y="292"/>
                                </a:lnTo>
                                <a:lnTo>
                                  <a:pt x="611" y="194"/>
                                </a:lnTo>
                                <a:lnTo>
                                  <a:pt x="644" y="292"/>
                                </a:lnTo>
                                <a:close/>
                                <a:moveTo>
                                  <a:pt x="666" y="354"/>
                                </a:moveTo>
                                <a:lnTo>
                                  <a:pt x="686" y="407"/>
                                </a:lnTo>
                                <a:lnTo>
                                  <a:pt x="771" y="407"/>
                                </a:lnTo>
                                <a:lnTo>
                                  <a:pt x="655" y="99"/>
                                </a:lnTo>
                                <a:lnTo>
                                  <a:pt x="568" y="99"/>
                                </a:lnTo>
                                <a:lnTo>
                                  <a:pt x="450" y="407"/>
                                </a:lnTo>
                                <a:lnTo>
                                  <a:pt x="534" y="407"/>
                                </a:lnTo>
                                <a:lnTo>
                                  <a:pt x="555" y="354"/>
                                </a:lnTo>
                                <a:lnTo>
                                  <a:pt x="666" y="354"/>
                                </a:lnTo>
                                <a:close/>
                                <a:moveTo>
                                  <a:pt x="395" y="167"/>
                                </a:moveTo>
                                <a:lnTo>
                                  <a:pt x="461" y="167"/>
                                </a:lnTo>
                                <a:lnTo>
                                  <a:pt x="461" y="99"/>
                                </a:lnTo>
                                <a:lnTo>
                                  <a:pt x="249" y="99"/>
                                </a:lnTo>
                                <a:lnTo>
                                  <a:pt x="249" y="167"/>
                                </a:lnTo>
                                <a:lnTo>
                                  <a:pt x="315" y="167"/>
                                </a:lnTo>
                                <a:lnTo>
                                  <a:pt x="315" y="407"/>
                                </a:lnTo>
                                <a:lnTo>
                                  <a:pt x="395" y="407"/>
                                </a:lnTo>
                                <a:lnTo>
                                  <a:pt x="395" y="167"/>
                                </a:lnTo>
                                <a:close/>
                                <a:moveTo>
                                  <a:pt x="214" y="117"/>
                                </a:moveTo>
                                <a:lnTo>
                                  <a:pt x="203" y="111"/>
                                </a:lnTo>
                                <a:lnTo>
                                  <a:pt x="190" y="106"/>
                                </a:lnTo>
                                <a:lnTo>
                                  <a:pt x="178" y="102"/>
                                </a:lnTo>
                                <a:lnTo>
                                  <a:pt x="167" y="98"/>
                                </a:lnTo>
                                <a:lnTo>
                                  <a:pt x="154" y="96"/>
                                </a:lnTo>
                                <a:lnTo>
                                  <a:pt x="142" y="93"/>
                                </a:lnTo>
                                <a:lnTo>
                                  <a:pt x="129" y="92"/>
                                </a:lnTo>
                                <a:lnTo>
                                  <a:pt x="117" y="92"/>
                                </a:lnTo>
                                <a:lnTo>
                                  <a:pt x="106" y="92"/>
                                </a:lnTo>
                                <a:lnTo>
                                  <a:pt x="94" y="94"/>
                                </a:lnTo>
                                <a:lnTo>
                                  <a:pt x="84" y="96"/>
                                </a:lnTo>
                                <a:lnTo>
                                  <a:pt x="75" y="99"/>
                                </a:lnTo>
                                <a:lnTo>
                                  <a:pt x="65" y="103"/>
                                </a:lnTo>
                                <a:lnTo>
                                  <a:pt x="56" y="108"/>
                                </a:lnTo>
                                <a:lnTo>
                                  <a:pt x="48" y="114"/>
                                </a:lnTo>
                                <a:lnTo>
                                  <a:pt x="41" y="121"/>
                                </a:lnTo>
                                <a:lnTo>
                                  <a:pt x="35" y="128"/>
                                </a:lnTo>
                                <a:lnTo>
                                  <a:pt x="28" y="136"/>
                                </a:lnTo>
                                <a:lnTo>
                                  <a:pt x="23" y="144"/>
                                </a:lnTo>
                                <a:lnTo>
                                  <a:pt x="20" y="153"/>
                                </a:lnTo>
                                <a:lnTo>
                                  <a:pt x="16" y="163"/>
                                </a:lnTo>
                                <a:lnTo>
                                  <a:pt x="15" y="174"/>
                                </a:lnTo>
                                <a:lnTo>
                                  <a:pt x="12" y="184"/>
                                </a:lnTo>
                                <a:lnTo>
                                  <a:pt x="12" y="195"/>
                                </a:lnTo>
                                <a:lnTo>
                                  <a:pt x="12" y="205"/>
                                </a:lnTo>
                                <a:lnTo>
                                  <a:pt x="13" y="215"/>
                                </a:lnTo>
                                <a:lnTo>
                                  <a:pt x="16" y="224"/>
                                </a:lnTo>
                                <a:lnTo>
                                  <a:pt x="18" y="231"/>
                                </a:lnTo>
                                <a:lnTo>
                                  <a:pt x="22" y="239"/>
                                </a:lnTo>
                                <a:lnTo>
                                  <a:pt x="26" y="245"/>
                                </a:lnTo>
                                <a:lnTo>
                                  <a:pt x="31" y="251"/>
                                </a:lnTo>
                                <a:lnTo>
                                  <a:pt x="37" y="256"/>
                                </a:lnTo>
                                <a:lnTo>
                                  <a:pt x="46" y="263"/>
                                </a:lnTo>
                                <a:lnTo>
                                  <a:pt x="57" y="269"/>
                                </a:lnTo>
                                <a:lnTo>
                                  <a:pt x="73" y="275"/>
                                </a:lnTo>
                                <a:lnTo>
                                  <a:pt x="96" y="281"/>
                                </a:lnTo>
                                <a:lnTo>
                                  <a:pt x="108" y="286"/>
                                </a:lnTo>
                                <a:lnTo>
                                  <a:pt x="118" y="290"/>
                                </a:lnTo>
                                <a:lnTo>
                                  <a:pt x="127" y="294"/>
                                </a:lnTo>
                                <a:lnTo>
                                  <a:pt x="133" y="297"/>
                                </a:lnTo>
                                <a:lnTo>
                                  <a:pt x="138" y="301"/>
                                </a:lnTo>
                                <a:lnTo>
                                  <a:pt x="141" y="306"/>
                                </a:lnTo>
                                <a:lnTo>
                                  <a:pt x="143" y="311"/>
                                </a:lnTo>
                                <a:lnTo>
                                  <a:pt x="143" y="317"/>
                                </a:lnTo>
                                <a:lnTo>
                                  <a:pt x="143" y="324"/>
                                </a:lnTo>
                                <a:lnTo>
                                  <a:pt x="141" y="330"/>
                                </a:lnTo>
                                <a:lnTo>
                                  <a:pt x="137" y="335"/>
                                </a:lnTo>
                                <a:lnTo>
                                  <a:pt x="133" y="339"/>
                                </a:lnTo>
                                <a:lnTo>
                                  <a:pt x="127" y="342"/>
                                </a:lnTo>
                                <a:lnTo>
                                  <a:pt x="121" y="345"/>
                                </a:lnTo>
                                <a:lnTo>
                                  <a:pt x="113" y="346"/>
                                </a:lnTo>
                                <a:lnTo>
                                  <a:pt x="104" y="347"/>
                                </a:lnTo>
                                <a:lnTo>
                                  <a:pt x="96" y="347"/>
                                </a:lnTo>
                                <a:lnTo>
                                  <a:pt x="87" y="345"/>
                                </a:lnTo>
                                <a:lnTo>
                                  <a:pt x="78" y="344"/>
                                </a:lnTo>
                                <a:lnTo>
                                  <a:pt x="70" y="340"/>
                                </a:lnTo>
                                <a:lnTo>
                                  <a:pt x="61" y="335"/>
                                </a:lnTo>
                                <a:lnTo>
                                  <a:pt x="52" y="330"/>
                                </a:lnTo>
                                <a:lnTo>
                                  <a:pt x="43" y="324"/>
                                </a:lnTo>
                                <a:lnTo>
                                  <a:pt x="33" y="316"/>
                                </a:lnTo>
                                <a:lnTo>
                                  <a:pt x="0" y="381"/>
                                </a:lnTo>
                                <a:lnTo>
                                  <a:pt x="12" y="388"/>
                                </a:lnTo>
                                <a:lnTo>
                                  <a:pt x="25" y="396"/>
                                </a:lnTo>
                                <a:lnTo>
                                  <a:pt x="38" y="401"/>
                                </a:lnTo>
                                <a:lnTo>
                                  <a:pt x="52" y="406"/>
                                </a:lnTo>
                                <a:lnTo>
                                  <a:pt x="66" y="410"/>
                                </a:lnTo>
                                <a:lnTo>
                                  <a:pt x="79" y="413"/>
                                </a:lnTo>
                                <a:lnTo>
                                  <a:pt x="93" y="415"/>
                                </a:lnTo>
                                <a:lnTo>
                                  <a:pt x="107" y="415"/>
                                </a:lnTo>
                                <a:lnTo>
                                  <a:pt x="119" y="415"/>
                                </a:lnTo>
                                <a:lnTo>
                                  <a:pt x="132" y="413"/>
                                </a:lnTo>
                                <a:lnTo>
                                  <a:pt x="144" y="411"/>
                                </a:lnTo>
                                <a:lnTo>
                                  <a:pt x="155" y="407"/>
                                </a:lnTo>
                                <a:lnTo>
                                  <a:pt x="167" y="403"/>
                                </a:lnTo>
                                <a:lnTo>
                                  <a:pt x="177" y="398"/>
                                </a:lnTo>
                                <a:lnTo>
                                  <a:pt x="187" y="392"/>
                                </a:lnTo>
                                <a:lnTo>
                                  <a:pt x="195" y="386"/>
                                </a:lnTo>
                                <a:lnTo>
                                  <a:pt x="203" y="378"/>
                                </a:lnTo>
                                <a:lnTo>
                                  <a:pt x="209" y="371"/>
                                </a:lnTo>
                                <a:lnTo>
                                  <a:pt x="214" y="362"/>
                                </a:lnTo>
                                <a:lnTo>
                                  <a:pt x="219" y="352"/>
                                </a:lnTo>
                                <a:lnTo>
                                  <a:pt x="223" y="342"/>
                                </a:lnTo>
                                <a:lnTo>
                                  <a:pt x="225" y="331"/>
                                </a:lnTo>
                                <a:lnTo>
                                  <a:pt x="227" y="319"/>
                                </a:lnTo>
                                <a:lnTo>
                                  <a:pt x="227" y="306"/>
                                </a:lnTo>
                                <a:lnTo>
                                  <a:pt x="225" y="290"/>
                                </a:lnTo>
                                <a:lnTo>
                                  <a:pt x="223" y="275"/>
                                </a:lnTo>
                                <a:lnTo>
                                  <a:pt x="220" y="269"/>
                                </a:lnTo>
                                <a:lnTo>
                                  <a:pt x="217" y="263"/>
                                </a:lnTo>
                                <a:lnTo>
                                  <a:pt x="213" y="258"/>
                                </a:lnTo>
                                <a:lnTo>
                                  <a:pt x="209" y="251"/>
                                </a:lnTo>
                                <a:lnTo>
                                  <a:pt x="204" y="246"/>
                                </a:lnTo>
                                <a:lnTo>
                                  <a:pt x="199" y="241"/>
                                </a:lnTo>
                                <a:lnTo>
                                  <a:pt x="193" y="238"/>
                                </a:lnTo>
                                <a:lnTo>
                                  <a:pt x="185" y="234"/>
                                </a:lnTo>
                                <a:lnTo>
                                  <a:pt x="169" y="226"/>
                                </a:lnTo>
                                <a:lnTo>
                                  <a:pt x="151" y="220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09"/>
                                </a:lnTo>
                                <a:lnTo>
                                  <a:pt x="109" y="205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8"/>
                                </a:lnTo>
                                <a:lnTo>
                                  <a:pt x="98" y="194"/>
                                </a:lnTo>
                                <a:lnTo>
                                  <a:pt x="96" y="189"/>
                                </a:lnTo>
                                <a:lnTo>
                                  <a:pt x="96" y="185"/>
                                </a:lnTo>
                                <a:lnTo>
                                  <a:pt x="97" y="179"/>
                                </a:lnTo>
                                <a:lnTo>
                                  <a:pt x="98" y="174"/>
                                </a:lnTo>
                                <a:lnTo>
                                  <a:pt x="102" y="170"/>
                                </a:lnTo>
                                <a:lnTo>
                                  <a:pt x="106" y="167"/>
                                </a:lnTo>
                                <a:lnTo>
                                  <a:pt x="111" y="163"/>
                                </a:lnTo>
                                <a:lnTo>
                                  <a:pt x="117" y="160"/>
                                </a:lnTo>
                                <a:lnTo>
                                  <a:pt x="123" y="159"/>
                                </a:lnTo>
                                <a:lnTo>
                                  <a:pt x="129" y="158"/>
                                </a:lnTo>
                                <a:lnTo>
                                  <a:pt x="137" y="159"/>
                                </a:lnTo>
                                <a:lnTo>
                                  <a:pt x="143" y="159"/>
                                </a:lnTo>
                                <a:lnTo>
                                  <a:pt x="151" y="162"/>
                                </a:lnTo>
                                <a:lnTo>
                                  <a:pt x="157" y="163"/>
                                </a:lnTo>
                                <a:lnTo>
                                  <a:pt x="169" y="170"/>
                                </a:lnTo>
                                <a:lnTo>
                                  <a:pt x="183" y="179"/>
                                </a:lnTo>
                                <a:lnTo>
                                  <a:pt x="2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2" y="851"/>
                            <a:ext cx="679" cy="208"/>
                          </a:xfrm>
                          <a:custGeom>
                            <a:avLst/>
                            <a:gdLst>
                              <a:gd name="T0" fmla="*/ 641 w 1358"/>
                              <a:gd name="T1" fmla="*/ 18 h 416"/>
                              <a:gd name="T2" fmla="*/ 679 w 1358"/>
                              <a:gd name="T3" fmla="*/ 50 h 416"/>
                              <a:gd name="T4" fmla="*/ 581 w 1358"/>
                              <a:gd name="T5" fmla="*/ 130 h 416"/>
                              <a:gd name="T6" fmla="*/ 432 w 1358"/>
                              <a:gd name="T7" fmla="*/ 204 h 416"/>
                              <a:gd name="T8" fmla="*/ 530 w 1358"/>
                              <a:gd name="T9" fmla="*/ 50 h 416"/>
                              <a:gd name="T10" fmla="*/ 349 w 1358"/>
                              <a:gd name="T11" fmla="*/ 54 h 416"/>
                              <a:gd name="T12" fmla="*/ 318 w 1358"/>
                              <a:gd name="T13" fmla="*/ 46 h 416"/>
                              <a:gd name="T14" fmla="*/ 290 w 1358"/>
                              <a:gd name="T15" fmla="*/ 50 h 416"/>
                              <a:gd name="T16" fmla="*/ 271 w 1358"/>
                              <a:gd name="T17" fmla="*/ 64 h 416"/>
                              <a:gd name="T18" fmla="*/ 261 w 1358"/>
                              <a:gd name="T19" fmla="*/ 87 h 416"/>
                              <a:gd name="T20" fmla="*/ 261 w 1358"/>
                              <a:gd name="T21" fmla="*/ 112 h 416"/>
                              <a:gd name="T22" fmla="*/ 272 w 1358"/>
                              <a:gd name="T23" fmla="*/ 129 h 416"/>
                              <a:gd name="T24" fmla="*/ 307 w 1358"/>
                              <a:gd name="T25" fmla="*/ 144 h 416"/>
                              <a:gd name="T26" fmla="*/ 324 w 1358"/>
                              <a:gd name="T27" fmla="*/ 153 h 416"/>
                              <a:gd name="T28" fmla="*/ 322 w 1358"/>
                              <a:gd name="T29" fmla="*/ 168 h 416"/>
                              <a:gd name="T30" fmla="*/ 306 w 1358"/>
                              <a:gd name="T31" fmla="*/ 174 h 416"/>
                              <a:gd name="T32" fmla="*/ 284 w 1358"/>
                              <a:gd name="T33" fmla="*/ 168 h 416"/>
                              <a:gd name="T34" fmla="*/ 260 w 1358"/>
                              <a:gd name="T35" fmla="*/ 195 h 416"/>
                              <a:gd name="T36" fmla="*/ 293 w 1358"/>
                              <a:gd name="T37" fmla="*/ 207 h 416"/>
                              <a:gd name="T38" fmla="*/ 326 w 1358"/>
                              <a:gd name="T39" fmla="*/ 206 h 416"/>
                              <a:gd name="T40" fmla="*/ 351 w 1358"/>
                              <a:gd name="T41" fmla="*/ 193 h 416"/>
                              <a:gd name="T42" fmla="*/ 365 w 1358"/>
                              <a:gd name="T43" fmla="*/ 172 h 416"/>
                              <a:gd name="T44" fmla="*/ 365 w 1358"/>
                              <a:gd name="T45" fmla="*/ 138 h 416"/>
                              <a:gd name="T46" fmla="*/ 356 w 1358"/>
                              <a:gd name="T47" fmla="*/ 124 h 416"/>
                              <a:gd name="T48" fmla="*/ 329 w 1358"/>
                              <a:gd name="T49" fmla="*/ 111 h 416"/>
                              <a:gd name="T50" fmla="*/ 304 w 1358"/>
                              <a:gd name="T51" fmla="*/ 99 h 416"/>
                              <a:gd name="T52" fmla="*/ 303 w 1358"/>
                              <a:gd name="T53" fmla="*/ 87 h 416"/>
                              <a:gd name="T54" fmla="*/ 315 w 1358"/>
                              <a:gd name="T55" fmla="*/ 80 h 416"/>
                              <a:gd name="T56" fmla="*/ 332 w 1358"/>
                              <a:gd name="T57" fmla="*/ 82 h 416"/>
                              <a:gd name="T58" fmla="*/ 232 w 1358"/>
                              <a:gd name="T59" fmla="*/ 50 h 416"/>
                              <a:gd name="T60" fmla="*/ 185 w 1358"/>
                              <a:gd name="T61" fmla="*/ 170 h 416"/>
                              <a:gd name="T62" fmla="*/ 185 w 1358"/>
                              <a:gd name="T63" fmla="*/ 84 h 416"/>
                              <a:gd name="T64" fmla="*/ 105 w 1358"/>
                              <a:gd name="T65" fmla="*/ 1 h 416"/>
                              <a:gd name="T66" fmla="*/ 108 w 1358"/>
                              <a:gd name="T67" fmla="*/ 51 h 416"/>
                              <a:gd name="T68" fmla="*/ 65 w 1358"/>
                              <a:gd name="T69" fmla="*/ 48 h 416"/>
                              <a:gd name="T70" fmla="*/ 29 w 1358"/>
                              <a:gd name="T71" fmla="*/ 65 h 416"/>
                              <a:gd name="T72" fmla="*/ 6 w 1358"/>
                              <a:gd name="T73" fmla="*/ 96 h 416"/>
                              <a:gd name="T74" fmla="*/ 0 w 1358"/>
                              <a:gd name="T75" fmla="*/ 136 h 416"/>
                              <a:gd name="T76" fmla="*/ 11 w 1358"/>
                              <a:gd name="T77" fmla="*/ 170 h 416"/>
                              <a:gd name="T78" fmla="*/ 41 w 1358"/>
                              <a:gd name="T79" fmla="*/ 197 h 416"/>
                              <a:gd name="T80" fmla="*/ 82 w 1358"/>
                              <a:gd name="T81" fmla="*/ 208 h 416"/>
                              <a:gd name="T82" fmla="*/ 118 w 1358"/>
                              <a:gd name="T83" fmla="*/ 153 h 416"/>
                              <a:gd name="T84" fmla="*/ 97 w 1358"/>
                              <a:gd name="T85" fmla="*/ 167 h 416"/>
                              <a:gd name="T86" fmla="*/ 76 w 1358"/>
                              <a:gd name="T87" fmla="*/ 168 h 416"/>
                              <a:gd name="T88" fmla="*/ 59 w 1358"/>
                              <a:gd name="T89" fmla="*/ 162 h 416"/>
                              <a:gd name="T90" fmla="*/ 45 w 1358"/>
                              <a:gd name="T91" fmla="*/ 146 h 416"/>
                              <a:gd name="T92" fmla="*/ 42 w 1358"/>
                              <a:gd name="T93" fmla="*/ 124 h 416"/>
                              <a:gd name="T94" fmla="*/ 49 w 1358"/>
                              <a:gd name="T95" fmla="*/ 104 h 416"/>
                              <a:gd name="T96" fmla="*/ 63 w 1358"/>
                              <a:gd name="T97" fmla="*/ 91 h 416"/>
                              <a:gd name="T98" fmla="*/ 83 w 1358"/>
                              <a:gd name="T99" fmla="*/ 86 h 416"/>
                              <a:gd name="T100" fmla="*/ 107 w 1358"/>
                              <a:gd name="T101" fmla="*/ 92 h 41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58" h="416">
                                <a:moveTo>
                                  <a:pt x="1282" y="36"/>
                                </a:moveTo>
                                <a:lnTo>
                                  <a:pt x="1243" y="0"/>
                                </a:lnTo>
                                <a:lnTo>
                                  <a:pt x="1178" y="56"/>
                                </a:lnTo>
                                <a:lnTo>
                                  <a:pt x="1205" y="85"/>
                                </a:lnTo>
                                <a:lnTo>
                                  <a:pt x="1282" y="36"/>
                                </a:lnTo>
                                <a:close/>
                                <a:moveTo>
                                  <a:pt x="1162" y="260"/>
                                </a:moveTo>
                                <a:lnTo>
                                  <a:pt x="1162" y="407"/>
                                </a:lnTo>
                                <a:lnTo>
                                  <a:pt x="1242" y="407"/>
                                </a:lnTo>
                                <a:lnTo>
                                  <a:pt x="1242" y="260"/>
                                </a:lnTo>
                                <a:lnTo>
                                  <a:pt x="1358" y="100"/>
                                </a:lnTo>
                                <a:lnTo>
                                  <a:pt x="1261" y="100"/>
                                </a:lnTo>
                                <a:lnTo>
                                  <a:pt x="1205" y="183"/>
                                </a:lnTo>
                                <a:lnTo>
                                  <a:pt x="1146" y="100"/>
                                </a:lnTo>
                                <a:lnTo>
                                  <a:pt x="1051" y="100"/>
                                </a:lnTo>
                                <a:lnTo>
                                  <a:pt x="1162" y="260"/>
                                </a:lnTo>
                                <a:close/>
                                <a:moveTo>
                                  <a:pt x="863" y="227"/>
                                </a:moveTo>
                                <a:lnTo>
                                  <a:pt x="863" y="100"/>
                                </a:lnTo>
                                <a:lnTo>
                                  <a:pt x="783" y="100"/>
                                </a:lnTo>
                                <a:lnTo>
                                  <a:pt x="783" y="407"/>
                                </a:lnTo>
                                <a:lnTo>
                                  <a:pt x="863" y="407"/>
                                </a:lnTo>
                                <a:lnTo>
                                  <a:pt x="863" y="274"/>
                                </a:lnTo>
                                <a:lnTo>
                                  <a:pt x="967" y="407"/>
                                </a:lnTo>
                                <a:lnTo>
                                  <a:pt x="1071" y="407"/>
                                </a:lnTo>
                                <a:lnTo>
                                  <a:pt x="938" y="245"/>
                                </a:lnTo>
                                <a:lnTo>
                                  <a:pt x="1059" y="100"/>
                                </a:lnTo>
                                <a:lnTo>
                                  <a:pt x="960" y="100"/>
                                </a:lnTo>
                                <a:lnTo>
                                  <a:pt x="863" y="227"/>
                                </a:lnTo>
                                <a:close/>
                                <a:moveTo>
                                  <a:pt x="721" y="117"/>
                                </a:moveTo>
                                <a:lnTo>
                                  <a:pt x="709" y="112"/>
                                </a:lnTo>
                                <a:lnTo>
                                  <a:pt x="697" y="107"/>
                                </a:lnTo>
                                <a:lnTo>
                                  <a:pt x="685" y="102"/>
                                </a:lnTo>
                                <a:lnTo>
                                  <a:pt x="673" y="98"/>
                                </a:lnTo>
                                <a:lnTo>
                                  <a:pt x="660" y="96"/>
                                </a:lnTo>
                                <a:lnTo>
                                  <a:pt x="648" y="93"/>
                                </a:lnTo>
                                <a:lnTo>
                                  <a:pt x="635" y="92"/>
                                </a:lnTo>
                                <a:lnTo>
                                  <a:pt x="624" y="92"/>
                                </a:lnTo>
                                <a:lnTo>
                                  <a:pt x="611" y="92"/>
                                </a:lnTo>
                                <a:lnTo>
                                  <a:pt x="602" y="95"/>
                                </a:lnTo>
                                <a:lnTo>
                                  <a:pt x="590" y="97"/>
                                </a:lnTo>
                                <a:lnTo>
                                  <a:pt x="580" y="100"/>
                                </a:lnTo>
                                <a:lnTo>
                                  <a:pt x="572" y="103"/>
                                </a:lnTo>
                                <a:lnTo>
                                  <a:pt x="563" y="108"/>
                                </a:lnTo>
                                <a:lnTo>
                                  <a:pt x="555" y="115"/>
                                </a:lnTo>
                                <a:lnTo>
                                  <a:pt x="548" y="121"/>
                                </a:lnTo>
                                <a:lnTo>
                                  <a:pt x="542" y="128"/>
                                </a:lnTo>
                                <a:lnTo>
                                  <a:pt x="535" y="136"/>
                                </a:lnTo>
                                <a:lnTo>
                                  <a:pt x="531" y="145"/>
                                </a:lnTo>
                                <a:lnTo>
                                  <a:pt x="527" y="153"/>
                                </a:lnTo>
                                <a:lnTo>
                                  <a:pt x="523" y="163"/>
                                </a:lnTo>
                                <a:lnTo>
                                  <a:pt x="521" y="174"/>
                                </a:lnTo>
                                <a:lnTo>
                                  <a:pt x="519" y="184"/>
                                </a:lnTo>
                                <a:lnTo>
                                  <a:pt x="519" y="196"/>
                                </a:lnTo>
                                <a:lnTo>
                                  <a:pt x="519" y="206"/>
                                </a:lnTo>
                                <a:lnTo>
                                  <a:pt x="521" y="216"/>
                                </a:lnTo>
                                <a:lnTo>
                                  <a:pt x="522" y="224"/>
                                </a:lnTo>
                                <a:lnTo>
                                  <a:pt x="524" y="232"/>
                                </a:lnTo>
                                <a:lnTo>
                                  <a:pt x="528" y="239"/>
                                </a:lnTo>
                                <a:lnTo>
                                  <a:pt x="533" y="245"/>
                                </a:lnTo>
                                <a:lnTo>
                                  <a:pt x="538" y="252"/>
                                </a:lnTo>
                                <a:lnTo>
                                  <a:pt x="543" y="257"/>
                                </a:lnTo>
                                <a:lnTo>
                                  <a:pt x="552" y="263"/>
                                </a:lnTo>
                                <a:lnTo>
                                  <a:pt x="564" y="269"/>
                                </a:lnTo>
                                <a:lnTo>
                                  <a:pt x="580" y="275"/>
                                </a:lnTo>
                                <a:lnTo>
                                  <a:pt x="602" y="282"/>
                                </a:lnTo>
                                <a:lnTo>
                                  <a:pt x="614" y="287"/>
                                </a:lnTo>
                                <a:lnTo>
                                  <a:pt x="625" y="290"/>
                                </a:lnTo>
                                <a:lnTo>
                                  <a:pt x="634" y="294"/>
                                </a:lnTo>
                                <a:lnTo>
                                  <a:pt x="640" y="298"/>
                                </a:lnTo>
                                <a:lnTo>
                                  <a:pt x="644" y="301"/>
                                </a:lnTo>
                                <a:lnTo>
                                  <a:pt x="648" y="306"/>
                                </a:lnTo>
                                <a:lnTo>
                                  <a:pt x="649" y="311"/>
                                </a:lnTo>
                                <a:lnTo>
                                  <a:pt x="650" y="318"/>
                                </a:lnTo>
                                <a:lnTo>
                                  <a:pt x="649" y="324"/>
                                </a:lnTo>
                                <a:lnTo>
                                  <a:pt x="648" y="330"/>
                                </a:lnTo>
                                <a:lnTo>
                                  <a:pt x="644" y="335"/>
                                </a:lnTo>
                                <a:lnTo>
                                  <a:pt x="639" y="339"/>
                                </a:lnTo>
                                <a:lnTo>
                                  <a:pt x="634" y="343"/>
                                </a:lnTo>
                                <a:lnTo>
                                  <a:pt x="626" y="345"/>
                                </a:lnTo>
                                <a:lnTo>
                                  <a:pt x="619" y="348"/>
                                </a:lnTo>
                                <a:lnTo>
                                  <a:pt x="611" y="348"/>
                                </a:lnTo>
                                <a:lnTo>
                                  <a:pt x="603" y="348"/>
                                </a:lnTo>
                                <a:lnTo>
                                  <a:pt x="594" y="345"/>
                                </a:lnTo>
                                <a:lnTo>
                                  <a:pt x="585" y="344"/>
                                </a:lnTo>
                                <a:lnTo>
                                  <a:pt x="577" y="340"/>
                                </a:lnTo>
                                <a:lnTo>
                                  <a:pt x="568" y="335"/>
                                </a:lnTo>
                                <a:lnTo>
                                  <a:pt x="559" y="330"/>
                                </a:lnTo>
                                <a:lnTo>
                                  <a:pt x="549" y="324"/>
                                </a:lnTo>
                                <a:lnTo>
                                  <a:pt x="540" y="316"/>
                                </a:lnTo>
                                <a:lnTo>
                                  <a:pt x="507" y="381"/>
                                </a:lnTo>
                                <a:lnTo>
                                  <a:pt x="519" y="389"/>
                                </a:lnTo>
                                <a:lnTo>
                                  <a:pt x="532" y="396"/>
                                </a:lnTo>
                                <a:lnTo>
                                  <a:pt x="544" y="401"/>
                                </a:lnTo>
                                <a:lnTo>
                                  <a:pt x="558" y="406"/>
                                </a:lnTo>
                                <a:lnTo>
                                  <a:pt x="572" y="410"/>
                                </a:lnTo>
                                <a:lnTo>
                                  <a:pt x="585" y="414"/>
                                </a:lnTo>
                                <a:lnTo>
                                  <a:pt x="599" y="415"/>
                                </a:lnTo>
                                <a:lnTo>
                                  <a:pt x="613" y="415"/>
                                </a:lnTo>
                                <a:lnTo>
                                  <a:pt x="626" y="415"/>
                                </a:lnTo>
                                <a:lnTo>
                                  <a:pt x="639" y="414"/>
                                </a:lnTo>
                                <a:lnTo>
                                  <a:pt x="651" y="411"/>
                                </a:lnTo>
                                <a:lnTo>
                                  <a:pt x="663" y="407"/>
                                </a:lnTo>
                                <a:lnTo>
                                  <a:pt x="674" y="404"/>
                                </a:lnTo>
                                <a:lnTo>
                                  <a:pt x="684" y="399"/>
                                </a:lnTo>
                                <a:lnTo>
                                  <a:pt x="694" y="392"/>
                                </a:lnTo>
                                <a:lnTo>
                                  <a:pt x="702" y="386"/>
                                </a:lnTo>
                                <a:lnTo>
                                  <a:pt x="709" y="379"/>
                                </a:lnTo>
                                <a:lnTo>
                                  <a:pt x="716" y="371"/>
                                </a:lnTo>
                                <a:lnTo>
                                  <a:pt x="721" y="363"/>
                                </a:lnTo>
                                <a:lnTo>
                                  <a:pt x="725" y="353"/>
                                </a:lnTo>
                                <a:lnTo>
                                  <a:pt x="729" y="343"/>
                                </a:lnTo>
                                <a:lnTo>
                                  <a:pt x="731" y="331"/>
                                </a:lnTo>
                                <a:lnTo>
                                  <a:pt x="732" y="319"/>
                                </a:lnTo>
                                <a:lnTo>
                                  <a:pt x="734" y="306"/>
                                </a:lnTo>
                                <a:lnTo>
                                  <a:pt x="732" y="290"/>
                                </a:lnTo>
                                <a:lnTo>
                                  <a:pt x="729" y="275"/>
                                </a:lnTo>
                                <a:lnTo>
                                  <a:pt x="726" y="269"/>
                                </a:lnTo>
                                <a:lnTo>
                                  <a:pt x="724" y="263"/>
                                </a:lnTo>
                                <a:lnTo>
                                  <a:pt x="720" y="258"/>
                                </a:lnTo>
                                <a:lnTo>
                                  <a:pt x="716" y="252"/>
                                </a:lnTo>
                                <a:lnTo>
                                  <a:pt x="711" y="247"/>
                                </a:lnTo>
                                <a:lnTo>
                                  <a:pt x="705" y="243"/>
                                </a:lnTo>
                                <a:lnTo>
                                  <a:pt x="699" y="238"/>
                                </a:lnTo>
                                <a:lnTo>
                                  <a:pt x="692" y="234"/>
                                </a:lnTo>
                                <a:lnTo>
                                  <a:pt x="676" y="227"/>
                                </a:lnTo>
                                <a:lnTo>
                                  <a:pt x="658" y="221"/>
                                </a:lnTo>
                                <a:lnTo>
                                  <a:pt x="636" y="214"/>
                                </a:lnTo>
                                <a:lnTo>
                                  <a:pt x="624" y="209"/>
                                </a:lnTo>
                                <a:lnTo>
                                  <a:pt x="615" y="206"/>
                                </a:lnTo>
                                <a:lnTo>
                                  <a:pt x="610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4" y="194"/>
                                </a:lnTo>
                                <a:lnTo>
                                  <a:pt x="603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3" y="181"/>
                                </a:lnTo>
                                <a:lnTo>
                                  <a:pt x="605" y="174"/>
                                </a:lnTo>
                                <a:lnTo>
                                  <a:pt x="608" y="171"/>
                                </a:lnTo>
                                <a:lnTo>
                                  <a:pt x="611" y="167"/>
                                </a:lnTo>
                                <a:lnTo>
                                  <a:pt x="618" y="163"/>
                                </a:lnTo>
                                <a:lnTo>
                                  <a:pt x="623" y="161"/>
                                </a:lnTo>
                                <a:lnTo>
                                  <a:pt x="629" y="159"/>
                                </a:lnTo>
                                <a:lnTo>
                                  <a:pt x="636" y="158"/>
                                </a:lnTo>
                                <a:lnTo>
                                  <a:pt x="643" y="159"/>
                                </a:lnTo>
                                <a:lnTo>
                                  <a:pt x="650" y="159"/>
                                </a:lnTo>
                                <a:lnTo>
                                  <a:pt x="656" y="162"/>
                                </a:lnTo>
                                <a:lnTo>
                                  <a:pt x="663" y="163"/>
                                </a:lnTo>
                                <a:lnTo>
                                  <a:pt x="676" y="171"/>
                                </a:lnTo>
                                <a:lnTo>
                                  <a:pt x="689" y="179"/>
                                </a:lnTo>
                                <a:lnTo>
                                  <a:pt x="721" y="117"/>
                                </a:lnTo>
                                <a:close/>
                                <a:moveTo>
                                  <a:pt x="463" y="167"/>
                                </a:moveTo>
                                <a:lnTo>
                                  <a:pt x="463" y="100"/>
                                </a:lnTo>
                                <a:lnTo>
                                  <a:pt x="289" y="100"/>
                                </a:lnTo>
                                <a:lnTo>
                                  <a:pt x="289" y="407"/>
                                </a:lnTo>
                                <a:lnTo>
                                  <a:pt x="463" y="407"/>
                                </a:lnTo>
                                <a:lnTo>
                                  <a:pt x="463" y="340"/>
                                </a:lnTo>
                                <a:lnTo>
                                  <a:pt x="369" y="340"/>
                                </a:lnTo>
                                <a:lnTo>
                                  <a:pt x="369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58" y="219"/>
                                </a:lnTo>
                                <a:lnTo>
                                  <a:pt x="369" y="219"/>
                                </a:lnTo>
                                <a:lnTo>
                                  <a:pt x="369" y="167"/>
                                </a:lnTo>
                                <a:lnTo>
                                  <a:pt x="463" y="167"/>
                                </a:lnTo>
                                <a:close/>
                                <a:moveTo>
                                  <a:pt x="66" y="36"/>
                                </a:moveTo>
                                <a:lnTo>
                                  <a:pt x="148" y="82"/>
                                </a:lnTo>
                                <a:lnTo>
                                  <a:pt x="231" y="36"/>
                                </a:lnTo>
                                <a:lnTo>
                                  <a:pt x="210" y="2"/>
                                </a:lnTo>
                                <a:lnTo>
                                  <a:pt x="148" y="34"/>
                                </a:lnTo>
                                <a:lnTo>
                                  <a:pt x="87" y="2"/>
                                </a:lnTo>
                                <a:lnTo>
                                  <a:pt x="66" y="36"/>
                                </a:lnTo>
                                <a:close/>
                                <a:moveTo>
                                  <a:pt x="235" y="108"/>
                                </a:moveTo>
                                <a:lnTo>
                                  <a:pt x="215" y="102"/>
                                </a:lnTo>
                                <a:lnTo>
                                  <a:pt x="197" y="97"/>
                                </a:lnTo>
                                <a:lnTo>
                                  <a:pt x="180" y="95"/>
                                </a:lnTo>
                                <a:lnTo>
                                  <a:pt x="163" y="93"/>
                                </a:lnTo>
                                <a:lnTo>
                                  <a:pt x="146" y="95"/>
                                </a:lnTo>
                                <a:lnTo>
                                  <a:pt x="129" y="96"/>
                                </a:lnTo>
                                <a:lnTo>
                                  <a:pt x="114" y="101"/>
                                </a:lnTo>
                                <a:lnTo>
                                  <a:pt x="99" y="106"/>
                                </a:lnTo>
                                <a:lnTo>
                                  <a:pt x="84" y="112"/>
                                </a:lnTo>
                                <a:lnTo>
                                  <a:pt x="71" y="121"/>
                                </a:lnTo>
                                <a:lnTo>
                                  <a:pt x="58" y="130"/>
                                </a:lnTo>
                                <a:lnTo>
                                  <a:pt x="47" y="141"/>
                                </a:lnTo>
                                <a:lnTo>
                                  <a:pt x="37" y="152"/>
                                </a:lnTo>
                                <a:lnTo>
                                  <a:pt x="27" y="164"/>
                                </a:lnTo>
                                <a:lnTo>
                                  <a:pt x="20" y="178"/>
                                </a:lnTo>
                                <a:lnTo>
                                  <a:pt x="12" y="192"/>
                                </a:lnTo>
                                <a:lnTo>
                                  <a:pt x="7" y="207"/>
                                </a:lnTo>
                                <a:lnTo>
                                  <a:pt x="3" y="223"/>
                                </a:lnTo>
                                <a:lnTo>
                                  <a:pt x="1" y="239"/>
                                </a:lnTo>
                                <a:lnTo>
                                  <a:pt x="0" y="257"/>
                                </a:lnTo>
                                <a:lnTo>
                                  <a:pt x="0" y="272"/>
                                </a:lnTo>
                                <a:lnTo>
                                  <a:pt x="2" y="287"/>
                                </a:lnTo>
                                <a:lnTo>
                                  <a:pt x="6" y="300"/>
                                </a:lnTo>
                                <a:lnTo>
                                  <a:pt x="10" y="314"/>
                                </a:lnTo>
                                <a:lnTo>
                                  <a:pt x="16" y="328"/>
                                </a:lnTo>
                                <a:lnTo>
                                  <a:pt x="22" y="340"/>
                                </a:lnTo>
                                <a:lnTo>
                                  <a:pt x="31" y="351"/>
                                </a:lnTo>
                                <a:lnTo>
                                  <a:pt x="41" y="363"/>
                                </a:lnTo>
                                <a:lnTo>
                                  <a:pt x="53" y="374"/>
                                </a:lnTo>
                                <a:lnTo>
                                  <a:pt x="66" y="385"/>
                                </a:lnTo>
                                <a:lnTo>
                                  <a:pt x="81" y="394"/>
                                </a:lnTo>
                                <a:lnTo>
                                  <a:pt x="97" y="401"/>
                                </a:lnTo>
                                <a:lnTo>
                                  <a:pt x="113" y="407"/>
                                </a:lnTo>
                                <a:lnTo>
                                  <a:pt x="129" y="412"/>
                                </a:lnTo>
                                <a:lnTo>
                                  <a:pt x="147" y="415"/>
                                </a:lnTo>
                                <a:lnTo>
                                  <a:pt x="163" y="416"/>
                                </a:lnTo>
                                <a:lnTo>
                                  <a:pt x="179" y="415"/>
                                </a:lnTo>
                                <a:lnTo>
                                  <a:pt x="193" y="414"/>
                                </a:lnTo>
                                <a:lnTo>
                                  <a:pt x="212" y="409"/>
                                </a:lnTo>
                                <a:lnTo>
                                  <a:pt x="235" y="401"/>
                                </a:lnTo>
                                <a:lnTo>
                                  <a:pt x="235" y="306"/>
                                </a:lnTo>
                                <a:lnTo>
                                  <a:pt x="228" y="314"/>
                                </a:lnTo>
                                <a:lnTo>
                                  <a:pt x="219" y="320"/>
                                </a:lnTo>
                                <a:lnTo>
                                  <a:pt x="212" y="326"/>
                                </a:lnTo>
                                <a:lnTo>
                                  <a:pt x="203" y="330"/>
                                </a:lnTo>
                                <a:lnTo>
                                  <a:pt x="194" y="334"/>
                                </a:lnTo>
                                <a:lnTo>
                                  <a:pt x="185" y="336"/>
                                </a:lnTo>
                                <a:lnTo>
                                  <a:pt x="175" y="338"/>
                                </a:lnTo>
                                <a:lnTo>
                                  <a:pt x="165" y="339"/>
                                </a:lnTo>
                                <a:lnTo>
                                  <a:pt x="158" y="338"/>
                                </a:lnTo>
                                <a:lnTo>
                                  <a:pt x="151" y="336"/>
                                </a:lnTo>
                                <a:lnTo>
                                  <a:pt x="143" y="335"/>
                                </a:lnTo>
                                <a:lnTo>
                                  <a:pt x="137" y="333"/>
                                </a:lnTo>
                                <a:lnTo>
                                  <a:pt x="129" y="330"/>
                                </a:lnTo>
                                <a:lnTo>
                                  <a:pt x="123" y="326"/>
                                </a:lnTo>
                                <a:lnTo>
                                  <a:pt x="117" y="323"/>
                                </a:lnTo>
                                <a:lnTo>
                                  <a:pt x="111" y="318"/>
                                </a:lnTo>
                                <a:lnTo>
                                  <a:pt x="104" y="311"/>
                                </a:lnTo>
                                <a:lnTo>
                                  <a:pt x="98" y="305"/>
                                </a:lnTo>
                                <a:lnTo>
                                  <a:pt x="93" y="299"/>
                                </a:lnTo>
                                <a:lnTo>
                                  <a:pt x="89" y="292"/>
                                </a:lnTo>
                                <a:lnTo>
                                  <a:pt x="87" y="283"/>
                                </a:lnTo>
                                <a:lnTo>
                                  <a:pt x="84" y="274"/>
                                </a:lnTo>
                                <a:lnTo>
                                  <a:pt x="83" y="265"/>
                                </a:lnTo>
                                <a:lnTo>
                                  <a:pt x="83" y="255"/>
                                </a:lnTo>
                                <a:lnTo>
                                  <a:pt x="83" y="247"/>
                                </a:lnTo>
                                <a:lnTo>
                                  <a:pt x="84" y="238"/>
                                </a:lnTo>
                                <a:lnTo>
                                  <a:pt x="87" y="229"/>
                                </a:lnTo>
                                <a:lnTo>
                                  <a:pt x="89" y="222"/>
                                </a:lnTo>
                                <a:lnTo>
                                  <a:pt x="93" y="214"/>
                                </a:lnTo>
                                <a:lnTo>
                                  <a:pt x="97" y="207"/>
                                </a:lnTo>
                                <a:lnTo>
                                  <a:pt x="102" y="201"/>
                                </a:lnTo>
                                <a:lnTo>
                                  <a:pt x="107" y="194"/>
                                </a:lnTo>
                                <a:lnTo>
                                  <a:pt x="112" y="189"/>
                                </a:lnTo>
                                <a:lnTo>
                                  <a:pt x="118" y="184"/>
                                </a:lnTo>
                                <a:lnTo>
                                  <a:pt x="126" y="181"/>
                                </a:lnTo>
                                <a:lnTo>
                                  <a:pt x="133" y="177"/>
                                </a:lnTo>
                                <a:lnTo>
                                  <a:pt x="141" y="174"/>
                                </a:lnTo>
                                <a:lnTo>
                                  <a:pt x="148" y="172"/>
                                </a:lnTo>
                                <a:lnTo>
                                  <a:pt x="157" y="171"/>
                                </a:lnTo>
                                <a:lnTo>
                                  <a:pt x="165" y="171"/>
                                </a:lnTo>
                                <a:lnTo>
                                  <a:pt x="175" y="171"/>
                                </a:lnTo>
                                <a:lnTo>
                                  <a:pt x="185" y="173"/>
                                </a:lnTo>
                                <a:lnTo>
                                  <a:pt x="195" y="176"/>
                                </a:lnTo>
                                <a:lnTo>
                                  <a:pt x="204" y="179"/>
                                </a:lnTo>
                                <a:lnTo>
                                  <a:pt x="213" y="184"/>
                                </a:lnTo>
                                <a:lnTo>
                                  <a:pt x="220" y="189"/>
                                </a:lnTo>
                                <a:lnTo>
                                  <a:pt x="228" y="197"/>
                                </a:lnTo>
                                <a:lnTo>
                                  <a:pt x="235" y="204"/>
                                </a:lnTo>
                                <a:lnTo>
                                  <a:pt x="2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A445E" id="Group 24" o:spid="_x0000_s1026" style="position:absolute;margin-left:45pt;margin-top:36.75pt;width:177.15pt;height:43.65pt;z-index:251657728;mso-position-horizontal-relative:page;mso-position-vertical-relative:page" coordorigin="567,851" coordsize="271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">
                <o:lock v:ext="edit" aspectratio="t"/>
                <v:rect id="Rectangle 9" o:spid="_x0000_s1027" style="position:absolute;left:1215;top:901;width:676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" fillcolor="#0071bc" stroked="f">
                  <o:lock v:ext="edit" aspectratio="t"/>
                </v:rect>
                <v:rect id="Rectangle 10" o:spid="_x0000_s1028" style="position:absolute;left:567;top:1131;width:1324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" fillcolor="#0071bc" stroked="f">
                  <o:lock v:ext="edit" aspectratio="t"/>
                </v:rect>
                <v:rect id="Rectangle 11" o:spid="_x0000_s1029" style="position:absolute;left:1288;top:1361;width:60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" fillcolor="#0071bc" stroked="f">
                  <o:lock v:ext="edit" aspectratio="t"/>
                </v:rect>
                <v:shape id="Freeform 12" o:spid="_x0000_s1030" style="position:absolute;left:1969;top:1311;width:600;height:207;visibility:visible;mso-wrap-style:square;v-text-anchor:top" coordsize="120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      <v:path arrowok="t" o:connecttype="custom" o:connectlocs="260,42;269,44;275,50;279,57;280,65;277,73;272,80;265,84;253,85;270,101;284,95;294,84;300,71;300,55;294,42;284,31;270,25;233,102;194,73;197,25;172,88;129,9;87,9;108,40;116,44;118,52;113,58;102,59;129,67;136,60;138,51;138,41;133,33;126,27;116,25;102,102;122,70;34,21;0,69;2,83;6,92;17,100;34,103;48,101;60,93;66,83;67,69;48,71;45,81;39,85;32,86;26,84;21,78;20,25" o:connectangles="0,0,0,0,0,0,0,0,0,0,0,0,0,0,0,0,0,0,0,0,0,0,0,0,0,0,0,0,0,0,0,0,0,0,0,0,0,0,0,0,0,0,0,0,0,0,0,0,0,0,0,0,0,0"/>
                  <o:lock v:ext="edit" aspectratio="t" verticies="t"/>
                </v:shape>
                <v:shape id="Freeform 13" o:spid="_x0000_s1031" style="position:absolute;left:1962;top:1081;width:1319;height:208;visibility:visible;mso-wrap-style:square;v-text-anchor:top" coordsize="26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      <v:path arrowok="t" o:connecttype="custom" o:connectlocs="611,102;583,25;536,69;502,27;472,26;450,41;444,68;454,91;480,104;500,79;485,85;473,81;465,69;467,54;477,45;492,44;432,25;401,25;340,30;319,23;301,27;291,41;292,58;305,69;322,77;319,86;304,85;293,99;317,104;336,97;344,80;339,63;319,54;311,47;318,40;333,45;226,42;226,102;172,102;167,89;79,102;42,25;21,24;7,34;3,52;10,64;32,74;36,83;24,87;9,79;20,104;42,101;55,88;55,68;47,59;25,50;27,42;38,41" o:connectangles="0,0,0,0,0,0,0,0,0,0,0,0,0,0,0,0,0,0,0,0,0,0,0,0,0,0,0,0,0,0,0,0,0,0,0,0,0,0,0,0,0,0,0,0,0,0,0,0,0,0,0,0,0,0,0,0,0,0"/>
                  <o:lock v:ext="edit" aspectratio="t" verticies="t"/>
                </v:shape>
                <v:shape id="Freeform 14" o:spid="_x0000_s1032" style="position:absolute;left:1962;top:851;width:679;height:208;visibility:visible;mso-wrap-style:square;v-text-anchor:top" coordsize="135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      <v:path arrowok="t" o:connecttype="custom" o:connectlocs="321,9;340,25;291,65;216,102;265,25;175,27;159,23;145,25;136,32;131,44;131,56;136,65;154,72;162,77;161,84;153,87;142,84;130,98;147,104;163,103;176,97;183,86;183,69;178,62;165,56;152,50;152,44;158,40;166,41;116,25;93,85;93,42;53,1;54,26;33,24;15,33;3,48;0,68;6,85;21,99;41,104;59,77;49,84;38,84;30,81;23,73;21,62;25,52;32,46;42,43;54,46" o:connectangles="0,0,0,0,0,0,0,0,0,0,0,0,0,0,0,0,0,0,0,0,0,0,0,0,0,0,0,0,0,0,0,0,0,0,0,0,0,0,0,0,0,0,0,0,0,0,0,0,0,0,0"/>
                  <o:lock v:ext="edit" aspectratio="t" verticies="t"/>
                </v:shape>
                <w10:wrap type="square"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8173085</wp:posOffset>
                </wp:positionV>
                <wp:extent cx="5130165" cy="925195"/>
                <wp:effectExtent l="381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4DC" w:rsidRPr="006C5577" w:rsidRDefault="004924DC" w:rsidP="004924DC">
                            <w:r>
                              <w:t>Z</w:t>
                            </w:r>
                            <w:r w:rsidRPr="006C5577">
                              <w:t xml:space="preserve">pracoval: Odbor </w:t>
                            </w:r>
                            <w:r w:rsidR="001D59A2">
                              <w:t>statistiky rozvoje společnosti</w:t>
                            </w:r>
                          </w:p>
                          <w:p w:rsidR="004924DC" w:rsidRPr="006C5577" w:rsidRDefault="001D59A2" w:rsidP="004924DC">
                            <w:r>
                              <w:t>Ředitel odboru: Martin Mana</w:t>
                            </w:r>
                          </w:p>
                          <w:p w:rsidR="001706D6" w:rsidRPr="006C5577" w:rsidRDefault="001D59A2" w:rsidP="004924DC">
                            <w:r>
                              <w:t>Kontaktní osoba: Adriana Ondrušová</w:t>
                            </w:r>
                            <w:r w:rsidR="004924DC" w:rsidRPr="006C5577">
                              <w:t>,</w:t>
                            </w:r>
                            <w:r>
                              <w:t xml:space="preserve"> e-mail: adriana.ondrusova</w:t>
                            </w:r>
                            <w:r w:rsidR="004924DC">
                              <w:t>@czso.cz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4.3pt;margin-top:643.55pt;width:403.9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" filled="f" stroked="f">
                <v:textbox inset="0,0,0,0">
                  <w:txbxContent>
                    <w:p w:rsidR="004924DC" w:rsidRPr="006C5577" w:rsidRDefault="004924DC" w:rsidP="004924DC">
                      <w:r>
                        <w:t>Z</w:t>
                      </w:r>
                      <w:r w:rsidRPr="006C5577">
                        <w:t xml:space="preserve">pracoval: Odbor </w:t>
                      </w:r>
                      <w:r w:rsidR="001D59A2">
                        <w:t>statistiky rozvoje společnosti</w:t>
                      </w:r>
                    </w:p>
                    <w:p w:rsidR="004924DC" w:rsidRPr="006C5577" w:rsidRDefault="001D59A2" w:rsidP="004924DC">
                      <w:r>
                        <w:t>Ředitel odboru: Martin Mana</w:t>
                      </w:r>
                    </w:p>
                    <w:p w:rsidR="001706D6" w:rsidRPr="006C5577" w:rsidRDefault="001D59A2" w:rsidP="004924DC">
                      <w:r>
                        <w:t>Kontaktní osoba: Adriana Ondrušová</w:t>
                      </w:r>
                      <w:r w:rsidR="004924DC" w:rsidRPr="006C5577">
                        <w:t>,</w:t>
                      </w:r>
                      <w:r>
                        <w:t xml:space="preserve"> e-mail: adriana.ondrusova</w:t>
                      </w:r>
                      <w:r w:rsidR="004924DC">
                        <w:t>@czso.cz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4680585</wp:posOffset>
                </wp:positionV>
                <wp:extent cx="5129530" cy="1686560"/>
                <wp:effectExtent l="0" t="0" r="1270" b="1524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4DC" w:rsidRPr="004924DC" w:rsidRDefault="001D59A2" w:rsidP="004924DC">
                            <w:pPr>
                              <w:pStyle w:val="TLIdentifikace-sted"/>
                            </w:pPr>
                            <w:r>
                              <w:t>Lidé a společnost</w:t>
                            </w:r>
                          </w:p>
                          <w:p w:rsidR="004924DC" w:rsidRPr="004924DC" w:rsidRDefault="00F1607C" w:rsidP="004924DC">
                            <w:pPr>
                              <w:pStyle w:val="TLIdentifikace-sted"/>
                            </w:pPr>
                            <w:r>
                              <w:t>Praha, 31. leden 2020</w:t>
                            </w:r>
                          </w:p>
                          <w:p w:rsidR="004924DC" w:rsidRPr="004924DC" w:rsidRDefault="00F1607C" w:rsidP="004924DC">
                            <w:pPr>
                              <w:pStyle w:val="TLIdentifikace-sted"/>
                            </w:pPr>
                            <w:r>
                              <w:t>Kód publikace: 230060-20</w:t>
                            </w:r>
                          </w:p>
                          <w:p w:rsidR="004924DC" w:rsidRPr="004924DC" w:rsidRDefault="001D59A2" w:rsidP="004924DC">
                            <w:pPr>
                              <w:pStyle w:val="TLIdentifikace-sted"/>
                            </w:pPr>
                            <w:r>
                              <w:t xml:space="preserve">Č. j.: </w:t>
                            </w:r>
                            <w:r w:rsidR="008F0ADE">
                              <w:t>Č</w:t>
                            </w:r>
                            <w:r w:rsidR="00FC601D">
                              <w:t>SU-818/2020</w:t>
                            </w:r>
                            <w:r w:rsidR="008F0ADE" w:rsidRPr="008F0ADE">
                              <w:t>-63</w:t>
                            </w:r>
                          </w:p>
                          <w:p w:rsidR="001706D6" w:rsidRPr="004924DC" w:rsidRDefault="001706D6" w:rsidP="004924DC">
                            <w:pPr>
                              <w:pStyle w:val="TLIdentifikace-sted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4.65pt;margin-top:368.55pt;width:403.9pt;height:13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" filled="f" stroked="f">
                <v:textbox style="mso-fit-shape-to-text:t" inset="0,0,0,0">
                  <w:txbxContent>
                    <w:p w:rsidR="004924DC" w:rsidRPr="004924DC" w:rsidRDefault="001D59A2" w:rsidP="004924DC">
                      <w:pPr>
                        <w:pStyle w:val="TLIdentifikace-sted"/>
                      </w:pPr>
                      <w:r>
                        <w:t>Lidé a společnost</w:t>
                      </w:r>
                    </w:p>
                    <w:p w:rsidR="004924DC" w:rsidRPr="004924DC" w:rsidRDefault="00F1607C" w:rsidP="004924DC">
                      <w:pPr>
                        <w:pStyle w:val="TLIdentifikace-sted"/>
                      </w:pPr>
                      <w:r>
                        <w:t>Praha, 31. leden 2020</w:t>
                      </w:r>
                    </w:p>
                    <w:p w:rsidR="004924DC" w:rsidRPr="004924DC" w:rsidRDefault="00F1607C" w:rsidP="004924DC">
                      <w:pPr>
                        <w:pStyle w:val="TLIdentifikace-sted"/>
                      </w:pPr>
                      <w:r>
                        <w:t>Kód publikace: 230060-20</w:t>
                      </w:r>
                    </w:p>
                    <w:p w:rsidR="004924DC" w:rsidRPr="004924DC" w:rsidRDefault="001D59A2" w:rsidP="004924DC">
                      <w:pPr>
                        <w:pStyle w:val="TLIdentifikace-sted"/>
                      </w:pPr>
                      <w:r>
                        <w:t xml:space="preserve">Č. j.: </w:t>
                      </w:r>
                      <w:r w:rsidR="008F0ADE">
                        <w:t>Č</w:t>
                      </w:r>
                      <w:r w:rsidR="00FC601D">
                        <w:t>SU-818/2020</w:t>
                      </w:r>
                      <w:r w:rsidR="008F0ADE" w:rsidRPr="008F0ADE">
                        <w:t>-63</w:t>
                      </w:r>
                    </w:p>
                    <w:p w:rsidR="001706D6" w:rsidRPr="004924DC" w:rsidRDefault="001706D6" w:rsidP="004924DC">
                      <w:pPr>
                        <w:pStyle w:val="TLIdentifikace-sted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1476375</wp:posOffset>
                </wp:positionV>
                <wp:extent cx="5129530" cy="2207895"/>
                <wp:effectExtent l="0" t="0" r="1270" b="1905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220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BA4" w:rsidRDefault="002659EE" w:rsidP="00385632">
                            <w:pPr>
                              <w:pStyle w:val="Nzev"/>
                            </w:pPr>
                            <w:r>
                              <w:t>Terciární vzdělávání:</w:t>
                            </w:r>
                          </w:p>
                          <w:p w:rsidR="002659EE" w:rsidRPr="002659EE" w:rsidRDefault="002659EE" w:rsidP="00385632">
                            <w:pPr>
                              <w:pStyle w:val="Nzev"/>
                              <w:rPr>
                                <w:sz w:val="52"/>
                                <w:szCs w:val="52"/>
                              </w:rPr>
                            </w:pPr>
                            <w:r w:rsidRPr="002659EE">
                              <w:rPr>
                                <w:sz w:val="52"/>
                                <w:szCs w:val="52"/>
                              </w:rPr>
                              <w:t>Studenti a absolventi vysokoškolského a vyššího odborného vzdělávání</w:t>
                            </w:r>
                          </w:p>
                          <w:p w:rsidR="00665BA4" w:rsidRPr="0012192F" w:rsidRDefault="00665BA4" w:rsidP="0012192F">
                            <w:pPr>
                              <w:pStyle w:val="Podnadpis"/>
                            </w:pPr>
                          </w:p>
                          <w:p w:rsidR="00665BA4" w:rsidRPr="0012192F" w:rsidRDefault="00665BA4" w:rsidP="0012192F">
                            <w:pPr>
                              <w:pStyle w:val="Podnadpis"/>
                            </w:pPr>
                          </w:p>
                          <w:p w:rsidR="001706D6" w:rsidRPr="0012192F" w:rsidRDefault="001706D6" w:rsidP="0012192F">
                            <w:pPr>
                              <w:pStyle w:val="Podnadpi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4.65pt;margin-top:116.25pt;width:403.9pt;height:173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" filled="f" stroked="f">
                <v:textbox style="mso-fit-shape-to-text:t" inset="0,0,0,0">
                  <w:txbxContent>
                    <w:p w:rsidR="00665BA4" w:rsidRDefault="002659EE" w:rsidP="00385632">
                      <w:pPr>
                        <w:pStyle w:val="Nzev"/>
                      </w:pPr>
                      <w:r>
                        <w:t>Terciární vzdělávání:</w:t>
                      </w:r>
                    </w:p>
                    <w:p w:rsidR="002659EE" w:rsidRPr="002659EE" w:rsidRDefault="002659EE" w:rsidP="00385632">
                      <w:pPr>
                        <w:pStyle w:val="Nzev"/>
                        <w:rPr>
                          <w:sz w:val="52"/>
                          <w:szCs w:val="52"/>
                        </w:rPr>
                      </w:pPr>
                      <w:r w:rsidRPr="002659EE">
                        <w:rPr>
                          <w:sz w:val="52"/>
                          <w:szCs w:val="52"/>
                        </w:rPr>
                        <w:t>Studenti a absolventi vysokoškolského a vyššího odborného vzdělávání</w:t>
                      </w:r>
                    </w:p>
                    <w:p w:rsidR="00665BA4" w:rsidRPr="0012192F" w:rsidRDefault="00665BA4" w:rsidP="0012192F">
                      <w:pPr>
                        <w:pStyle w:val="Podnadpis"/>
                      </w:pPr>
                    </w:p>
                    <w:p w:rsidR="00665BA4" w:rsidRPr="0012192F" w:rsidRDefault="00665BA4" w:rsidP="0012192F">
                      <w:pPr>
                        <w:pStyle w:val="Podnadpis"/>
                      </w:pPr>
                    </w:p>
                    <w:p w:rsidR="001706D6" w:rsidRPr="0012192F" w:rsidRDefault="001706D6" w:rsidP="0012192F">
                      <w:pPr>
                        <w:pStyle w:val="Podnadpis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9649460</wp:posOffset>
                </wp:positionV>
                <wp:extent cx="5130165" cy="179705"/>
                <wp:effectExtent l="0" t="0" r="5080" b="63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BA4" w:rsidRPr="004924DC" w:rsidRDefault="00665BA4" w:rsidP="004924DC">
                            <w:r w:rsidRPr="004924DC">
                              <w:t xml:space="preserve">© Český </w:t>
                            </w:r>
                            <w:r w:rsidR="001D59A2">
                              <w:t>statistický úřad, Praha, 20</w:t>
                            </w:r>
                            <w:r w:rsidR="00E47933">
                              <w:t>20</w:t>
                            </w:r>
                          </w:p>
                          <w:p w:rsidR="00665BA4" w:rsidRPr="005251DD" w:rsidRDefault="00665BA4" w:rsidP="00665BA4"/>
                          <w:p w:rsidR="00FC684B" w:rsidRPr="005251DD" w:rsidRDefault="00FC684B" w:rsidP="00FC684B"/>
                          <w:p w:rsidR="00F15AAA" w:rsidRDefault="00F15AAA"/>
                          <w:p w:rsidR="00665BA4" w:rsidRPr="00097407" w:rsidRDefault="00665BA4" w:rsidP="00665BA4">
                            <w:r w:rsidRPr="00097407">
                              <w:t xml:space="preserve">© </w:t>
                            </w:r>
                            <w:r w:rsidRPr="005251DD">
                              <w:t>Český statistický úřad</w:t>
                            </w:r>
                            <w:r>
                              <w:t xml:space="preserve"> / </w:t>
                            </w:r>
                            <w:r w:rsidRPr="009A1902">
                              <w:rPr>
                                <w:i/>
                              </w:rPr>
                              <w:t xml:space="preserve">Czech </w:t>
                            </w:r>
                            <w:proofErr w:type="spellStart"/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>Statistical</w:t>
                            </w:r>
                            <w:proofErr w:type="spellEnd"/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 xml:space="preserve"> Office</w:t>
                            </w:r>
                            <w:r w:rsidRPr="00097407">
                              <w:t>, místo, rok vydání</w:t>
                            </w:r>
                          </w:p>
                          <w:p w:rsidR="00665BA4" w:rsidRPr="005251DD" w:rsidRDefault="00665BA4" w:rsidP="00665BA4"/>
                          <w:p w:rsidR="00FC684B" w:rsidRPr="005251DD" w:rsidRDefault="00FC684B" w:rsidP="00FC684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34.65pt;margin-top:759.8pt;width:403.95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" filled="f" stroked="f">
                <v:textbox inset="0,0,0,0">
                  <w:txbxContent>
                    <w:p w:rsidR="00665BA4" w:rsidRPr="004924DC" w:rsidRDefault="00665BA4" w:rsidP="004924DC">
                      <w:r w:rsidRPr="004924DC">
                        <w:t xml:space="preserve">© Český </w:t>
                      </w:r>
                      <w:r w:rsidR="001D59A2">
                        <w:t>statistický úřad, Praha, 20</w:t>
                      </w:r>
                      <w:r w:rsidR="00E47933">
                        <w:t>20</w:t>
                      </w:r>
                    </w:p>
                    <w:p w:rsidR="00665BA4" w:rsidRPr="005251DD" w:rsidRDefault="00665BA4" w:rsidP="00665BA4"/>
                    <w:p w:rsidR="00FC684B" w:rsidRPr="005251DD" w:rsidRDefault="00FC684B" w:rsidP="00FC684B"/>
                    <w:p w:rsidR="00F15AAA" w:rsidRDefault="00F15AAA"/>
                    <w:p w:rsidR="00665BA4" w:rsidRPr="00097407" w:rsidRDefault="00665BA4" w:rsidP="00665BA4">
                      <w:r w:rsidRPr="00097407">
                        <w:t xml:space="preserve">© </w:t>
                      </w:r>
                      <w:r w:rsidRPr="005251DD">
                        <w:t>Český statistický úřad</w:t>
                      </w:r>
                      <w:r>
                        <w:t xml:space="preserve"> / </w:t>
                      </w:r>
                      <w:r w:rsidRPr="009A1902">
                        <w:rPr>
                          <w:i/>
                        </w:rPr>
                        <w:t xml:space="preserve">Czech </w:t>
                      </w:r>
                      <w:proofErr w:type="spellStart"/>
                      <w:r w:rsidRPr="009A1902">
                        <w:rPr>
                          <w:rFonts w:cs="Arial"/>
                          <w:i/>
                          <w:szCs w:val="20"/>
                        </w:rPr>
                        <w:t>Statistical</w:t>
                      </w:r>
                      <w:proofErr w:type="spellEnd"/>
                      <w:r w:rsidRPr="009A1902">
                        <w:rPr>
                          <w:rFonts w:cs="Arial"/>
                          <w:i/>
                          <w:szCs w:val="20"/>
                        </w:rPr>
                        <w:t xml:space="preserve"> Office</w:t>
                      </w:r>
                      <w:r w:rsidRPr="00097407">
                        <w:t>, místo, rok vydání</w:t>
                      </w:r>
                    </w:p>
                    <w:p w:rsidR="00665BA4" w:rsidRPr="005251DD" w:rsidRDefault="00665BA4" w:rsidP="00665BA4"/>
                    <w:p w:rsidR="00FC684B" w:rsidRPr="005251DD" w:rsidRDefault="00FC684B" w:rsidP="00FC684B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632" behindDoc="0" locked="1" layoutInCell="0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9361169</wp:posOffset>
                </wp:positionV>
                <wp:extent cx="5130165" cy="0"/>
                <wp:effectExtent l="0" t="0" r="26035" b="25400"/>
                <wp:wrapNone/>
                <wp:docPr id="33" name="Přímá spojnic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5D603" id="Přímá spojnice 33" o:spid="_x0000_s1026" style="position:absolute;z-index:25165363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margin;mso-height-relative:margin" from="134.65pt,737.1pt" to="538.6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" o:allowincell="f" strokecolor="windowText" strokeweight="1pt">
                <o:lock v:ext="edit" shapetype="f"/>
                <w10:wrap anchorx="page" anchory="page"/>
                <w10:anchorlock/>
              </v:line>
            </w:pict>
          </mc:Fallback>
        </mc:AlternateContent>
      </w:r>
      <w:r w:rsidR="00F63FB7">
        <w:br w:type="page"/>
      </w:r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1440180</wp:posOffset>
                </wp:positionV>
                <wp:extent cx="6119495" cy="7690485"/>
                <wp:effectExtent l="0" t="5080" r="1905" b="63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769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0FA" w:rsidRPr="006F5416" w:rsidRDefault="000B30FA" w:rsidP="000B30FA">
                            <w:pPr>
                              <w:pStyle w:val="TLKontaktyerven"/>
                            </w:pPr>
                            <w:r w:rsidRPr="006F5416">
                              <w:t>KONTAKTY V ÚSTŘEDÍ</w:t>
                            </w:r>
                          </w:p>
                          <w:p w:rsidR="000B30FA" w:rsidRPr="007D40DF" w:rsidRDefault="000B30FA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Český statistický úřad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 xml:space="preserve"> | Na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padesátém 81, 100 82 Praha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10, 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 xml:space="preserve">tel.: 274 051 111 | </w:t>
                            </w:r>
                            <w:r w:rsidRPr="007D40DF">
                              <w:rPr>
                                <w:color w:val="auto"/>
                              </w:rPr>
                              <w:t>www.czso.cz</w:t>
                            </w:r>
                          </w:p>
                          <w:p w:rsidR="000B30FA" w:rsidRPr="00D235B7" w:rsidRDefault="000B30FA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Oddělení informačních služeb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274 052 304, 274 052 451 | e-mail: infoservis@czso.cz</w:t>
                            </w:r>
                          </w:p>
                          <w:p w:rsidR="000B30FA" w:rsidRPr="00D235B7" w:rsidRDefault="000B30FA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Prodejna publikací ČSÚ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274 052 361 | e-mail: prodejna@czso.cz</w:t>
                            </w:r>
                          </w:p>
                          <w:p w:rsidR="000B30FA" w:rsidRPr="00D235B7" w:rsidRDefault="000B30FA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Evropská data (ESDS), mezinárodní srovnání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274 052 347, 274 052 757 | e-mail: esds@czso.cz</w:t>
                            </w:r>
                          </w:p>
                          <w:p w:rsidR="000B30FA" w:rsidRPr="00D235B7" w:rsidRDefault="000B30FA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Ústřední statistická knihovna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274 052 361 | e-mail: knihovna@czso.cz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color w:val="auto"/>
                              </w:rPr>
                            </w:pPr>
                          </w:p>
                          <w:p w:rsidR="000B30FA" w:rsidRPr="00D66223" w:rsidRDefault="000B30FA" w:rsidP="000B30FA">
                            <w:pPr>
                              <w:pStyle w:val="TLKontaktyerven"/>
                            </w:pPr>
                            <w:r w:rsidRPr="00D66223">
                              <w:t>INFORMAČNÍ SLUŽBY V REGIONECH</w:t>
                            </w:r>
                          </w:p>
                          <w:p w:rsidR="000B30FA" w:rsidRPr="00992CF3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Hl. m. Praha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Na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padesátém 81, 100 82 Praha 10,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274 052 673,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274 054 223</w:t>
                            </w:r>
                          </w:p>
                          <w:p w:rsidR="000B30FA" w:rsidRPr="00992CF3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infoservispraha@czso.cz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www.praha.czso.cz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992CF3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Středočeský kraj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Na padesátém 81, 100 82 Praha 10,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274 054 175</w:t>
                            </w:r>
                          </w:p>
                          <w:p w:rsidR="000B30FA" w:rsidRPr="00992CF3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infoservisstc@czso.cz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www.stredocesky.czso.cz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992CF3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České Budějovice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Žižkova 1, 370 77 České Budějovice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386 718 440</w:t>
                            </w:r>
                          </w:p>
                          <w:p w:rsidR="000B30FA" w:rsidRPr="00992CF3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infoserviscb@czso.cz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www.cbudejovice.czso.cz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BC731E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Plzeň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Slovanská alej 36, 326 64 Plzeň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377 612 108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, 377 612 145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infoservisplzen@czso.cz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www.plzen.czso.cz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Karlovy Vary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</w:t>
                            </w:r>
                            <w:r w:rsidRPr="00095135">
                              <w:rPr>
                                <w:b w:val="0"/>
                                <w:color w:val="auto"/>
                              </w:rPr>
                              <w:t>Závodní 360/94, 360 06 Karlovy Vary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353 114 529, 353 114 525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infoserviskv@czso.cz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www.kvary.czso.cz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Ústí nad Labem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Špálova 2684, 400 11 Ústí nad Labem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472 706 176,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472 706 121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infoservisul@czso.cz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www.ustinadlabem.czso.cz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Liberec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Nám. Dr. Edvarda Beneše 585/26, 460 01 Liberec 1,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485 238 811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infoservislbc@czso.cz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www.liberec.czso.cz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Hradec Králové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Myslivečkova 914, 500 03 Hradec Králové 3,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495 762 322,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495 762 317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infoservishk@czso.cz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www.hradeckralove.czso.cz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Pardubice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V Ráji 872, 531 53 Pardubice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466 743 480, 466 743 418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infoservispa@czso.cz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www.pardubice.czso.cz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Jihlava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Ke Skalce 30,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586 01 Jihlava, tel.: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567 109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062, 567 109 073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infoservisvys@czso.cz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www.jihlava.czso.cz</w:t>
                            </w:r>
                          </w:p>
                          <w:p w:rsidR="000B30FA" w:rsidRDefault="000B30FA" w:rsidP="000B30FA">
                            <w:pPr>
                              <w:pStyle w:val="TLKontakty"/>
                              <w:spacing w:after="80" w:line="240" w:lineRule="auto"/>
                            </w:pPr>
                          </w:p>
                          <w:p w:rsidR="000B30FA" w:rsidRPr="00BC731E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Brno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Jezuitská 2, 601 59 Brno,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tel: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542 528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115, 542 528 200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infoservisbrno@czso.cz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www.brno.czso.cz</w:t>
                            </w:r>
                          </w:p>
                          <w:p w:rsidR="000B30FA" w:rsidRPr="004A61C5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0B30FA" w:rsidRPr="005E7C78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Olomouc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Jeremenkova 1142/42, 772 11 Olomouc,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tel.: 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585 731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516, 585 731 511</w:t>
                            </w:r>
                          </w:p>
                          <w:p w:rsidR="000B30FA" w:rsidRPr="005E7C78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infoservisolom@czso.cz | </w:t>
                            </w:r>
                            <w:r w:rsidRPr="005E7C78">
                              <w:rPr>
                                <w:color w:val="auto"/>
                              </w:rPr>
                              <w:t>www.olomouc.czso.cz</w:t>
                            </w:r>
                          </w:p>
                          <w:p w:rsidR="000B30FA" w:rsidRPr="005E7C78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0B30FA" w:rsidRPr="005E7C78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Zlín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tř. Tomáše Bati 1565, 761 76 Zlín,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tel.: 577 004 932, 5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>77 004 935</w:t>
                            </w:r>
                          </w:p>
                          <w:p w:rsidR="000B30FA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infoservis-zl@czso.cz | </w:t>
                            </w:r>
                            <w:r w:rsidRPr="00227A53">
                              <w:rPr>
                                <w:color w:val="auto"/>
                              </w:rPr>
                              <w:t>www.zlin.czso.cz</w:t>
                            </w:r>
                          </w:p>
                          <w:p w:rsidR="000B30FA" w:rsidRPr="005E7C78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0B30FA" w:rsidRPr="005E7C78" w:rsidRDefault="000B30FA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Ostrava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Repinova 17, 702 03 Ostrava,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tel: 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>595 131 230, 5</w:t>
                            </w:r>
                            <w:bookmarkStart w:id="0" w:name="_GoBack"/>
                            <w:bookmarkEnd w:id="0"/>
                            <w:r w:rsidRPr="005E7C78">
                              <w:rPr>
                                <w:b w:val="0"/>
                                <w:color w:val="auto"/>
                              </w:rPr>
                              <w:t>95 131 232</w:t>
                            </w:r>
                          </w:p>
                          <w:p w:rsidR="0010437D" w:rsidRPr="0010437D" w:rsidRDefault="000B30FA" w:rsidP="00825C4D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infoservis_ov@czso.cz | </w:t>
                            </w:r>
                            <w:r w:rsidRPr="005E7C78">
                              <w:rPr>
                                <w:color w:val="auto"/>
                              </w:rPr>
                              <w:t>www.ostrava.czso.cz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7pt;margin-top:113.4pt;width:481.85pt;height:60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" filled="f" stroked="f">
                <v:textbox style="mso-fit-shape-to-text:t" inset="0,0,0,0">
                  <w:txbxContent>
                    <w:p w:rsidR="000B30FA" w:rsidRPr="006F5416" w:rsidRDefault="000B30FA" w:rsidP="000B30FA">
                      <w:pPr>
                        <w:pStyle w:val="TLKontaktyerven"/>
                      </w:pPr>
                      <w:r w:rsidRPr="006F5416">
                        <w:t>KONTAKTY V ÚSTŘEDÍ</w:t>
                      </w:r>
                    </w:p>
                    <w:p w:rsidR="000B30FA" w:rsidRPr="007D40DF" w:rsidRDefault="000B30FA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66223">
                        <w:t>Český statistický úřad</w:t>
                      </w:r>
                      <w:r w:rsidRPr="007D40DF">
                        <w:rPr>
                          <w:b w:val="0"/>
                          <w:color w:val="auto"/>
                        </w:rPr>
                        <w:t xml:space="preserve"> | Na</w:t>
                      </w:r>
                      <w:r>
                        <w:rPr>
                          <w:b w:val="0"/>
                          <w:color w:val="auto"/>
                        </w:rPr>
                        <w:t xml:space="preserve"> padesátém 81, 100 82 Praha</w:t>
                      </w:r>
                      <w:r w:rsidRPr="007D40DF">
                        <w:rPr>
                          <w:b w:val="0"/>
                          <w:color w:val="auto"/>
                        </w:rPr>
                        <w:t> </w:t>
                      </w:r>
                      <w:r>
                        <w:rPr>
                          <w:b w:val="0"/>
                          <w:color w:val="auto"/>
                        </w:rPr>
                        <w:t xml:space="preserve">10, </w:t>
                      </w:r>
                      <w:r w:rsidRPr="007D40DF">
                        <w:rPr>
                          <w:b w:val="0"/>
                          <w:color w:val="auto"/>
                        </w:rPr>
                        <w:t xml:space="preserve">tel.: 274 051 111 | </w:t>
                      </w:r>
                      <w:r w:rsidRPr="007D40DF">
                        <w:rPr>
                          <w:color w:val="auto"/>
                        </w:rPr>
                        <w:t>www.czso.cz</w:t>
                      </w:r>
                    </w:p>
                    <w:p w:rsidR="000B30FA" w:rsidRPr="00D235B7" w:rsidRDefault="000B30FA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Oddělení informačních služeb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274 052 304, 274 052 451 | e-mail: infoservis@czso.cz</w:t>
                      </w:r>
                    </w:p>
                    <w:p w:rsidR="000B30FA" w:rsidRPr="00D235B7" w:rsidRDefault="000B30FA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Prodejna publikací ČSÚ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274 052 361 | e-mail: prodejna@czso.cz</w:t>
                      </w:r>
                    </w:p>
                    <w:p w:rsidR="000B30FA" w:rsidRPr="00D235B7" w:rsidRDefault="000B30FA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Evropská data (ESDS), mezinárodní srovnání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274 052 347, 274 052 757 | e-mail: esds@czso.cz</w:t>
                      </w:r>
                    </w:p>
                    <w:p w:rsidR="000B30FA" w:rsidRPr="00D235B7" w:rsidRDefault="000B30FA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Ústřední statistická knihovna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274 052 361 | e-mail: knihovna@czso.cz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color w:val="auto"/>
                        </w:rPr>
                      </w:pPr>
                    </w:p>
                    <w:p w:rsidR="000B30FA" w:rsidRPr="00D66223" w:rsidRDefault="000B30FA" w:rsidP="000B30FA">
                      <w:pPr>
                        <w:pStyle w:val="TLKontaktyerven"/>
                      </w:pPr>
                      <w:r w:rsidRPr="00D66223">
                        <w:t>INFORMAČNÍ SLUŽBY V REGIONECH</w:t>
                      </w:r>
                    </w:p>
                    <w:p w:rsidR="000B30FA" w:rsidRPr="00992CF3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Hl. m. Praha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Na</w:t>
                      </w:r>
                      <w:r>
                        <w:rPr>
                          <w:b w:val="0"/>
                          <w:color w:val="auto"/>
                        </w:rPr>
                        <w:t xml:space="preserve"> padesátém 81, 100 82 Praha 10, </w:t>
                      </w:r>
                      <w:r w:rsidRPr="00992CF3">
                        <w:rPr>
                          <w:b w:val="0"/>
                          <w:color w:val="auto"/>
                        </w:rPr>
                        <w:t>tel.</w:t>
                      </w:r>
                      <w:r w:rsidRPr="007D40DF">
                        <w:rPr>
                          <w:b w:val="0"/>
                          <w:color w:val="auto"/>
                        </w:rPr>
                        <w:t>:</w:t>
                      </w:r>
                      <w:r>
                        <w:rPr>
                          <w:b w:val="0"/>
                          <w:color w:val="auto"/>
                        </w:rPr>
                        <w:t xml:space="preserve"> 274 052 673, </w:t>
                      </w:r>
                      <w:r w:rsidRPr="00992CF3">
                        <w:rPr>
                          <w:b w:val="0"/>
                          <w:color w:val="auto"/>
                        </w:rPr>
                        <w:t>274 054 223</w:t>
                      </w:r>
                    </w:p>
                    <w:p w:rsidR="000B30FA" w:rsidRPr="00992CF3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infoservispraha@czso.cz | </w:t>
                      </w:r>
                      <w:r w:rsidRPr="00992CF3">
                        <w:rPr>
                          <w:color w:val="auto"/>
                        </w:rPr>
                        <w:t>www.praha.czso.cz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992CF3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Středočeský kraj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Na padesátém 81, 100 82 Praha 10,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992CF3">
                        <w:rPr>
                          <w:b w:val="0"/>
                          <w:color w:val="auto"/>
                        </w:rPr>
                        <w:t>274 054 175</w:t>
                      </w:r>
                    </w:p>
                    <w:p w:rsidR="000B30FA" w:rsidRPr="00992CF3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infoservisstc@czso.cz | </w:t>
                      </w:r>
                      <w:r w:rsidRPr="00992CF3">
                        <w:rPr>
                          <w:color w:val="auto"/>
                        </w:rPr>
                        <w:t>www.stredocesky.czso.cz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992CF3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České Budějovice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Žižkova 1, 370 77 České Budějovice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992CF3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992CF3">
                        <w:rPr>
                          <w:b w:val="0"/>
                          <w:color w:val="auto"/>
                        </w:rPr>
                        <w:t>386 718 440</w:t>
                      </w:r>
                    </w:p>
                    <w:p w:rsidR="000B30FA" w:rsidRPr="00992CF3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infoserviscb@czso.cz | </w:t>
                      </w:r>
                      <w:r w:rsidRPr="00992CF3">
                        <w:rPr>
                          <w:color w:val="auto"/>
                        </w:rPr>
                        <w:t>www.cbudejovice.czso.cz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BC731E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Plzeň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Slovanská alej 36, 326 64 Plzeň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377 612 108</w:t>
                      </w:r>
                      <w:r w:rsidRPr="00BC731E">
                        <w:rPr>
                          <w:b w:val="0"/>
                          <w:color w:val="auto"/>
                        </w:rPr>
                        <w:t>, 377 612 145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infoservisplzen@czso.cz | </w:t>
                      </w:r>
                      <w:r w:rsidRPr="004A61C5">
                        <w:rPr>
                          <w:color w:val="auto"/>
                        </w:rPr>
                        <w:t>www.plzen.czso.cz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Karlovy Vary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</w:t>
                      </w:r>
                      <w:r w:rsidRPr="00095135">
                        <w:rPr>
                          <w:b w:val="0"/>
                          <w:color w:val="auto"/>
                        </w:rPr>
                        <w:t>Závodní 360/94, 360 06 Karlovy Vary</w:t>
                      </w:r>
                      <w:r w:rsidRPr="004A61C5">
                        <w:rPr>
                          <w:b w:val="0"/>
                          <w:color w:val="auto"/>
                        </w:rPr>
                        <w:t>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353 114 529, 353 114 525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infoserviskv@czso.cz | </w:t>
                      </w:r>
                      <w:r w:rsidRPr="004A61C5">
                        <w:rPr>
                          <w:color w:val="auto"/>
                        </w:rPr>
                        <w:t>www.kvary.czso.cz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Ústí nad Labem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Špálova 2684, 400 11 Ústí nad Labem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472 706 176,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472 706 121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infoservisul@czso.cz | </w:t>
                      </w:r>
                      <w:r w:rsidRPr="004A61C5">
                        <w:rPr>
                          <w:color w:val="auto"/>
                        </w:rPr>
                        <w:t>www.ustinadlabem.czso.cz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Liberec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Nám. Dr. Edvarda Beneše 585/26, 460 01 Liberec 1,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485 238 811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infoservislbc@czso.cz | </w:t>
                      </w:r>
                      <w:r w:rsidRPr="004A61C5">
                        <w:rPr>
                          <w:color w:val="auto"/>
                        </w:rPr>
                        <w:t>www.liberec.czso.cz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Hradec Králové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Myslivečkova 914, 500 03 Hradec Králové 3, </w:t>
                      </w:r>
                      <w:r>
                        <w:rPr>
                          <w:b w:val="0"/>
                          <w:color w:val="auto"/>
                        </w:rPr>
                        <w:t>tel.</w:t>
                      </w:r>
                      <w:r w:rsidRPr="007D40DF">
                        <w:rPr>
                          <w:b w:val="0"/>
                          <w:color w:val="auto"/>
                        </w:rPr>
                        <w:t>: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495 762 322,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495 762 317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infoservishk@czso.cz | </w:t>
                      </w:r>
                      <w:r w:rsidRPr="004A61C5">
                        <w:rPr>
                          <w:color w:val="auto"/>
                        </w:rPr>
                        <w:t>www.hradeckralove.czso.cz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Pardubice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V Ráji 872, 531 53 Pardubice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>: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466 743 480, 466 743 418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infoservispa@czso.cz | </w:t>
                      </w:r>
                      <w:r w:rsidRPr="004A61C5">
                        <w:rPr>
                          <w:color w:val="auto"/>
                        </w:rPr>
                        <w:t>www.pardubice.czso.cz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Jihlava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Ke Skalce 30,</w:t>
                      </w:r>
                      <w:r>
                        <w:rPr>
                          <w:b w:val="0"/>
                          <w:color w:val="auto"/>
                        </w:rPr>
                        <w:t xml:space="preserve"> 586 01 Jihlava, tel.: 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567 109 </w:t>
                      </w:r>
                      <w:r w:rsidRPr="00BC731E">
                        <w:rPr>
                          <w:b w:val="0"/>
                          <w:color w:val="auto"/>
                        </w:rPr>
                        <w:t>062, 567 109 073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infoservisvys@czso.cz | </w:t>
                      </w:r>
                      <w:r w:rsidRPr="004A61C5">
                        <w:rPr>
                          <w:color w:val="auto"/>
                        </w:rPr>
                        <w:t>www.jihlava.czso.cz</w:t>
                      </w:r>
                    </w:p>
                    <w:p w:rsidR="000B30FA" w:rsidRDefault="000B30FA" w:rsidP="000B30FA">
                      <w:pPr>
                        <w:pStyle w:val="TLKontakty"/>
                        <w:spacing w:after="80" w:line="240" w:lineRule="auto"/>
                      </w:pPr>
                    </w:p>
                    <w:p w:rsidR="000B30FA" w:rsidRPr="00BC731E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Brno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Jezuitská 2, 601 59 Brno, </w:t>
                      </w:r>
                      <w:r>
                        <w:rPr>
                          <w:b w:val="0"/>
                          <w:color w:val="auto"/>
                        </w:rPr>
                        <w:t xml:space="preserve">tel: 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542 528 </w:t>
                      </w:r>
                      <w:r w:rsidRPr="00BC731E">
                        <w:rPr>
                          <w:b w:val="0"/>
                          <w:color w:val="auto"/>
                        </w:rPr>
                        <w:t>115, 542 528 200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infoservisbrno@czso.cz | </w:t>
                      </w:r>
                      <w:r w:rsidRPr="004A61C5">
                        <w:rPr>
                          <w:color w:val="auto"/>
                        </w:rPr>
                        <w:t>www.brno.czso.cz</w:t>
                      </w:r>
                    </w:p>
                    <w:p w:rsidR="000B30FA" w:rsidRPr="004A61C5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0B30FA" w:rsidRPr="005E7C78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Olomouc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Jeremenkova 1142/42, 772 11 Olomouc, </w:t>
                      </w:r>
                      <w:r>
                        <w:rPr>
                          <w:b w:val="0"/>
                          <w:color w:val="auto"/>
                        </w:rPr>
                        <w:t xml:space="preserve">tel.: 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585 731 </w:t>
                      </w:r>
                      <w:r w:rsidRPr="00BC731E">
                        <w:rPr>
                          <w:b w:val="0"/>
                          <w:color w:val="auto"/>
                        </w:rPr>
                        <w:t>516, 585 731 511</w:t>
                      </w:r>
                    </w:p>
                    <w:p w:rsidR="000B30FA" w:rsidRPr="005E7C78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infoservisolom@czso.cz | </w:t>
                      </w:r>
                      <w:r w:rsidRPr="005E7C78">
                        <w:rPr>
                          <w:color w:val="auto"/>
                        </w:rPr>
                        <w:t>www.olomouc.czso.cz</w:t>
                      </w:r>
                    </w:p>
                    <w:p w:rsidR="000B30FA" w:rsidRPr="005E7C78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0B30FA" w:rsidRPr="005E7C78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Zlín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tř. Tomáše Bati 1565, 761 76 Zlín, </w:t>
                      </w:r>
                      <w:r w:rsidRPr="00BC731E">
                        <w:rPr>
                          <w:b w:val="0"/>
                          <w:color w:val="auto"/>
                        </w:rPr>
                        <w:t>tel.: 577 004 932, 5</w:t>
                      </w:r>
                      <w:r w:rsidRPr="005E7C78">
                        <w:rPr>
                          <w:b w:val="0"/>
                          <w:color w:val="auto"/>
                        </w:rPr>
                        <w:t>77 004 935</w:t>
                      </w:r>
                    </w:p>
                    <w:p w:rsidR="000B30FA" w:rsidRDefault="000B30FA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infoservis-zl@czso.cz | </w:t>
                      </w:r>
                      <w:r w:rsidRPr="00227A53">
                        <w:rPr>
                          <w:color w:val="auto"/>
                        </w:rPr>
                        <w:t>www.zlin.czso.cz</w:t>
                      </w:r>
                    </w:p>
                    <w:p w:rsidR="000B30FA" w:rsidRPr="005E7C78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0B30FA" w:rsidRPr="005E7C78" w:rsidRDefault="000B30FA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Ostrava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Repinova 17, 702 03 Ostrava,</w:t>
                      </w:r>
                      <w:r>
                        <w:rPr>
                          <w:b w:val="0"/>
                          <w:color w:val="auto"/>
                        </w:rPr>
                        <w:t xml:space="preserve"> tel: </w:t>
                      </w:r>
                      <w:r w:rsidRPr="005E7C78">
                        <w:rPr>
                          <w:b w:val="0"/>
                          <w:color w:val="auto"/>
                        </w:rPr>
                        <w:t>595 131 230, 595 131 232</w:t>
                      </w:r>
                    </w:p>
                    <w:p w:rsidR="0010437D" w:rsidRPr="0010437D" w:rsidRDefault="000B30FA" w:rsidP="00825C4D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infoservis_ov@czso.cz | </w:t>
                      </w:r>
                      <w:r w:rsidRPr="005E7C78">
                        <w:rPr>
                          <w:color w:val="auto"/>
                        </w:rPr>
                        <w:t>www.ostrava.czso.cz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9486900</wp:posOffset>
                </wp:positionV>
                <wp:extent cx="6120130" cy="360045"/>
                <wp:effectExtent l="0" t="0" r="1270" b="2095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A2C" w:rsidRPr="00321924" w:rsidRDefault="00834304" w:rsidP="008F029B">
                            <w:r w:rsidRPr="00321924">
                              <w:br/>
                            </w:r>
                            <w:r w:rsidR="000A3A2C" w:rsidRPr="00321924">
                              <w:t>© Český statistický úřad</w:t>
                            </w:r>
                            <w:r w:rsidR="00321924" w:rsidRPr="00321924">
                              <w:t xml:space="preserve">, </w:t>
                            </w:r>
                            <w:r w:rsidR="00A174F2">
                              <w:t>Praha, 2020</w:t>
                            </w:r>
                          </w:p>
                          <w:p w:rsidR="00F15AAA" w:rsidRDefault="00F15AAA"/>
                          <w:p w:rsidR="000A3A2C" w:rsidRPr="00841D9F" w:rsidRDefault="000A3A2C" w:rsidP="000A3A2C">
                            <w:r w:rsidRPr="00841D9F">
                              <w:rPr>
                                <w:szCs w:val="26"/>
                              </w:rPr>
                              <w:t xml:space="preserve">ISBN XX-XXXX-XXX-X  </w:t>
                            </w:r>
                            <w:r w:rsidRPr="00841D9F">
                              <w:t>(pouze u nepravidelných a ročních publikací)</w:t>
                            </w:r>
                          </w:p>
                          <w:p w:rsidR="000A3A2C" w:rsidRPr="00AF2852" w:rsidRDefault="000A3A2C" w:rsidP="000A3A2C">
                            <w:r w:rsidRPr="00841D9F">
                              <w:t>© Český sta</w:t>
                            </w:r>
                            <w:r>
                              <w:t xml:space="preserve">tistický úřad / </w:t>
                            </w:r>
                            <w:r w:rsidRPr="009A1902">
                              <w:rPr>
                                <w:i/>
                              </w:rPr>
                              <w:t xml:space="preserve">Czech </w:t>
                            </w:r>
                            <w:proofErr w:type="spellStart"/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>Statistical</w:t>
                            </w:r>
                            <w:proofErr w:type="spellEnd"/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 xml:space="preserve"> Office</w:t>
                            </w:r>
                            <w:r>
                              <w:t>, místo, rok vydání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6.7pt;margin-top:747pt;width:481.9pt;height:28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" filled="f" stroked="f">
                <v:textbox inset="0,0,0,0">
                  <w:txbxContent>
                    <w:p w:rsidR="000A3A2C" w:rsidRPr="00321924" w:rsidRDefault="00834304" w:rsidP="008F029B">
                      <w:r w:rsidRPr="00321924">
                        <w:br/>
                      </w:r>
                      <w:r w:rsidR="000A3A2C" w:rsidRPr="00321924">
                        <w:t>© Český statistický úřad</w:t>
                      </w:r>
                      <w:r w:rsidR="00321924" w:rsidRPr="00321924">
                        <w:t xml:space="preserve">, </w:t>
                      </w:r>
                      <w:r w:rsidR="00A174F2">
                        <w:t>Praha, 2020</w:t>
                      </w:r>
                    </w:p>
                    <w:p w:rsidR="00F15AAA" w:rsidRDefault="00F15AAA"/>
                    <w:p w:rsidR="000A3A2C" w:rsidRPr="00841D9F" w:rsidRDefault="000A3A2C" w:rsidP="000A3A2C">
                      <w:r w:rsidRPr="00841D9F">
                        <w:rPr>
                          <w:szCs w:val="26"/>
                        </w:rPr>
                        <w:t xml:space="preserve">ISBN XX-XXXX-XXX-X  </w:t>
                      </w:r>
                      <w:r w:rsidRPr="00841D9F">
                        <w:t>(pouze u nepravidelných a ročních publikací)</w:t>
                      </w:r>
                    </w:p>
                    <w:p w:rsidR="000A3A2C" w:rsidRPr="00AF2852" w:rsidRDefault="000A3A2C" w:rsidP="000A3A2C">
                      <w:r w:rsidRPr="00841D9F">
                        <w:t>© Český sta</w:t>
                      </w:r>
                      <w:r>
                        <w:t xml:space="preserve">tistický úřad / </w:t>
                      </w:r>
                      <w:r w:rsidRPr="009A1902">
                        <w:rPr>
                          <w:i/>
                        </w:rPr>
                        <w:t xml:space="preserve">Czech </w:t>
                      </w:r>
                      <w:proofErr w:type="spellStart"/>
                      <w:r w:rsidRPr="009A1902">
                        <w:rPr>
                          <w:rFonts w:cs="Arial"/>
                          <w:i/>
                          <w:szCs w:val="20"/>
                        </w:rPr>
                        <w:t>Statistical</w:t>
                      </w:r>
                      <w:proofErr w:type="spellEnd"/>
                      <w:r w:rsidRPr="009A1902">
                        <w:rPr>
                          <w:rFonts w:cs="Arial"/>
                          <w:i/>
                          <w:szCs w:val="20"/>
                        </w:rPr>
                        <w:t xml:space="preserve"> Office</w:t>
                      </w:r>
                      <w:r>
                        <w:t>, místo, rok vydání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723265</wp:posOffset>
                </wp:positionV>
                <wp:extent cx="6119495" cy="572770"/>
                <wp:effectExtent l="0" t="0" r="254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A2C" w:rsidRPr="009A1902" w:rsidRDefault="000A3A2C" w:rsidP="000A3A2C">
                            <w:pPr>
                              <w:rPr>
                                <w:b/>
                                <w:bCs/>
                                <w:i/>
                                <w:sz w:val="24"/>
                              </w:rPr>
                            </w:pPr>
                            <w:r w:rsidRPr="00B95F50">
                              <w:rPr>
                                <w:b/>
                                <w:color w:val="0071BC"/>
                                <w:sz w:val="24"/>
                              </w:rPr>
                              <w:t xml:space="preserve">Zajímají Vás nejnovější údaje o inflaci, HDP, obyvatelstvu, průměrných mzdách </w:t>
                            </w:r>
                            <w:r>
                              <w:rPr>
                                <w:b/>
                                <w:color w:val="0071BC"/>
                                <w:sz w:val="24"/>
                              </w:rPr>
                              <w:br/>
                            </w:r>
                            <w:r w:rsidRPr="00B95F50">
                              <w:rPr>
                                <w:b/>
                                <w:color w:val="0071BC"/>
                                <w:sz w:val="24"/>
                              </w:rPr>
                              <w:t xml:space="preserve">a mnohé další? Najdete je na stránkách ČSÚ na internetu: </w:t>
                            </w:r>
                            <w:r w:rsidR="004A14E4">
                              <w:rPr>
                                <w:b/>
                                <w:bCs/>
                                <w:sz w:val="24"/>
                              </w:rPr>
                              <w:t>www.czso.cz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6.95pt;margin-top:56.95pt;width:481.85pt;height:45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" filled="f" stroked="f">
                <v:textbox style="mso-fit-shape-to-text:t" inset="0,0,0,0">
                  <w:txbxContent>
                    <w:p w:rsidR="000A3A2C" w:rsidRPr="009A1902" w:rsidRDefault="000A3A2C" w:rsidP="000A3A2C">
                      <w:pPr>
                        <w:rPr>
                          <w:b/>
                          <w:bCs/>
                          <w:i/>
                          <w:sz w:val="24"/>
                        </w:rPr>
                      </w:pPr>
                      <w:r w:rsidRPr="00B95F50">
                        <w:rPr>
                          <w:b/>
                          <w:color w:val="0071BC"/>
                          <w:sz w:val="24"/>
                        </w:rPr>
                        <w:t xml:space="preserve">Zajímají Vás nejnovější údaje o inflaci, HDP, obyvatelstvu, průměrných mzdách </w:t>
                      </w:r>
                      <w:r>
                        <w:rPr>
                          <w:b/>
                          <w:color w:val="0071BC"/>
                          <w:sz w:val="24"/>
                        </w:rPr>
                        <w:br/>
                      </w:r>
                      <w:r w:rsidRPr="00B95F50">
                        <w:rPr>
                          <w:b/>
                          <w:color w:val="0071BC"/>
                          <w:sz w:val="24"/>
                        </w:rPr>
                        <w:t xml:space="preserve">a mnohé další? Najdete je na stránkách ČSÚ na internetu: </w:t>
                      </w:r>
                      <w:r w:rsidR="004A14E4">
                        <w:rPr>
                          <w:b/>
                          <w:bCs/>
                          <w:sz w:val="24"/>
                        </w:rPr>
                        <w:t>www.czso.cz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EE4B1B" w:rsidRDefault="00EE4B1B" w:rsidP="006F5416">
      <w:pPr>
        <w:pStyle w:val="Obsah"/>
        <w:rPr>
          <w:color w:val="943634" w:themeColor="accent2" w:themeShade="BF"/>
        </w:rPr>
      </w:pPr>
      <w:r w:rsidRPr="002659EE">
        <w:rPr>
          <w:color w:val="943634" w:themeColor="accent2" w:themeShade="BF"/>
        </w:rPr>
        <w:lastRenderedPageBreak/>
        <w:t>Obsah</w:t>
      </w:r>
    </w:p>
    <w:p w:rsidR="000455DB" w:rsidRPr="008F6FAC" w:rsidRDefault="000455DB" w:rsidP="000455DB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>Metodický úvod</w:t>
      </w:r>
      <w:r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4</w:t>
      </w:r>
    </w:p>
    <w:p w:rsidR="004C3442" w:rsidRPr="008F6FAC" w:rsidRDefault="004C3442" w:rsidP="004C3442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>1</w:t>
      </w:r>
      <w:r w:rsidR="00646FC4" w:rsidRPr="008F6FAC">
        <w:rPr>
          <w:rFonts w:cs="Arial"/>
          <w:szCs w:val="20"/>
        </w:rPr>
        <w:t>. Studenti na vysokých školách</w:t>
      </w:r>
      <w:r w:rsidR="00A32584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7</w:t>
      </w:r>
    </w:p>
    <w:p w:rsidR="00B563D9" w:rsidRPr="008F6FAC" w:rsidRDefault="00646FC4" w:rsidP="004C3442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 xml:space="preserve">2. </w:t>
      </w:r>
      <w:r w:rsidR="00B563D9" w:rsidRPr="008F6FAC">
        <w:rPr>
          <w:rFonts w:cs="Arial"/>
          <w:szCs w:val="20"/>
        </w:rPr>
        <w:t xml:space="preserve">Studenti </w:t>
      </w:r>
      <w:r w:rsidRPr="008F6FAC">
        <w:rPr>
          <w:rFonts w:cs="Arial"/>
          <w:szCs w:val="20"/>
        </w:rPr>
        <w:t>a absolventi podle věku</w:t>
      </w:r>
      <w:r w:rsidR="00B563D9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8</w:t>
      </w:r>
    </w:p>
    <w:p w:rsidR="004C3442" w:rsidRPr="008F6FAC" w:rsidRDefault="00646FC4" w:rsidP="004C3442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 xml:space="preserve">3. Struktura studentů podle pohlaví </w:t>
      </w:r>
      <w:r w:rsidR="004C3442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8</w:t>
      </w:r>
    </w:p>
    <w:p w:rsidR="004C3442" w:rsidRPr="008F6FAC" w:rsidRDefault="00646FC4" w:rsidP="004C3442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 xml:space="preserve">4. </w:t>
      </w:r>
      <w:r w:rsidR="00426913" w:rsidRPr="008F6FAC">
        <w:rPr>
          <w:rFonts w:cs="Arial"/>
          <w:szCs w:val="20"/>
        </w:rPr>
        <w:t>Studenti podle studijních programů</w:t>
      </w:r>
      <w:r w:rsidR="004C3442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9</w:t>
      </w:r>
    </w:p>
    <w:p w:rsidR="004C3442" w:rsidRPr="008F6FAC" w:rsidRDefault="00426913" w:rsidP="004C3442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>5</w:t>
      </w:r>
      <w:r w:rsidR="004C3442" w:rsidRPr="008F6FAC">
        <w:rPr>
          <w:rFonts w:cs="Arial"/>
          <w:szCs w:val="20"/>
        </w:rPr>
        <w:t xml:space="preserve">. </w:t>
      </w:r>
      <w:r w:rsidR="00646FC4" w:rsidRPr="008F6FAC">
        <w:rPr>
          <w:rFonts w:cs="Arial"/>
          <w:szCs w:val="20"/>
        </w:rPr>
        <w:t>Cizinci na vysokých školách</w:t>
      </w:r>
      <w:r w:rsidR="004C3442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11</w:t>
      </w:r>
    </w:p>
    <w:p w:rsidR="0069580C" w:rsidRPr="008F6FAC" w:rsidRDefault="00426913" w:rsidP="004C3442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>6</w:t>
      </w:r>
      <w:r w:rsidR="00646FC4" w:rsidRPr="008F6FAC">
        <w:rPr>
          <w:rFonts w:cs="Arial"/>
          <w:szCs w:val="20"/>
        </w:rPr>
        <w:t>. Doktorandi</w:t>
      </w:r>
      <w:r w:rsidR="00A32584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12</w:t>
      </w:r>
    </w:p>
    <w:p w:rsidR="00646FC4" w:rsidRPr="008F6FAC" w:rsidRDefault="00426913" w:rsidP="00646FC4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>7</w:t>
      </w:r>
      <w:r w:rsidR="00646FC4" w:rsidRPr="008F6FAC">
        <w:rPr>
          <w:rFonts w:cs="Arial"/>
          <w:szCs w:val="20"/>
        </w:rPr>
        <w:t>. Absolventi</w:t>
      </w:r>
      <w:r w:rsidR="00A81F66" w:rsidRPr="008F6FAC">
        <w:rPr>
          <w:rFonts w:cs="Arial"/>
          <w:szCs w:val="20"/>
        </w:rPr>
        <w:t xml:space="preserve"> vysokých škol</w:t>
      </w:r>
      <w:r w:rsidR="00646FC4" w:rsidRPr="008F6FAC">
        <w:rPr>
          <w:rFonts w:cs="Arial"/>
          <w:szCs w:val="20"/>
        </w:rPr>
        <w:tab/>
      </w:r>
      <w:r w:rsidR="008F6FAC" w:rsidRPr="008F6FAC">
        <w:rPr>
          <w:rFonts w:cs="Arial"/>
          <w:szCs w:val="20"/>
        </w:rPr>
        <w:t>12</w:t>
      </w:r>
    </w:p>
    <w:p w:rsidR="008F6FAC" w:rsidRPr="008F6FAC" w:rsidRDefault="008F6FAC" w:rsidP="008F6FAC">
      <w:pPr>
        <w:pStyle w:val="Obsahpoloky"/>
        <w:rPr>
          <w:rFonts w:cs="Arial"/>
          <w:szCs w:val="20"/>
        </w:rPr>
      </w:pPr>
      <w:r w:rsidRPr="008F6FAC">
        <w:rPr>
          <w:rFonts w:cs="Arial"/>
          <w:szCs w:val="20"/>
        </w:rPr>
        <w:t xml:space="preserve">8. </w:t>
      </w:r>
      <w:r w:rsidR="00DB0E2D">
        <w:rPr>
          <w:rFonts w:cs="Arial"/>
          <w:szCs w:val="20"/>
        </w:rPr>
        <w:t>Studenti vyšších odborných škol</w:t>
      </w:r>
      <w:r w:rsidRPr="008F6FAC">
        <w:rPr>
          <w:rFonts w:cs="Arial"/>
          <w:szCs w:val="20"/>
        </w:rPr>
        <w:tab/>
        <w:t>13</w:t>
      </w:r>
    </w:p>
    <w:p w:rsidR="008F6FAC" w:rsidRPr="004C3442" w:rsidRDefault="008F6FAC" w:rsidP="00646FC4">
      <w:pPr>
        <w:pStyle w:val="Obsahpoloky"/>
      </w:pPr>
    </w:p>
    <w:p w:rsidR="00646FC4" w:rsidRPr="004C3442" w:rsidRDefault="00646FC4" w:rsidP="004C3442">
      <w:pPr>
        <w:pStyle w:val="Obsahpoloky"/>
      </w:pPr>
    </w:p>
    <w:p w:rsidR="004C3442" w:rsidRPr="004C3442" w:rsidRDefault="004C3442" w:rsidP="004C3442">
      <w:pPr>
        <w:pStyle w:val="Obsahpoloky"/>
      </w:pPr>
    </w:p>
    <w:p w:rsidR="002659EE" w:rsidRDefault="00087F2B" w:rsidP="006F5416">
      <w:pPr>
        <w:pStyle w:val="Obsahpoloky"/>
      </w:pPr>
      <w:r w:rsidRPr="006F5416">
        <w:br w:type="page"/>
      </w:r>
    </w:p>
    <w:p w:rsidR="002659EE" w:rsidRPr="002659EE" w:rsidRDefault="002659EE">
      <w:pPr>
        <w:spacing w:after="0" w:line="240" w:lineRule="auto"/>
        <w:rPr>
          <w:b/>
          <w:color w:val="943634" w:themeColor="accent2" w:themeShade="BF"/>
          <w:sz w:val="32"/>
          <w:szCs w:val="32"/>
        </w:rPr>
      </w:pPr>
      <w:r w:rsidRPr="002659EE">
        <w:rPr>
          <w:b/>
          <w:color w:val="943634" w:themeColor="accent2" w:themeShade="BF"/>
          <w:sz w:val="32"/>
          <w:szCs w:val="32"/>
        </w:rPr>
        <w:lastRenderedPageBreak/>
        <w:t>Metodický úvod</w:t>
      </w:r>
    </w:p>
    <w:p w:rsidR="002659EE" w:rsidRDefault="002659EE">
      <w:pPr>
        <w:spacing w:after="0" w:line="240" w:lineRule="auto"/>
        <w:rPr>
          <w:sz w:val="32"/>
          <w:szCs w:val="32"/>
        </w:rPr>
      </w:pPr>
    </w:p>
    <w:p w:rsidR="002659EE" w:rsidRPr="00E751D8" w:rsidRDefault="002659EE" w:rsidP="002659EE">
      <w:pPr>
        <w:pStyle w:val="Default"/>
        <w:rPr>
          <w:rFonts w:ascii="Arial" w:eastAsia="MS Gothic" w:hAnsi="Arial" w:cs="Times New Roman"/>
          <w:b/>
          <w:bCs/>
          <w:color w:val="943634"/>
          <w:sz w:val="28"/>
          <w:szCs w:val="26"/>
          <w:lang w:eastAsia="cs-CZ"/>
        </w:rPr>
      </w:pPr>
      <w:r w:rsidRPr="00E751D8">
        <w:rPr>
          <w:rFonts w:ascii="Arial" w:eastAsia="MS Gothic" w:hAnsi="Arial" w:cs="Times New Roman"/>
          <w:b/>
          <w:bCs/>
          <w:color w:val="943634"/>
          <w:sz w:val="28"/>
          <w:szCs w:val="26"/>
          <w:lang w:eastAsia="cs-CZ"/>
        </w:rPr>
        <w:t xml:space="preserve">O poskytování terciárního vzdělávání v České republice </w:t>
      </w:r>
    </w:p>
    <w:p w:rsidR="002659EE" w:rsidRPr="008F76D0" w:rsidRDefault="002659EE" w:rsidP="002659EE">
      <w:pPr>
        <w:pStyle w:val="Default"/>
        <w:rPr>
          <w:rFonts w:ascii="Arial" w:eastAsia="MS Gothic" w:hAnsi="Arial" w:cs="Times New Roman"/>
          <w:b/>
          <w:bCs/>
          <w:color w:val="009BB4"/>
          <w:sz w:val="28"/>
          <w:szCs w:val="26"/>
          <w:lang w:eastAsia="cs-CZ"/>
        </w:rPr>
      </w:pPr>
    </w:p>
    <w:p w:rsidR="002659EE" w:rsidRDefault="002659EE" w:rsidP="002659EE">
      <w:pPr>
        <w:pStyle w:val="Default"/>
        <w:rPr>
          <w:sz w:val="22"/>
          <w:szCs w:val="22"/>
        </w:rPr>
      </w:pPr>
    </w:p>
    <w:p w:rsidR="002659EE" w:rsidRPr="008F76D0" w:rsidRDefault="002659EE" w:rsidP="002659EE">
      <w:pPr>
        <w:spacing w:after="120"/>
        <w:ind w:firstLine="284"/>
        <w:jc w:val="both"/>
        <w:rPr>
          <w:rFonts w:cs="Arial"/>
          <w:szCs w:val="20"/>
        </w:rPr>
      </w:pPr>
      <w:r w:rsidRPr="008F76D0">
        <w:rPr>
          <w:rFonts w:cs="Arial"/>
          <w:szCs w:val="20"/>
        </w:rPr>
        <w:t xml:space="preserve">Terciární vzdělání v České republice je možné rozdělit na vzdělávání vyšší odborné a vysokoškolské. </w:t>
      </w:r>
      <w:r w:rsidRPr="00E751D8">
        <w:rPr>
          <w:rFonts w:cs="Arial"/>
          <w:b/>
          <w:color w:val="943634"/>
          <w:szCs w:val="20"/>
        </w:rPr>
        <w:t>Vyšší odborné vzdělání</w:t>
      </w:r>
      <w:r w:rsidRPr="008F76D0">
        <w:rPr>
          <w:rFonts w:cs="Arial"/>
          <w:szCs w:val="20"/>
        </w:rPr>
        <w:t xml:space="preserve"> lze získat</w:t>
      </w:r>
      <w:r>
        <w:rPr>
          <w:rFonts w:cs="Arial"/>
          <w:szCs w:val="20"/>
        </w:rPr>
        <w:t xml:space="preserve"> na vyšších odborných školách, případně na konzervatořích po složení absolutoria. </w:t>
      </w:r>
      <w:r w:rsidRPr="00E751D8">
        <w:rPr>
          <w:rFonts w:cs="Arial"/>
          <w:b/>
          <w:color w:val="943634"/>
          <w:szCs w:val="20"/>
        </w:rPr>
        <w:t>Vysokoškolské vzdělávání</w:t>
      </w:r>
      <w:r w:rsidRPr="008F76D0">
        <w:rPr>
          <w:rFonts w:cs="Arial"/>
          <w:szCs w:val="20"/>
        </w:rPr>
        <w:t xml:space="preserve"> pak poskytují vysoké školy univerzitního</w:t>
      </w:r>
      <w:r>
        <w:rPr>
          <w:rFonts w:cs="Arial"/>
          <w:szCs w:val="20"/>
        </w:rPr>
        <w:t xml:space="preserve"> a neuniverzitního typu </w:t>
      </w:r>
      <w:r w:rsidRPr="008F76D0">
        <w:rPr>
          <w:rFonts w:cs="Arial"/>
          <w:szCs w:val="20"/>
        </w:rPr>
        <w:t xml:space="preserve">v programu bakalářském, magisterském, navazujícím magisterském a doktorském. </w:t>
      </w:r>
    </w:p>
    <w:p w:rsidR="002659EE" w:rsidRPr="003E53DF" w:rsidRDefault="002659EE" w:rsidP="002659EE">
      <w:pPr>
        <w:pStyle w:val="Default"/>
        <w:spacing w:after="120" w:line="276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8F76D0">
        <w:rPr>
          <w:rFonts w:ascii="Arial" w:hAnsi="Arial" w:cs="Arial"/>
          <w:sz w:val="20"/>
          <w:szCs w:val="20"/>
        </w:rPr>
        <w:t>Podle me</w:t>
      </w:r>
      <w:r>
        <w:rPr>
          <w:rFonts w:ascii="Arial" w:hAnsi="Arial" w:cs="Arial"/>
          <w:sz w:val="20"/>
          <w:szCs w:val="20"/>
        </w:rPr>
        <w:t xml:space="preserve">zinárodní klasifikace </w:t>
      </w:r>
      <w:hyperlink r:id="rId8" w:history="1">
        <w:r w:rsidRPr="00E751D8">
          <w:rPr>
            <w:rStyle w:val="Hypertextovodkaz"/>
            <w:rFonts w:cs="Arial"/>
            <w:color w:val="943634"/>
            <w:sz w:val="20"/>
            <w:szCs w:val="20"/>
          </w:rPr>
          <w:t>ISCED 2011</w:t>
        </w:r>
      </w:hyperlink>
      <w:r w:rsidRPr="00E751D8">
        <w:rPr>
          <w:rFonts w:ascii="Arial" w:hAnsi="Arial" w:cs="Arial"/>
          <w:color w:val="943634"/>
          <w:sz w:val="20"/>
          <w:szCs w:val="20"/>
        </w:rPr>
        <w:t xml:space="preserve"> </w:t>
      </w:r>
      <w:r w:rsidRPr="008F76D0">
        <w:rPr>
          <w:rFonts w:ascii="Arial" w:hAnsi="Arial" w:cs="Arial"/>
          <w:sz w:val="20"/>
          <w:szCs w:val="20"/>
        </w:rPr>
        <w:t xml:space="preserve">odpovídá vyšší odborné vzdělání získané na konzervatoři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krátkému cyklu terciárního vzdělání</w:t>
      </w:r>
      <w:r w:rsidRPr="008F76D0">
        <w:rPr>
          <w:rFonts w:ascii="Arial" w:hAnsi="Arial" w:cs="Arial"/>
          <w:sz w:val="20"/>
          <w:szCs w:val="20"/>
        </w:rPr>
        <w:t xml:space="preserve"> (ISCED 5)</w:t>
      </w:r>
      <w:r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Pr="008F76D0">
        <w:rPr>
          <w:rFonts w:ascii="Arial" w:hAnsi="Arial" w:cs="Arial"/>
          <w:sz w:val="20"/>
          <w:szCs w:val="20"/>
        </w:rPr>
        <w:t>, vyšší odborné vzdělání získané na vyšší odborné škol</w:t>
      </w:r>
      <w:r>
        <w:rPr>
          <w:rFonts w:ascii="Arial" w:hAnsi="Arial" w:cs="Arial"/>
          <w:sz w:val="20"/>
          <w:szCs w:val="20"/>
        </w:rPr>
        <w:t>e</w:t>
      </w:r>
      <w:r w:rsidRPr="008F76D0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 </w:t>
      </w:r>
      <w:r w:rsidRPr="008F76D0">
        <w:rPr>
          <w:rFonts w:ascii="Arial" w:hAnsi="Arial" w:cs="Arial"/>
          <w:sz w:val="20"/>
          <w:szCs w:val="20"/>
        </w:rPr>
        <w:t xml:space="preserve">dokončený bakalářský vzdělávací program na vysoké škole se řadí do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bakalářské a jí odpovídající</w:t>
      </w:r>
      <w:r w:rsidRPr="008F76D0">
        <w:rPr>
          <w:rFonts w:ascii="Arial" w:hAnsi="Arial" w:cs="Arial"/>
          <w:b/>
          <w:sz w:val="20"/>
          <w:szCs w:val="20"/>
        </w:rPr>
        <w:t xml:space="preserve">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úrovně</w:t>
      </w:r>
      <w:r w:rsidRPr="008F76D0">
        <w:rPr>
          <w:rFonts w:ascii="Arial" w:hAnsi="Arial" w:cs="Arial"/>
          <w:sz w:val="20"/>
          <w:szCs w:val="20"/>
        </w:rPr>
        <w:t xml:space="preserve"> (ISCED 6), dokončený magisterský či navazující magisterský program se řadí do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magisterské a jí</w:t>
      </w:r>
      <w:r w:rsidRPr="008F76D0">
        <w:rPr>
          <w:rFonts w:ascii="Arial" w:hAnsi="Arial" w:cs="Arial"/>
          <w:b/>
          <w:sz w:val="20"/>
          <w:szCs w:val="20"/>
        </w:rPr>
        <w:t xml:space="preserve">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odpovídající úrovně</w:t>
      </w:r>
      <w:r w:rsidRPr="008F76D0">
        <w:rPr>
          <w:rFonts w:ascii="Arial" w:hAnsi="Arial" w:cs="Arial"/>
          <w:sz w:val="20"/>
          <w:szCs w:val="20"/>
        </w:rPr>
        <w:t xml:space="preserve"> (ISCED 7) a dokončený doktorský studijní program do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doktorské a jí odpovídající</w:t>
      </w:r>
      <w:r w:rsidRPr="008F76D0">
        <w:rPr>
          <w:rFonts w:ascii="Arial" w:hAnsi="Arial" w:cs="Arial"/>
          <w:b/>
          <w:sz w:val="20"/>
          <w:szCs w:val="20"/>
        </w:rPr>
        <w:t xml:space="preserve">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úrovně</w:t>
      </w:r>
      <w:r w:rsidRPr="008F76D0">
        <w:rPr>
          <w:rFonts w:ascii="Arial" w:hAnsi="Arial" w:cs="Arial"/>
          <w:sz w:val="20"/>
          <w:szCs w:val="20"/>
        </w:rPr>
        <w:t xml:space="preserve"> (ISCED 8).</w:t>
      </w:r>
    </w:p>
    <w:p w:rsidR="002659EE" w:rsidRPr="006042C0" w:rsidRDefault="002659EE" w:rsidP="002659EE">
      <w:pPr>
        <w:pStyle w:val="Default"/>
        <w:jc w:val="both"/>
        <w:rPr>
          <w:sz w:val="20"/>
          <w:szCs w:val="20"/>
        </w:rPr>
      </w:pPr>
    </w:p>
    <w:p w:rsidR="002659EE" w:rsidRPr="00845658" w:rsidRDefault="002659EE" w:rsidP="002659EE">
      <w:pPr>
        <w:pStyle w:val="Default"/>
        <w:jc w:val="both"/>
        <w:rPr>
          <w:rFonts w:ascii="Arial" w:eastAsia="MS Gothic" w:hAnsi="Arial" w:cs="Times New Roman"/>
          <w:bCs/>
          <w:color w:val="943634"/>
          <w:lang w:eastAsia="cs-CZ"/>
        </w:rPr>
      </w:pPr>
      <w:r w:rsidRPr="00845658">
        <w:rPr>
          <w:rFonts w:ascii="Arial" w:eastAsia="MS Gothic" w:hAnsi="Arial" w:cs="Times New Roman"/>
          <w:b/>
          <w:bCs/>
          <w:color w:val="943634"/>
          <w:lang w:eastAsia="cs-CZ"/>
        </w:rPr>
        <w:t xml:space="preserve">Vyšší odborné školy </w:t>
      </w:r>
    </w:p>
    <w:p w:rsidR="002659EE" w:rsidRPr="008F76D0" w:rsidRDefault="002659EE" w:rsidP="002659EE">
      <w:pPr>
        <w:pStyle w:val="Default"/>
        <w:jc w:val="both"/>
        <w:rPr>
          <w:rFonts w:ascii="Arial" w:eastAsia="MS Gothic" w:hAnsi="Arial" w:cs="Times New Roman"/>
          <w:b/>
          <w:bCs/>
          <w:color w:val="009BB4"/>
          <w:sz w:val="22"/>
          <w:szCs w:val="22"/>
          <w:lang w:eastAsia="cs-CZ"/>
        </w:rPr>
      </w:pPr>
    </w:p>
    <w:p w:rsidR="00A32584" w:rsidRDefault="002659EE" w:rsidP="00A32584">
      <w:pPr>
        <w:spacing w:after="120"/>
        <w:ind w:firstLine="284"/>
        <w:jc w:val="both"/>
        <w:rPr>
          <w:rFonts w:cs="Arial"/>
          <w:szCs w:val="20"/>
        </w:rPr>
      </w:pPr>
      <w:r w:rsidRPr="006B48A5">
        <w:rPr>
          <w:rFonts w:cs="Arial"/>
          <w:szCs w:val="20"/>
        </w:rPr>
        <w:t>Na vyšší odbornou školu nastupuje žák se splněným středoškolským vzděláním</w:t>
      </w:r>
      <w:r>
        <w:rPr>
          <w:rFonts w:cs="Arial"/>
          <w:szCs w:val="20"/>
        </w:rPr>
        <w:t xml:space="preserve"> s úspěšně složenou maturitní zkouškou. </w:t>
      </w:r>
      <w:r w:rsidRPr="006B48A5">
        <w:rPr>
          <w:rFonts w:cs="Arial"/>
          <w:szCs w:val="20"/>
        </w:rPr>
        <w:t xml:space="preserve">Úspěšným ukončením příslušného akreditovaného vzdělávacího programu na vyšší odborné škole </w:t>
      </w:r>
      <w:r w:rsidR="00A81F66">
        <w:rPr>
          <w:rFonts w:cs="Arial"/>
          <w:szCs w:val="20"/>
        </w:rPr>
        <w:t xml:space="preserve">absolutoriem </w:t>
      </w:r>
      <w:r w:rsidRPr="006B48A5">
        <w:rPr>
          <w:rFonts w:cs="Arial"/>
          <w:szCs w:val="20"/>
        </w:rPr>
        <w:t xml:space="preserve">pak student dosáhne vyššího odborného vzdělání s titulem </w:t>
      </w:r>
      <w:proofErr w:type="spellStart"/>
      <w:r w:rsidRPr="00E751D8">
        <w:rPr>
          <w:rFonts w:cs="Arial"/>
          <w:b/>
          <w:color w:val="943634"/>
          <w:szCs w:val="20"/>
        </w:rPr>
        <w:t>DiS</w:t>
      </w:r>
      <w:proofErr w:type="spellEnd"/>
      <w:r>
        <w:rPr>
          <w:rFonts w:cs="Arial"/>
          <w:szCs w:val="20"/>
        </w:rPr>
        <w:t xml:space="preserve"> (diplomovaný specialista). </w:t>
      </w:r>
      <w:r w:rsidRPr="006B48A5">
        <w:rPr>
          <w:rFonts w:cs="Arial"/>
          <w:szCs w:val="20"/>
        </w:rPr>
        <w:t>Délka studia na vyšší odborné škole, jak byla stanovena školským zákonem z roku 2004, je</w:t>
      </w:r>
      <w:r>
        <w:rPr>
          <w:rFonts w:cs="Arial"/>
          <w:szCs w:val="20"/>
        </w:rPr>
        <w:t> </w:t>
      </w:r>
      <w:r w:rsidRPr="006B48A5">
        <w:rPr>
          <w:rFonts w:cs="Arial"/>
          <w:szCs w:val="20"/>
        </w:rPr>
        <w:t>v denní formě vzdělávání 3 roky včetně odborné praxe, u zdravotnický</w:t>
      </w:r>
      <w:r>
        <w:rPr>
          <w:rFonts w:cs="Arial"/>
          <w:szCs w:val="20"/>
        </w:rPr>
        <w:t>ch oborů vzdělání až 3,5 roku</w:t>
      </w:r>
      <w:r w:rsidRPr="006B48A5">
        <w:rPr>
          <w:rFonts w:cs="Arial"/>
          <w:szCs w:val="20"/>
        </w:rPr>
        <w:t xml:space="preserve">. Experimentálně byly vyšší odborné školy zavedeny od školního roku 1992/93 a od roku 1995/96 byly novelou školského zákona ustanoveny jako řádná součást vzdělávacího systému České republiky. Více viz </w:t>
      </w:r>
      <w:hyperlink r:id="rId9" w:history="1">
        <w:r w:rsidRPr="00E751D8">
          <w:rPr>
            <w:rStyle w:val="Hypertextovodkaz"/>
            <w:rFonts w:eastAsia="MS Gothic" w:cs="Arial"/>
            <w:color w:val="943634"/>
            <w:szCs w:val="20"/>
          </w:rPr>
          <w:t>Školský zákon</w:t>
        </w:r>
      </w:hyperlink>
      <w:r w:rsidRPr="00E751D8">
        <w:rPr>
          <w:rFonts w:cs="Arial"/>
          <w:color w:val="943634"/>
          <w:szCs w:val="20"/>
        </w:rPr>
        <w:t xml:space="preserve"> </w:t>
      </w:r>
      <w:r w:rsidRPr="006B48A5">
        <w:rPr>
          <w:rFonts w:cs="Arial"/>
          <w:szCs w:val="20"/>
        </w:rPr>
        <w:t xml:space="preserve">(č. 561/2004 Sb., § 92). </w:t>
      </w:r>
    </w:p>
    <w:p w:rsidR="00A32584" w:rsidRPr="00A32584" w:rsidRDefault="00A32584" w:rsidP="00A32584">
      <w:pPr>
        <w:spacing w:after="120"/>
        <w:ind w:firstLine="284"/>
        <w:jc w:val="both"/>
        <w:rPr>
          <w:rFonts w:cs="Arial"/>
          <w:szCs w:val="20"/>
        </w:rPr>
      </w:pPr>
    </w:p>
    <w:p w:rsidR="002659EE" w:rsidRPr="00845658" w:rsidRDefault="002659EE" w:rsidP="002659EE">
      <w:pPr>
        <w:pStyle w:val="Default"/>
        <w:keepNext/>
        <w:jc w:val="both"/>
        <w:rPr>
          <w:rFonts w:ascii="Arial" w:eastAsia="MS Gothic" w:hAnsi="Arial" w:cs="Times New Roman"/>
          <w:b/>
          <w:bCs/>
          <w:color w:val="943634"/>
          <w:lang w:eastAsia="cs-CZ"/>
        </w:rPr>
      </w:pPr>
      <w:r w:rsidRPr="00845658">
        <w:rPr>
          <w:rFonts w:ascii="Arial" w:eastAsia="MS Gothic" w:hAnsi="Arial" w:cs="Times New Roman"/>
          <w:b/>
          <w:bCs/>
          <w:color w:val="943634"/>
          <w:lang w:eastAsia="cs-CZ"/>
        </w:rPr>
        <w:t xml:space="preserve">Vysoké školy </w:t>
      </w:r>
    </w:p>
    <w:p w:rsidR="002659EE" w:rsidRPr="00E751D8" w:rsidRDefault="002659EE" w:rsidP="002659EE">
      <w:pPr>
        <w:pStyle w:val="Default"/>
        <w:keepNext/>
        <w:jc w:val="both"/>
        <w:rPr>
          <w:color w:val="943634"/>
          <w:sz w:val="20"/>
          <w:szCs w:val="20"/>
        </w:rPr>
      </w:pPr>
    </w:p>
    <w:p w:rsidR="002659EE" w:rsidRPr="008F76D0" w:rsidRDefault="002659EE" w:rsidP="002659EE">
      <w:pPr>
        <w:pStyle w:val="Default"/>
        <w:spacing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8F76D0">
        <w:rPr>
          <w:rFonts w:ascii="Arial" w:hAnsi="Arial" w:cs="Arial"/>
          <w:sz w:val="20"/>
          <w:szCs w:val="20"/>
        </w:rPr>
        <w:t>Studium na vysoké škole se uskutečňuje v rámci studijních programů bakalářského, magisterského, navazujícího magisterského a doktorského. Dříve 4-6leté studium na vysokých školách bylo v roce 2001 rozděleno do obvykle tříletých bakalářských studijních programů pro uchazeče s dokončeným středoškolským vzděláním</w:t>
      </w:r>
      <w:r>
        <w:rPr>
          <w:rFonts w:ascii="Arial" w:hAnsi="Arial" w:cs="Arial"/>
          <w:sz w:val="20"/>
          <w:szCs w:val="20"/>
        </w:rPr>
        <w:t xml:space="preserve"> s maturitní zkouškou</w:t>
      </w:r>
      <w:r w:rsidRPr="008F76D0">
        <w:rPr>
          <w:rFonts w:ascii="Arial" w:hAnsi="Arial" w:cs="Arial"/>
          <w:sz w:val="20"/>
          <w:szCs w:val="20"/>
        </w:rPr>
        <w:t xml:space="preserve"> (absolventi získávají titul Bc. či </w:t>
      </w:r>
      <w:proofErr w:type="spellStart"/>
      <w:r w:rsidRPr="008F76D0">
        <w:rPr>
          <w:rFonts w:ascii="Arial" w:hAnsi="Arial" w:cs="Arial"/>
          <w:sz w:val="20"/>
          <w:szCs w:val="20"/>
        </w:rPr>
        <w:t>BcA</w:t>
      </w:r>
      <w:proofErr w:type="spellEnd"/>
      <w:r w:rsidRPr="008F76D0">
        <w:rPr>
          <w:rFonts w:ascii="Arial" w:hAnsi="Arial" w:cs="Arial"/>
          <w:sz w:val="20"/>
          <w:szCs w:val="20"/>
        </w:rPr>
        <w:t>.) a dvouletých navazujících magisterských programů pro uchazeče s dokončeným bakalářským vzděláním. Pětileté</w:t>
      </w:r>
      <w:r>
        <w:rPr>
          <w:rFonts w:ascii="Arial" w:hAnsi="Arial" w:cs="Arial"/>
          <w:sz w:val="20"/>
          <w:szCs w:val="20"/>
        </w:rPr>
        <w:t xml:space="preserve"> až šestileté</w:t>
      </w:r>
      <w:r w:rsidRPr="008F76D0">
        <w:rPr>
          <w:rFonts w:ascii="Arial" w:hAnsi="Arial" w:cs="Arial"/>
          <w:sz w:val="20"/>
          <w:szCs w:val="20"/>
        </w:rPr>
        <w:t xml:space="preserve"> magisterské programy pro uchazeče s dokončeným středoškolským vzděláním </w:t>
      </w:r>
      <w:r>
        <w:rPr>
          <w:rFonts w:ascii="Arial" w:hAnsi="Arial" w:cs="Arial"/>
          <w:sz w:val="20"/>
          <w:szCs w:val="20"/>
        </w:rPr>
        <w:t xml:space="preserve">s maturitní zkouškou </w:t>
      </w:r>
      <w:r w:rsidRPr="008F76D0">
        <w:rPr>
          <w:rFonts w:ascii="Arial" w:hAnsi="Arial" w:cs="Arial"/>
          <w:sz w:val="20"/>
          <w:szCs w:val="20"/>
        </w:rPr>
        <w:t>se dál</w:t>
      </w:r>
      <w:r w:rsidR="00E47933">
        <w:rPr>
          <w:rFonts w:ascii="Arial" w:hAnsi="Arial" w:cs="Arial"/>
          <w:sz w:val="20"/>
          <w:szCs w:val="20"/>
        </w:rPr>
        <w:t>e vyskytují u oborů, u </w:t>
      </w:r>
      <w:r w:rsidRPr="008F76D0">
        <w:rPr>
          <w:rFonts w:ascii="Arial" w:hAnsi="Arial" w:cs="Arial"/>
          <w:sz w:val="20"/>
          <w:szCs w:val="20"/>
        </w:rPr>
        <w:t>nichž nebylo rozdělení na dvě úrovně vzdělávání možné. Jedná se například o studium medicíny, veterinárního lékařství nebo architektury. Absolventi magisterského i</w:t>
      </w:r>
      <w:r>
        <w:rPr>
          <w:rFonts w:ascii="Arial" w:hAnsi="Arial" w:cs="Arial"/>
          <w:sz w:val="20"/>
          <w:szCs w:val="20"/>
        </w:rPr>
        <w:t> </w:t>
      </w:r>
      <w:r w:rsidRPr="008F76D0">
        <w:rPr>
          <w:rFonts w:ascii="Arial" w:hAnsi="Arial" w:cs="Arial"/>
          <w:sz w:val="20"/>
          <w:szCs w:val="20"/>
        </w:rPr>
        <w:t xml:space="preserve">navazujícího magisterského studia získávají titul Mgr., Ing., </w:t>
      </w:r>
      <w:proofErr w:type="spellStart"/>
      <w:r w:rsidRPr="008F76D0">
        <w:rPr>
          <w:rFonts w:ascii="Arial" w:hAnsi="Arial" w:cs="Arial"/>
          <w:sz w:val="20"/>
          <w:szCs w:val="20"/>
        </w:rPr>
        <w:t>MgA</w:t>
      </w:r>
      <w:proofErr w:type="spellEnd"/>
      <w:r w:rsidRPr="008F76D0">
        <w:rPr>
          <w:rFonts w:ascii="Arial" w:hAnsi="Arial" w:cs="Arial"/>
          <w:sz w:val="20"/>
          <w:szCs w:val="20"/>
        </w:rPr>
        <w:t xml:space="preserve">., Ing. Arch., MUDr., </w:t>
      </w:r>
      <w:proofErr w:type="spellStart"/>
      <w:r w:rsidRPr="008F76D0">
        <w:rPr>
          <w:rFonts w:ascii="Arial" w:hAnsi="Arial" w:cs="Arial"/>
          <w:sz w:val="20"/>
          <w:szCs w:val="20"/>
        </w:rPr>
        <w:t>MDDr</w:t>
      </w:r>
      <w:proofErr w:type="spellEnd"/>
      <w:r w:rsidRPr="008F76D0">
        <w:rPr>
          <w:rFonts w:ascii="Arial" w:hAnsi="Arial" w:cs="Arial"/>
          <w:sz w:val="20"/>
          <w:szCs w:val="20"/>
        </w:rPr>
        <w:t>. nebo MVDr. a</w:t>
      </w:r>
      <w:r>
        <w:rPr>
          <w:rFonts w:ascii="Arial" w:hAnsi="Arial" w:cs="Arial"/>
          <w:sz w:val="20"/>
          <w:szCs w:val="20"/>
        </w:rPr>
        <w:t> </w:t>
      </w:r>
      <w:r w:rsidRPr="008F76D0">
        <w:rPr>
          <w:rFonts w:ascii="Arial" w:hAnsi="Arial" w:cs="Arial"/>
          <w:sz w:val="20"/>
          <w:szCs w:val="20"/>
        </w:rPr>
        <w:t>mohou vykonat v téže oblasti studia</w:t>
      </w:r>
      <w:r w:rsidRPr="008F76D0">
        <w:rPr>
          <w:rStyle w:val="Siln"/>
          <w:rFonts w:cs="Arial"/>
          <w:szCs w:val="20"/>
        </w:rPr>
        <w:t xml:space="preserve"> státní rigorózní zkoušku</w:t>
      </w:r>
      <w:r w:rsidRPr="008F76D0">
        <w:rPr>
          <w:rFonts w:ascii="Arial" w:hAnsi="Arial" w:cs="Arial"/>
          <w:sz w:val="20"/>
          <w:szCs w:val="20"/>
        </w:rPr>
        <w:t xml:space="preserve">, jejíž součástí je obhajoba rigorózní práce (vede k titulu PhDr., JUDr., RNDr., PharmDr., </w:t>
      </w:r>
      <w:proofErr w:type="spellStart"/>
      <w:r w:rsidRPr="008F76D0">
        <w:rPr>
          <w:rFonts w:ascii="Arial" w:hAnsi="Arial" w:cs="Arial"/>
          <w:sz w:val="20"/>
          <w:szCs w:val="20"/>
        </w:rPr>
        <w:t>ThLic</w:t>
      </w:r>
      <w:proofErr w:type="spellEnd"/>
      <w:r w:rsidRPr="008F76D0">
        <w:rPr>
          <w:rFonts w:ascii="Arial" w:hAnsi="Arial" w:cs="Arial"/>
          <w:sz w:val="20"/>
          <w:szCs w:val="20"/>
        </w:rPr>
        <w:t>. nebo ThDr.). Po úspěšném ukončení magisterského či</w:t>
      </w:r>
      <w:r>
        <w:rPr>
          <w:rFonts w:ascii="Arial" w:hAnsi="Arial" w:cs="Arial"/>
          <w:sz w:val="20"/>
          <w:szCs w:val="20"/>
        </w:rPr>
        <w:t> </w:t>
      </w:r>
      <w:r w:rsidRPr="008F76D0">
        <w:rPr>
          <w:rFonts w:ascii="Arial" w:hAnsi="Arial" w:cs="Arial"/>
          <w:sz w:val="20"/>
          <w:szCs w:val="20"/>
        </w:rPr>
        <w:t>navazujícího magisterského programu mohou studenti dále pokračovat ve studiu doktorského programu (o</w:t>
      </w:r>
      <w:r w:rsidR="00A81F66">
        <w:rPr>
          <w:rFonts w:ascii="Arial" w:hAnsi="Arial" w:cs="Arial"/>
          <w:sz w:val="20"/>
          <w:szCs w:val="20"/>
        </w:rPr>
        <w:t>bvykle tří až čtyřletého), který je již více zaměřen</w:t>
      </w:r>
      <w:r w:rsidRPr="008F76D0">
        <w:rPr>
          <w:rFonts w:ascii="Arial" w:hAnsi="Arial" w:cs="Arial"/>
          <w:sz w:val="20"/>
          <w:szCs w:val="20"/>
        </w:rPr>
        <w:t xml:space="preserve"> na vědeckou činnost a po jehož dokončení získávají</w:t>
      </w:r>
      <w:r>
        <w:rPr>
          <w:rFonts w:ascii="Arial" w:hAnsi="Arial" w:cs="Arial"/>
          <w:sz w:val="20"/>
          <w:szCs w:val="20"/>
        </w:rPr>
        <w:t xml:space="preserve"> studenti titul Ph.D. či </w:t>
      </w:r>
      <w:proofErr w:type="spellStart"/>
      <w:r>
        <w:rPr>
          <w:rFonts w:ascii="Arial" w:hAnsi="Arial" w:cs="Arial"/>
          <w:sz w:val="20"/>
          <w:szCs w:val="20"/>
        </w:rPr>
        <w:t>Th.D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8F76D0">
        <w:rPr>
          <w:rFonts w:ascii="Arial" w:hAnsi="Arial" w:cs="Arial"/>
          <w:sz w:val="20"/>
          <w:szCs w:val="20"/>
        </w:rPr>
        <w:t xml:space="preserve">Tyto tituly byly v České republice zavedeny v roce 1998 zákonem číslo 111/1998 Sb., o vysokých školách. Více viz </w:t>
      </w:r>
      <w:hyperlink r:id="rId10" w:history="1">
        <w:r w:rsidRPr="00E751D8">
          <w:rPr>
            <w:rStyle w:val="Hypertextovodkaz"/>
            <w:rFonts w:cs="Arial"/>
            <w:color w:val="943634"/>
            <w:sz w:val="20"/>
            <w:szCs w:val="20"/>
          </w:rPr>
          <w:t>Zákon o vysokých školách</w:t>
        </w:r>
      </w:hyperlink>
      <w:r w:rsidRPr="008F76D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č. 137/2016</w:t>
      </w:r>
      <w:r w:rsidRPr="008F76D0">
        <w:rPr>
          <w:rFonts w:ascii="Arial" w:hAnsi="Arial" w:cs="Arial"/>
          <w:sz w:val="20"/>
          <w:szCs w:val="20"/>
        </w:rPr>
        <w:t xml:space="preserve"> Sb.).</w:t>
      </w:r>
    </w:p>
    <w:p w:rsidR="002659EE" w:rsidRPr="005D2B7E" w:rsidRDefault="002659EE" w:rsidP="002659EE">
      <w:pPr>
        <w:pStyle w:val="Default"/>
        <w:spacing w:after="120" w:line="288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8F76D0">
        <w:rPr>
          <w:rFonts w:ascii="Arial" w:hAnsi="Arial" w:cs="Arial"/>
          <w:sz w:val="20"/>
          <w:szCs w:val="20"/>
        </w:rPr>
        <w:lastRenderedPageBreak/>
        <w:t xml:space="preserve">Vysoké školy se podle zřizovatele dělí na veřejné, soukromé a státní. Zákonem z roku 1998 bylo změněno právní postavení dosavadních státních vysokých škol na veřejnoprávní instituce. Výjimku tvoří Policejní akademie České republiky v Praze a Univerzita obrany, které jsou stále vysokými školami státními a spadají pod Ministerstvo obrany a Ministerstvo vnitra. Tímto zákonem byl také umožněn vznik soukromých vysokých škol. Vznikla také povinnost vést matriky studentů, z nichž se údaje centrálně sdružují v systému Sdružených informací matrik studentů (SIMS). Pouze dvě výše zmíněné státní vysoké školy fungují v odlišném režimu, než jak je tomu u veřejných a soukromých škol, a nemají povinnost předávat informace do centrální evidence SIMS.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Z tohoto důvodu a z důvodu odlišné metodiky sběru a vykazování dat nejsou údaje o státních vysokých školách v prezentovaných datech zahrnuty</w:t>
      </w:r>
      <w:r w:rsidRPr="002322D8">
        <w:rPr>
          <w:rFonts w:ascii="Arial" w:hAnsi="Arial" w:cs="Arial"/>
          <w:b/>
          <w:color w:val="auto"/>
          <w:sz w:val="20"/>
          <w:szCs w:val="20"/>
        </w:rPr>
        <w:t>.</w:t>
      </w:r>
    </w:p>
    <w:p w:rsidR="002659EE" w:rsidRDefault="002659EE" w:rsidP="002659EE">
      <w:pPr>
        <w:pStyle w:val="Default"/>
        <w:jc w:val="both"/>
        <w:rPr>
          <w:sz w:val="20"/>
          <w:szCs w:val="20"/>
        </w:rPr>
      </w:pPr>
    </w:p>
    <w:p w:rsidR="002659EE" w:rsidRPr="00E751D8" w:rsidRDefault="002659EE" w:rsidP="002659EE">
      <w:pPr>
        <w:pStyle w:val="Default"/>
        <w:keepNext/>
        <w:jc w:val="both"/>
        <w:rPr>
          <w:rFonts w:ascii="Arial" w:eastAsia="MS Gothic" w:hAnsi="Arial" w:cs="Times New Roman"/>
          <w:b/>
          <w:bCs/>
          <w:color w:val="943634"/>
          <w:sz w:val="28"/>
          <w:szCs w:val="26"/>
          <w:lang w:eastAsia="cs-CZ"/>
        </w:rPr>
      </w:pPr>
      <w:r w:rsidRPr="00E751D8">
        <w:rPr>
          <w:rFonts w:ascii="Arial" w:eastAsia="MS Gothic" w:hAnsi="Arial" w:cs="Times New Roman"/>
          <w:b/>
          <w:bCs/>
          <w:color w:val="943634"/>
          <w:sz w:val="28"/>
          <w:szCs w:val="26"/>
          <w:lang w:eastAsia="cs-CZ"/>
        </w:rPr>
        <w:t>O použitých klasifikacích</w:t>
      </w:r>
    </w:p>
    <w:p w:rsidR="002659EE" w:rsidRPr="00845658" w:rsidRDefault="002659EE" w:rsidP="002659EE">
      <w:pPr>
        <w:pStyle w:val="Default"/>
        <w:jc w:val="both"/>
        <w:rPr>
          <w:rFonts w:ascii="Arial" w:eastAsia="MS Gothic" w:hAnsi="Arial" w:cs="Times New Roman"/>
          <w:b/>
          <w:bCs/>
          <w:color w:val="009BB4"/>
          <w:lang w:eastAsia="cs-CZ"/>
        </w:rPr>
      </w:pPr>
    </w:p>
    <w:p w:rsidR="002659EE" w:rsidRPr="00E751D8" w:rsidRDefault="002659EE" w:rsidP="002659EE">
      <w:pPr>
        <w:pStyle w:val="Default"/>
        <w:jc w:val="both"/>
        <w:rPr>
          <w:rFonts w:ascii="Arial" w:eastAsia="MS Gothic" w:hAnsi="Arial" w:cs="Times New Roman"/>
          <w:b/>
          <w:bCs/>
          <w:color w:val="943634"/>
          <w:sz w:val="22"/>
          <w:szCs w:val="22"/>
          <w:lang w:eastAsia="cs-CZ"/>
        </w:rPr>
      </w:pPr>
      <w:r w:rsidRPr="00845658">
        <w:rPr>
          <w:rFonts w:ascii="Arial" w:eastAsia="MS Gothic" w:hAnsi="Arial" w:cs="Times New Roman"/>
          <w:b/>
          <w:bCs/>
          <w:color w:val="943634"/>
          <w:lang w:eastAsia="cs-CZ"/>
        </w:rPr>
        <w:t>Klasifikace vzdělání</w:t>
      </w:r>
      <w:r w:rsidRPr="00E751D8">
        <w:rPr>
          <w:rFonts w:ascii="Arial" w:eastAsia="MS Gothic" w:hAnsi="Arial" w:cs="Times New Roman"/>
          <w:b/>
          <w:bCs/>
          <w:color w:val="943634"/>
          <w:sz w:val="22"/>
          <w:szCs w:val="22"/>
          <w:lang w:eastAsia="cs-CZ"/>
        </w:rPr>
        <w:t xml:space="preserve"> ISCED 2011</w:t>
      </w:r>
    </w:p>
    <w:p w:rsidR="002659EE" w:rsidRPr="003E53DF" w:rsidRDefault="002659EE" w:rsidP="002659EE">
      <w:pPr>
        <w:pStyle w:val="Default"/>
        <w:jc w:val="both"/>
        <w:rPr>
          <w:color w:val="auto"/>
          <w:sz w:val="20"/>
          <w:szCs w:val="20"/>
        </w:rPr>
      </w:pPr>
    </w:p>
    <w:p w:rsidR="002659EE" w:rsidRPr="008F76D0" w:rsidRDefault="002659EE" w:rsidP="002659EE">
      <w:pPr>
        <w:pStyle w:val="Default"/>
        <w:spacing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8F76D0">
        <w:rPr>
          <w:rFonts w:ascii="Arial" w:hAnsi="Arial" w:cs="Arial"/>
          <w:sz w:val="20"/>
          <w:szCs w:val="20"/>
        </w:rPr>
        <w:t xml:space="preserve">Pro sledování úrovně </w:t>
      </w:r>
      <w:proofErr w:type="gramStart"/>
      <w:r w:rsidRPr="008F76D0">
        <w:rPr>
          <w:rFonts w:ascii="Arial" w:hAnsi="Arial" w:cs="Arial"/>
          <w:sz w:val="20"/>
          <w:szCs w:val="20"/>
        </w:rPr>
        <w:t>vzdělá(</w:t>
      </w:r>
      <w:proofErr w:type="spellStart"/>
      <w:r w:rsidRPr="008F76D0">
        <w:rPr>
          <w:rFonts w:ascii="Arial" w:hAnsi="Arial" w:cs="Arial"/>
          <w:sz w:val="20"/>
          <w:szCs w:val="20"/>
        </w:rPr>
        <w:t>vá</w:t>
      </w:r>
      <w:proofErr w:type="spellEnd"/>
      <w:proofErr w:type="gramEnd"/>
      <w:r w:rsidRPr="008F76D0">
        <w:rPr>
          <w:rFonts w:ascii="Arial" w:hAnsi="Arial" w:cs="Arial"/>
          <w:sz w:val="20"/>
          <w:szCs w:val="20"/>
        </w:rPr>
        <w:t xml:space="preserve">)ní </w:t>
      </w:r>
      <w:r>
        <w:rPr>
          <w:rFonts w:ascii="Arial" w:hAnsi="Arial" w:cs="Arial"/>
          <w:sz w:val="20"/>
          <w:szCs w:val="20"/>
        </w:rPr>
        <w:t>je</w:t>
      </w:r>
      <w:r w:rsidRPr="008F76D0">
        <w:rPr>
          <w:rFonts w:ascii="Arial" w:hAnsi="Arial" w:cs="Arial"/>
          <w:sz w:val="20"/>
          <w:szCs w:val="20"/>
        </w:rPr>
        <w:t xml:space="preserve"> v datech použita mezin</w:t>
      </w:r>
      <w:r>
        <w:rPr>
          <w:rFonts w:ascii="Arial" w:hAnsi="Arial" w:cs="Arial"/>
          <w:sz w:val="20"/>
          <w:szCs w:val="20"/>
        </w:rPr>
        <w:t xml:space="preserve">árodní klasifikace </w:t>
      </w:r>
      <w:r w:rsidRPr="00E751D8">
        <w:rPr>
          <w:rFonts w:ascii="Arial" w:hAnsi="Arial" w:cs="Arial"/>
          <w:b/>
          <w:color w:val="943634"/>
          <w:sz w:val="20"/>
          <w:szCs w:val="20"/>
        </w:rPr>
        <w:t>CZ-ISCED 2011</w:t>
      </w:r>
      <w:r w:rsidRPr="008F76D0">
        <w:rPr>
          <w:rFonts w:ascii="Arial" w:hAnsi="Arial" w:cs="Arial"/>
          <w:sz w:val="20"/>
          <w:szCs w:val="20"/>
        </w:rPr>
        <w:t xml:space="preserve"> – více viz </w:t>
      </w:r>
      <w:hyperlink r:id="rId11" w:history="1">
        <w:r w:rsidRPr="00E751D8">
          <w:rPr>
            <w:rStyle w:val="Hypertextovodkaz"/>
            <w:rFonts w:cs="Arial"/>
            <w:color w:val="943634"/>
            <w:sz w:val="20"/>
            <w:szCs w:val="20"/>
          </w:rPr>
          <w:t>zde</w:t>
        </w:r>
      </w:hyperlink>
      <w:r w:rsidRPr="00E751D8">
        <w:rPr>
          <w:rFonts w:ascii="Arial" w:hAnsi="Arial" w:cs="Arial"/>
          <w:color w:val="943634"/>
          <w:sz w:val="20"/>
          <w:szCs w:val="20"/>
        </w:rPr>
        <w:t>.</w:t>
      </w:r>
    </w:p>
    <w:p w:rsidR="002659EE" w:rsidRDefault="002659EE" w:rsidP="002659EE">
      <w:pPr>
        <w:pStyle w:val="Default"/>
        <w:jc w:val="both"/>
        <w:rPr>
          <w:b/>
          <w:sz w:val="20"/>
          <w:szCs w:val="20"/>
        </w:rPr>
      </w:pPr>
    </w:p>
    <w:p w:rsidR="002659EE" w:rsidRPr="00845658" w:rsidRDefault="00A81F66" w:rsidP="002659EE">
      <w:pPr>
        <w:pStyle w:val="Default"/>
        <w:jc w:val="both"/>
        <w:rPr>
          <w:rFonts w:ascii="Arial" w:eastAsia="MS Gothic" w:hAnsi="Arial" w:cs="Times New Roman"/>
          <w:b/>
          <w:bCs/>
          <w:color w:val="943634"/>
          <w:lang w:eastAsia="cs-CZ"/>
        </w:rPr>
      </w:pPr>
      <w:r>
        <w:rPr>
          <w:rFonts w:ascii="Arial" w:eastAsia="MS Gothic" w:hAnsi="Arial" w:cs="Times New Roman"/>
          <w:b/>
          <w:bCs/>
          <w:color w:val="943634"/>
          <w:lang w:eastAsia="cs-CZ"/>
        </w:rPr>
        <w:t>Klasifikace oborů vzdělá</w:t>
      </w:r>
      <w:r w:rsidR="002659EE" w:rsidRPr="00845658">
        <w:rPr>
          <w:rFonts w:ascii="Arial" w:eastAsia="MS Gothic" w:hAnsi="Arial" w:cs="Times New Roman"/>
          <w:b/>
          <w:bCs/>
          <w:color w:val="943634"/>
          <w:lang w:eastAsia="cs-CZ"/>
        </w:rPr>
        <w:t>ní ISCED-F 2013</w:t>
      </w:r>
    </w:p>
    <w:p w:rsidR="002659EE" w:rsidRPr="008F76D0" w:rsidRDefault="002659EE" w:rsidP="002659EE">
      <w:pPr>
        <w:pStyle w:val="Default"/>
        <w:jc w:val="both"/>
        <w:rPr>
          <w:rFonts w:ascii="Arial" w:eastAsia="MS Gothic" w:hAnsi="Arial" w:cs="Times New Roman"/>
          <w:b/>
          <w:bCs/>
          <w:color w:val="009BB4"/>
          <w:sz w:val="22"/>
          <w:szCs w:val="22"/>
          <w:lang w:eastAsia="cs-CZ"/>
        </w:rPr>
      </w:pPr>
    </w:p>
    <w:p w:rsidR="002659EE" w:rsidRPr="008F76D0" w:rsidRDefault="00A81F66" w:rsidP="002659EE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Klasifikace oborů vzdělá</w:t>
      </w:r>
      <w:r w:rsidR="002659EE">
        <w:rPr>
          <w:rFonts w:ascii="Arial" w:hAnsi="Arial" w:cs="Arial"/>
          <w:sz w:val="20"/>
          <w:szCs w:val="20"/>
        </w:rPr>
        <w:t xml:space="preserve">ní </w:t>
      </w:r>
      <w:r w:rsidR="002659EE" w:rsidRPr="00E751D8">
        <w:rPr>
          <w:rFonts w:ascii="Arial" w:hAnsi="Arial" w:cs="Arial"/>
          <w:b/>
          <w:color w:val="943634"/>
          <w:sz w:val="20"/>
          <w:szCs w:val="20"/>
        </w:rPr>
        <w:t>CZ-ISCED-F 2013</w:t>
      </w:r>
      <w:r w:rsidR="002659EE">
        <w:rPr>
          <w:rFonts w:ascii="Arial" w:hAnsi="Arial" w:cs="Arial"/>
          <w:sz w:val="20"/>
          <w:szCs w:val="20"/>
        </w:rPr>
        <w:t xml:space="preserve"> (více viz </w:t>
      </w:r>
      <w:hyperlink r:id="rId12" w:history="1">
        <w:r w:rsidR="002659EE" w:rsidRPr="00E751D8">
          <w:rPr>
            <w:rStyle w:val="Hypertextovodkaz"/>
            <w:rFonts w:cs="Arial"/>
            <w:color w:val="943634"/>
            <w:sz w:val="20"/>
            <w:szCs w:val="20"/>
          </w:rPr>
          <w:t>zde</w:t>
        </w:r>
      </w:hyperlink>
      <w:r w:rsidR="002659EE">
        <w:rPr>
          <w:rFonts w:ascii="Arial" w:hAnsi="Arial" w:cs="Arial"/>
          <w:sz w:val="20"/>
          <w:szCs w:val="20"/>
        </w:rPr>
        <w:t>) navazuj</w:t>
      </w:r>
      <w:r>
        <w:rPr>
          <w:rFonts w:ascii="Arial" w:hAnsi="Arial" w:cs="Arial"/>
          <w:sz w:val="20"/>
          <w:szCs w:val="20"/>
        </w:rPr>
        <w:t>e na Klasifikaci úrovně vzdělá</w:t>
      </w:r>
      <w:r w:rsidR="002659EE">
        <w:rPr>
          <w:rFonts w:ascii="Arial" w:hAnsi="Arial" w:cs="Arial"/>
          <w:sz w:val="20"/>
          <w:szCs w:val="20"/>
        </w:rPr>
        <w:t>ní CZ-ISCED 2</w:t>
      </w:r>
      <w:r>
        <w:rPr>
          <w:rFonts w:ascii="Arial" w:hAnsi="Arial" w:cs="Arial"/>
          <w:sz w:val="20"/>
          <w:szCs w:val="20"/>
        </w:rPr>
        <w:t>011 a nahrazuje obory vzdělá</w:t>
      </w:r>
      <w:r w:rsidR="002659EE">
        <w:rPr>
          <w:rFonts w:ascii="Arial" w:hAnsi="Arial" w:cs="Arial"/>
          <w:sz w:val="20"/>
          <w:szCs w:val="20"/>
        </w:rPr>
        <w:t>ní stanovené Mezinárodní klasifikací vzdělání ISCED 97. Cílem je na základě jednotné a mezinárodně srovnatelné metodiky klasifikovat obory vzdělávacích programů a související kvalifikace na základě obsahu programu.</w:t>
      </w:r>
    </w:p>
    <w:p w:rsidR="002659EE" w:rsidRDefault="002659EE" w:rsidP="002659EE">
      <w:pPr>
        <w:pStyle w:val="Default"/>
        <w:jc w:val="both"/>
        <w:rPr>
          <w:b/>
          <w:bCs/>
          <w:sz w:val="22"/>
          <w:szCs w:val="22"/>
        </w:rPr>
      </w:pPr>
    </w:p>
    <w:p w:rsidR="002659EE" w:rsidRPr="00845658" w:rsidRDefault="002659EE" w:rsidP="002659EE">
      <w:pPr>
        <w:pStyle w:val="Default"/>
        <w:jc w:val="both"/>
        <w:rPr>
          <w:rFonts w:ascii="Arial" w:eastAsia="MS Gothic" w:hAnsi="Arial" w:cs="Times New Roman"/>
          <w:b/>
          <w:bCs/>
          <w:color w:val="943634"/>
          <w:lang w:eastAsia="cs-CZ"/>
        </w:rPr>
      </w:pPr>
      <w:r w:rsidRPr="00845658">
        <w:rPr>
          <w:rFonts w:ascii="Arial" w:eastAsia="MS Gothic" w:hAnsi="Arial" w:cs="Times New Roman"/>
          <w:b/>
          <w:bCs/>
          <w:color w:val="943634"/>
          <w:lang w:eastAsia="cs-CZ"/>
        </w:rPr>
        <w:t>Interdisciplinární programy a kvalifikace</w:t>
      </w:r>
    </w:p>
    <w:p w:rsidR="002659EE" w:rsidRDefault="002659EE" w:rsidP="002659EE">
      <w:pPr>
        <w:pStyle w:val="Default"/>
        <w:spacing w:line="276" w:lineRule="auto"/>
        <w:jc w:val="both"/>
        <w:rPr>
          <w:rFonts w:ascii="Arial" w:eastAsia="MS Gothic" w:hAnsi="Arial" w:cs="Times New Roman"/>
          <w:b/>
          <w:bCs/>
          <w:color w:val="009BB4"/>
          <w:sz w:val="22"/>
          <w:szCs w:val="22"/>
          <w:lang w:eastAsia="cs-CZ"/>
        </w:rPr>
      </w:pPr>
    </w:p>
    <w:p w:rsidR="002659EE" w:rsidRPr="00E751D8" w:rsidRDefault="002659EE" w:rsidP="002659EE">
      <w:pPr>
        <w:pStyle w:val="Default"/>
        <w:spacing w:line="276" w:lineRule="auto"/>
        <w:jc w:val="both"/>
        <w:rPr>
          <w:rFonts w:ascii="Arial" w:eastAsia="MS Gothic" w:hAnsi="Arial" w:cs="Times New Roman"/>
          <w:bCs/>
          <w:sz w:val="20"/>
          <w:szCs w:val="20"/>
          <w:lang w:eastAsia="cs-CZ"/>
        </w:rPr>
      </w:pPr>
      <w:r w:rsidRPr="00E751D8">
        <w:rPr>
          <w:rFonts w:ascii="Arial" w:eastAsia="MS Gothic" w:hAnsi="Arial" w:cs="Times New Roman"/>
          <w:bCs/>
          <w:sz w:val="20"/>
          <w:szCs w:val="20"/>
          <w:lang w:eastAsia="cs-CZ"/>
        </w:rPr>
        <w:t xml:space="preserve">Některé studijní programy nelze z důvodu jejich interdisciplinarity jednoznačně zařadit do podrobně vymezených kategorií klasifikace ISCED-F 2013. Jedná se zejména o interdisciplinární nebo obsahově široké programy a kvalifikace, které kombinují několik podrobně či úzce vymezených oborů vzdělání, z nichž žádný nepřevládá. Lze je však zařadit do široce vymezeného oboru (nadřazené kategorie) na základě „pravidla hlavního předmětu“, které určí široce vymezený obor.  </w:t>
      </w:r>
    </w:p>
    <w:p w:rsidR="002659EE" w:rsidRDefault="002659EE" w:rsidP="002659EE">
      <w:pPr>
        <w:pStyle w:val="Default"/>
        <w:jc w:val="both"/>
        <w:rPr>
          <w:b/>
          <w:bCs/>
          <w:sz w:val="22"/>
          <w:szCs w:val="22"/>
        </w:rPr>
      </w:pPr>
    </w:p>
    <w:p w:rsidR="002659EE" w:rsidRPr="00A32584" w:rsidRDefault="002659EE" w:rsidP="002659EE">
      <w:pPr>
        <w:pStyle w:val="Default"/>
        <w:jc w:val="both"/>
        <w:rPr>
          <w:rFonts w:ascii="Arial" w:eastAsia="MS Gothic" w:hAnsi="Arial" w:cs="Times New Roman"/>
          <w:b/>
          <w:bCs/>
          <w:color w:val="943634"/>
          <w:sz w:val="28"/>
          <w:szCs w:val="26"/>
          <w:lang w:eastAsia="cs-CZ"/>
        </w:rPr>
      </w:pPr>
      <w:r w:rsidRPr="00E751D8">
        <w:rPr>
          <w:rFonts w:ascii="Arial" w:eastAsia="MS Gothic" w:hAnsi="Arial" w:cs="Times New Roman"/>
          <w:b/>
          <w:bCs/>
          <w:color w:val="943634"/>
          <w:sz w:val="28"/>
          <w:szCs w:val="26"/>
          <w:lang w:eastAsia="cs-CZ"/>
        </w:rPr>
        <w:t>O zdrojích dat a šetřených jednotkách</w:t>
      </w:r>
    </w:p>
    <w:p w:rsidR="002659EE" w:rsidRPr="00C4638E" w:rsidRDefault="002659EE" w:rsidP="002659EE">
      <w:pPr>
        <w:pStyle w:val="Default"/>
        <w:jc w:val="both"/>
        <w:rPr>
          <w:color w:val="0070C0"/>
          <w:sz w:val="20"/>
          <w:szCs w:val="20"/>
        </w:rPr>
      </w:pPr>
    </w:p>
    <w:p w:rsidR="002659EE" w:rsidRPr="000455DB" w:rsidRDefault="002659EE" w:rsidP="002659EE">
      <w:pPr>
        <w:spacing w:line="240" w:lineRule="auto"/>
        <w:jc w:val="both"/>
        <w:rPr>
          <w:rFonts w:eastAsia="MS Gothic"/>
          <w:b/>
          <w:bCs/>
          <w:color w:val="943634"/>
          <w:sz w:val="24"/>
        </w:rPr>
      </w:pPr>
      <w:r w:rsidRPr="00845658">
        <w:rPr>
          <w:rFonts w:eastAsia="MS Gothic"/>
          <w:b/>
          <w:bCs/>
          <w:color w:val="943634"/>
          <w:sz w:val="24"/>
        </w:rPr>
        <w:t>Studenti a absolvent</w:t>
      </w:r>
      <w:r>
        <w:rPr>
          <w:rFonts w:eastAsia="MS Gothic"/>
          <w:b/>
          <w:bCs/>
          <w:color w:val="943634"/>
          <w:sz w:val="24"/>
        </w:rPr>
        <w:t xml:space="preserve">i vyššího odborného vzdělávání </w:t>
      </w:r>
    </w:p>
    <w:p w:rsidR="000455DB" w:rsidRPr="000455DB" w:rsidRDefault="002659EE" w:rsidP="000455DB">
      <w:pPr>
        <w:ind w:firstLine="284"/>
        <w:jc w:val="both"/>
        <w:rPr>
          <w:rFonts w:cs="Arial"/>
          <w:szCs w:val="20"/>
        </w:rPr>
      </w:pPr>
      <w:r w:rsidRPr="008F76D0">
        <w:rPr>
          <w:rFonts w:cs="Arial"/>
          <w:szCs w:val="20"/>
        </w:rPr>
        <w:t>Údaje o studentech a absolventech vyšších odborných škol vycházejí ze školní matriky, kterou spravuje Ministerstvo školství, mládeže a tělovýchovy (</w:t>
      </w:r>
      <w:hyperlink r:id="rId13" w:history="1">
        <w:r w:rsidRPr="00E751D8">
          <w:rPr>
            <w:rStyle w:val="Hypertextovodkaz"/>
            <w:rFonts w:eastAsia="MS Gothic" w:cs="Arial"/>
            <w:color w:val="943634"/>
            <w:szCs w:val="20"/>
          </w:rPr>
          <w:t>MŠMT</w:t>
        </w:r>
      </w:hyperlink>
      <w:r w:rsidRPr="00E751D8">
        <w:rPr>
          <w:rFonts w:cs="Arial"/>
          <w:color w:val="943634"/>
          <w:szCs w:val="20"/>
        </w:rPr>
        <w:t>)</w:t>
      </w:r>
      <w:r>
        <w:rPr>
          <w:rFonts w:cs="Arial"/>
          <w:szCs w:val="20"/>
        </w:rPr>
        <w:t>.</w:t>
      </w:r>
      <w:r w:rsidRPr="002E1F1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P</w:t>
      </w:r>
      <w:r w:rsidRPr="008F76D0">
        <w:rPr>
          <w:rFonts w:cs="Arial"/>
          <w:szCs w:val="20"/>
        </w:rPr>
        <w:t>ublikované údaje</w:t>
      </w:r>
      <w:r w:rsidR="00F1607C">
        <w:rPr>
          <w:rFonts w:cs="Arial"/>
          <w:szCs w:val="20"/>
        </w:rPr>
        <w:t xml:space="preserve"> jsou dle stavu k 30. září 2019</w:t>
      </w:r>
      <w:r>
        <w:rPr>
          <w:rFonts w:cs="Arial"/>
          <w:szCs w:val="20"/>
        </w:rPr>
        <w:t>.</w:t>
      </w:r>
      <w:r w:rsidRPr="008F76D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 územním členění jsou údaje o studentech a absolventech vyššího odborného vzdělání členěny na základě údaje o sídle školy.</w:t>
      </w:r>
    </w:p>
    <w:p w:rsidR="002659EE" w:rsidRPr="000455DB" w:rsidRDefault="002659EE" w:rsidP="000455DB">
      <w:pPr>
        <w:keepNext/>
        <w:spacing w:line="240" w:lineRule="auto"/>
        <w:jc w:val="both"/>
        <w:rPr>
          <w:rFonts w:eastAsia="MS Gothic"/>
          <w:b/>
          <w:bCs/>
          <w:color w:val="943634"/>
          <w:sz w:val="24"/>
        </w:rPr>
      </w:pPr>
      <w:r w:rsidRPr="00845658">
        <w:rPr>
          <w:rFonts w:eastAsia="MS Gothic"/>
          <w:b/>
          <w:bCs/>
          <w:color w:val="943634"/>
          <w:sz w:val="24"/>
        </w:rPr>
        <w:t xml:space="preserve">Studenti a absolventi veřejných a soukromých vysokých škol </w:t>
      </w:r>
    </w:p>
    <w:p w:rsidR="002659EE" w:rsidRPr="00E50495" w:rsidRDefault="002659EE" w:rsidP="002659EE">
      <w:pPr>
        <w:tabs>
          <w:tab w:val="left" w:pos="0"/>
          <w:tab w:val="left" w:pos="60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120"/>
        <w:ind w:firstLine="284"/>
        <w:jc w:val="both"/>
        <w:rPr>
          <w:rFonts w:cs="Arial"/>
          <w:szCs w:val="20"/>
        </w:rPr>
      </w:pPr>
      <w:r w:rsidRPr="00E50495">
        <w:rPr>
          <w:rFonts w:cs="Arial"/>
          <w:szCs w:val="20"/>
        </w:rPr>
        <w:t>Zdrojem dat o studentech a absolventech veřejných a soukromých vysokých škol je systém Sdružených informací matrik studentů (</w:t>
      </w:r>
      <w:hyperlink r:id="rId14" w:history="1">
        <w:r w:rsidRPr="00E751D8">
          <w:rPr>
            <w:rStyle w:val="Hypertextovodkaz"/>
            <w:rFonts w:eastAsia="MS Gothic" w:cs="Arial"/>
            <w:color w:val="943634"/>
            <w:szCs w:val="20"/>
          </w:rPr>
          <w:t>SIMS</w:t>
        </w:r>
      </w:hyperlink>
      <w:r w:rsidRPr="00E50495">
        <w:rPr>
          <w:rFonts w:cs="Arial"/>
          <w:szCs w:val="20"/>
        </w:rPr>
        <w:t>). Publikované údaje jsou v případě počtu studentů podle stavu k 31. prosinci daného roku; údaje o poprvé zapsaných studentech a absolventech za kalendářní rok. Zdrojová databáze SIMS je průběžně doplňována a aktualizována, včetně zpětných oprav; publikované údaje</w:t>
      </w:r>
      <w:r w:rsidR="00E47933">
        <w:rPr>
          <w:rFonts w:cs="Arial"/>
          <w:szCs w:val="20"/>
        </w:rPr>
        <w:t xml:space="preserve"> jsou dle stavu k </w:t>
      </w:r>
      <w:r w:rsidR="00F1607C">
        <w:rPr>
          <w:rFonts w:cs="Arial"/>
          <w:szCs w:val="20"/>
        </w:rPr>
        <w:t>20. lednu 2019</w:t>
      </w:r>
      <w:r w:rsidRPr="00E50495">
        <w:rPr>
          <w:rFonts w:cs="Arial"/>
          <w:szCs w:val="20"/>
        </w:rPr>
        <w:t>. Údaje vypovídají o počtech fyzických osob, tj. každý student je v příslušném celku zahrnut jen jednou, včetně studentů, kteří současně studují ve více studijních progr</w:t>
      </w:r>
      <w:r w:rsidR="00E47933">
        <w:rPr>
          <w:rFonts w:cs="Arial"/>
          <w:szCs w:val="20"/>
        </w:rPr>
        <w:t>amech. Celkové počty studentů a </w:t>
      </w:r>
      <w:r w:rsidRPr="00E50495">
        <w:rPr>
          <w:rFonts w:cs="Arial"/>
          <w:szCs w:val="20"/>
        </w:rPr>
        <w:t xml:space="preserve">absolventů tak nemusejí souhlasit se součty za jednotlivé vysoké školy, případně jednotlivé obory studia, formy studia a typy studijních programů. Údaje o studentech jsou dostupné v podrobnějších členěních, např. v krajském členění dle trvalého bydliště studenta či v členění dle státního občanství, které studenti uvedou při </w:t>
      </w:r>
      <w:r w:rsidRPr="00E50495">
        <w:rPr>
          <w:rFonts w:cs="Arial"/>
          <w:szCs w:val="20"/>
        </w:rPr>
        <w:lastRenderedPageBreak/>
        <w:t xml:space="preserve">zápisu na vysokou školu. Zde je </w:t>
      </w:r>
      <w:r>
        <w:rPr>
          <w:rFonts w:cs="Arial"/>
          <w:szCs w:val="20"/>
        </w:rPr>
        <w:t>třeba</w:t>
      </w:r>
      <w:r w:rsidRPr="00E50495">
        <w:rPr>
          <w:rFonts w:cs="Arial"/>
          <w:szCs w:val="20"/>
        </w:rPr>
        <w:t xml:space="preserve"> upozornit, že jeden student může uvést více státních občanství a tedy být evidován pod více občanstvími. </w:t>
      </w:r>
    </w:p>
    <w:p w:rsidR="002659EE" w:rsidRPr="00E50495" w:rsidRDefault="002659EE" w:rsidP="002659EE">
      <w:pPr>
        <w:spacing w:before="120" w:line="276" w:lineRule="auto"/>
        <w:ind w:firstLine="709"/>
        <w:jc w:val="both"/>
        <w:rPr>
          <w:rFonts w:cs="Arial"/>
          <w:szCs w:val="20"/>
        </w:rPr>
      </w:pPr>
      <w:r w:rsidRPr="00E751D8">
        <w:rPr>
          <w:rFonts w:cs="Arial"/>
          <w:b/>
          <w:bCs/>
          <w:color w:val="943634"/>
          <w:szCs w:val="20"/>
        </w:rPr>
        <w:t>Klasifikace ISCED-F 2013</w:t>
      </w:r>
      <w:r w:rsidRPr="00E50495">
        <w:rPr>
          <w:rFonts w:cs="Arial"/>
          <w:b/>
          <w:bCs/>
          <w:szCs w:val="20"/>
        </w:rPr>
        <w:t xml:space="preserve"> </w:t>
      </w:r>
      <w:r w:rsidRPr="00E50495">
        <w:rPr>
          <w:rFonts w:cs="Arial"/>
          <w:szCs w:val="20"/>
        </w:rPr>
        <w:t>doposud</w:t>
      </w:r>
      <w:r w:rsidRPr="00E50495">
        <w:rPr>
          <w:rFonts w:cs="Arial"/>
          <w:b/>
          <w:szCs w:val="20"/>
        </w:rPr>
        <w:t xml:space="preserve"> </w:t>
      </w:r>
      <w:r w:rsidRPr="00E751D8">
        <w:rPr>
          <w:rFonts w:cs="Arial"/>
          <w:b/>
          <w:color w:val="943634"/>
          <w:szCs w:val="20"/>
        </w:rPr>
        <w:t>vycházela ze zařazení studentů pod jednotlivé studijní</w:t>
      </w:r>
      <w:r w:rsidRPr="00E50495">
        <w:rPr>
          <w:rFonts w:cs="Arial"/>
          <w:b/>
          <w:szCs w:val="20"/>
        </w:rPr>
        <w:t xml:space="preserve"> </w:t>
      </w:r>
      <w:r w:rsidRPr="00E751D8">
        <w:rPr>
          <w:rFonts w:cs="Arial"/>
          <w:b/>
          <w:color w:val="943634"/>
          <w:szCs w:val="20"/>
        </w:rPr>
        <w:t>obory</w:t>
      </w:r>
      <w:r w:rsidRPr="00E751D8">
        <w:rPr>
          <w:rFonts w:cs="Arial"/>
          <w:color w:val="943634"/>
          <w:szCs w:val="20"/>
        </w:rPr>
        <w:t xml:space="preserve">. </w:t>
      </w:r>
      <w:r w:rsidRPr="00E751D8">
        <w:rPr>
          <w:rFonts w:cs="Arial"/>
          <w:b/>
          <w:color w:val="943634"/>
          <w:szCs w:val="20"/>
        </w:rPr>
        <w:t>Novela</w:t>
      </w:r>
      <w:r w:rsidRPr="00E50495">
        <w:rPr>
          <w:rFonts w:cs="Arial"/>
          <w:szCs w:val="20"/>
        </w:rPr>
        <w:t xml:space="preserve"> vysokoškolského zákona z roku 2016 ale </w:t>
      </w:r>
      <w:r w:rsidRPr="00E751D8">
        <w:rPr>
          <w:rFonts w:cs="Arial"/>
          <w:b/>
          <w:color w:val="943634"/>
          <w:szCs w:val="20"/>
        </w:rPr>
        <w:t>systém studijních oborů ruší a nahrazuje ho</w:t>
      </w:r>
      <w:r w:rsidRPr="00E50495">
        <w:rPr>
          <w:rFonts w:cs="Arial"/>
          <w:b/>
          <w:szCs w:val="20"/>
        </w:rPr>
        <w:t xml:space="preserve"> </w:t>
      </w:r>
      <w:r w:rsidRPr="00E751D8">
        <w:rPr>
          <w:rFonts w:cs="Arial"/>
          <w:b/>
          <w:color w:val="943634"/>
          <w:szCs w:val="20"/>
        </w:rPr>
        <w:t>systémem studijních programů. Veškeré údaje o počtech studentů a absolventů</w:t>
      </w:r>
      <w:r w:rsidRPr="00E50495">
        <w:rPr>
          <w:rFonts w:cs="Arial"/>
          <w:szCs w:val="20"/>
        </w:rPr>
        <w:t xml:space="preserve"> jsou tak </w:t>
      </w:r>
      <w:r w:rsidRPr="00E751D8">
        <w:rPr>
          <w:rFonts w:cs="Arial"/>
          <w:b/>
          <w:color w:val="943634"/>
          <w:szCs w:val="20"/>
        </w:rPr>
        <w:t>nově</w:t>
      </w:r>
      <w:r w:rsidRPr="00E751D8">
        <w:rPr>
          <w:rFonts w:cs="Arial"/>
          <w:color w:val="943634"/>
          <w:szCs w:val="20"/>
        </w:rPr>
        <w:t xml:space="preserve"> </w:t>
      </w:r>
      <w:r w:rsidRPr="00E50495">
        <w:rPr>
          <w:rFonts w:cs="Arial"/>
          <w:szCs w:val="20"/>
        </w:rPr>
        <w:t xml:space="preserve">prezentovány pouze </w:t>
      </w:r>
      <w:r w:rsidRPr="00E751D8">
        <w:rPr>
          <w:rFonts w:cs="Arial"/>
          <w:b/>
          <w:color w:val="943634"/>
          <w:szCs w:val="20"/>
        </w:rPr>
        <w:t>podle tohoto nového systému a byly upraveny i zpětně za předchozí roky</w:t>
      </w:r>
      <w:r w:rsidRPr="00E50495">
        <w:rPr>
          <w:rFonts w:cs="Arial"/>
          <w:szCs w:val="20"/>
        </w:rPr>
        <w:t>. Data se tak nemusí shodovat s informacemi publikovanými v minulých letech.</w:t>
      </w:r>
    </w:p>
    <w:p w:rsidR="008E2C57" w:rsidRPr="00426913" w:rsidRDefault="002659EE" w:rsidP="00426913">
      <w:pPr>
        <w:spacing w:after="0" w:line="240" w:lineRule="auto"/>
        <w:rPr>
          <w:sz w:val="32"/>
          <w:szCs w:val="32"/>
        </w:rPr>
      </w:pPr>
      <w:r w:rsidRPr="002659EE">
        <w:rPr>
          <w:sz w:val="32"/>
          <w:szCs w:val="32"/>
        </w:rPr>
        <w:br w:type="page"/>
      </w:r>
    </w:p>
    <w:p w:rsidR="00F51A74" w:rsidRPr="00DB0E2D" w:rsidRDefault="00426913" w:rsidP="00F51A74">
      <w:pPr>
        <w:spacing w:line="276" w:lineRule="auto"/>
        <w:jc w:val="both"/>
        <w:rPr>
          <w:rFonts w:cs="Arial"/>
          <w:b/>
          <w:color w:val="943634" w:themeColor="accent2" w:themeShade="BF"/>
          <w:sz w:val="28"/>
          <w:szCs w:val="28"/>
        </w:rPr>
      </w:pPr>
      <w:r w:rsidRPr="00DB0E2D">
        <w:rPr>
          <w:rFonts w:cs="Arial"/>
          <w:b/>
          <w:color w:val="943634" w:themeColor="accent2" w:themeShade="BF"/>
          <w:sz w:val="28"/>
          <w:szCs w:val="28"/>
        </w:rPr>
        <w:lastRenderedPageBreak/>
        <w:t xml:space="preserve">1. </w:t>
      </w:r>
      <w:r w:rsidR="00F51A74" w:rsidRPr="00DB0E2D">
        <w:rPr>
          <w:rFonts w:cs="Arial"/>
          <w:b/>
          <w:color w:val="943634" w:themeColor="accent2" w:themeShade="BF"/>
          <w:sz w:val="28"/>
          <w:szCs w:val="28"/>
        </w:rPr>
        <w:t xml:space="preserve">Studenti </w:t>
      </w:r>
      <w:r w:rsidRPr="00DB0E2D">
        <w:rPr>
          <w:rFonts w:cs="Arial"/>
          <w:b/>
          <w:color w:val="943634" w:themeColor="accent2" w:themeShade="BF"/>
          <w:sz w:val="28"/>
          <w:szCs w:val="28"/>
        </w:rPr>
        <w:t xml:space="preserve">na </w:t>
      </w:r>
      <w:r w:rsidR="00F51A74" w:rsidRPr="00DB0E2D">
        <w:rPr>
          <w:rFonts w:cs="Arial"/>
          <w:b/>
          <w:color w:val="943634" w:themeColor="accent2" w:themeShade="BF"/>
          <w:sz w:val="28"/>
          <w:szCs w:val="28"/>
        </w:rPr>
        <w:t>vysokých škol</w:t>
      </w:r>
      <w:r w:rsidRPr="00DB0E2D">
        <w:rPr>
          <w:rFonts w:cs="Arial"/>
          <w:b/>
          <w:color w:val="943634" w:themeColor="accent2" w:themeShade="BF"/>
          <w:sz w:val="28"/>
          <w:szCs w:val="28"/>
        </w:rPr>
        <w:t>ách</w:t>
      </w:r>
    </w:p>
    <w:p w:rsidR="00ED7915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Počet studentů vysokých škol se ve sledovaných letech dynamicky vyvíjel. Do roku 2010 studentů na vysokých školách přibývalo, potom jsme každoročně zaznamenávali jejich úbytek. Zatímco v  roce 2010 studovalo </w:t>
      </w:r>
      <w:r w:rsidR="001F54F2">
        <w:rPr>
          <w:rFonts w:cs="Arial"/>
          <w:szCs w:val="20"/>
        </w:rPr>
        <w:t>na vysokých školách</w:t>
      </w:r>
      <w:r>
        <w:rPr>
          <w:rFonts w:cs="Arial"/>
          <w:szCs w:val="20"/>
        </w:rPr>
        <w:t xml:space="preserve"> téměř 400 tisíc studentů, do roku 2018 p</w:t>
      </w:r>
      <w:r w:rsidR="008F6FAC">
        <w:rPr>
          <w:rFonts w:cs="Arial"/>
          <w:szCs w:val="20"/>
        </w:rPr>
        <w:t>oklesl jejich počet o čtvrtinu. Pokles studentů není způsoben nezájmem o studium vysokých škol, ale demografickým vývojem.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 w:rsidRPr="004E36FD">
        <w:rPr>
          <w:rFonts w:cs="Arial"/>
          <w:szCs w:val="20"/>
        </w:rPr>
        <w:t xml:space="preserve">Z veřejných </w:t>
      </w:r>
      <w:r>
        <w:rPr>
          <w:rFonts w:cs="Arial"/>
          <w:szCs w:val="20"/>
        </w:rPr>
        <w:t>vysokých škol navštěvuje dlouhodobě</w:t>
      </w:r>
      <w:r w:rsidRPr="004E36FD">
        <w:rPr>
          <w:rFonts w:cs="Arial"/>
          <w:szCs w:val="20"/>
        </w:rPr>
        <w:t xml:space="preserve"> nejvíce student</w:t>
      </w:r>
      <w:r>
        <w:rPr>
          <w:rFonts w:cs="Arial"/>
          <w:szCs w:val="20"/>
        </w:rPr>
        <w:t>ů Univerzitu Karlovu v Praze (45</w:t>
      </w:r>
      <w:r w:rsidRPr="004E36FD">
        <w:rPr>
          <w:rFonts w:cs="Arial"/>
          <w:szCs w:val="20"/>
        </w:rPr>
        <w:t> tis.), následovan</w:t>
      </w:r>
      <w:r>
        <w:rPr>
          <w:rFonts w:cs="Arial"/>
          <w:szCs w:val="20"/>
        </w:rPr>
        <w:t>ou Masarykovou univerzitou (30</w:t>
      </w:r>
      <w:r w:rsidRPr="004E36FD">
        <w:rPr>
          <w:rFonts w:cs="Arial"/>
          <w:szCs w:val="20"/>
        </w:rPr>
        <w:t xml:space="preserve"> tis.) a Univer</w:t>
      </w:r>
      <w:r>
        <w:rPr>
          <w:rFonts w:cs="Arial"/>
          <w:szCs w:val="20"/>
        </w:rPr>
        <w:t>zitou Palackého v Olomouci (19,7</w:t>
      </w:r>
      <w:r w:rsidRPr="004E36FD">
        <w:rPr>
          <w:rFonts w:cs="Arial"/>
          <w:szCs w:val="20"/>
        </w:rPr>
        <w:t xml:space="preserve"> tis.). Ze soukromých škol drží prvenství v počtu studentů Me</w:t>
      </w:r>
      <w:r>
        <w:rPr>
          <w:rFonts w:cs="Arial"/>
          <w:szCs w:val="20"/>
        </w:rPr>
        <w:t>tropolitní univerzita v Praze (3,6</w:t>
      </w:r>
      <w:r w:rsidRPr="004E36FD">
        <w:rPr>
          <w:rFonts w:cs="Arial"/>
          <w:szCs w:val="20"/>
        </w:rPr>
        <w:t> tis.), následovaná Vysoko</w:t>
      </w:r>
      <w:r>
        <w:rPr>
          <w:rFonts w:cs="Arial"/>
          <w:szCs w:val="20"/>
        </w:rPr>
        <w:t>u školou finanční a správní (3,4</w:t>
      </w:r>
      <w:r w:rsidRPr="004E36FD">
        <w:rPr>
          <w:rFonts w:cs="Arial"/>
          <w:szCs w:val="20"/>
        </w:rPr>
        <w:t xml:space="preserve"> tis.) a Vy</w:t>
      </w:r>
      <w:r>
        <w:rPr>
          <w:rFonts w:cs="Arial"/>
          <w:szCs w:val="20"/>
        </w:rPr>
        <w:t>sokou školou obchodní v Praze (1,9</w:t>
      </w:r>
      <w:r w:rsidRPr="004E36FD">
        <w:rPr>
          <w:rFonts w:cs="Arial"/>
          <w:szCs w:val="20"/>
        </w:rPr>
        <w:t xml:space="preserve"> tis.).</w:t>
      </w:r>
    </w:p>
    <w:p w:rsidR="00DB11CC" w:rsidRDefault="00DB11CC" w:rsidP="00F51A74">
      <w:pPr>
        <w:spacing w:line="276" w:lineRule="auto"/>
        <w:jc w:val="both"/>
        <w:rPr>
          <w:rFonts w:cs="Arial"/>
          <w:b/>
          <w:szCs w:val="20"/>
        </w:rPr>
      </w:pPr>
      <w:r w:rsidRPr="00DB11CC">
        <w:rPr>
          <w:rFonts w:cs="Arial"/>
          <w:b/>
          <w:szCs w:val="20"/>
        </w:rPr>
        <w:t>Graf č. 1:</w:t>
      </w:r>
      <w:r w:rsidR="00A53BEC">
        <w:rPr>
          <w:rFonts w:cs="Arial"/>
          <w:b/>
          <w:szCs w:val="20"/>
        </w:rPr>
        <w:t xml:space="preserve"> Počet studentů vysokých škol v ČR celkem a dle studijního programu v časové řadě </w:t>
      </w:r>
    </w:p>
    <w:p w:rsidR="00ED7915" w:rsidRPr="00DB11CC" w:rsidRDefault="00ED7915" w:rsidP="00ED7915">
      <w:pPr>
        <w:spacing w:line="276" w:lineRule="auto"/>
        <w:jc w:val="center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1A2561B1" wp14:editId="35720813">
            <wp:extent cx="6000750" cy="1876425"/>
            <wp:effectExtent l="0" t="0" r="0" b="9525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810D7" w:rsidRPr="005810D7" w:rsidRDefault="005810D7" w:rsidP="005810D7">
      <w:pPr>
        <w:spacing w:line="276" w:lineRule="auto"/>
        <w:rPr>
          <w:rFonts w:cs="Arial"/>
          <w:sz w:val="16"/>
          <w:szCs w:val="16"/>
        </w:rPr>
      </w:pPr>
      <w:r w:rsidRPr="005810D7">
        <w:rPr>
          <w:rFonts w:cs="Arial"/>
          <w:sz w:val="16"/>
          <w:szCs w:val="16"/>
        </w:rPr>
        <w:t>Zdroj: MŠMT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Na 62</w:t>
      </w:r>
      <w:r w:rsidRPr="004E36FD">
        <w:rPr>
          <w:rFonts w:cs="Arial"/>
          <w:szCs w:val="20"/>
        </w:rPr>
        <w:t xml:space="preserve"> soukromých a veřejných vysokých školách v České</w:t>
      </w:r>
      <w:r>
        <w:rPr>
          <w:rFonts w:cs="Arial"/>
          <w:szCs w:val="20"/>
        </w:rPr>
        <w:t xml:space="preserve"> republice</w:t>
      </w:r>
      <w:r w:rsidR="009A2506">
        <w:rPr>
          <w:rFonts w:cs="Arial"/>
          <w:szCs w:val="20"/>
        </w:rPr>
        <w:t xml:space="preserve"> v roce 2018</w:t>
      </w:r>
      <w:r>
        <w:rPr>
          <w:rFonts w:cs="Arial"/>
          <w:szCs w:val="20"/>
        </w:rPr>
        <w:t xml:space="preserve"> studovalo 290</w:t>
      </w:r>
      <w:r w:rsidRPr="004E36FD">
        <w:rPr>
          <w:rFonts w:cs="Arial"/>
          <w:szCs w:val="20"/>
        </w:rPr>
        <w:t xml:space="preserve"> tis. studentů, přičemž v naprosté většině (90,2 %) se jednalo o studenty </w:t>
      </w:r>
      <w:r>
        <w:rPr>
          <w:rFonts w:cs="Arial"/>
          <w:szCs w:val="20"/>
        </w:rPr>
        <w:t>veřejných vysokých škol. V České republice je dlouhodobě 26 veřejných vysokých škol. Ostatní studenti navštěvovali</w:t>
      </w:r>
      <w:r w:rsidRPr="004E36F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soukromé vysoké školy (celkem 36</w:t>
      </w:r>
      <w:r w:rsidRPr="004E36FD">
        <w:rPr>
          <w:rFonts w:cs="Arial"/>
          <w:szCs w:val="20"/>
        </w:rPr>
        <w:t xml:space="preserve"> institucí).</w:t>
      </w:r>
      <w:r w:rsidRPr="004E36FD">
        <w:rPr>
          <w:rFonts w:cs="Arial"/>
          <w:lang w:val="sk-SK"/>
        </w:rPr>
        <w:t xml:space="preserve"> </w:t>
      </w:r>
      <w:r w:rsidRPr="004E36FD">
        <w:rPr>
          <w:rFonts w:cs="Arial"/>
          <w:szCs w:val="20"/>
        </w:rPr>
        <w:t>Počet studentů na českých vysokých</w:t>
      </w:r>
      <w:r>
        <w:rPr>
          <w:rFonts w:cs="Arial"/>
          <w:szCs w:val="20"/>
        </w:rPr>
        <w:t xml:space="preserve"> školách je nyní </w:t>
      </w:r>
      <w:r w:rsidRPr="004E36FD">
        <w:rPr>
          <w:rFonts w:cs="Arial"/>
          <w:szCs w:val="20"/>
        </w:rPr>
        <w:t>o</w:t>
      </w:r>
      <w:r w:rsidR="00ED7915">
        <w:rPr>
          <w:rFonts w:cs="Arial"/>
          <w:szCs w:val="20"/>
        </w:rPr>
        <w:t xml:space="preserve"> čtvrtinu</w:t>
      </w:r>
      <w:r w:rsidR="00A53BEC">
        <w:rPr>
          <w:rFonts w:cs="Arial"/>
          <w:szCs w:val="20"/>
        </w:rPr>
        <w:t xml:space="preserve"> menší</w:t>
      </w:r>
      <w:r w:rsidR="00ED7915">
        <w:rPr>
          <w:rFonts w:cs="Arial"/>
          <w:szCs w:val="20"/>
        </w:rPr>
        <w:t xml:space="preserve"> než před 8 lety</w:t>
      </w:r>
      <w:r w:rsidRPr="004E36FD">
        <w:rPr>
          <w:rFonts w:cs="Arial"/>
          <w:szCs w:val="20"/>
        </w:rPr>
        <w:t>. Analogicky s tím od roku 2013 klesá i počet absolventů</w:t>
      </w:r>
      <w:r>
        <w:rPr>
          <w:rFonts w:cs="Arial"/>
          <w:szCs w:val="20"/>
        </w:rPr>
        <w:t>, kterých bylo v minulém roce 68,6</w:t>
      </w:r>
      <w:r w:rsidRPr="004E36FD">
        <w:rPr>
          <w:rFonts w:cs="Arial"/>
          <w:szCs w:val="20"/>
        </w:rPr>
        <w:t xml:space="preserve"> tis. S přibližně tříletým zpožděním, které odpovídá délce bakalářského studia, tak počet absolventů reaguje na pokles nově zapsaných studentů.</w:t>
      </w:r>
      <w:r>
        <w:rPr>
          <w:rFonts w:cs="Arial"/>
          <w:szCs w:val="20"/>
        </w:rPr>
        <w:t xml:space="preserve"> </w:t>
      </w:r>
    </w:p>
    <w:p w:rsidR="00DB11CC" w:rsidRPr="00DB11CC" w:rsidRDefault="00FA515C" w:rsidP="00F51A74">
      <w:pPr>
        <w:spacing w:line="276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č. 2</w:t>
      </w:r>
      <w:r w:rsidR="00DB11CC" w:rsidRPr="00DB11CC">
        <w:rPr>
          <w:rFonts w:cs="Arial"/>
          <w:b/>
          <w:szCs w:val="20"/>
        </w:rPr>
        <w:t xml:space="preserve">: </w:t>
      </w:r>
      <w:r w:rsidR="00A53BEC">
        <w:rPr>
          <w:rFonts w:cs="Arial"/>
          <w:b/>
          <w:szCs w:val="20"/>
        </w:rPr>
        <w:t>Počet studentů na veřejných a soukromých vysokých školách v</w:t>
      </w:r>
      <w:r w:rsidR="00270A68">
        <w:rPr>
          <w:rFonts w:cs="Arial"/>
          <w:b/>
          <w:szCs w:val="20"/>
        </w:rPr>
        <w:t> </w:t>
      </w:r>
      <w:r w:rsidR="00A53BEC">
        <w:rPr>
          <w:rFonts w:cs="Arial"/>
          <w:b/>
          <w:szCs w:val="20"/>
        </w:rPr>
        <w:t>ČR</w:t>
      </w:r>
      <w:r w:rsidR="00270A68">
        <w:rPr>
          <w:rFonts w:cs="Arial"/>
          <w:b/>
          <w:szCs w:val="20"/>
        </w:rPr>
        <w:t xml:space="preserve"> v časové řadě </w:t>
      </w:r>
    </w:p>
    <w:p w:rsidR="00DB11CC" w:rsidRDefault="00ED7915" w:rsidP="00DB11CC">
      <w:pPr>
        <w:spacing w:line="276" w:lineRule="auto"/>
        <w:jc w:val="center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63904C9B" wp14:editId="3C36E056">
            <wp:extent cx="5419725" cy="2381250"/>
            <wp:effectExtent l="0" t="0" r="9525" b="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810D7" w:rsidRPr="005810D7" w:rsidRDefault="005810D7" w:rsidP="005810D7">
      <w:pPr>
        <w:spacing w:line="276" w:lineRule="auto"/>
        <w:rPr>
          <w:rFonts w:cs="Arial"/>
          <w:sz w:val="16"/>
          <w:szCs w:val="16"/>
        </w:rPr>
      </w:pPr>
      <w:r w:rsidRPr="005810D7">
        <w:rPr>
          <w:rFonts w:cs="Arial"/>
          <w:sz w:val="16"/>
          <w:szCs w:val="16"/>
        </w:rPr>
        <w:t>Zdroj: MŠMT</w:t>
      </w:r>
    </w:p>
    <w:p w:rsidR="00A570BE" w:rsidRPr="00DB0E2D" w:rsidRDefault="00426913" w:rsidP="00A570BE">
      <w:pPr>
        <w:spacing w:line="276" w:lineRule="auto"/>
        <w:jc w:val="both"/>
        <w:rPr>
          <w:b/>
          <w:color w:val="943634" w:themeColor="accent2" w:themeShade="BF"/>
          <w:sz w:val="28"/>
          <w:szCs w:val="28"/>
        </w:rPr>
      </w:pPr>
      <w:r w:rsidRPr="00DB0E2D">
        <w:rPr>
          <w:b/>
          <w:color w:val="943634" w:themeColor="accent2" w:themeShade="BF"/>
          <w:sz w:val="28"/>
          <w:szCs w:val="28"/>
        </w:rPr>
        <w:lastRenderedPageBreak/>
        <w:t xml:space="preserve">2. </w:t>
      </w:r>
      <w:r w:rsidR="00A570BE" w:rsidRPr="00DB0E2D">
        <w:rPr>
          <w:b/>
          <w:color w:val="943634" w:themeColor="accent2" w:themeShade="BF"/>
          <w:sz w:val="28"/>
          <w:szCs w:val="28"/>
        </w:rPr>
        <w:t>Studenti a absolventi podle věku</w:t>
      </w:r>
    </w:p>
    <w:p w:rsidR="00A570BE" w:rsidRPr="00A570BE" w:rsidRDefault="00A570BE" w:rsidP="00F51A74">
      <w:pPr>
        <w:spacing w:line="276" w:lineRule="auto"/>
        <w:jc w:val="both"/>
      </w:pPr>
      <w:r>
        <w:t xml:space="preserve">Většina studentů bakalářských, magisterských a navazujících magisterských studijních programů je ve věku 20 – 24 let. Tvoří 58,1 % všech studentů.  V magisterských či doktorských programech  najdeme větší zastoupení starších studentů. V magisterských studijních programech najdeme většinu studentů ve věku 24 let. V doktorských programech tvoří studenti ve věku 25 – 29 let téměř polovinu (47,1 %) a více než čtvrtina je ve věku 30 – 34 let. Ve věkové struktuře mužů a žen najdeme určité odlišnosti. Například v bakalářském studijním programu je  více žen mladších 20 let (11,9 % žen, 10,9 % mužů) a naopak muži jsou častěji než ženy ve věku mezi 20 a 30 lety (77 % ženy, 80 % muži). V magisterském programu je 76,5 % žen ve věku do 25 let a mezi muži je tento podíl 74,7 %. Ve věkové kategorii 25 – 30 let najdeme v magisterských programech více mužů než žen (21,3 % mužů a 16 % žen). V doktorském studiu je více dívek ve věku 25 – 30 let (57,7 % žen a 53,3 % mužů) a naopak, ve věku 30 – 35 let bylo v doktorském studiu více mužů (30 % mužů a 28 % žen). Absolventi bakalářských studijních programů jsou nejčastěji ve věku 20 – 24 let, absolventi magisterských programů ve věku 25 – 29 let a absolventi doktorských programů  ve věku 25 – 34 let. </w:t>
      </w:r>
    </w:p>
    <w:p w:rsidR="00F51A74" w:rsidRPr="00DB0E2D" w:rsidRDefault="00426913" w:rsidP="00F51A74">
      <w:pPr>
        <w:spacing w:line="276" w:lineRule="auto"/>
        <w:jc w:val="both"/>
        <w:rPr>
          <w:rFonts w:cs="Arial"/>
          <w:b/>
          <w:color w:val="943634" w:themeColor="accent2" w:themeShade="BF"/>
          <w:sz w:val="28"/>
          <w:szCs w:val="28"/>
        </w:rPr>
      </w:pPr>
      <w:r w:rsidRPr="00DB0E2D">
        <w:rPr>
          <w:rFonts w:cs="Arial"/>
          <w:b/>
          <w:color w:val="943634" w:themeColor="accent2" w:themeShade="BF"/>
          <w:sz w:val="28"/>
          <w:szCs w:val="28"/>
        </w:rPr>
        <w:t xml:space="preserve">3. </w:t>
      </w:r>
      <w:r w:rsidR="00F51A74" w:rsidRPr="00DB0E2D">
        <w:rPr>
          <w:rFonts w:cs="Arial"/>
          <w:b/>
          <w:color w:val="943634" w:themeColor="accent2" w:themeShade="BF"/>
          <w:sz w:val="28"/>
          <w:szCs w:val="28"/>
        </w:rPr>
        <w:t>Struktura studentů dle pohlaví</w:t>
      </w:r>
    </w:p>
    <w:p w:rsidR="00A570BE" w:rsidRPr="00A570BE" w:rsidRDefault="00A570B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Mezi studenty všech vysokých škol bez ohledu na formu studia, studijní program či zřizovatele je o něco vyšší zastoupení žen než mužů. </w:t>
      </w:r>
      <w:r w:rsidRPr="004E36FD">
        <w:rPr>
          <w:rFonts w:cs="Arial"/>
          <w:szCs w:val="20"/>
        </w:rPr>
        <w:t xml:space="preserve">Ženy tvoří dlouhodobě nadpoloviční většinu studentů (56 %) i absolventů (60 %) vysokých škol. </w:t>
      </w:r>
      <w:r>
        <w:rPr>
          <w:rFonts w:cs="Arial"/>
          <w:szCs w:val="20"/>
        </w:rPr>
        <w:t>V minulém roce stu</w:t>
      </w:r>
      <w:r w:rsidR="009A2506">
        <w:rPr>
          <w:rFonts w:cs="Arial"/>
          <w:szCs w:val="20"/>
        </w:rPr>
        <w:t>dovalo na vysokých školách přes</w:t>
      </w:r>
      <w:r>
        <w:rPr>
          <w:rFonts w:cs="Arial"/>
          <w:szCs w:val="20"/>
        </w:rPr>
        <w:t xml:space="preserve"> 162 tisíc žen. Vysoké školy soukromé pak vykazují podíl žen z celkového počtu svých studentů o trochu vyšší, a to 57,6 %.</w:t>
      </w:r>
    </w:p>
    <w:p w:rsidR="00DB11CC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Ve všech studijních programech, s výjimkou doktorského, převažují ženy. V rámci prezenční formy studia, v bakalářských studijních programech byl v roce 2006 poměr mužů a žen téměř vyrovnán, ale v dalších letech studovalo na vysokých školách více žen než mužů. Výraznější diferenciace v poměru mužů a žen panuje v magisterských studijních programech</w:t>
      </w:r>
      <w:r w:rsidR="009A2506">
        <w:rPr>
          <w:rFonts w:cs="Arial"/>
          <w:szCs w:val="20"/>
        </w:rPr>
        <w:t xml:space="preserve"> v prezenční formě studia</w:t>
      </w:r>
      <w:r>
        <w:rPr>
          <w:rFonts w:cs="Arial"/>
          <w:szCs w:val="20"/>
        </w:rPr>
        <w:t>, kde podíl žen v roce 2018 byl 58</w:t>
      </w:r>
      <w:r w:rsidR="003659B5">
        <w:rPr>
          <w:rFonts w:cs="Arial"/>
          <w:szCs w:val="20"/>
        </w:rPr>
        <w:t>,5</w:t>
      </w:r>
      <w:r>
        <w:rPr>
          <w:rFonts w:cs="Arial"/>
          <w:szCs w:val="20"/>
        </w:rPr>
        <w:t xml:space="preserve"> %. 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 případě jednotlivých typů studijních programů, kromě doktorského, v distanční a kombinované formě studia je procento žen dokonce vyšší než v prezenčních formách studia. V roce 2018 studovalo v</w:t>
      </w:r>
      <w:r w:rsidR="00E219AC">
        <w:rPr>
          <w:rFonts w:cs="Arial"/>
          <w:szCs w:val="20"/>
        </w:rPr>
        <w:t> distanční a </w:t>
      </w:r>
      <w:r>
        <w:rPr>
          <w:rFonts w:cs="Arial"/>
          <w:szCs w:val="20"/>
        </w:rPr>
        <w:t>kombinované formě 69 tisíc studentů, z toho 58,3 % byly ženy. V bakalář</w:t>
      </w:r>
      <w:r w:rsidR="00E219AC">
        <w:rPr>
          <w:rFonts w:cs="Arial"/>
          <w:szCs w:val="20"/>
        </w:rPr>
        <w:t>ském studiu tvořili ženy 59 % a </w:t>
      </w:r>
      <w:r>
        <w:rPr>
          <w:rFonts w:cs="Arial"/>
          <w:szCs w:val="20"/>
        </w:rPr>
        <w:t xml:space="preserve">v magisterském až 64 %. </w:t>
      </w:r>
      <w:r w:rsidRPr="0052316D">
        <w:rPr>
          <w:rFonts w:cs="Arial"/>
          <w:szCs w:val="20"/>
        </w:rPr>
        <w:t xml:space="preserve">Odlišná situace je v případě distanční a kombinované formě studia v programech doktorských. Zde je totiž naopak poměrně ještě více mužů než ve formě prezenční (podíl mužů v roce 2018 byl 60 % v distanční </w:t>
      </w:r>
      <w:r w:rsidR="0039748D">
        <w:rPr>
          <w:rFonts w:cs="Arial"/>
          <w:szCs w:val="20"/>
        </w:rPr>
        <w:t>a kombinované formě studia  a 52,2 % v prezenční</w:t>
      </w:r>
      <w:r w:rsidRPr="0052316D">
        <w:rPr>
          <w:rFonts w:cs="Arial"/>
          <w:szCs w:val="20"/>
        </w:rPr>
        <w:t xml:space="preserve"> formě studia).</w:t>
      </w:r>
    </w:p>
    <w:p w:rsidR="00DB11CC" w:rsidRPr="00DB11CC" w:rsidRDefault="00DB11CC" w:rsidP="00F51A74">
      <w:pPr>
        <w:spacing w:line="276" w:lineRule="auto"/>
        <w:jc w:val="both"/>
        <w:rPr>
          <w:rFonts w:cs="Arial"/>
          <w:b/>
          <w:szCs w:val="20"/>
        </w:rPr>
      </w:pPr>
      <w:r w:rsidRPr="00DB11CC">
        <w:rPr>
          <w:rFonts w:cs="Arial"/>
          <w:b/>
          <w:szCs w:val="20"/>
        </w:rPr>
        <w:t>Graf č. 3:</w:t>
      </w:r>
      <w:r w:rsidR="00B16121">
        <w:rPr>
          <w:rFonts w:cs="Arial"/>
          <w:b/>
          <w:szCs w:val="20"/>
        </w:rPr>
        <w:t xml:space="preserve"> Podíl studentů, </w:t>
      </w:r>
      <w:r w:rsidR="00A53BEC">
        <w:rPr>
          <w:rFonts w:cs="Arial"/>
          <w:b/>
          <w:szCs w:val="20"/>
        </w:rPr>
        <w:t>mužů a žen</w:t>
      </w:r>
      <w:r w:rsidR="00B16121">
        <w:rPr>
          <w:rFonts w:cs="Arial"/>
          <w:b/>
          <w:szCs w:val="20"/>
        </w:rPr>
        <w:t>,</w:t>
      </w:r>
      <w:r w:rsidR="00A53BEC">
        <w:rPr>
          <w:rFonts w:cs="Arial"/>
          <w:b/>
          <w:szCs w:val="20"/>
        </w:rPr>
        <w:t xml:space="preserve"> na vysokých školách v ČR v jednotlivých studijních programech, v prezenční formě studia</w:t>
      </w:r>
    </w:p>
    <w:p w:rsidR="00DB11CC" w:rsidRDefault="00DB11CC" w:rsidP="00DB11CC">
      <w:pPr>
        <w:spacing w:line="276" w:lineRule="auto"/>
        <w:jc w:val="center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74EC000C" wp14:editId="064536F5">
            <wp:extent cx="5410200" cy="2524125"/>
            <wp:effectExtent l="0" t="0" r="0" b="9525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11CC" w:rsidRPr="00A570BE" w:rsidRDefault="00FA5D10" w:rsidP="00A570BE">
      <w:pPr>
        <w:spacing w:line="276" w:lineRule="auto"/>
        <w:rPr>
          <w:rFonts w:cs="Arial"/>
          <w:sz w:val="16"/>
          <w:szCs w:val="16"/>
        </w:rPr>
      </w:pPr>
      <w:r w:rsidRPr="00FA5D10">
        <w:rPr>
          <w:rFonts w:cs="Arial"/>
          <w:sz w:val="16"/>
          <w:szCs w:val="16"/>
        </w:rPr>
        <w:t>Zdroj: MŠMT</w:t>
      </w:r>
    </w:p>
    <w:p w:rsidR="00426913" w:rsidRPr="00DB0E2D" w:rsidRDefault="009D1C60" w:rsidP="00426913">
      <w:pPr>
        <w:spacing w:after="200" w:line="276" w:lineRule="auto"/>
        <w:jc w:val="both"/>
        <w:rPr>
          <w:rFonts w:cs="Arial"/>
          <w:b/>
          <w:color w:val="943634" w:themeColor="accent2" w:themeShade="BF"/>
          <w:sz w:val="28"/>
          <w:szCs w:val="28"/>
        </w:rPr>
      </w:pPr>
      <w:r w:rsidRPr="00DB0E2D">
        <w:rPr>
          <w:rFonts w:cs="Arial"/>
          <w:b/>
          <w:color w:val="943634" w:themeColor="accent2" w:themeShade="BF"/>
          <w:sz w:val="28"/>
          <w:szCs w:val="28"/>
        </w:rPr>
        <w:lastRenderedPageBreak/>
        <w:t xml:space="preserve">4. </w:t>
      </w:r>
      <w:r w:rsidR="00426913" w:rsidRPr="00DB0E2D">
        <w:rPr>
          <w:rFonts w:cs="Arial"/>
          <w:b/>
          <w:color w:val="943634" w:themeColor="accent2" w:themeShade="BF"/>
          <w:sz w:val="28"/>
          <w:szCs w:val="28"/>
        </w:rPr>
        <w:t>Studenti podle studijních programů</w:t>
      </w:r>
    </w:p>
    <w:p w:rsidR="00426913" w:rsidRDefault="00077139" w:rsidP="00426913">
      <w:pPr>
        <w:spacing w:after="200" w:line="276" w:lineRule="auto"/>
        <w:jc w:val="both"/>
        <w:rPr>
          <w:rFonts w:cs="Arial"/>
          <w:b/>
          <w:color w:val="000000" w:themeColor="text1"/>
          <w:szCs w:val="20"/>
        </w:rPr>
      </w:pPr>
      <w:r>
        <w:rPr>
          <w:rFonts w:cs="Arial"/>
          <w:b/>
          <w:color w:val="000000" w:themeColor="text1"/>
          <w:szCs w:val="20"/>
        </w:rPr>
        <w:t>Graf č. 4</w:t>
      </w:r>
      <w:r w:rsidR="00426913" w:rsidRPr="003659B5">
        <w:rPr>
          <w:rFonts w:cs="Arial"/>
          <w:b/>
          <w:color w:val="000000" w:themeColor="text1"/>
          <w:szCs w:val="20"/>
        </w:rPr>
        <w:t>:</w:t>
      </w:r>
      <w:r w:rsidR="00426913">
        <w:rPr>
          <w:rFonts w:cs="Arial"/>
          <w:b/>
          <w:color w:val="000000" w:themeColor="text1"/>
          <w:szCs w:val="20"/>
        </w:rPr>
        <w:t xml:space="preserve"> Studenti dle studijních </w:t>
      </w:r>
      <w:r w:rsidR="00764479">
        <w:rPr>
          <w:rFonts w:cs="Arial"/>
          <w:b/>
          <w:color w:val="000000" w:themeColor="text1"/>
          <w:szCs w:val="20"/>
        </w:rPr>
        <w:t>oborů</w:t>
      </w:r>
      <w:r w:rsidR="00426913">
        <w:rPr>
          <w:rFonts w:cs="Arial"/>
          <w:b/>
          <w:color w:val="000000" w:themeColor="text1"/>
          <w:szCs w:val="20"/>
        </w:rPr>
        <w:t xml:space="preserve"> na veřejných a soukromých vysokých školách v roce 2018</w:t>
      </w:r>
    </w:p>
    <w:p w:rsidR="00426913" w:rsidRDefault="00426913" w:rsidP="00426913">
      <w:pPr>
        <w:spacing w:after="200" w:line="276" w:lineRule="auto"/>
        <w:jc w:val="center"/>
        <w:rPr>
          <w:rFonts w:cs="Arial"/>
          <w:b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44E6E016" wp14:editId="682F8DB2">
            <wp:extent cx="6120130" cy="3340735"/>
            <wp:effectExtent l="0" t="0" r="13970" b="0"/>
            <wp:docPr id="31" name="Graf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26913" w:rsidRPr="00843DC1" w:rsidRDefault="00426913" w:rsidP="00426913">
      <w:pPr>
        <w:spacing w:after="200" w:line="276" w:lineRule="auto"/>
        <w:jc w:val="both"/>
        <w:rPr>
          <w:rFonts w:cs="Arial"/>
          <w:color w:val="000000" w:themeColor="text1"/>
          <w:sz w:val="16"/>
          <w:szCs w:val="16"/>
        </w:rPr>
      </w:pPr>
      <w:r w:rsidRPr="00843DC1">
        <w:rPr>
          <w:rFonts w:cs="Arial"/>
          <w:color w:val="000000" w:themeColor="text1"/>
          <w:sz w:val="16"/>
          <w:szCs w:val="16"/>
        </w:rPr>
        <w:t>Zdroj: MŠMT</w:t>
      </w:r>
    </w:p>
    <w:p w:rsidR="00426913" w:rsidRDefault="00426913" w:rsidP="00426913">
      <w:pPr>
        <w:spacing w:line="276" w:lineRule="auto"/>
        <w:jc w:val="both"/>
        <w:rPr>
          <w:rFonts w:cs="Arial"/>
          <w:szCs w:val="20"/>
        </w:rPr>
      </w:pPr>
      <w:r w:rsidRPr="004E36FD">
        <w:rPr>
          <w:rFonts w:cs="Arial"/>
          <w:szCs w:val="20"/>
        </w:rPr>
        <w:t>Mezi studenty dlouhodobě pře</w:t>
      </w:r>
      <w:r>
        <w:rPr>
          <w:rFonts w:cs="Arial"/>
          <w:szCs w:val="20"/>
        </w:rPr>
        <w:t xml:space="preserve">važuje zájem </w:t>
      </w:r>
      <w:r w:rsidRPr="00DD1FB3">
        <w:rPr>
          <w:rFonts w:cs="Arial"/>
          <w:szCs w:val="20"/>
        </w:rPr>
        <w:t xml:space="preserve">o </w:t>
      </w:r>
      <w:r>
        <w:rPr>
          <w:rFonts w:cs="Arial"/>
          <w:szCs w:val="20"/>
        </w:rPr>
        <w:t>programy ze skupiny</w:t>
      </w:r>
      <w:r w:rsidRPr="00DD1FB3">
        <w:rPr>
          <w:rFonts w:cs="Arial"/>
          <w:szCs w:val="20"/>
        </w:rPr>
        <w:t xml:space="preserve"> </w:t>
      </w:r>
      <w:r w:rsidRPr="00DD1FB3">
        <w:rPr>
          <w:rFonts w:cs="Arial"/>
          <w:i/>
          <w:szCs w:val="20"/>
        </w:rPr>
        <w:t>Obchod, administrativa a právo</w:t>
      </w:r>
      <w:r w:rsidRPr="004E36FD">
        <w:rPr>
          <w:rFonts w:cs="Arial"/>
          <w:szCs w:val="20"/>
        </w:rPr>
        <w:t xml:space="preserve"> (20,2 % všech vysokoškolských studentů), z nichž nejvíce studuje </w:t>
      </w:r>
      <w:r w:rsidRPr="004E36FD">
        <w:rPr>
          <w:rFonts w:cs="Arial"/>
          <w:i/>
          <w:szCs w:val="20"/>
        </w:rPr>
        <w:t>Management a správu</w:t>
      </w:r>
      <w:r w:rsidRPr="004E36FD">
        <w:rPr>
          <w:rFonts w:cs="Arial"/>
          <w:szCs w:val="20"/>
        </w:rPr>
        <w:t xml:space="preserve"> (téměř 20 tis. stude</w:t>
      </w:r>
      <w:r>
        <w:rPr>
          <w:rFonts w:cs="Arial"/>
          <w:szCs w:val="20"/>
        </w:rPr>
        <w:t>ntů). Zároveň však tyto programy</w:t>
      </w:r>
      <w:r w:rsidRPr="004E36FD">
        <w:rPr>
          <w:rFonts w:cs="Arial"/>
          <w:szCs w:val="20"/>
        </w:rPr>
        <w:t xml:space="preserve"> od roku 2010 zaznamenávají jeden z nejvyšších poklesů stud</w:t>
      </w:r>
      <w:r>
        <w:rPr>
          <w:rFonts w:cs="Arial"/>
          <w:szCs w:val="20"/>
        </w:rPr>
        <w:t>ujících, kterých za posledních 8 let ubylo o víc než třetinu (-37</w:t>
      </w:r>
      <w:r w:rsidRPr="004E36FD">
        <w:rPr>
          <w:rFonts w:cs="Arial"/>
          <w:szCs w:val="20"/>
        </w:rPr>
        <w:t xml:space="preserve"> %). </w:t>
      </w:r>
    </w:p>
    <w:p w:rsidR="00426913" w:rsidRDefault="00426913" w:rsidP="00426913">
      <w:pPr>
        <w:spacing w:line="276" w:lineRule="auto"/>
        <w:jc w:val="both"/>
        <w:rPr>
          <w:rFonts w:cs="Arial"/>
          <w:szCs w:val="20"/>
        </w:rPr>
      </w:pPr>
      <w:r w:rsidRPr="004E36FD">
        <w:rPr>
          <w:rFonts w:cs="Arial"/>
          <w:szCs w:val="20"/>
        </w:rPr>
        <w:t>Oblíbené mezi vysokoškol</w:t>
      </w:r>
      <w:r>
        <w:rPr>
          <w:rFonts w:cs="Arial"/>
          <w:szCs w:val="20"/>
        </w:rPr>
        <w:t xml:space="preserve">áky jsou také </w:t>
      </w:r>
      <w:r w:rsidRPr="00DD1FB3">
        <w:rPr>
          <w:rFonts w:cs="Arial"/>
          <w:szCs w:val="20"/>
        </w:rPr>
        <w:t xml:space="preserve">technické </w:t>
      </w:r>
      <w:r>
        <w:rPr>
          <w:rFonts w:cs="Arial"/>
          <w:szCs w:val="20"/>
        </w:rPr>
        <w:t xml:space="preserve">programy ze skupiny </w:t>
      </w:r>
      <w:r w:rsidRPr="004E36FD">
        <w:rPr>
          <w:rFonts w:cs="Arial"/>
          <w:i/>
          <w:szCs w:val="20"/>
        </w:rPr>
        <w:t>Technika, výroba a stavebnictví</w:t>
      </w:r>
      <w:r>
        <w:rPr>
          <w:rFonts w:cs="Arial"/>
          <w:szCs w:val="20"/>
        </w:rPr>
        <w:t>, které navštěvuje 15,7</w:t>
      </w:r>
      <w:r w:rsidRPr="004E36FD">
        <w:rPr>
          <w:rFonts w:cs="Arial"/>
          <w:szCs w:val="20"/>
        </w:rPr>
        <w:t xml:space="preserve"> % studujících, ovšem i tyto se v posledních letech potýkají s úbytkem studentů, který odpovídá celkovému úbytku vysokoškoláků. Za posledních </w:t>
      </w:r>
      <w:r>
        <w:rPr>
          <w:rFonts w:cs="Arial"/>
          <w:szCs w:val="20"/>
        </w:rPr>
        <w:t>8 let jich ubylo 19 tisíc (-29</w:t>
      </w:r>
      <w:r w:rsidRPr="004E36FD">
        <w:rPr>
          <w:rFonts w:cs="Arial"/>
          <w:szCs w:val="20"/>
        </w:rPr>
        <w:t xml:space="preserve"> %). Vý</w:t>
      </w:r>
      <w:r>
        <w:rPr>
          <w:rFonts w:cs="Arial"/>
          <w:szCs w:val="20"/>
        </w:rPr>
        <w:t>razně klesá počet studentů (dříve třetí nejčastější) skupiny programů</w:t>
      </w:r>
      <w:r w:rsidRPr="004E36FD">
        <w:rPr>
          <w:rFonts w:cs="Arial"/>
          <w:szCs w:val="20"/>
        </w:rPr>
        <w:t xml:space="preserve"> </w:t>
      </w:r>
      <w:r>
        <w:rPr>
          <w:rFonts w:cs="Arial"/>
          <w:i/>
          <w:szCs w:val="20"/>
        </w:rPr>
        <w:t>Vzdělávání a </w:t>
      </w:r>
      <w:r w:rsidRPr="004E36FD">
        <w:rPr>
          <w:rFonts w:cs="Arial"/>
          <w:i/>
          <w:szCs w:val="20"/>
        </w:rPr>
        <w:t>výchova</w:t>
      </w:r>
      <w:r w:rsidRPr="004E36FD">
        <w:rPr>
          <w:rFonts w:cs="Arial"/>
          <w:szCs w:val="20"/>
        </w:rPr>
        <w:t>, kterých je od roku 2010 méně o celých 33 % a nyní tvoří jednu desetinu studentů.</w:t>
      </w:r>
    </w:p>
    <w:p w:rsidR="00426913" w:rsidRDefault="00426913" w:rsidP="00426913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Relativně stabilní v počtu studentů je skupina</w:t>
      </w:r>
      <w:r w:rsidRPr="004E36FD">
        <w:rPr>
          <w:rFonts w:cs="Arial"/>
          <w:szCs w:val="20"/>
        </w:rPr>
        <w:t xml:space="preserve"> </w:t>
      </w:r>
      <w:r w:rsidRPr="004E36FD">
        <w:rPr>
          <w:rFonts w:cs="Arial"/>
          <w:i/>
          <w:szCs w:val="20"/>
        </w:rPr>
        <w:t>Přírodních věd, matematiky a statistiky</w:t>
      </w:r>
      <w:r>
        <w:rPr>
          <w:rFonts w:cs="Arial"/>
          <w:szCs w:val="20"/>
        </w:rPr>
        <w:t>, která zahrnuje 6,4</w:t>
      </w:r>
      <w:r w:rsidRPr="004E36FD">
        <w:rPr>
          <w:rFonts w:cs="Arial"/>
          <w:szCs w:val="20"/>
        </w:rPr>
        <w:t xml:space="preserve"> % stu</w:t>
      </w:r>
      <w:r>
        <w:rPr>
          <w:rFonts w:cs="Arial"/>
          <w:szCs w:val="20"/>
        </w:rPr>
        <w:t xml:space="preserve">dentů. V čase poměrně stálý </w:t>
      </w:r>
      <w:r w:rsidRPr="004E36FD">
        <w:rPr>
          <w:rFonts w:cs="Arial"/>
          <w:szCs w:val="20"/>
        </w:rPr>
        <w:t xml:space="preserve">zůstává i počet studentů </w:t>
      </w:r>
      <w:r w:rsidRPr="004E36FD">
        <w:rPr>
          <w:rFonts w:cs="Arial"/>
          <w:i/>
          <w:szCs w:val="20"/>
        </w:rPr>
        <w:t>Informačních a komunikačních technologií</w:t>
      </w:r>
      <w:r>
        <w:rPr>
          <w:rFonts w:cs="Arial"/>
          <w:szCs w:val="20"/>
        </w:rPr>
        <w:t xml:space="preserve"> (6,9</w:t>
      </w:r>
      <w:r w:rsidRPr="004E36FD">
        <w:rPr>
          <w:rFonts w:cs="Arial"/>
          <w:szCs w:val="20"/>
        </w:rPr>
        <w:t xml:space="preserve"> % studentů), </w:t>
      </w:r>
      <w:r w:rsidRPr="004E36FD">
        <w:rPr>
          <w:rFonts w:cs="Arial"/>
          <w:i/>
          <w:szCs w:val="20"/>
        </w:rPr>
        <w:t xml:space="preserve">Zemědělství, lesnictví, rybářství a veterinářství </w:t>
      </w:r>
      <w:r>
        <w:rPr>
          <w:rFonts w:cs="Arial"/>
          <w:szCs w:val="20"/>
        </w:rPr>
        <w:t>(3,9</w:t>
      </w:r>
      <w:r w:rsidRPr="004E36FD">
        <w:rPr>
          <w:rFonts w:cs="Arial"/>
          <w:szCs w:val="20"/>
        </w:rPr>
        <w:t xml:space="preserve"> %) a </w:t>
      </w:r>
      <w:r w:rsidRPr="004E36FD">
        <w:rPr>
          <w:rFonts w:cs="Arial"/>
          <w:i/>
          <w:szCs w:val="20"/>
        </w:rPr>
        <w:t>Služeb</w:t>
      </w:r>
      <w:r w:rsidRPr="004E36FD">
        <w:rPr>
          <w:rFonts w:cs="Arial"/>
          <w:szCs w:val="20"/>
        </w:rPr>
        <w:t xml:space="preserve"> (5,6 %). </w:t>
      </w:r>
    </w:p>
    <w:p w:rsidR="009D1C60" w:rsidRPr="009D1C60" w:rsidRDefault="009D1C60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Nadpoloviční podíl žen je charakteristický také pro většinu skupin studijních programů vysokých škol. Pouze technické a ICT studijní programy studují častěji muži. V případě technických programů tvoří muži ve sledovaném období přibližně tři čtvrtiny příslušných studentů, i když je zde patrný  mírný nárůst podílu žen – například před 8 lety byl podíl žen 28 %, v minulém roce 33 %. V ICT oborech jednoznačně převažují muži. Ženy tvoří šestinu všech studentu ICT programů. Jejich pod</w:t>
      </w:r>
      <w:r w:rsidR="000312E3">
        <w:rPr>
          <w:rFonts w:cs="Arial"/>
          <w:szCs w:val="20"/>
        </w:rPr>
        <w:t>íl se zvýšil z 10,6 % v roce 200</w:t>
      </w:r>
      <w:r>
        <w:rPr>
          <w:rFonts w:cs="Arial"/>
          <w:szCs w:val="20"/>
        </w:rPr>
        <w:t>8 na 16,5 % v roce 2018. V ostatních skupinách však nadále dominují ženy. Nejvýraznější je jejich převaha v programech zaměřených na pedagogiku, zdravotnictví a sociální péči.</w:t>
      </w:r>
      <w:r w:rsidRPr="00DB11CC">
        <w:rPr>
          <w:rFonts w:cs="Arial"/>
          <w:color w:val="000000" w:themeColor="text1"/>
          <w:szCs w:val="20"/>
        </w:rPr>
        <w:t xml:space="preserve"> Studijní obory ze skupiny </w:t>
      </w:r>
      <w:r w:rsidRPr="00DB11CC">
        <w:rPr>
          <w:rFonts w:cs="Arial"/>
          <w:i/>
          <w:color w:val="000000" w:themeColor="text1"/>
          <w:szCs w:val="20"/>
        </w:rPr>
        <w:t>Technika, výroba a stavebnictví</w:t>
      </w:r>
      <w:r w:rsidRPr="00DB11CC">
        <w:rPr>
          <w:rFonts w:cs="Arial"/>
          <w:color w:val="000000" w:themeColor="text1"/>
          <w:szCs w:val="20"/>
        </w:rPr>
        <w:t xml:space="preserve"> v roce 2018 studovalo 45,6 tisíc studentů a 32,7 % z nich byly ženy. Podíl studentek, které si vybraly technické obory, se během let příliš neměnil. Například v roce 2010 byl jejich podíl na celkovém počtu studentek vysokých škol 8,2 %, před dvěma lety 9,</w:t>
      </w:r>
      <w:r>
        <w:rPr>
          <w:rFonts w:cs="Arial"/>
          <w:color w:val="000000" w:themeColor="text1"/>
          <w:szCs w:val="20"/>
        </w:rPr>
        <w:t>4 % a v minulém roce</w:t>
      </w:r>
      <w:r w:rsidRPr="00DB11CC">
        <w:rPr>
          <w:rFonts w:cs="Arial"/>
          <w:color w:val="000000" w:themeColor="text1"/>
          <w:szCs w:val="20"/>
        </w:rPr>
        <w:t xml:space="preserve"> 9,2 %.</w:t>
      </w:r>
    </w:p>
    <w:p w:rsidR="00E75C20" w:rsidRDefault="00E75C20" w:rsidP="00F51A74">
      <w:pPr>
        <w:spacing w:line="276" w:lineRule="auto"/>
        <w:jc w:val="both"/>
        <w:rPr>
          <w:rFonts w:cs="Arial"/>
          <w:b/>
          <w:color w:val="000000" w:themeColor="text1"/>
          <w:szCs w:val="20"/>
        </w:rPr>
      </w:pPr>
    </w:p>
    <w:p w:rsidR="009D1C60" w:rsidRPr="009D1C60" w:rsidRDefault="00E75C20" w:rsidP="00F51A74">
      <w:pPr>
        <w:spacing w:line="276" w:lineRule="auto"/>
        <w:jc w:val="both"/>
        <w:rPr>
          <w:rFonts w:cs="Arial"/>
          <w:b/>
          <w:color w:val="000000" w:themeColor="text1"/>
          <w:szCs w:val="20"/>
        </w:rPr>
      </w:pPr>
      <w:r>
        <w:rPr>
          <w:rFonts w:cs="Arial"/>
          <w:b/>
          <w:color w:val="000000" w:themeColor="text1"/>
          <w:szCs w:val="20"/>
        </w:rPr>
        <w:lastRenderedPageBreak/>
        <w:t>Graf č. 5</w:t>
      </w:r>
      <w:r w:rsidR="009D1C60" w:rsidRPr="003659B5">
        <w:rPr>
          <w:rFonts w:cs="Arial"/>
          <w:b/>
          <w:color w:val="000000" w:themeColor="text1"/>
          <w:szCs w:val="20"/>
        </w:rPr>
        <w:t>:</w:t>
      </w:r>
      <w:r w:rsidR="009D1C60">
        <w:rPr>
          <w:rFonts w:cs="Arial"/>
          <w:b/>
          <w:color w:val="000000" w:themeColor="text1"/>
          <w:szCs w:val="20"/>
        </w:rPr>
        <w:t xml:space="preserve"> Studenti vysokých ško</w:t>
      </w:r>
      <w:r w:rsidR="007012BE">
        <w:rPr>
          <w:rFonts w:cs="Arial"/>
          <w:b/>
          <w:color w:val="000000" w:themeColor="text1"/>
          <w:szCs w:val="20"/>
        </w:rPr>
        <w:t>l v ČR, dle pohlaví a studijních</w:t>
      </w:r>
      <w:r w:rsidR="009D1C60">
        <w:rPr>
          <w:rFonts w:cs="Arial"/>
          <w:b/>
          <w:color w:val="000000" w:themeColor="text1"/>
          <w:szCs w:val="20"/>
        </w:rPr>
        <w:t xml:space="preserve"> </w:t>
      </w:r>
      <w:r w:rsidR="007012BE">
        <w:rPr>
          <w:rFonts w:cs="Arial"/>
          <w:b/>
          <w:color w:val="000000" w:themeColor="text1"/>
          <w:szCs w:val="20"/>
        </w:rPr>
        <w:t>oborů</w:t>
      </w:r>
      <w:r w:rsidR="009D1C60">
        <w:rPr>
          <w:rFonts w:cs="Arial"/>
          <w:b/>
          <w:color w:val="000000" w:themeColor="text1"/>
          <w:szCs w:val="20"/>
        </w:rPr>
        <w:t xml:space="preserve"> v roce 2018</w:t>
      </w:r>
    </w:p>
    <w:p w:rsidR="00DB11CC" w:rsidRDefault="006A1C32" w:rsidP="006A1C32">
      <w:pPr>
        <w:spacing w:line="276" w:lineRule="auto"/>
        <w:rPr>
          <w:rFonts w:cs="Arial"/>
          <w:b/>
          <w:color w:val="943634" w:themeColor="accent2" w:themeShade="BF"/>
          <w:sz w:val="24"/>
        </w:rPr>
      </w:pPr>
      <w:r>
        <w:rPr>
          <w:noProof/>
        </w:rPr>
        <w:drawing>
          <wp:inline distT="0" distB="0" distL="0" distR="0" wp14:anchorId="72107175" wp14:editId="49FD73E3">
            <wp:extent cx="6276975" cy="2752725"/>
            <wp:effectExtent l="0" t="0" r="9525" b="9525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43DC1" w:rsidRPr="00843DC1" w:rsidRDefault="00843DC1" w:rsidP="00F51A74">
      <w:pPr>
        <w:spacing w:line="276" w:lineRule="auto"/>
        <w:jc w:val="both"/>
        <w:rPr>
          <w:rFonts w:cs="Arial"/>
          <w:color w:val="000000" w:themeColor="text1"/>
          <w:sz w:val="16"/>
          <w:szCs w:val="16"/>
        </w:rPr>
      </w:pPr>
      <w:r w:rsidRPr="00843DC1">
        <w:rPr>
          <w:rFonts w:cs="Arial"/>
          <w:color w:val="000000" w:themeColor="text1"/>
          <w:sz w:val="16"/>
          <w:szCs w:val="16"/>
        </w:rPr>
        <w:t>Zdroj: MŠMT</w:t>
      </w:r>
    </w:p>
    <w:p w:rsidR="00F12225" w:rsidRPr="00F12225" w:rsidRDefault="00F12225" w:rsidP="00F51A74">
      <w:pPr>
        <w:spacing w:after="200" w:line="276" w:lineRule="auto"/>
        <w:jc w:val="both"/>
        <w:rPr>
          <w:rFonts w:cs="Arial"/>
          <w:b/>
          <w:color w:val="000000" w:themeColor="text1"/>
          <w:szCs w:val="20"/>
        </w:rPr>
      </w:pPr>
      <w:r w:rsidRPr="00F12225">
        <w:rPr>
          <w:rFonts w:cs="Arial"/>
          <w:b/>
          <w:color w:val="000000" w:themeColor="text1"/>
          <w:szCs w:val="20"/>
        </w:rPr>
        <w:t xml:space="preserve">Graf č. 6: </w:t>
      </w:r>
      <w:r w:rsidR="00C54F8F">
        <w:rPr>
          <w:rFonts w:cs="Arial"/>
          <w:b/>
          <w:color w:val="000000" w:themeColor="text1"/>
          <w:szCs w:val="20"/>
        </w:rPr>
        <w:t xml:space="preserve">Nejnavštěvovanější studijní </w:t>
      </w:r>
      <w:r w:rsidR="00201322">
        <w:rPr>
          <w:rFonts w:cs="Arial"/>
          <w:b/>
          <w:color w:val="000000" w:themeColor="text1"/>
          <w:szCs w:val="20"/>
        </w:rPr>
        <w:t>obory</w:t>
      </w:r>
      <w:r w:rsidR="00C54F8F">
        <w:rPr>
          <w:rFonts w:cs="Arial"/>
          <w:b/>
          <w:color w:val="000000" w:themeColor="text1"/>
          <w:szCs w:val="20"/>
        </w:rPr>
        <w:t xml:space="preserve"> na vysokých školách v ČR, dle pohlaví, ve vybraných letech  </w:t>
      </w:r>
    </w:p>
    <w:p w:rsidR="00F12225" w:rsidRDefault="00C54F8F" w:rsidP="000905DC">
      <w:pPr>
        <w:spacing w:after="200" w:line="276" w:lineRule="auto"/>
        <w:jc w:val="center"/>
        <w:rPr>
          <w:rFonts w:cs="Arial"/>
          <w:color w:val="000000" w:themeColor="text1"/>
          <w:szCs w:val="20"/>
        </w:rPr>
      </w:pPr>
      <w:r w:rsidRPr="008402E2">
        <w:rPr>
          <w:noProof/>
          <w:color w:val="FFFFFF" w:themeColor="background1"/>
        </w:rPr>
        <w:drawing>
          <wp:inline distT="0" distB="0" distL="0" distR="0" wp14:anchorId="170E213F" wp14:editId="1FB019D9">
            <wp:extent cx="6134100" cy="2581275"/>
            <wp:effectExtent l="0" t="0" r="0" b="9525"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43DC1" w:rsidRPr="00843DC1" w:rsidRDefault="00843DC1" w:rsidP="00F51A74">
      <w:pPr>
        <w:spacing w:after="200" w:line="276" w:lineRule="auto"/>
        <w:jc w:val="both"/>
        <w:rPr>
          <w:rFonts w:cs="Arial"/>
          <w:color w:val="000000" w:themeColor="text1"/>
          <w:sz w:val="16"/>
          <w:szCs w:val="16"/>
        </w:rPr>
      </w:pPr>
      <w:r w:rsidRPr="00843DC1">
        <w:rPr>
          <w:rFonts w:cs="Arial"/>
          <w:color w:val="000000" w:themeColor="text1"/>
          <w:sz w:val="16"/>
          <w:szCs w:val="16"/>
        </w:rPr>
        <w:t>Zdroj: MŠMT</w:t>
      </w:r>
    </w:p>
    <w:p w:rsidR="006975DC" w:rsidRDefault="002722AE" w:rsidP="00F51A74">
      <w:pPr>
        <w:spacing w:after="200" w:line="276" w:lineRule="auto"/>
        <w:jc w:val="both"/>
        <w:rPr>
          <w:rFonts w:cs="Arial"/>
          <w:b/>
          <w:color w:val="943634"/>
          <w:sz w:val="28"/>
          <w:szCs w:val="28"/>
        </w:rPr>
      </w:pPr>
      <w:r w:rsidRPr="00800D12">
        <w:rPr>
          <w:rFonts w:cs="Arial"/>
          <w:szCs w:val="20"/>
        </w:rPr>
        <w:t xml:space="preserve">Z celkového počtu </w:t>
      </w:r>
      <w:r w:rsidR="00C54F8F">
        <w:rPr>
          <w:rFonts w:cs="Arial"/>
          <w:szCs w:val="20"/>
        </w:rPr>
        <w:t>studentů technických programů</w:t>
      </w:r>
      <w:r w:rsidRPr="00800D12">
        <w:rPr>
          <w:rFonts w:cs="Arial"/>
          <w:szCs w:val="20"/>
        </w:rPr>
        <w:t xml:space="preserve"> studovalo v roce </w:t>
      </w:r>
      <w:r w:rsidR="00C54F8F">
        <w:rPr>
          <w:rFonts w:cs="Arial"/>
          <w:szCs w:val="20"/>
        </w:rPr>
        <w:t>2018</w:t>
      </w:r>
      <w:r>
        <w:rPr>
          <w:rFonts w:cs="Arial"/>
          <w:szCs w:val="20"/>
        </w:rPr>
        <w:t xml:space="preserve"> </w:t>
      </w:r>
      <w:r w:rsidRPr="00270C2A">
        <w:rPr>
          <w:rFonts w:cs="Arial"/>
          <w:i/>
          <w:szCs w:val="20"/>
        </w:rPr>
        <w:t>Inženýrství a strojírenství</w:t>
      </w:r>
      <w:r>
        <w:rPr>
          <w:rFonts w:cs="Arial"/>
          <w:szCs w:val="20"/>
        </w:rPr>
        <w:t xml:space="preserve"> 46,7</w:t>
      </w:r>
      <w:r w:rsidRPr="00800D12">
        <w:rPr>
          <w:rFonts w:cs="Arial"/>
          <w:szCs w:val="20"/>
        </w:rPr>
        <w:t> %</w:t>
      </w:r>
      <w:r>
        <w:rPr>
          <w:rFonts w:cs="Arial"/>
          <w:szCs w:val="20"/>
        </w:rPr>
        <w:t xml:space="preserve"> studentů,</w:t>
      </w:r>
      <w:r w:rsidRPr="00800D12">
        <w:rPr>
          <w:rFonts w:cs="Arial"/>
          <w:szCs w:val="20"/>
        </w:rPr>
        <w:t xml:space="preserve"> </w:t>
      </w:r>
      <w:r w:rsidRPr="00270C2A">
        <w:rPr>
          <w:rFonts w:cs="Arial"/>
          <w:i/>
          <w:szCs w:val="20"/>
        </w:rPr>
        <w:t>Výrobu a zpracování 8,7 %</w:t>
      </w:r>
      <w:r w:rsidRPr="00800D12">
        <w:rPr>
          <w:rFonts w:cs="Arial"/>
          <w:szCs w:val="20"/>
        </w:rPr>
        <w:t xml:space="preserve"> studentů a </w:t>
      </w:r>
      <w:r w:rsidRPr="00270C2A">
        <w:rPr>
          <w:rFonts w:cs="Arial"/>
          <w:i/>
          <w:szCs w:val="20"/>
        </w:rPr>
        <w:t>Architekturu</w:t>
      </w:r>
      <w:r w:rsidRPr="00800D12">
        <w:rPr>
          <w:rFonts w:cs="Arial"/>
          <w:szCs w:val="20"/>
        </w:rPr>
        <w:t xml:space="preserve"> </w:t>
      </w:r>
      <w:r w:rsidRPr="00270C2A">
        <w:rPr>
          <w:rFonts w:cs="Arial"/>
          <w:i/>
          <w:szCs w:val="20"/>
        </w:rPr>
        <w:t>a stavebnictví</w:t>
      </w:r>
      <w:r>
        <w:rPr>
          <w:rFonts w:cs="Arial"/>
          <w:szCs w:val="20"/>
        </w:rPr>
        <w:t xml:space="preserve"> 26,2</w:t>
      </w:r>
      <w:r w:rsidRPr="00800D12">
        <w:rPr>
          <w:rFonts w:cs="Arial"/>
          <w:szCs w:val="20"/>
        </w:rPr>
        <w:t> % studentů. Pro ž</w:t>
      </w:r>
      <w:r w:rsidR="00C54F8F">
        <w:rPr>
          <w:rFonts w:cs="Arial"/>
          <w:szCs w:val="20"/>
        </w:rPr>
        <w:t>eny byla z této skupiny program</w:t>
      </w:r>
      <w:r>
        <w:rPr>
          <w:rFonts w:cs="Arial"/>
          <w:szCs w:val="20"/>
        </w:rPr>
        <w:t>ů</w:t>
      </w:r>
      <w:r w:rsidRPr="00800D12">
        <w:rPr>
          <w:rFonts w:cs="Arial"/>
          <w:szCs w:val="20"/>
        </w:rPr>
        <w:t xml:space="preserve"> atraktívní </w:t>
      </w:r>
      <w:r w:rsidRPr="00270C2A">
        <w:rPr>
          <w:rFonts w:cs="Arial"/>
          <w:i/>
          <w:szCs w:val="20"/>
        </w:rPr>
        <w:t>Architektura a</w:t>
      </w:r>
      <w:r w:rsidRPr="00800D12">
        <w:rPr>
          <w:rFonts w:cs="Arial"/>
          <w:szCs w:val="20"/>
        </w:rPr>
        <w:t xml:space="preserve"> </w:t>
      </w:r>
      <w:r w:rsidRPr="00270C2A">
        <w:rPr>
          <w:rFonts w:cs="Arial"/>
          <w:i/>
          <w:szCs w:val="20"/>
        </w:rPr>
        <w:t>stavebnictví,</w:t>
      </w:r>
      <w:r>
        <w:rPr>
          <w:rFonts w:cs="Arial"/>
          <w:szCs w:val="20"/>
        </w:rPr>
        <w:t xml:space="preserve"> které studovalo 5,3</w:t>
      </w:r>
      <w:r w:rsidRPr="00800D12">
        <w:rPr>
          <w:rFonts w:cs="Arial"/>
          <w:szCs w:val="20"/>
        </w:rPr>
        <w:t xml:space="preserve"> tisíc studentek</w:t>
      </w:r>
      <w:r>
        <w:rPr>
          <w:rFonts w:cs="Arial"/>
          <w:szCs w:val="20"/>
        </w:rPr>
        <w:t xml:space="preserve">, tedy 3,3 % ze všech vysokoškolaček. </w:t>
      </w:r>
      <w:r w:rsidRPr="00F12225">
        <w:rPr>
          <w:rFonts w:cs="Arial"/>
          <w:color w:val="000000" w:themeColor="text1"/>
          <w:szCs w:val="20"/>
        </w:rPr>
        <w:t>V roce 2018 úspěšně dokončilo studium technických oborů celk</w:t>
      </w:r>
      <w:r w:rsidR="003659B5" w:rsidRPr="00F12225">
        <w:rPr>
          <w:rFonts w:cs="Arial"/>
          <w:color w:val="000000" w:themeColor="text1"/>
          <w:szCs w:val="20"/>
        </w:rPr>
        <w:t>e</w:t>
      </w:r>
      <w:r w:rsidR="00F12225" w:rsidRPr="00F12225">
        <w:rPr>
          <w:rFonts w:cs="Arial"/>
          <w:color w:val="000000" w:themeColor="text1"/>
          <w:szCs w:val="20"/>
        </w:rPr>
        <w:t>m 11,5 tisíc studentů, z toho třetinu</w:t>
      </w:r>
      <w:r w:rsidRPr="00F12225">
        <w:rPr>
          <w:rFonts w:cs="Arial"/>
          <w:color w:val="000000" w:themeColor="text1"/>
          <w:szCs w:val="20"/>
        </w:rPr>
        <w:t xml:space="preserve"> tvořily ženy</w:t>
      </w:r>
      <w:r w:rsidRPr="00C92D0B">
        <w:rPr>
          <w:rFonts w:cs="Arial"/>
          <w:color w:val="FF0000"/>
          <w:szCs w:val="20"/>
        </w:rPr>
        <w:t>.</w:t>
      </w:r>
      <w:r w:rsidR="00DB11CC">
        <w:rPr>
          <w:rFonts w:cs="Arial"/>
          <w:b/>
          <w:color w:val="943634"/>
          <w:sz w:val="28"/>
          <w:szCs w:val="28"/>
        </w:rPr>
        <w:t xml:space="preserve"> </w:t>
      </w:r>
    </w:p>
    <w:p w:rsidR="00426913" w:rsidRPr="00426913" w:rsidRDefault="002722AE" w:rsidP="00F51A74">
      <w:pPr>
        <w:spacing w:after="200" w:line="276" w:lineRule="auto"/>
        <w:jc w:val="both"/>
        <w:rPr>
          <w:rFonts w:cs="Arial"/>
          <w:szCs w:val="20"/>
        </w:rPr>
      </w:pPr>
      <w:r w:rsidRPr="00270C2A">
        <w:rPr>
          <w:rFonts w:cs="Arial"/>
          <w:i/>
          <w:szCs w:val="20"/>
        </w:rPr>
        <w:t>Umění a humanitní vědy</w:t>
      </w:r>
      <w:r>
        <w:rPr>
          <w:rFonts w:cs="Arial"/>
          <w:szCs w:val="20"/>
        </w:rPr>
        <w:t xml:space="preserve"> v roce 2018 studovalo 28,7</w:t>
      </w:r>
      <w:r w:rsidRPr="00270C2A">
        <w:rPr>
          <w:rFonts w:cs="Arial"/>
          <w:szCs w:val="20"/>
        </w:rPr>
        <w:t xml:space="preserve"> tisíc studentů, z toho převážná vě</w:t>
      </w:r>
      <w:r>
        <w:rPr>
          <w:rFonts w:cs="Arial"/>
          <w:szCs w:val="20"/>
        </w:rPr>
        <w:t xml:space="preserve">tšina byly ženy, </w:t>
      </w:r>
      <w:r w:rsidR="006975DC">
        <w:rPr>
          <w:rFonts w:cs="Arial"/>
          <w:szCs w:val="20"/>
        </w:rPr>
        <w:t xml:space="preserve">a to </w:t>
      </w:r>
      <w:r>
        <w:rPr>
          <w:rFonts w:cs="Arial"/>
          <w:szCs w:val="20"/>
        </w:rPr>
        <w:t>66,1</w:t>
      </w:r>
      <w:r w:rsidRPr="00270C2A">
        <w:rPr>
          <w:rFonts w:cs="Arial"/>
          <w:szCs w:val="20"/>
        </w:rPr>
        <w:t xml:space="preserve"> </w:t>
      </w:r>
      <w:r w:rsidRPr="00270C2A">
        <w:rPr>
          <w:rFonts w:cs="Arial"/>
          <w:i/>
          <w:szCs w:val="20"/>
        </w:rPr>
        <w:t>%. Přírodní vědy, matematiku a statistiku</w:t>
      </w:r>
      <w:r w:rsidRPr="00270C2A">
        <w:rPr>
          <w:rFonts w:cs="Arial"/>
          <w:szCs w:val="20"/>
        </w:rPr>
        <w:t xml:space="preserve"> studovalo na veřejných a soukromých vysokých školách v</w:t>
      </w:r>
      <w:r w:rsidR="009A5F22">
        <w:rPr>
          <w:rFonts w:cs="Arial"/>
          <w:szCs w:val="20"/>
        </w:rPr>
        <w:t xml:space="preserve"> minulém roce </w:t>
      </w:r>
      <w:r>
        <w:rPr>
          <w:rFonts w:cs="Arial"/>
          <w:szCs w:val="20"/>
        </w:rPr>
        <w:t>6,4</w:t>
      </w:r>
      <w:r w:rsidRPr="00270C2A">
        <w:rPr>
          <w:rFonts w:cs="Arial"/>
          <w:szCs w:val="20"/>
        </w:rPr>
        <w:t xml:space="preserve"> % studentů. Více </w:t>
      </w:r>
      <w:r>
        <w:rPr>
          <w:rFonts w:cs="Arial"/>
          <w:szCs w:val="20"/>
        </w:rPr>
        <w:t xml:space="preserve">než polovinu všech studentů </w:t>
      </w:r>
      <w:r w:rsidRPr="00740F52">
        <w:rPr>
          <w:rFonts w:cs="Arial"/>
          <w:i/>
          <w:szCs w:val="20"/>
        </w:rPr>
        <w:t>Přírodních věd, matematiky a statistiky</w:t>
      </w:r>
      <w:r>
        <w:rPr>
          <w:rFonts w:cs="Arial"/>
          <w:szCs w:val="20"/>
        </w:rPr>
        <w:t xml:space="preserve"> tvořily ženy, a to 58,8</w:t>
      </w:r>
      <w:r w:rsidRPr="004E36FD">
        <w:rPr>
          <w:rFonts w:cs="Arial"/>
          <w:szCs w:val="20"/>
        </w:rPr>
        <w:t xml:space="preserve"> %. </w:t>
      </w:r>
    </w:p>
    <w:p w:rsidR="00426913" w:rsidRDefault="00426913" w:rsidP="00F51A74">
      <w:pPr>
        <w:spacing w:line="276" w:lineRule="auto"/>
        <w:jc w:val="both"/>
        <w:rPr>
          <w:rFonts w:cs="Arial"/>
          <w:b/>
          <w:color w:val="943634" w:themeColor="accent2" w:themeShade="BF"/>
          <w:sz w:val="24"/>
        </w:rPr>
      </w:pPr>
    </w:p>
    <w:p w:rsidR="00274284" w:rsidRPr="00DB0E2D" w:rsidRDefault="009E0097" w:rsidP="00F51A74">
      <w:pPr>
        <w:spacing w:line="276" w:lineRule="auto"/>
        <w:jc w:val="both"/>
        <w:rPr>
          <w:rFonts w:cs="Arial"/>
          <w:b/>
          <w:color w:val="943634" w:themeColor="accent2" w:themeShade="BF"/>
          <w:sz w:val="28"/>
          <w:szCs w:val="28"/>
        </w:rPr>
      </w:pPr>
      <w:r w:rsidRPr="00DB0E2D">
        <w:rPr>
          <w:rFonts w:cs="Arial"/>
          <w:b/>
          <w:color w:val="943634" w:themeColor="accent2" w:themeShade="BF"/>
          <w:sz w:val="28"/>
          <w:szCs w:val="28"/>
        </w:rPr>
        <w:lastRenderedPageBreak/>
        <w:t xml:space="preserve">5. </w:t>
      </w:r>
      <w:r w:rsidR="00274284" w:rsidRPr="00DB0E2D">
        <w:rPr>
          <w:rFonts w:cs="Arial"/>
          <w:b/>
          <w:color w:val="943634" w:themeColor="accent2" w:themeShade="BF"/>
          <w:sz w:val="28"/>
          <w:szCs w:val="28"/>
        </w:rPr>
        <w:t>Cizinci na vysokých školách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Každý šestý</w:t>
      </w:r>
      <w:r w:rsidRPr="004E36FD">
        <w:rPr>
          <w:rFonts w:cs="Arial"/>
          <w:szCs w:val="20"/>
        </w:rPr>
        <w:t xml:space="preserve"> stu</w:t>
      </w:r>
      <w:r>
        <w:rPr>
          <w:rFonts w:cs="Arial"/>
          <w:szCs w:val="20"/>
        </w:rPr>
        <w:t>dent vysokých škol je cizinec. C</w:t>
      </w:r>
      <w:r w:rsidRPr="004E36FD">
        <w:rPr>
          <w:rFonts w:cs="Arial"/>
          <w:szCs w:val="20"/>
        </w:rPr>
        <w:t xml:space="preserve">elkem jich na veřejných a soukromých </w:t>
      </w:r>
      <w:r>
        <w:rPr>
          <w:rFonts w:cs="Arial"/>
          <w:szCs w:val="20"/>
        </w:rPr>
        <w:t>vysokých školách v ČR studuje 44</w:t>
      </w:r>
      <w:r w:rsidRPr="004E36FD">
        <w:rPr>
          <w:rFonts w:cs="Arial"/>
          <w:szCs w:val="20"/>
        </w:rPr>
        <w:t>,8 tis. Před 10 lety by</w:t>
      </w:r>
      <w:r>
        <w:rPr>
          <w:rFonts w:cs="Arial"/>
          <w:szCs w:val="20"/>
        </w:rPr>
        <w:t>l přitom cizincem pouze každý 12</w:t>
      </w:r>
      <w:r w:rsidRPr="004E36FD">
        <w:rPr>
          <w:rFonts w:cs="Arial"/>
          <w:szCs w:val="20"/>
        </w:rPr>
        <w:t>. student veřejných a soukromých vysokých škol. Pokud se zaměříme pouze na soukromé školy, zde cizinci tvo</w:t>
      </w:r>
      <w:r>
        <w:rPr>
          <w:rFonts w:cs="Arial"/>
          <w:szCs w:val="20"/>
        </w:rPr>
        <w:t xml:space="preserve">ří téměř pětinu všech studentů (19,6 %). </w:t>
      </w:r>
      <w:r w:rsidRPr="00A53B3E">
        <w:rPr>
          <w:rFonts w:cs="Arial"/>
          <w:szCs w:val="20"/>
        </w:rPr>
        <w:t>Na veř</w:t>
      </w:r>
      <w:r>
        <w:rPr>
          <w:rFonts w:cs="Arial"/>
          <w:szCs w:val="20"/>
        </w:rPr>
        <w:t xml:space="preserve">ejných vysokých školách cizinci tvoří 15% podíl. </w:t>
      </w:r>
    </w:p>
    <w:p w:rsidR="00187450" w:rsidRPr="00187450" w:rsidRDefault="00D467CF" w:rsidP="00F51A74">
      <w:pPr>
        <w:spacing w:line="276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č. 7</w:t>
      </w:r>
      <w:r w:rsidR="00187450" w:rsidRPr="00187450">
        <w:rPr>
          <w:rFonts w:cs="Arial"/>
          <w:b/>
          <w:szCs w:val="20"/>
        </w:rPr>
        <w:t>:</w:t>
      </w:r>
      <w:r w:rsidR="00743DF9">
        <w:rPr>
          <w:rFonts w:cs="Arial"/>
          <w:b/>
          <w:szCs w:val="20"/>
        </w:rPr>
        <w:t xml:space="preserve"> Cizinci na vysokých školách v ČR dle národnosti v roce 2018</w:t>
      </w:r>
    </w:p>
    <w:p w:rsidR="00187450" w:rsidRDefault="008D46BC" w:rsidP="009A7D47">
      <w:pPr>
        <w:spacing w:line="276" w:lineRule="auto"/>
        <w:jc w:val="center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740D8236" wp14:editId="274AFFC2">
            <wp:extent cx="5295900" cy="2428875"/>
            <wp:effectExtent l="0" t="0" r="0" b="9525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950E8" w:rsidRPr="001950E8" w:rsidRDefault="001950E8" w:rsidP="001950E8">
      <w:pPr>
        <w:spacing w:line="276" w:lineRule="auto"/>
        <w:rPr>
          <w:rFonts w:cs="Arial"/>
          <w:sz w:val="16"/>
          <w:szCs w:val="16"/>
        </w:rPr>
      </w:pPr>
      <w:r w:rsidRPr="001950E8">
        <w:rPr>
          <w:rFonts w:cs="Arial"/>
          <w:sz w:val="16"/>
          <w:szCs w:val="16"/>
        </w:rPr>
        <w:t>Zdroj: MŠMT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 w:rsidRPr="005E3863">
        <w:rPr>
          <w:rFonts w:cs="Arial"/>
          <w:szCs w:val="20"/>
        </w:rPr>
        <w:t xml:space="preserve">Většina </w:t>
      </w:r>
      <w:r>
        <w:rPr>
          <w:rFonts w:cs="Arial"/>
          <w:szCs w:val="20"/>
        </w:rPr>
        <w:t>zahraničních studentů</w:t>
      </w:r>
      <w:r w:rsidRPr="005E3863">
        <w:rPr>
          <w:rFonts w:cs="Arial"/>
          <w:szCs w:val="20"/>
        </w:rPr>
        <w:t xml:space="preserve"> navštěvuje veřejné vysoké školy a </w:t>
      </w:r>
      <w:r>
        <w:rPr>
          <w:rFonts w:cs="Arial"/>
          <w:szCs w:val="20"/>
        </w:rPr>
        <w:t>pětina z nich</w:t>
      </w:r>
      <w:r w:rsidRPr="005E3863">
        <w:rPr>
          <w:rFonts w:cs="Arial"/>
          <w:szCs w:val="20"/>
        </w:rPr>
        <w:t xml:space="preserve"> soukromé vysoké školy. </w:t>
      </w:r>
      <w:r w:rsidRPr="008E36A3">
        <w:rPr>
          <w:rFonts w:cs="Arial"/>
          <w:szCs w:val="20"/>
        </w:rPr>
        <w:t>Přestože od roku 2010 u nás dochází k celkovému úbytku vysokoškolských studentů, počet studujících cizinců u nás kontinuálně roste a za posle</w:t>
      </w:r>
      <w:r>
        <w:rPr>
          <w:rFonts w:cs="Arial"/>
          <w:szCs w:val="20"/>
        </w:rPr>
        <w:t xml:space="preserve">dních 10 let se </w:t>
      </w:r>
      <w:r w:rsidR="002260A4">
        <w:rPr>
          <w:rFonts w:cs="Arial"/>
          <w:szCs w:val="20"/>
        </w:rPr>
        <w:t>o polovinu zvýšil</w:t>
      </w:r>
      <w:r w:rsidR="00A24E70">
        <w:rPr>
          <w:rFonts w:cs="Arial"/>
          <w:szCs w:val="20"/>
        </w:rPr>
        <w:t>. Které programy</w:t>
      </w:r>
      <w:r w:rsidRPr="008E36A3">
        <w:rPr>
          <w:rFonts w:cs="Arial"/>
          <w:szCs w:val="20"/>
        </w:rPr>
        <w:t xml:space="preserve"> u nás cizinci studují nejčastěji? </w:t>
      </w:r>
      <w:r w:rsidRPr="005E3863">
        <w:rPr>
          <w:rFonts w:cs="Arial"/>
          <w:szCs w:val="20"/>
        </w:rPr>
        <w:t>Stejně jako</w:t>
      </w:r>
      <w:r>
        <w:rPr>
          <w:rFonts w:cs="Arial"/>
          <w:szCs w:val="20"/>
        </w:rPr>
        <w:t xml:space="preserve"> i pro české,  i pro zahraniční studenty jsou </w:t>
      </w:r>
      <w:r w:rsidR="00187560">
        <w:rPr>
          <w:rFonts w:cs="Arial"/>
          <w:szCs w:val="20"/>
        </w:rPr>
        <w:t>nejatraktivnější program</w:t>
      </w:r>
      <w:r>
        <w:rPr>
          <w:rFonts w:cs="Arial"/>
          <w:szCs w:val="20"/>
        </w:rPr>
        <w:t>y spadající do kategorie</w:t>
      </w:r>
      <w:r w:rsidRPr="005E3863">
        <w:rPr>
          <w:rFonts w:cs="Arial"/>
          <w:szCs w:val="20"/>
        </w:rPr>
        <w:t xml:space="preserve"> Obchod, administrativa a právo,</w:t>
      </w:r>
      <w:r>
        <w:rPr>
          <w:rFonts w:cs="Arial"/>
          <w:szCs w:val="20"/>
        </w:rPr>
        <w:t xml:space="preserve"> který studuje pětina </w:t>
      </w:r>
      <w:r w:rsidRPr="005E3863">
        <w:rPr>
          <w:rFonts w:cs="Arial"/>
          <w:szCs w:val="20"/>
        </w:rPr>
        <w:t>všech cizinců</w:t>
      </w:r>
      <w:r>
        <w:rPr>
          <w:rFonts w:cs="Arial"/>
          <w:szCs w:val="20"/>
        </w:rPr>
        <w:t xml:space="preserve"> (20,4 %, 9 157</w:t>
      </w:r>
      <w:r w:rsidRPr="005E3863">
        <w:rPr>
          <w:rFonts w:cs="Arial"/>
          <w:szCs w:val="20"/>
        </w:rPr>
        <w:t>)</w:t>
      </w:r>
      <w:r w:rsidR="00187560">
        <w:rPr>
          <w:rFonts w:cs="Arial"/>
          <w:szCs w:val="20"/>
        </w:rPr>
        <w:t>. Z této skupiny</w:t>
      </w:r>
      <w:r w:rsidRPr="005E3863">
        <w:rPr>
          <w:rFonts w:cs="Arial"/>
          <w:szCs w:val="20"/>
        </w:rPr>
        <w:t xml:space="preserve"> za nejatraktivnější považují cizinci Manage</w:t>
      </w:r>
      <w:r>
        <w:rPr>
          <w:rFonts w:cs="Arial"/>
          <w:szCs w:val="20"/>
        </w:rPr>
        <w:t>ment a správu, které studuje 37,1</w:t>
      </w:r>
      <w:r w:rsidR="009A5F2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% (3 396) z nich</w:t>
      </w:r>
      <w:r w:rsidRPr="005E3863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</w:p>
    <w:p w:rsidR="006017B8" w:rsidRDefault="002722AE" w:rsidP="006017B8">
      <w:pPr>
        <w:spacing w:line="276" w:lineRule="auto"/>
        <w:jc w:val="both"/>
        <w:rPr>
          <w:rFonts w:cs="Arial"/>
          <w:szCs w:val="20"/>
          <w:lang w:val="en-US"/>
        </w:rPr>
      </w:pPr>
      <w:r w:rsidRPr="008E36A3">
        <w:rPr>
          <w:rFonts w:cs="Arial"/>
          <w:szCs w:val="20"/>
        </w:rPr>
        <w:t xml:space="preserve">Druhou nejatraktivnější oblastí je pro cizí studenty </w:t>
      </w:r>
      <w:r>
        <w:rPr>
          <w:rFonts w:cs="Arial"/>
          <w:szCs w:val="20"/>
        </w:rPr>
        <w:t>Zdravotní a sociální péče (18,1</w:t>
      </w:r>
      <w:r w:rsidRPr="008E36A3">
        <w:rPr>
          <w:rFonts w:cs="Arial"/>
          <w:szCs w:val="20"/>
        </w:rPr>
        <w:t xml:space="preserve"> </w:t>
      </w:r>
      <w:r>
        <w:rPr>
          <w:rFonts w:cs="Arial"/>
          <w:szCs w:val="20"/>
          <w:lang w:val="en-US"/>
        </w:rPr>
        <w:t>%, 8 124</w:t>
      </w:r>
      <w:r w:rsidRPr="008E36A3">
        <w:rPr>
          <w:rFonts w:cs="Arial"/>
          <w:szCs w:val="20"/>
          <w:lang w:val="en-US"/>
        </w:rPr>
        <w:t>)</w:t>
      </w:r>
      <w:r w:rsidRPr="008E36A3">
        <w:rPr>
          <w:rFonts w:cs="Arial"/>
          <w:szCs w:val="20"/>
        </w:rPr>
        <w:t>, ve které</w:t>
      </w:r>
      <w:r w:rsidR="00187560">
        <w:rPr>
          <w:rFonts w:cs="Arial"/>
          <w:szCs w:val="20"/>
        </w:rPr>
        <w:t xml:space="preserve"> jednoznačně dominuje zájem o programy</w:t>
      </w:r>
      <w:r w:rsidRPr="008E36A3">
        <w:rPr>
          <w:rFonts w:cs="Arial"/>
          <w:szCs w:val="20"/>
        </w:rPr>
        <w:t xml:space="preserve"> Humánní medicíny, tj. lékař</w:t>
      </w:r>
      <w:r>
        <w:rPr>
          <w:rFonts w:cs="Arial"/>
          <w:szCs w:val="20"/>
        </w:rPr>
        <w:t xml:space="preserve">ství, </w:t>
      </w:r>
      <w:r w:rsidRPr="00EA27B8">
        <w:rPr>
          <w:rFonts w:cs="Arial"/>
          <w:szCs w:val="20"/>
        </w:rPr>
        <w:t>které studuje každý osmý cizí student u nás</w:t>
      </w:r>
      <w:r w:rsidRPr="008E36A3">
        <w:rPr>
          <w:rFonts w:cs="Arial"/>
          <w:szCs w:val="20"/>
        </w:rPr>
        <w:t xml:space="preserve">. </w:t>
      </w:r>
      <w:r w:rsidRPr="00FD443C">
        <w:rPr>
          <w:rFonts w:cs="Arial"/>
          <w:szCs w:val="20"/>
        </w:rPr>
        <w:t>Třetí nejnavštěvovanější oblast oborů studentů cizinců</w:t>
      </w:r>
      <w:r w:rsidR="00201322">
        <w:rPr>
          <w:rFonts w:cs="Arial"/>
          <w:szCs w:val="20"/>
        </w:rPr>
        <w:t xml:space="preserve"> představuje Technika, výroba a </w:t>
      </w:r>
      <w:r w:rsidRPr="00FD443C">
        <w:rPr>
          <w:rFonts w:cs="Arial"/>
          <w:szCs w:val="20"/>
        </w:rPr>
        <w:t xml:space="preserve">stavebnictví (14,2 % </w:t>
      </w:r>
      <w:r w:rsidR="00201322">
        <w:rPr>
          <w:rFonts w:cs="Arial"/>
          <w:szCs w:val="20"/>
        </w:rPr>
        <w:t xml:space="preserve">ze studentů </w:t>
      </w:r>
      <w:r w:rsidRPr="00FD443C">
        <w:rPr>
          <w:rFonts w:cs="Arial"/>
          <w:szCs w:val="20"/>
        </w:rPr>
        <w:t>cizinců), ve kterém převažují obory inženýrství a strojírenství. Dalšími</w:t>
      </w:r>
      <w:r w:rsidR="00187560">
        <w:rPr>
          <w:rFonts w:cs="Arial"/>
          <w:szCs w:val="20"/>
        </w:rPr>
        <w:t xml:space="preserve"> frekventovanými skupinami programů</w:t>
      </w:r>
      <w:r w:rsidRPr="00FD443C">
        <w:rPr>
          <w:rFonts w:cs="Arial"/>
          <w:szCs w:val="20"/>
        </w:rPr>
        <w:t>, které navštěvuje shodně</w:t>
      </w:r>
      <w:r w:rsidRPr="008E36A3">
        <w:rPr>
          <w:rFonts w:cs="Arial"/>
          <w:szCs w:val="20"/>
        </w:rPr>
        <w:t xml:space="preserve"> přibližně desetina </w:t>
      </w:r>
      <w:r w:rsidR="00201322">
        <w:rPr>
          <w:rFonts w:cs="Arial"/>
          <w:szCs w:val="20"/>
        </w:rPr>
        <w:t xml:space="preserve">cizích </w:t>
      </w:r>
      <w:r w:rsidRPr="008E36A3">
        <w:rPr>
          <w:rFonts w:cs="Arial"/>
          <w:szCs w:val="20"/>
        </w:rPr>
        <w:t>studentů, jsou</w:t>
      </w:r>
      <w:r>
        <w:rPr>
          <w:rFonts w:cs="Arial"/>
          <w:szCs w:val="20"/>
        </w:rPr>
        <w:t xml:space="preserve"> oblasti Společenských věd (10,7</w:t>
      </w:r>
      <w:r w:rsidRPr="008E36A3">
        <w:rPr>
          <w:rFonts w:cs="Arial"/>
          <w:szCs w:val="20"/>
        </w:rPr>
        <w:t xml:space="preserve"> </w:t>
      </w:r>
      <w:r>
        <w:rPr>
          <w:rFonts w:cs="Arial"/>
          <w:szCs w:val="20"/>
          <w:lang w:val="en-US"/>
        </w:rPr>
        <w:t>%, 4 816</w:t>
      </w:r>
      <w:r w:rsidRPr="008E36A3">
        <w:rPr>
          <w:rFonts w:cs="Arial"/>
          <w:szCs w:val="20"/>
          <w:lang w:val="en-US"/>
        </w:rPr>
        <w:t xml:space="preserve">) a </w:t>
      </w:r>
      <w:r>
        <w:rPr>
          <w:rFonts w:cs="Arial"/>
          <w:szCs w:val="20"/>
          <w:lang w:val="en-US"/>
        </w:rPr>
        <w:t>U</w:t>
      </w:r>
      <w:r w:rsidRPr="008E36A3">
        <w:rPr>
          <w:rFonts w:cs="Arial"/>
          <w:szCs w:val="20"/>
        </w:rPr>
        <w:t xml:space="preserve">mění a humanitních věd </w:t>
      </w:r>
      <w:r>
        <w:rPr>
          <w:rFonts w:cs="Arial"/>
          <w:szCs w:val="20"/>
          <w:lang w:val="en-US"/>
        </w:rPr>
        <w:t xml:space="preserve">(9,2 %, 4 104). O </w:t>
      </w:r>
      <w:r w:rsidRPr="0076168D">
        <w:rPr>
          <w:rFonts w:cs="Arial"/>
          <w:szCs w:val="20"/>
        </w:rPr>
        <w:t>které</w:t>
      </w:r>
      <w:r w:rsidR="00187560">
        <w:rPr>
          <w:rFonts w:cs="Arial"/>
          <w:szCs w:val="20"/>
        </w:rPr>
        <w:t xml:space="preserve"> programy</w:t>
      </w:r>
      <w:r w:rsidRPr="008E36A3">
        <w:rPr>
          <w:rFonts w:cs="Arial"/>
          <w:szCs w:val="20"/>
        </w:rPr>
        <w:t xml:space="preserve"> projevují zahraniční studenti naopak nejmenší zájem? Jsou to Vzdělávání a </w:t>
      </w:r>
      <w:r>
        <w:rPr>
          <w:rFonts w:cs="Arial"/>
          <w:szCs w:val="20"/>
        </w:rPr>
        <w:t>výchova, které zaujaly pouze 766</w:t>
      </w:r>
      <w:r w:rsidRPr="008E36A3">
        <w:rPr>
          <w:rFonts w:cs="Arial"/>
          <w:szCs w:val="20"/>
        </w:rPr>
        <w:t>, tj. 1,7</w:t>
      </w:r>
      <w:r w:rsidRPr="008E36A3">
        <w:rPr>
          <w:rFonts w:cs="Arial"/>
          <w:szCs w:val="20"/>
          <w:lang w:val="en-US"/>
        </w:rPr>
        <w:t xml:space="preserve"> % </w:t>
      </w:r>
      <w:r w:rsidRPr="0076168D">
        <w:rPr>
          <w:rFonts w:cs="Arial"/>
          <w:szCs w:val="20"/>
        </w:rPr>
        <w:t>cizích</w:t>
      </w:r>
      <w:r w:rsidRPr="008E36A3">
        <w:rPr>
          <w:rFonts w:cs="Arial"/>
          <w:szCs w:val="20"/>
          <w:lang w:val="en-US"/>
        </w:rPr>
        <w:t xml:space="preserve"> </w:t>
      </w:r>
      <w:r w:rsidRPr="0076168D">
        <w:rPr>
          <w:rFonts w:cs="Arial"/>
          <w:szCs w:val="20"/>
        </w:rPr>
        <w:t>studentů</w:t>
      </w:r>
      <w:r w:rsidRPr="008E36A3">
        <w:rPr>
          <w:rFonts w:cs="Arial"/>
          <w:szCs w:val="20"/>
          <w:lang w:val="en-US"/>
        </w:rPr>
        <w:t>.</w:t>
      </w: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950E8" w:rsidRDefault="001950E8" w:rsidP="006A1C32">
      <w:pPr>
        <w:spacing w:line="276" w:lineRule="auto"/>
        <w:rPr>
          <w:rFonts w:cs="Arial"/>
          <w:b/>
          <w:szCs w:val="20"/>
        </w:rPr>
      </w:pPr>
    </w:p>
    <w:p w:rsidR="00187450" w:rsidRDefault="00297B3D" w:rsidP="006A1C32">
      <w:pPr>
        <w:spacing w:line="276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Graf č. 8: </w:t>
      </w:r>
      <w:r w:rsidR="006A1C32" w:rsidRPr="006A1C32">
        <w:rPr>
          <w:rFonts w:cs="Arial"/>
          <w:b/>
          <w:szCs w:val="20"/>
        </w:rPr>
        <w:t>Cizinci studující na vysokých školách v ČR (v tis.) a jejich podíl na celkovém počtu studentů (v %) podle zřizovatele školy</w:t>
      </w:r>
    </w:p>
    <w:p w:rsidR="006A1C32" w:rsidRDefault="006A1C32" w:rsidP="006A1C32">
      <w:pPr>
        <w:spacing w:line="276" w:lineRule="auto"/>
        <w:jc w:val="center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027082E1" wp14:editId="54949E24">
            <wp:extent cx="5791200" cy="2771775"/>
            <wp:effectExtent l="0" t="0" r="0" b="952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507BF" w:rsidRPr="001507BF" w:rsidRDefault="001507BF" w:rsidP="00187450">
      <w:pPr>
        <w:spacing w:line="276" w:lineRule="auto"/>
        <w:rPr>
          <w:rFonts w:cs="Arial"/>
          <w:sz w:val="16"/>
          <w:szCs w:val="16"/>
        </w:rPr>
      </w:pPr>
      <w:r w:rsidRPr="001507BF">
        <w:rPr>
          <w:rFonts w:cs="Arial"/>
          <w:sz w:val="16"/>
          <w:szCs w:val="16"/>
        </w:rPr>
        <w:t>Zdroj: MŠMT</w:t>
      </w:r>
    </w:p>
    <w:p w:rsidR="006017B8" w:rsidRPr="00DB0E2D" w:rsidRDefault="009E0097" w:rsidP="006017B8">
      <w:pPr>
        <w:spacing w:line="276" w:lineRule="auto"/>
        <w:jc w:val="both"/>
        <w:rPr>
          <w:rFonts w:cs="Arial"/>
          <w:b/>
          <w:color w:val="943634" w:themeColor="accent2" w:themeShade="BF"/>
          <w:sz w:val="28"/>
          <w:szCs w:val="28"/>
        </w:rPr>
      </w:pPr>
      <w:r w:rsidRPr="00DB0E2D">
        <w:rPr>
          <w:rFonts w:cs="Arial"/>
          <w:b/>
          <w:color w:val="943634" w:themeColor="accent2" w:themeShade="BF"/>
          <w:sz w:val="28"/>
          <w:szCs w:val="28"/>
        </w:rPr>
        <w:t xml:space="preserve">6. </w:t>
      </w:r>
      <w:r w:rsidR="006017B8" w:rsidRPr="00DB0E2D">
        <w:rPr>
          <w:rFonts w:cs="Arial"/>
          <w:b/>
          <w:color w:val="943634" w:themeColor="accent2" w:themeShade="BF"/>
          <w:sz w:val="28"/>
          <w:szCs w:val="28"/>
        </w:rPr>
        <w:t xml:space="preserve">Doktorandi 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 roce 2018</w:t>
      </w:r>
      <w:r w:rsidRPr="004E497D">
        <w:rPr>
          <w:rFonts w:cs="Arial"/>
          <w:szCs w:val="20"/>
        </w:rPr>
        <w:t xml:space="preserve"> činili</w:t>
      </w:r>
      <w:r>
        <w:rPr>
          <w:rFonts w:cs="Arial"/>
          <w:szCs w:val="20"/>
        </w:rPr>
        <w:t xml:space="preserve"> studenti doktorského studia 7,4 </w:t>
      </w:r>
      <w:r w:rsidRPr="004E497D">
        <w:rPr>
          <w:rFonts w:cs="Arial"/>
          <w:szCs w:val="20"/>
        </w:rPr>
        <w:t xml:space="preserve">% z celkového počtu studentů ve veřejných a soukromých </w:t>
      </w:r>
      <w:r>
        <w:rPr>
          <w:rFonts w:cs="Arial"/>
          <w:szCs w:val="20"/>
        </w:rPr>
        <w:t>vysokých školách. Za posledních 10 let jich 3 tisíc</w:t>
      </w:r>
      <w:r w:rsidRPr="004E497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ubylo</w:t>
      </w:r>
      <w:r w:rsidRPr="004E497D">
        <w:rPr>
          <w:rFonts w:cs="Arial"/>
          <w:szCs w:val="20"/>
        </w:rPr>
        <w:t>. Počet st</w:t>
      </w:r>
      <w:r>
        <w:rPr>
          <w:rFonts w:cs="Arial"/>
          <w:szCs w:val="20"/>
        </w:rPr>
        <w:t xml:space="preserve">udentů v doktorském studiu byl </w:t>
      </w:r>
      <w:r w:rsidRPr="004E497D">
        <w:rPr>
          <w:rFonts w:cs="Arial"/>
          <w:szCs w:val="20"/>
        </w:rPr>
        <w:t>nejvyšší</w:t>
      </w:r>
      <w:r>
        <w:rPr>
          <w:rFonts w:cs="Arial"/>
          <w:szCs w:val="20"/>
        </w:rPr>
        <w:t xml:space="preserve"> v </w:t>
      </w:r>
      <w:r w:rsidRPr="004E497D">
        <w:rPr>
          <w:rFonts w:cs="Arial"/>
          <w:szCs w:val="20"/>
        </w:rPr>
        <w:t>roce 2010</w:t>
      </w:r>
      <w:r>
        <w:rPr>
          <w:rFonts w:cs="Arial"/>
          <w:szCs w:val="20"/>
        </w:rPr>
        <w:t xml:space="preserve"> a </w:t>
      </w:r>
      <w:r w:rsidRPr="004E497D">
        <w:rPr>
          <w:rFonts w:cs="Arial"/>
          <w:szCs w:val="20"/>
        </w:rPr>
        <w:t xml:space="preserve">vyšplhal </w:t>
      </w:r>
      <w:r>
        <w:rPr>
          <w:rFonts w:cs="Arial"/>
          <w:szCs w:val="20"/>
        </w:rPr>
        <w:t xml:space="preserve">se </w:t>
      </w:r>
      <w:r w:rsidR="004D3824">
        <w:rPr>
          <w:rFonts w:cs="Arial"/>
          <w:szCs w:val="20"/>
        </w:rPr>
        <w:t>téměř na 26 tisíc</w:t>
      </w:r>
      <w:r w:rsidRPr="004E497D">
        <w:rPr>
          <w:rFonts w:cs="Arial"/>
          <w:szCs w:val="20"/>
        </w:rPr>
        <w:t xml:space="preserve"> studentů. Od t</w:t>
      </w:r>
      <w:r>
        <w:rPr>
          <w:rFonts w:cs="Arial"/>
          <w:szCs w:val="20"/>
        </w:rPr>
        <w:t>é doby jejich počet klesl téměř o pětinu</w:t>
      </w:r>
      <w:r w:rsidRPr="004E497D">
        <w:rPr>
          <w:rFonts w:cs="Arial"/>
          <w:szCs w:val="20"/>
        </w:rPr>
        <w:t xml:space="preserve">. 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 w:rsidRPr="004E497D">
        <w:rPr>
          <w:rFonts w:cs="Arial"/>
          <w:szCs w:val="20"/>
        </w:rPr>
        <w:t xml:space="preserve">Více mužů než žen se snaží </w:t>
      </w:r>
      <w:r>
        <w:rPr>
          <w:rFonts w:cs="Arial"/>
          <w:szCs w:val="20"/>
        </w:rPr>
        <w:t>o</w:t>
      </w:r>
      <w:r w:rsidRPr="004E497D">
        <w:rPr>
          <w:rFonts w:cs="Arial"/>
          <w:szCs w:val="20"/>
        </w:rPr>
        <w:t xml:space="preserve"> doktorský titul, ale rozdíly </w:t>
      </w:r>
      <w:r>
        <w:rPr>
          <w:rFonts w:cs="Arial"/>
          <w:szCs w:val="20"/>
        </w:rPr>
        <w:t>v jejich počtech nejsou velké. V roce 2018 byla</w:t>
      </w:r>
      <w:r w:rsidRPr="004E497D">
        <w:rPr>
          <w:rFonts w:cs="Arial"/>
          <w:szCs w:val="20"/>
        </w:rPr>
        <w:t xml:space="preserve"> více než polovina všech doktorských studentů mužů, </w:t>
      </w:r>
      <w:r w:rsidR="00A405AE">
        <w:rPr>
          <w:rFonts w:cs="Arial"/>
          <w:szCs w:val="20"/>
        </w:rPr>
        <w:t>kteří</w:t>
      </w:r>
      <w:r>
        <w:rPr>
          <w:rFonts w:cs="Arial"/>
          <w:szCs w:val="20"/>
        </w:rPr>
        <w:t xml:space="preserve"> se podíleli </w:t>
      </w:r>
      <w:r w:rsidRPr="004E497D">
        <w:rPr>
          <w:rFonts w:cs="Arial"/>
          <w:szCs w:val="20"/>
        </w:rPr>
        <w:t>55</w:t>
      </w:r>
      <w:r>
        <w:rPr>
          <w:rFonts w:cs="Arial"/>
          <w:szCs w:val="20"/>
        </w:rPr>
        <w:t xml:space="preserve">,4 % a 44,6 </w:t>
      </w:r>
      <w:r w:rsidRPr="004E497D">
        <w:rPr>
          <w:rFonts w:cs="Arial"/>
          <w:szCs w:val="20"/>
        </w:rPr>
        <w:t>% žen.</w:t>
      </w:r>
      <w:r>
        <w:rPr>
          <w:rFonts w:cs="Arial"/>
          <w:szCs w:val="20"/>
        </w:rPr>
        <w:t xml:space="preserve"> V roce 2018 doktorské st</w:t>
      </w:r>
      <w:r w:rsidR="008B6DAE">
        <w:rPr>
          <w:rFonts w:cs="Arial"/>
          <w:szCs w:val="20"/>
        </w:rPr>
        <w:t>udium absolvovalo 2 362 studentů</w:t>
      </w:r>
      <w:r>
        <w:rPr>
          <w:rFonts w:cs="Arial"/>
          <w:szCs w:val="20"/>
        </w:rPr>
        <w:t xml:space="preserve">, 55,9 % mužů a 44,1 % žen. </w:t>
      </w:r>
    </w:p>
    <w:p w:rsidR="002722AE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M</w:t>
      </w:r>
      <w:r w:rsidRPr="004E497D">
        <w:rPr>
          <w:rFonts w:cs="Arial"/>
          <w:szCs w:val="20"/>
        </w:rPr>
        <w:t>ezi studenty doktorského studia dlouhodobě převažuje zájem o studijní programy z kategorie Přírod</w:t>
      </w:r>
      <w:r>
        <w:rPr>
          <w:rFonts w:cs="Arial"/>
          <w:szCs w:val="20"/>
        </w:rPr>
        <w:t>ní vědy, matematika a statistika (4 260 v roce 2018) a Technika</w:t>
      </w:r>
      <w:r w:rsidRPr="004E497D">
        <w:rPr>
          <w:rFonts w:cs="Arial"/>
          <w:szCs w:val="20"/>
        </w:rPr>
        <w:t>, vý</w:t>
      </w:r>
      <w:r>
        <w:rPr>
          <w:rFonts w:cs="Arial"/>
          <w:szCs w:val="20"/>
        </w:rPr>
        <w:t>roba a stavebnictví (5 090 v roce 2018</w:t>
      </w:r>
      <w:r w:rsidRPr="004E497D">
        <w:rPr>
          <w:rFonts w:cs="Arial"/>
          <w:szCs w:val="20"/>
        </w:rPr>
        <w:t xml:space="preserve">). </w:t>
      </w:r>
      <w:r>
        <w:rPr>
          <w:rFonts w:cs="Arial"/>
          <w:szCs w:val="20"/>
        </w:rPr>
        <w:t>V prvním ze zmíněnýc</w:t>
      </w:r>
      <w:r w:rsidR="00843DC1">
        <w:rPr>
          <w:rFonts w:cs="Arial"/>
          <w:szCs w:val="20"/>
        </w:rPr>
        <w:t>h programů</w:t>
      </w:r>
      <w:r>
        <w:rPr>
          <w:rFonts w:cs="Arial"/>
          <w:szCs w:val="20"/>
        </w:rPr>
        <w:t xml:space="preserve"> je poměř pohlaví téměř vyrovnaný, zatímco</w:t>
      </w:r>
      <w:r w:rsidRPr="004A0646">
        <w:rPr>
          <w:rFonts w:cs="Arial"/>
          <w:szCs w:val="20"/>
        </w:rPr>
        <w:t xml:space="preserve"> </w:t>
      </w:r>
      <w:r w:rsidR="003C4516">
        <w:rPr>
          <w:rFonts w:cs="Arial"/>
          <w:szCs w:val="20"/>
        </w:rPr>
        <w:t>v technických programech</w:t>
      </w:r>
      <w:r>
        <w:rPr>
          <w:rFonts w:cs="Arial"/>
          <w:szCs w:val="20"/>
        </w:rPr>
        <w:t xml:space="preserve"> převažují muži (70,9 </w:t>
      </w:r>
      <w:r w:rsidRPr="004E497D">
        <w:rPr>
          <w:rFonts w:cs="Arial"/>
          <w:szCs w:val="20"/>
        </w:rPr>
        <w:t>%). Z nabídky oborů technických věd bylo v roce</w:t>
      </w:r>
      <w:r>
        <w:rPr>
          <w:rFonts w:cs="Arial"/>
          <w:szCs w:val="20"/>
        </w:rPr>
        <w:t xml:space="preserve"> 2018 pro doktorandy nejpopulárnější I</w:t>
      </w:r>
      <w:r w:rsidRPr="004E497D">
        <w:rPr>
          <w:rFonts w:cs="Arial"/>
          <w:szCs w:val="20"/>
        </w:rPr>
        <w:t>nženýrství a strojír</w:t>
      </w:r>
      <w:r w:rsidR="00A405AE">
        <w:rPr>
          <w:rFonts w:cs="Arial"/>
          <w:szCs w:val="20"/>
        </w:rPr>
        <w:t>enství, jehož</w:t>
      </w:r>
      <w:r>
        <w:rPr>
          <w:rFonts w:cs="Arial"/>
          <w:szCs w:val="20"/>
        </w:rPr>
        <w:t xml:space="preserve"> studiu se věnovalo 52,9 </w:t>
      </w:r>
      <w:r w:rsidRPr="004E497D">
        <w:rPr>
          <w:rFonts w:cs="Arial"/>
          <w:szCs w:val="20"/>
        </w:rPr>
        <w:t>%</w:t>
      </w:r>
      <w:r>
        <w:rPr>
          <w:rFonts w:cs="Arial"/>
          <w:szCs w:val="20"/>
        </w:rPr>
        <w:t xml:space="preserve"> všech studentů technických věd</w:t>
      </w:r>
      <w:r w:rsidRPr="004E497D">
        <w:rPr>
          <w:rFonts w:cs="Arial"/>
          <w:szCs w:val="20"/>
        </w:rPr>
        <w:t xml:space="preserve">. </w:t>
      </w:r>
    </w:p>
    <w:p w:rsidR="00A405AE" w:rsidRDefault="002722AE" w:rsidP="00F51A74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Doktorandky v roce 2018</w:t>
      </w:r>
      <w:r w:rsidRPr="004E497D">
        <w:rPr>
          <w:rFonts w:cs="Arial"/>
          <w:szCs w:val="20"/>
        </w:rPr>
        <w:t xml:space="preserve"> upřednostňovali Přírodní věd</w:t>
      </w:r>
      <w:r>
        <w:rPr>
          <w:rFonts w:cs="Arial"/>
          <w:szCs w:val="20"/>
        </w:rPr>
        <w:t>y, matematiku a statistiku (2</w:t>
      </w:r>
      <w:r w:rsidR="00843DC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404</w:t>
      </w:r>
      <w:r w:rsidRPr="004E497D">
        <w:rPr>
          <w:rFonts w:cs="Arial"/>
          <w:szCs w:val="20"/>
        </w:rPr>
        <w:t>) a U</w:t>
      </w:r>
      <w:r>
        <w:rPr>
          <w:rFonts w:cs="Arial"/>
          <w:szCs w:val="20"/>
        </w:rPr>
        <w:t xml:space="preserve">mění a humanitní vědy (1612). </w:t>
      </w:r>
      <w:r w:rsidRPr="004E497D">
        <w:rPr>
          <w:rFonts w:cs="Arial"/>
          <w:szCs w:val="20"/>
        </w:rPr>
        <w:t>Velmi malý počet doktora</w:t>
      </w:r>
      <w:r>
        <w:rPr>
          <w:rFonts w:cs="Arial"/>
          <w:szCs w:val="20"/>
        </w:rPr>
        <w:t>ndů studuje ICT, pouze 3,5 % (749) a z toho jen 113</w:t>
      </w:r>
      <w:r w:rsidRPr="004E497D">
        <w:rPr>
          <w:rFonts w:cs="Arial"/>
          <w:szCs w:val="20"/>
        </w:rPr>
        <w:t xml:space="preserve"> žen. </w:t>
      </w:r>
      <w:r>
        <w:rPr>
          <w:rFonts w:cs="Arial"/>
          <w:szCs w:val="20"/>
        </w:rPr>
        <w:t>Nejméně doktorandů studovalo obor Služby (584</w:t>
      </w:r>
      <w:r w:rsidRPr="004E497D">
        <w:rPr>
          <w:rFonts w:cs="Arial"/>
          <w:szCs w:val="20"/>
        </w:rPr>
        <w:t xml:space="preserve">). </w:t>
      </w:r>
    </w:p>
    <w:p w:rsidR="002722AE" w:rsidRPr="004E497D" w:rsidRDefault="002722AE" w:rsidP="00F51A74">
      <w:pPr>
        <w:spacing w:line="276" w:lineRule="auto"/>
        <w:jc w:val="both"/>
        <w:rPr>
          <w:rFonts w:cs="Arial"/>
          <w:szCs w:val="20"/>
        </w:rPr>
      </w:pPr>
      <w:r w:rsidRPr="004E497D">
        <w:rPr>
          <w:rFonts w:cs="Arial"/>
          <w:szCs w:val="20"/>
        </w:rPr>
        <w:t>Stejně jako čeští studenti doktorského studia mají</w:t>
      </w:r>
      <w:r>
        <w:rPr>
          <w:rFonts w:cs="Arial"/>
          <w:szCs w:val="20"/>
        </w:rPr>
        <w:t xml:space="preserve"> i</w:t>
      </w:r>
      <w:r w:rsidRPr="004E497D">
        <w:rPr>
          <w:rFonts w:cs="Arial"/>
          <w:szCs w:val="20"/>
        </w:rPr>
        <w:t xml:space="preserve"> zahraniční studenti také největší zájem o </w:t>
      </w:r>
      <w:r>
        <w:rPr>
          <w:rFonts w:cs="Arial"/>
          <w:szCs w:val="20"/>
        </w:rPr>
        <w:t>obory</w:t>
      </w:r>
      <w:r w:rsidRPr="004E497D">
        <w:rPr>
          <w:rFonts w:cs="Arial"/>
          <w:szCs w:val="20"/>
        </w:rPr>
        <w:t xml:space="preserve"> přírodních věd, matematiky a statistiky</w:t>
      </w:r>
      <w:r>
        <w:rPr>
          <w:rFonts w:cs="Arial"/>
          <w:szCs w:val="20"/>
        </w:rPr>
        <w:t>, k</w:t>
      </w:r>
      <w:r w:rsidR="00A405AE">
        <w:rPr>
          <w:rFonts w:cs="Arial"/>
          <w:szCs w:val="20"/>
        </w:rPr>
        <w:t>de studuje 27,2 % všech doktorandů</w:t>
      </w:r>
      <w:r>
        <w:rPr>
          <w:rFonts w:cs="Arial"/>
          <w:szCs w:val="20"/>
        </w:rPr>
        <w:t xml:space="preserve"> – cizinců. Počet doktorandů – cizinců kontinuálně roste a za posledníc</w:t>
      </w:r>
      <w:r w:rsidR="00A405AE">
        <w:rPr>
          <w:rFonts w:cs="Arial"/>
          <w:szCs w:val="20"/>
        </w:rPr>
        <w:t>h 10 roků se zvýšil o 45 % na 4 346 studentů.</w:t>
      </w:r>
      <w:r>
        <w:rPr>
          <w:rFonts w:cs="Arial"/>
          <w:szCs w:val="20"/>
        </w:rPr>
        <w:t xml:space="preserve"> </w:t>
      </w:r>
    </w:p>
    <w:p w:rsidR="001950E8" w:rsidRDefault="001950E8" w:rsidP="00F51A74">
      <w:pPr>
        <w:spacing w:line="276" w:lineRule="auto"/>
        <w:jc w:val="both"/>
        <w:rPr>
          <w:b/>
          <w:color w:val="943634" w:themeColor="accent2" w:themeShade="BF"/>
          <w:sz w:val="28"/>
          <w:szCs w:val="28"/>
        </w:rPr>
      </w:pPr>
    </w:p>
    <w:p w:rsidR="001950E8" w:rsidRDefault="001950E8" w:rsidP="00F51A74">
      <w:pPr>
        <w:spacing w:line="276" w:lineRule="auto"/>
        <w:jc w:val="both"/>
        <w:rPr>
          <w:b/>
          <w:color w:val="943634" w:themeColor="accent2" w:themeShade="BF"/>
          <w:sz w:val="28"/>
          <w:szCs w:val="28"/>
        </w:rPr>
      </w:pPr>
    </w:p>
    <w:p w:rsidR="001950E8" w:rsidRDefault="001950E8" w:rsidP="00F51A74">
      <w:pPr>
        <w:spacing w:line="276" w:lineRule="auto"/>
        <w:jc w:val="both"/>
        <w:rPr>
          <w:b/>
          <w:color w:val="943634" w:themeColor="accent2" w:themeShade="BF"/>
          <w:sz w:val="28"/>
          <w:szCs w:val="28"/>
        </w:rPr>
      </w:pPr>
    </w:p>
    <w:p w:rsidR="002722AE" w:rsidRPr="00DB0E2D" w:rsidRDefault="009E0097" w:rsidP="00F51A74">
      <w:pPr>
        <w:spacing w:line="276" w:lineRule="auto"/>
        <w:jc w:val="both"/>
        <w:rPr>
          <w:b/>
          <w:color w:val="943634" w:themeColor="accent2" w:themeShade="BF"/>
          <w:sz w:val="28"/>
          <w:szCs w:val="28"/>
        </w:rPr>
      </w:pPr>
      <w:r w:rsidRPr="00DB0E2D">
        <w:rPr>
          <w:b/>
          <w:color w:val="943634" w:themeColor="accent2" w:themeShade="BF"/>
          <w:sz w:val="28"/>
          <w:szCs w:val="28"/>
        </w:rPr>
        <w:lastRenderedPageBreak/>
        <w:t xml:space="preserve">7. </w:t>
      </w:r>
      <w:r w:rsidR="002722AE" w:rsidRPr="00DB0E2D">
        <w:rPr>
          <w:b/>
          <w:color w:val="943634" w:themeColor="accent2" w:themeShade="BF"/>
          <w:sz w:val="28"/>
          <w:szCs w:val="28"/>
        </w:rPr>
        <w:t>Absolventi</w:t>
      </w:r>
    </w:p>
    <w:p w:rsidR="001950E8" w:rsidRPr="0007757D" w:rsidRDefault="002722AE" w:rsidP="00F51A74">
      <w:pPr>
        <w:spacing w:line="276" w:lineRule="auto"/>
        <w:jc w:val="both"/>
      </w:pPr>
      <w:r>
        <w:t>Za absolventa vysoké školy je považován student, který úspěšně ukončil studium v bakalářském, magisterském nebo doktorsk</w:t>
      </w:r>
      <w:r w:rsidR="00A405AE">
        <w:t>ém studijním programu. V</w:t>
      </w:r>
      <w:r>
        <w:t xml:space="preserve"> roce </w:t>
      </w:r>
      <w:r w:rsidR="00A405AE">
        <w:t xml:space="preserve">2018 </w:t>
      </w:r>
      <w:r>
        <w:t>úspěšně ukončilo studium na vysokých školách 68 550 studentů. Přibližně polovinu ze všech absolventů tvořili absolventi bakalářských studijních programů, 46 % absolventi magisterských studijních programů a 3,4 % absolventi doktorských programů. Více žen než mužů najdeme i mezi absolventy vysokých škol, a to v poměru 60 %</w:t>
      </w:r>
      <w:r w:rsidR="00A405AE">
        <w:t xml:space="preserve"> žen a 40 % mužů v roce 2018. </w:t>
      </w:r>
      <w:r>
        <w:t xml:space="preserve"> Více než polovinu absolventů vyso</w:t>
      </w:r>
      <w:r w:rsidR="00A405AE">
        <w:t>kých škol (60 %) tvoří ženy</w:t>
      </w:r>
      <w:r>
        <w:t xml:space="preserve"> v rámci bakalářských a magisterských studijních programů</w:t>
      </w:r>
      <w:r w:rsidR="00A405AE">
        <w:t>. M</w:t>
      </w:r>
      <w:r>
        <w:t>uži převládají</w:t>
      </w:r>
      <w:r w:rsidR="00A405AE">
        <w:t xml:space="preserve"> mezi absolventy</w:t>
      </w:r>
      <w:r>
        <w:t xml:space="preserve"> v doktorské formě studia. </w:t>
      </w:r>
    </w:p>
    <w:p w:rsidR="00187450" w:rsidRPr="00187450" w:rsidRDefault="00297B3D" w:rsidP="00F51A74">
      <w:pPr>
        <w:spacing w:line="276" w:lineRule="auto"/>
        <w:jc w:val="both"/>
        <w:rPr>
          <w:b/>
        </w:rPr>
      </w:pPr>
      <w:r>
        <w:rPr>
          <w:b/>
        </w:rPr>
        <w:t>Graf č. 9</w:t>
      </w:r>
      <w:r w:rsidR="00187450" w:rsidRPr="00187450">
        <w:rPr>
          <w:b/>
        </w:rPr>
        <w:t>:</w:t>
      </w:r>
      <w:r w:rsidR="00B16121">
        <w:rPr>
          <w:b/>
        </w:rPr>
        <w:t xml:space="preserve"> </w:t>
      </w:r>
      <w:r w:rsidR="00A405AE">
        <w:rPr>
          <w:rFonts w:cs="Arial"/>
          <w:b/>
          <w:szCs w:val="20"/>
        </w:rPr>
        <w:t xml:space="preserve">Podíl absolventů </w:t>
      </w:r>
      <w:r w:rsidR="00777221">
        <w:rPr>
          <w:rFonts w:cs="Arial"/>
          <w:b/>
          <w:szCs w:val="20"/>
        </w:rPr>
        <w:t>vysokých škol</w:t>
      </w:r>
      <w:r w:rsidR="00B16121">
        <w:rPr>
          <w:rFonts w:cs="Arial"/>
          <w:b/>
          <w:szCs w:val="20"/>
        </w:rPr>
        <w:t xml:space="preserve"> v ČR v jednotlivých studijních programech</w:t>
      </w:r>
      <w:r w:rsidR="00A405AE">
        <w:rPr>
          <w:rFonts w:cs="Arial"/>
          <w:b/>
          <w:szCs w:val="20"/>
        </w:rPr>
        <w:t xml:space="preserve"> podle pohlaví</w:t>
      </w:r>
    </w:p>
    <w:p w:rsidR="00187450" w:rsidRDefault="00187450" w:rsidP="0018745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E286A2C" wp14:editId="2EC8B317">
            <wp:extent cx="5562600" cy="2552700"/>
            <wp:effectExtent l="0" t="0" r="0" b="0"/>
            <wp:docPr id="28" name="Graf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43DC1" w:rsidRPr="00843DC1" w:rsidRDefault="00843DC1" w:rsidP="00843DC1">
      <w:pPr>
        <w:spacing w:line="276" w:lineRule="auto"/>
        <w:rPr>
          <w:sz w:val="16"/>
          <w:szCs w:val="16"/>
        </w:rPr>
      </w:pPr>
      <w:r w:rsidRPr="00843DC1">
        <w:rPr>
          <w:sz w:val="16"/>
          <w:szCs w:val="16"/>
        </w:rPr>
        <w:t>Zdroj: MŠMT</w:t>
      </w:r>
    </w:p>
    <w:p w:rsidR="009E0097" w:rsidRDefault="00A405AE" w:rsidP="00274284">
      <w:pPr>
        <w:spacing w:line="276" w:lineRule="auto"/>
        <w:jc w:val="both"/>
      </w:pPr>
      <w:r w:rsidRPr="00A405AE">
        <w:t>Mezi absolventy jedn</w:t>
      </w:r>
      <w:r w:rsidR="008D46BC">
        <w:t>otlivých skupin studijních</w:t>
      </w:r>
      <w:r w:rsidRPr="00A405AE">
        <w:t xml:space="preserve"> oborů převažují muži  opět v oborech technického zaměření (65 % mužů) a ICT (84 %). Téměř 80 % žen je mezi absolvent</w:t>
      </w:r>
      <w:r w:rsidR="008D46BC">
        <w:t xml:space="preserve">y zdravotnických, lékařských a </w:t>
      </w:r>
      <w:r w:rsidRPr="00A405AE">
        <w:t>farmaceutických programů. 84 %  absolventů tvoří ženy mezi absolventy pedagogických a učitelských programů. Od 60 % do 70 % se pohybuje podíl žen z celkového počtu absolventů humanitních, společenskovědních a ekonomických programů. Zastoupení žen z řad absolventů zemědělsko-lesnických a veterinárních programů se pohybuje okolo 60 %. Nejvyrovnanější poměř mužů a žen byl mezi absolventy v programech zaměřených na služby, kde bylo v roce 2018 celkem 51 % žen a 49 % mužů.</w:t>
      </w:r>
    </w:p>
    <w:p w:rsidR="009E0097" w:rsidRPr="00DB0E2D" w:rsidRDefault="009E0097" w:rsidP="00DB0E2D">
      <w:pPr>
        <w:spacing w:after="0" w:line="276" w:lineRule="auto"/>
        <w:jc w:val="both"/>
        <w:rPr>
          <w:rFonts w:cs="Arial"/>
          <w:b/>
          <w:color w:val="943634"/>
          <w:sz w:val="28"/>
          <w:szCs w:val="28"/>
        </w:rPr>
      </w:pPr>
      <w:r w:rsidRPr="00DB0E2D">
        <w:rPr>
          <w:rFonts w:cs="Arial"/>
          <w:b/>
          <w:color w:val="943634"/>
          <w:sz w:val="28"/>
          <w:szCs w:val="28"/>
        </w:rPr>
        <w:t>8.</w:t>
      </w:r>
      <w:r w:rsidR="00A23696" w:rsidRPr="00DB0E2D">
        <w:rPr>
          <w:rFonts w:cs="Arial"/>
          <w:b/>
          <w:color w:val="943634"/>
          <w:sz w:val="28"/>
          <w:szCs w:val="28"/>
        </w:rPr>
        <w:t xml:space="preserve"> Studenti na v</w:t>
      </w:r>
      <w:r w:rsidRPr="00DB0E2D">
        <w:rPr>
          <w:rFonts w:cs="Arial"/>
          <w:b/>
          <w:color w:val="943634"/>
          <w:sz w:val="28"/>
          <w:szCs w:val="28"/>
        </w:rPr>
        <w:t>yšší</w:t>
      </w:r>
      <w:r w:rsidR="00A23696" w:rsidRPr="00DB0E2D">
        <w:rPr>
          <w:rFonts w:cs="Arial"/>
          <w:b/>
          <w:color w:val="943634"/>
          <w:sz w:val="28"/>
          <w:szCs w:val="28"/>
        </w:rPr>
        <w:t>ch odborných školách</w:t>
      </w:r>
      <w:r w:rsidRPr="00DB0E2D">
        <w:rPr>
          <w:rFonts w:cs="Arial"/>
          <w:b/>
          <w:color w:val="943634"/>
          <w:sz w:val="28"/>
          <w:szCs w:val="28"/>
        </w:rPr>
        <w:t xml:space="preserve"> </w:t>
      </w:r>
    </w:p>
    <w:p w:rsidR="009E0097" w:rsidRPr="00A23696" w:rsidRDefault="009E0097" w:rsidP="00A23696">
      <w:pPr>
        <w:spacing w:after="0" w:line="276" w:lineRule="auto"/>
        <w:jc w:val="both"/>
        <w:rPr>
          <w:rFonts w:cs="Arial"/>
          <w:b/>
          <w:color w:val="943634"/>
          <w:sz w:val="28"/>
          <w:szCs w:val="28"/>
        </w:rPr>
      </w:pPr>
    </w:p>
    <w:p w:rsidR="009E0097" w:rsidRDefault="009E0097" w:rsidP="009E0097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>Ve</w:t>
      </w:r>
      <w:r w:rsidRPr="001D59A2">
        <w:rPr>
          <w:rFonts w:eastAsia="Calibri"/>
        </w:rPr>
        <w:t xml:space="preserve"> školním roce</w:t>
      </w:r>
      <w:r>
        <w:rPr>
          <w:rFonts w:eastAsia="Calibri"/>
        </w:rPr>
        <w:t xml:space="preserve"> 2018/19 </w:t>
      </w:r>
      <w:r w:rsidRPr="001D59A2">
        <w:rPr>
          <w:rFonts w:eastAsia="Calibri"/>
        </w:rPr>
        <w:t xml:space="preserve"> studovalo na 166 vyšších odborný</w:t>
      </w:r>
      <w:r>
        <w:rPr>
          <w:rFonts w:eastAsia="Calibri"/>
        </w:rPr>
        <w:t>ch školách téměř 18,5</w:t>
      </w:r>
      <w:r w:rsidRPr="001D59A2">
        <w:rPr>
          <w:rFonts w:eastAsia="Calibri"/>
        </w:rPr>
        <w:t xml:space="preserve"> ti</w:t>
      </w:r>
      <w:r>
        <w:rPr>
          <w:rFonts w:eastAsia="Calibri"/>
        </w:rPr>
        <w:t>síc studentů. Většina z nich, 62,3</w:t>
      </w:r>
      <w:r w:rsidRPr="001D59A2">
        <w:rPr>
          <w:rFonts w:eastAsia="Calibri"/>
        </w:rPr>
        <w:t xml:space="preserve"> % studovala v denní formě vzdělávání. 73 % studentů vyšších odborných škol byly ženy. Kromě studentů české národnosti na tomto typu škol s</w:t>
      </w:r>
      <w:r>
        <w:rPr>
          <w:rFonts w:eastAsia="Calibri"/>
        </w:rPr>
        <w:t>tudovali i cizinci. Sice se od školního roku 2008/09</w:t>
      </w:r>
      <w:r w:rsidRPr="001D59A2">
        <w:rPr>
          <w:rFonts w:eastAsia="Calibri"/>
        </w:rPr>
        <w:t xml:space="preserve"> jejich počet zdvojnásobil, stále jich je j</w:t>
      </w:r>
      <w:r>
        <w:rPr>
          <w:rFonts w:eastAsia="Calibri"/>
        </w:rPr>
        <w:t>en velmi malé množství, a to 3,8</w:t>
      </w:r>
      <w:r w:rsidRPr="001D59A2">
        <w:rPr>
          <w:rFonts w:eastAsia="Calibri"/>
        </w:rPr>
        <w:t xml:space="preserve"> %</w:t>
      </w:r>
      <w:r>
        <w:rPr>
          <w:rFonts w:eastAsia="Calibri"/>
        </w:rPr>
        <w:t xml:space="preserve"> (705)</w:t>
      </w:r>
      <w:r w:rsidRPr="001D59A2">
        <w:rPr>
          <w:rFonts w:eastAsia="Calibri"/>
        </w:rPr>
        <w:t>. Nejvíce studentů studuje na vyšších odborných školách v</w:t>
      </w:r>
      <w:r w:rsidR="0053642C">
        <w:rPr>
          <w:rFonts w:eastAsia="Calibri"/>
        </w:rPr>
        <w:t> </w:t>
      </w:r>
      <w:r w:rsidRPr="001D59A2">
        <w:rPr>
          <w:rFonts w:eastAsia="Calibri"/>
        </w:rPr>
        <w:t>Praze</w:t>
      </w:r>
      <w:r w:rsidR="0053642C">
        <w:rPr>
          <w:rFonts w:eastAsia="Calibri"/>
        </w:rPr>
        <w:t>, téměř 5 tisíc (27 %)</w:t>
      </w:r>
      <w:r w:rsidRPr="001D59A2">
        <w:rPr>
          <w:rFonts w:eastAsia="Calibri"/>
        </w:rPr>
        <w:t>. Za posledních 10 let došlo k úbytku nejen studentů, ale i nově přijatých do 1. ročníku a absolventů vyšších odborných škol.</w:t>
      </w:r>
    </w:p>
    <w:p w:rsidR="00CF7F7C" w:rsidRDefault="001950E8" w:rsidP="00CF7F7C">
      <w:pPr>
        <w:spacing w:line="276" w:lineRule="auto"/>
        <w:jc w:val="both"/>
        <w:rPr>
          <w:rFonts w:cs="Arial"/>
          <w:b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317500</wp:posOffset>
            </wp:positionV>
            <wp:extent cx="5524500" cy="2733675"/>
            <wp:effectExtent l="0" t="0" r="9525" b="9525"/>
            <wp:wrapSquare wrapText="bothSides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6F9">
        <w:rPr>
          <w:b/>
        </w:rPr>
        <w:t>Graf č. 10</w:t>
      </w:r>
      <w:r w:rsidR="00CF7F7C" w:rsidRPr="00187450">
        <w:rPr>
          <w:b/>
        </w:rPr>
        <w:t>:</w:t>
      </w:r>
      <w:r w:rsidR="00CF7F7C">
        <w:rPr>
          <w:b/>
        </w:rPr>
        <w:t xml:space="preserve"> </w:t>
      </w:r>
      <w:r w:rsidR="00CF7F7C">
        <w:rPr>
          <w:rFonts w:cs="Arial"/>
          <w:b/>
          <w:szCs w:val="20"/>
        </w:rPr>
        <w:t>Vyšší odborné školy – počet studentů, nově přijatých a absolventů</w:t>
      </w:r>
      <w:r w:rsidR="00BE3071">
        <w:rPr>
          <w:rFonts w:cs="Arial"/>
          <w:b/>
          <w:szCs w:val="20"/>
        </w:rPr>
        <w:t xml:space="preserve"> v časové řadě</w:t>
      </w:r>
    </w:p>
    <w:p w:rsidR="00297B3D" w:rsidRDefault="00297B3D" w:rsidP="00402E1F">
      <w:pPr>
        <w:spacing w:line="276" w:lineRule="auto"/>
        <w:rPr>
          <w:b/>
        </w:rPr>
      </w:pPr>
    </w:p>
    <w:p w:rsidR="00297B3D" w:rsidRPr="00297B3D" w:rsidRDefault="00297B3D" w:rsidP="00297B3D"/>
    <w:p w:rsidR="00297B3D" w:rsidRPr="00297B3D" w:rsidRDefault="00297B3D" w:rsidP="00297B3D"/>
    <w:p w:rsidR="00297B3D" w:rsidRPr="00297B3D" w:rsidRDefault="00297B3D" w:rsidP="00297B3D"/>
    <w:p w:rsidR="00297B3D" w:rsidRPr="00297B3D" w:rsidRDefault="00297B3D" w:rsidP="00297B3D"/>
    <w:p w:rsidR="00297B3D" w:rsidRPr="00297B3D" w:rsidRDefault="00297B3D" w:rsidP="00297B3D"/>
    <w:p w:rsidR="00297B3D" w:rsidRPr="00297B3D" w:rsidRDefault="00297B3D" w:rsidP="00402E1F"/>
    <w:p w:rsidR="00297B3D" w:rsidRDefault="00297B3D" w:rsidP="00297B3D">
      <w:pPr>
        <w:spacing w:line="276" w:lineRule="auto"/>
        <w:jc w:val="center"/>
        <w:rPr>
          <w:b/>
        </w:rPr>
      </w:pPr>
    </w:p>
    <w:p w:rsidR="00CF7F7C" w:rsidRDefault="00297B3D" w:rsidP="00297B3D">
      <w:pPr>
        <w:spacing w:line="276" w:lineRule="auto"/>
        <w:rPr>
          <w:b/>
        </w:rPr>
      </w:pPr>
      <w:r>
        <w:rPr>
          <w:b/>
        </w:rPr>
        <w:br w:type="textWrapping" w:clear="all"/>
      </w:r>
    </w:p>
    <w:p w:rsidR="00CF7F7C" w:rsidRPr="0053642C" w:rsidRDefault="00CF7F7C" w:rsidP="0053642C">
      <w:pPr>
        <w:spacing w:line="276" w:lineRule="auto"/>
        <w:rPr>
          <w:sz w:val="16"/>
          <w:szCs w:val="16"/>
        </w:rPr>
      </w:pPr>
      <w:r w:rsidRPr="00CF7F7C">
        <w:rPr>
          <w:sz w:val="16"/>
          <w:szCs w:val="16"/>
        </w:rPr>
        <w:t>Zdroj: MŠMT</w:t>
      </w:r>
    </w:p>
    <w:p w:rsidR="0053642C" w:rsidRPr="001D59A2" w:rsidRDefault="0053642C" w:rsidP="0053642C">
      <w:pPr>
        <w:spacing w:after="0" w:line="276" w:lineRule="auto"/>
        <w:ind w:firstLineChars="100" w:firstLine="200"/>
        <w:jc w:val="both"/>
        <w:rPr>
          <w:rFonts w:cs="Arial"/>
          <w:bCs/>
          <w:szCs w:val="20"/>
        </w:rPr>
      </w:pPr>
      <w:r>
        <w:rPr>
          <w:rFonts w:eastAsia="Calibri"/>
        </w:rPr>
        <w:t>P</w:t>
      </w:r>
      <w:r w:rsidRPr="001D59A2">
        <w:rPr>
          <w:rFonts w:eastAsia="Calibri"/>
        </w:rPr>
        <w:t xml:space="preserve">olovina studentů vyšších odborných škol studuje obory ze skupiny </w:t>
      </w:r>
      <w:r w:rsidRPr="001D59A2">
        <w:rPr>
          <w:rFonts w:eastAsia="Calibri"/>
          <w:i/>
        </w:rPr>
        <w:t>Zd</w:t>
      </w:r>
      <w:r w:rsidR="00746184">
        <w:rPr>
          <w:rFonts w:eastAsia="Calibri"/>
          <w:i/>
        </w:rPr>
        <w:t>ravotní a sociální péče, péče o </w:t>
      </w:r>
      <w:r w:rsidRPr="001D59A2">
        <w:rPr>
          <w:rFonts w:eastAsia="Calibri"/>
          <w:i/>
        </w:rPr>
        <w:t>příznivé životní</w:t>
      </w:r>
      <w:r w:rsidRPr="001D59A2">
        <w:rPr>
          <w:rFonts w:eastAsia="Calibri"/>
        </w:rPr>
        <w:t xml:space="preserve"> </w:t>
      </w:r>
      <w:r w:rsidRPr="001D59A2">
        <w:rPr>
          <w:rFonts w:eastAsia="Calibri"/>
          <w:i/>
        </w:rPr>
        <w:t>podmínky</w:t>
      </w:r>
      <w:r w:rsidRPr="001D59A2">
        <w:rPr>
          <w:rFonts w:eastAsia="Calibri"/>
        </w:rPr>
        <w:t>, na kterých převážnou většinu</w:t>
      </w:r>
      <w:r>
        <w:rPr>
          <w:rFonts w:eastAsia="Calibri"/>
        </w:rPr>
        <w:t xml:space="preserve"> studentů tvoří ženy, a to až 86,7</w:t>
      </w:r>
      <w:r w:rsidRPr="001D59A2">
        <w:rPr>
          <w:rFonts w:eastAsia="Calibri"/>
        </w:rPr>
        <w:t xml:space="preserve"> %. Druhou nejnavštěvovanější skupinou oborů je </w:t>
      </w:r>
      <w:r w:rsidRPr="001D59A2">
        <w:rPr>
          <w:rFonts w:eastAsia="Calibri"/>
          <w:i/>
        </w:rPr>
        <w:t>Obchod, administrativa a právo</w:t>
      </w:r>
      <w:r>
        <w:rPr>
          <w:rFonts w:eastAsia="Calibri"/>
        </w:rPr>
        <w:t>, které studuje 16,6</w:t>
      </w:r>
      <w:r w:rsidRPr="001D59A2">
        <w:rPr>
          <w:rFonts w:eastAsia="Calibri"/>
        </w:rPr>
        <w:t> % studentů. Opět převážno</w:t>
      </w:r>
      <w:r>
        <w:rPr>
          <w:rFonts w:eastAsia="Calibri"/>
        </w:rPr>
        <w:t>u část tvoří ženy, a to 66,1</w:t>
      </w:r>
      <w:r w:rsidRPr="001D59A2">
        <w:rPr>
          <w:rFonts w:eastAsia="Calibri"/>
        </w:rPr>
        <w:t> %.</w:t>
      </w:r>
    </w:p>
    <w:p w:rsidR="00816B12" w:rsidRDefault="00816B12" w:rsidP="001950E8">
      <w:pPr>
        <w:spacing w:after="0" w:line="276" w:lineRule="auto"/>
        <w:rPr>
          <w:rFonts w:cs="Arial"/>
          <w:b/>
          <w:bCs/>
          <w:szCs w:val="20"/>
        </w:rPr>
      </w:pPr>
    </w:p>
    <w:p w:rsidR="00BE3071" w:rsidRDefault="00816B12" w:rsidP="00BE3071">
      <w:pPr>
        <w:spacing w:after="0" w:line="276" w:lineRule="auto"/>
        <w:ind w:firstLineChars="100" w:firstLine="201"/>
        <w:rPr>
          <w:rFonts w:cs="Arial"/>
          <w:b/>
          <w:szCs w:val="20"/>
        </w:rPr>
      </w:pPr>
      <w:r>
        <w:rPr>
          <w:rFonts w:cs="Arial"/>
          <w:b/>
          <w:bCs/>
          <w:szCs w:val="20"/>
        </w:rPr>
        <w:t>Graf č. 11</w:t>
      </w:r>
      <w:r w:rsidR="00BE3071" w:rsidRPr="001D59A2">
        <w:rPr>
          <w:rFonts w:cs="Arial"/>
          <w:b/>
          <w:bCs/>
          <w:szCs w:val="20"/>
        </w:rPr>
        <w:t>:</w:t>
      </w:r>
      <w:r w:rsidR="00BE3071" w:rsidRPr="001D59A2">
        <w:rPr>
          <w:rFonts w:cs="Arial"/>
          <w:bCs/>
          <w:szCs w:val="20"/>
        </w:rPr>
        <w:t xml:space="preserve"> </w:t>
      </w:r>
      <w:r w:rsidR="00BE3071" w:rsidRPr="001D59A2">
        <w:rPr>
          <w:rFonts w:cs="Arial"/>
          <w:b/>
          <w:szCs w:val="20"/>
        </w:rPr>
        <w:t>Nejnavštěvovanější skupiny oborů vyšších odborných škol po</w:t>
      </w:r>
      <w:r w:rsidR="00BE3071">
        <w:rPr>
          <w:rFonts w:cs="Arial"/>
          <w:b/>
          <w:szCs w:val="20"/>
        </w:rPr>
        <w:t>dle pohlaví ve školním roce 2018/2019</w:t>
      </w:r>
    </w:p>
    <w:p w:rsidR="00BE3071" w:rsidRPr="00BE3071" w:rsidRDefault="00BE3071" w:rsidP="00BE3071">
      <w:pPr>
        <w:spacing w:after="0" w:line="276" w:lineRule="auto"/>
        <w:ind w:firstLineChars="100" w:firstLine="201"/>
        <w:rPr>
          <w:rFonts w:cs="Arial"/>
          <w:b/>
          <w:szCs w:val="20"/>
        </w:rPr>
      </w:pPr>
    </w:p>
    <w:p w:rsidR="00BE3071" w:rsidRPr="001D59A2" w:rsidRDefault="00BE3071" w:rsidP="00BE3071">
      <w:pPr>
        <w:spacing w:line="276" w:lineRule="auto"/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0D6ACAA4" wp14:editId="19152D9E">
            <wp:extent cx="4572000" cy="2743200"/>
            <wp:effectExtent l="0" t="0" r="0" b="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E0097" w:rsidRPr="00BE3071" w:rsidRDefault="00BE3071" w:rsidP="00274284">
      <w:pPr>
        <w:spacing w:line="276" w:lineRule="auto"/>
        <w:jc w:val="both"/>
        <w:rPr>
          <w:sz w:val="16"/>
          <w:szCs w:val="16"/>
        </w:rPr>
      </w:pPr>
      <w:r w:rsidRPr="00BE3071">
        <w:rPr>
          <w:sz w:val="16"/>
          <w:szCs w:val="16"/>
        </w:rPr>
        <w:t>Zdroj: MŠMT</w:t>
      </w:r>
    </w:p>
    <w:p w:rsidR="009D1C60" w:rsidRPr="00274284" w:rsidRDefault="009D1C60" w:rsidP="00274284">
      <w:pPr>
        <w:spacing w:line="276" w:lineRule="auto"/>
        <w:jc w:val="both"/>
        <w:rPr>
          <w:rFonts w:cs="Arial"/>
          <w:bCs/>
          <w:szCs w:val="20"/>
        </w:rPr>
      </w:pPr>
    </w:p>
    <w:sectPr w:rsidR="009D1C60" w:rsidRPr="00274284" w:rsidSect="006F5416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D51" w:rsidRDefault="005A0D51" w:rsidP="00E71A58">
      <w:r>
        <w:separator/>
      </w:r>
    </w:p>
  </w:endnote>
  <w:endnote w:type="continuationSeparator" w:id="0">
    <w:p w:rsidR="005A0D51" w:rsidRDefault="005A0D51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1E9" w:rsidRPr="00932443" w:rsidRDefault="00016992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fldChar w:fldCharType="begin"/>
    </w:r>
    <w:r w:rsidR="005647BF" w:rsidRPr="00932443">
      <w:rPr>
        <w:szCs w:val="16"/>
      </w:rPr>
      <w:instrText>PAGE   \* MERGEFORMAT</w:instrText>
    </w:r>
    <w:r w:rsidR="005647BF" w:rsidRPr="00932443">
      <w:rPr>
        <w:szCs w:val="16"/>
      </w:rPr>
      <w:fldChar w:fldCharType="separate"/>
    </w:r>
    <w:r w:rsidR="00A174F2">
      <w:rPr>
        <w:szCs w:val="16"/>
      </w:rPr>
      <w:t>14</w:t>
    </w:r>
    <w:r w:rsidR="005647BF" w:rsidRPr="00932443">
      <w:rPr>
        <w:szCs w:val="16"/>
      </w:rPr>
      <w:fldChar w:fldCharType="end"/>
    </w:r>
    <w:r w:rsidR="005647BF" w:rsidRPr="00932443">
      <w:rPr>
        <w:szCs w:val="16"/>
      </w:rPr>
      <w:tab/>
    </w:r>
    <w:r w:rsidR="00306585">
      <w:rPr>
        <w:szCs w:val="16"/>
      </w:rPr>
      <w:t>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C6" w:rsidRPr="00932443" w:rsidRDefault="00016992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tab/>
    </w:r>
    <w:r w:rsidR="00306585">
      <w:rPr>
        <w:rStyle w:val="ZpatChar"/>
        <w:szCs w:val="16"/>
      </w:rPr>
      <w:t>2018</w:t>
    </w:r>
    <w:r w:rsidR="005647BF" w:rsidRPr="00932443">
      <w:rPr>
        <w:szCs w:val="16"/>
      </w:rPr>
      <w:tab/>
    </w:r>
    <w:r w:rsidR="005647BF" w:rsidRPr="00932443">
      <w:rPr>
        <w:rStyle w:val="ZpatChar"/>
        <w:szCs w:val="16"/>
      </w:rPr>
      <w:fldChar w:fldCharType="begin"/>
    </w:r>
    <w:r w:rsidR="005647BF" w:rsidRPr="00932443">
      <w:rPr>
        <w:rStyle w:val="ZpatChar"/>
        <w:szCs w:val="16"/>
      </w:rPr>
      <w:instrText>PAGE   \* MERGEFORMAT</w:instrText>
    </w:r>
    <w:r w:rsidR="005647BF" w:rsidRPr="00932443">
      <w:rPr>
        <w:rStyle w:val="ZpatChar"/>
        <w:szCs w:val="16"/>
      </w:rPr>
      <w:fldChar w:fldCharType="separate"/>
    </w:r>
    <w:r w:rsidR="00A174F2">
      <w:rPr>
        <w:rStyle w:val="ZpatChar"/>
        <w:szCs w:val="16"/>
      </w:rPr>
      <w:t>13</w:t>
    </w:r>
    <w:r w:rsidR="005647BF"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D51" w:rsidRDefault="005A0D51" w:rsidP="00E71A58">
      <w:r>
        <w:separator/>
      </w:r>
    </w:p>
  </w:footnote>
  <w:footnote w:type="continuationSeparator" w:id="0">
    <w:p w:rsidR="005A0D51" w:rsidRDefault="005A0D51" w:rsidP="00E71A58">
      <w:r>
        <w:continuationSeparator/>
      </w:r>
    </w:p>
  </w:footnote>
  <w:footnote w:id="1">
    <w:p w:rsidR="002659EE" w:rsidRDefault="002659EE" w:rsidP="002659E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15D58">
        <w:rPr>
          <w:b/>
        </w:rPr>
        <w:t>Údaje za konzervatoře nejsou v tabulkách zahrnuty</w:t>
      </w:r>
      <w:r>
        <w:t xml:space="preserve">, informace o konzervatořích, jejich studentech a absolventech lze získat např. v publikaci ČSÚ </w:t>
      </w:r>
      <w:hyperlink r:id="rId1" w:history="1">
        <w:r w:rsidRPr="006E62AC">
          <w:rPr>
            <w:rStyle w:val="Hypertextovodkaz"/>
          </w:rPr>
          <w:t>Školy a školská zařízení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9EE" w:rsidRDefault="002659EE" w:rsidP="002659EE">
    <w:pPr>
      <w:pStyle w:val="Zhlav"/>
    </w:pPr>
    <w:r>
      <w:t>Terciární vzdělávání: Studenti a absolventi vysokoškolského a vyššího odborného vzdělávání</w:t>
    </w:r>
  </w:p>
  <w:p w:rsidR="00515C74" w:rsidRPr="006F5416" w:rsidRDefault="00515C74" w:rsidP="00937AE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2E" w:rsidRDefault="002659EE" w:rsidP="00937AE2">
    <w:pPr>
      <w:pStyle w:val="Zhlav"/>
    </w:pPr>
    <w:r>
      <w:t>Terciární vzdělávání: Studenti a absolventi vysokoškolského a vyššího odborného vzdělávání</w:t>
    </w:r>
  </w:p>
  <w:p w:rsidR="001D59A2" w:rsidRPr="006F5416" w:rsidRDefault="001D59A2" w:rsidP="00937AE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975B3"/>
    <w:multiLevelType w:val="hybridMultilevel"/>
    <w:tmpl w:val="B77CB7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4C3A79"/>
    <w:multiLevelType w:val="hybridMultilevel"/>
    <w:tmpl w:val="B5BC64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217B8D"/>
    <w:multiLevelType w:val="hybridMultilevel"/>
    <w:tmpl w:val="F23C6E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5"/>
  </w:num>
  <w:num w:numId="14">
    <w:abstractNumId w:val="11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9A2"/>
    <w:rsid w:val="0000209D"/>
    <w:rsid w:val="00004D5A"/>
    <w:rsid w:val="000056D5"/>
    <w:rsid w:val="0000767A"/>
    <w:rsid w:val="00010702"/>
    <w:rsid w:val="00016992"/>
    <w:rsid w:val="000234D6"/>
    <w:rsid w:val="00023D29"/>
    <w:rsid w:val="00026389"/>
    <w:rsid w:val="000312E3"/>
    <w:rsid w:val="00031AE0"/>
    <w:rsid w:val="000322EF"/>
    <w:rsid w:val="00033FCD"/>
    <w:rsid w:val="00041CEC"/>
    <w:rsid w:val="000455DB"/>
    <w:rsid w:val="0004694F"/>
    <w:rsid w:val="000522E4"/>
    <w:rsid w:val="000610E1"/>
    <w:rsid w:val="00062EC5"/>
    <w:rsid w:val="00062F22"/>
    <w:rsid w:val="000712B3"/>
    <w:rsid w:val="00077139"/>
    <w:rsid w:val="0007757D"/>
    <w:rsid w:val="00080AAC"/>
    <w:rsid w:val="0008263E"/>
    <w:rsid w:val="00082C19"/>
    <w:rsid w:val="00085395"/>
    <w:rsid w:val="00087634"/>
    <w:rsid w:val="00087F2B"/>
    <w:rsid w:val="000905DC"/>
    <w:rsid w:val="000974D1"/>
    <w:rsid w:val="0009799E"/>
    <w:rsid w:val="000A1183"/>
    <w:rsid w:val="000A256D"/>
    <w:rsid w:val="000A3A2C"/>
    <w:rsid w:val="000B30FA"/>
    <w:rsid w:val="000C3408"/>
    <w:rsid w:val="000C6AFD"/>
    <w:rsid w:val="000D115B"/>
    <w:rsid w:val="000D5637"/>
    <w:rsid w:val="000E6FBD"/>
    <w:rsid w:val="000F4F99"/>
    <w:rsid w:val="00100F5C"/>
    <w:rsid w:val="0010437D"/>
    <w:rsid w:val="00104C4C"/>
    <w:rsid w:val="0012192F"/>
    <w:rsid w:val="00125D69"/>
    <w:rsid w:val="001405FA"/>
    <w:rsid w:val="001425C3"/>
    <w:rsid w:val="001507BF"/>
    <w:rsid w:val="0016256B"/>
    <w:rsid w:val="00163793"/>
    <w:rsid w:val="001706D6"/>
    <w:rsid w:val="001714F2"/>
    <w:rsid w:val="001837AB"/>
    <w:rsid w:val="00184B08"/>
    <w:rsid w:val="00185010"/>
    <w:rsid w:val="00187450"/>
    <w:rsid w:val="00187560"/>
    <w:rsid w:val="001950E8"/>
    <w:rsid w:val="001A287E"/>
    <w:rsid w:val="001A552F"/>
    <w:rsid w:val="001B2CA9"/>
    <w:rsid w:val="001B3110"/>
    <w:rsid w:val="001B4729"/>
    <w:rsid w:val="001B6C09"/>
    <w:rsid w:val="001C05CD"/>
    <w:rsid w:val="001C3F9F"/>
    <w:rsid w:val="001D59A2"/>
    <w:rsid w:val="001D68B2"/>
    <w:rsid w:val="001F4597"/>
    <w:rsid w:val="001F54F2"/>
    <w:rsid w:val="0020029A"/>
    <w:rsid w:val="00201322"/>
    <w:rsid w:val="002118B9"/>
    <w:rsid w:val="00211974"/>
    <w:rsid w:val="00217C5B"/>
    <w:rsid w:val="0022139E"/>
    <w:rsid w:val="002252E0"/>
    <w:rsid w:val="002255F6"/>
    <w:rsid w:val="002260A4"/>
    <w:rsid w:val="00227850"/>
    <w:rsid w:val="00227A53"/>
    <w:rsid w:val="00230C6E"/>
    <w:rsid w:val="00236443"/>
    <w:rsid w:val="002436BA"/>
    <w:rsid w:val="00244A15"/>
    <w:rsid w:val="00247319"/>
    <w:rsid w:val="0024799E"/>
    <w:rsid w:val="00253C0F"/>
    <w:rsid w:val="002659EE"/>
    <w:rsid w:val="00270A68"/>
    <w:rsid w:val="00271465"/>
    <w:rsid w:val="002722AE"/>
    <w:rsid w:val="00274284"/>
    <w:rsid w:val="00285412"/>
    <w:rsid w:val="00297B3D"/>
    <w:rsid w:val="002A00BE"/>
    <w:rsid w:val="002A16D4"/>
    <w:rsid w:val="002A230C"/>
    <w:rsid w:val="002B0EB6"/>
    <w:rsid w:val="002C43BD"/>
    <w:rsid w:val="002D0E59"/>
    <w:rsid w:val="002E02A1"/>
    <w:rsid w:val="002E4E4C"/>
    <w:rsid w:val="002E72FD"/>
    <w:rsid w:val="00304771"/>
    <w:rsid w:val="003052D4"/>
    <w:rsid w:val="00306585"/>
    <w:rsid w:val="00306C5B"/>
    <w:rsid w:val="003209D6"/>
    <w:rsid w:val="00321924"/>
    <w:rsid w:val="0032656E"/>
    <w:rsid w:val="00332190"/>
    <w:rsid w:val="00344668"/>
    <w:rsid w:val="003462D9"/>
    <w:rsid w:val="00360C86"/>
    <w:rsid w:val="003657F3"/>
    <w:rsid w:val="003659B5"/>
    <w:rsid w:val="003818DC"/>
    <w:rsid w:val="003836FE"/>
    <w:rsid w:val="00384327"/>
    <w:rsid w:val="00385632"/>
    <w:rsid w:val="00385D98"/>
    <w:rsid w:val="0039748D"/>
    <w:rsid w:val="00397752"/>
    <w:rsid w:val="003A2B4D"/>
    <w:rsid w:val="003A478C"/>
    <w:rsid w:val="003A5525"/>
    <w:rsid w:val="003A6B38"/>
    <w:rsid w:val="003B5A32"/>
    <w:rsid w:val="003C3490"/>
    <w:rsid w:val="003C4516"/>
    <w:rsid w:val="003D19BB"/>
    <w:rsid w:val="003D6920"/>
    <w:rsid w:val="003E4C91"/>
    <w:rsid w:val="003F313C"/>
    <w:rsid w:val="003F4B2C"/>
    <w:rsid w:val="003F551C"/>
    <w:rsid w:val="003F7D23"/>
    <w:rsid w:val="00402E1F"/>
    <w:rsid w:val="00407C13"/>
    <w:rsid w:val="00410638"/>
    <w:rsid w:val="004176F9"/>
    <w:rsid w:val="00426913"/>
    <w:rsid w:val="00432A58"/>
    <w:rsid w:val="00434617"/>
    <w:rsid w:val="00440900"/>
    <w:rsid w:val="004441A0"/>
    <w:rsid w:val="00460FB3"/>
    <w:rsid w:val="00476240"/>
    <w:rsid w:val="00476439"/>
    <w:rsid w:val="0047735C"/>
    <w:rsid w:val="004776BC"/>
    <w:rsid w:val="0048139F"/>
    <w:rsid w:val="00481E40"/>
    <w:rsid w:val="00484ECE"/>
    <w:rsid w:val="004900FF"/>
    <w:rsid w:val="004915CB"/>
    <w:rsid w:val="004924DC"/>
    <w:rsid w:val="004A14E4"/>
    <w:rsid w:val="004A3212"/>
    <w:rsid w:val="004A61C5"/>
    <w:rsid w:val="004A77DF"/>
    <w:rsid w:val="004B1417"/>
    <w:rsid w:val="004B55B7"/>
    <w:rsid w:val="004B6468"/>
    <w:rsid w:val="004C3442"/>
    <w:rsid w:val="004C384C"/>
    <w:rsid w:val="004C3867"/>
    <w:rsid w:val="004C4CD0"/>
    <w:rsid w:val="004C70DC"/>
    <w:rsid w:val="004D0211"/>
    <w:rsid w:val="004D0794"/>
    <w:rsid w:val="004D3824"/>
    <w:rsid w:val="004F06F5"/>
    <w:rsid w:val="004F33A0"/>
    <w:rsid w:val="00500A8A"/>
    <w:rsid w:val="005108C0"/>
    <w:rsid w:val="00511873"/>
    <w:rsid w:val="00512A2F"/>
    <w:rsid w:val="00513B7E"/>
    <w:rsid w:val="00515C74"/>
    <w:rsid w:val="0052007E"/>
    <w:rsid w:val="0052337A"/>
    <w:rsid w:val="00525137"/>
    <w:rsid w:val="005251DD"/>
    <w:rsid w:val="00532CE7"/>
    <w:rsid w:val="0053324C"/>
    <w:rsid w:val="00534A28"/>
    <w:rsid w:val="0053642C"/>
    <w:rsid w:val="00541508"/>
    <w:rsid w:val="0055599F"/>
    <w:rsid w:val="00556D68"/>
    <w:rsid w:val="005647BF"/>
    <w:rsid w:val="0057364B"/>
    <w:rsid w:val="00574773"/>
    <w:rsid w:val="005748D1"/>
    <w:rsid w:val="005810D7"/>
    <w:rsid w:val="00583FFD"/>
    <w:rsid w:val="005911BE"/>
    <w:rsid w:val="00593152"/>
    <w:rsid w:val="005A0D51"/>
    <w:rsid w:val="005A10F2"/>
    <w:rsid w:val="005A21E0"/>
    <w:rsid w:val="005A28FF"/>
    <w:rsid w:val="005A3DF8"/>
    <w:rsid w:val="005A5549"/>
    <w:rsid w:val="005B121D"/>
    <w:rsid w:val="005C06ED"/>
    <w:rsid w:val="005C0714"/>
    <w:rsid w:val="005D5802"/>
    <w:rsid w:val="005D7890"/>
    <w:rsid w:val="005E7C78"/>
    <w:rsid w:val="005F3EB1"/>
    <w:rsid w:val="005F5469"/>
    <w:rsid w:val="006017B8"/>
    <w:rsid w:val="00604307"/>
    <w:rsid w:val="0060487F"/>
    <w:rsid w:val="00604EAD"/>
    <w:rsid w:val="006104FB"/>
    <w:rsid w:val="00612A2F"/>
    <w:rsid w:val="00616E05"/>
    <w:rsid w:val="00622950"/>
    <w:rsid w:val="00624093"/>
    <w:rsid w:val="006332C5"/>
    <w:rsid w:val="006404A7"/>
    <w:rsid w:val="006451E4"/>
    <w:rsid w:val="00645B33"/>
    <w:rsid w:val="00646FC4"/>
    <w:rsid w:val="006516CB"/>
    <w:rsid w:val="00657E87"/>
    <w:rsid w:val="00664803"/>
    <w:rsid w:val="00665BA4"/>
    <w:rsid w:val="00667AF2"/>
    <w:rsid w:val="006710C9"/>
    <w:rsid w:val="00674D89"/>
    <w:rsid w:val="00675E37"/>
    <w:rsid w:val="0068174E"/>
    <w:rsid w:val="00681DCE"/>
    <w:rsid w:val="0068260E"/>
    <w:rsid w:val="0069580C"/>
    <w:rsid w:val="00695BEF"/>
    <w:rsid w:val="006975DC"/>
    <w:rsid w:val="006977F6"/>
    <w:rsid w:val="00697A13"/>
    <w:rsid w:val="006A109C"/>
    <w:rsid w:val="006A1C32"/>
    <w:rsid w:val="006B344A"/>
    <w:rsid w:val="006B78D8"/>
    <w:rsid w:val="006C113F"/>
    <w:rsid w:val="006C123E"/>
    <w:rsid w:val="006C56D4"/>
    <w:rsid w:val="006C6924"/>
    <w:rsid w:val="006C7CA6"/>
    <w:rsid w:val="006D3E8A"/>
    <w:rsid w:val="006D61F6"/>
    <w:rsid w:val="006E279A"/>
    <w:rsid w:val="006E313B"/>
    <w:rsid w:val="006F5416"/>
    <w:rsid w:val="006F7137"/>
    <w:rsid w:val="007012BE"/>
    <w:rsid w:val="00706AD4"/>
    <w:rsid w:val="007140BE"/>
    <w:rsid w:val="007211F5"/>
    <w:rsid w:val="00725BB5"/>
    <w:rsid w:val="00730AE8"/>
    <w:rsid w:val="00736802"/>
    <w:rsid w:val="00741493"/>
    <w:rsid w:val="00743DF9"/>
    <w:rsid w:val="00746184"/>
    <w:rsid w:val="007516B7"/>
    <w:rsid w:val="00752180"/>
    <w:rsid w:val="00755202"/>
    <w:rsid w:val="00755D3A"/>
    <w:rsid w:val="007578D3"/>
    <w:rsid w:val="007609C6"/>
    <w:rsid w:val="0076175D"/>
    <w:rsid w:val="00764479"/>
    <w:rsid w:val="0076521E"/>
    <w:rsid w:val="007661E9"/>
    <w:rsid w:val="00776169"/>
    <w:rsid w:val="00776527"/>
    <w:rsid w:val="00777221"/>
    <w:rsid w:val="00780EF1"/>
    <w:rsid w:val="00790764"/>
    <w:rsid w:val="0079453C"/>
    <w:rsid w:val="00794677"/>
    <w:rsid w:val="007A4684"/>
    <w:rsid w:val="007B6689"/>
    <w:rsid w:val="007D40DF"/>
    <w:rsid w:val="007D5BCF"/>
    <w:rsid w:val="007E7E61"/>
    <w:rsid w:val="007F0845"/>
    <w:rsid w:val="007F43D9"/>
    <w:rsid w:val="00807C82"/>
    <w:rsid w:val="00816905"/>
    <w:rsid w:val="00816B12"/>
    <w:rsid w:val="00821FF6"/>
    <w:rsid w:val="00825C4D"/>
    <w:rsid w:val="0083143E"/>
    <w:rsid w:val="00831CDE"/>
    <w:rsid w:val="00834304"/>
    <w:rsid w:val="00834FAA"/>
    <w:rsid w:val="00836086"/>
    <w:rsid w:val="008402E2"/>
    <w:rsid w:val="00843DC1"/>
    <w:rsid w:val="0084708F"/>
    <w:rsid w:val="008477C8"/>
    <w:rsid w:val="0085114D"/>
    <w:rsid w:val="00852217"/>
    <w:rsid w:val="00855408"/>
    <w:rsid w:val="00856D65"/>
    <w:rsid w:val="00861B41"/>
    <w:rsid w:val="00863434"/>
    <w:rsid w:val="00865E4C"/>
    <w:rsid w:val="008701E4"/>
    <w:rsid w:val="00875A32"/>
    <w:rsid w:val="00876086"/>
    <w:rsid w:val="0088355E"/>
    <w:rsid w:val="008873D4"/>
    <w:rsid w:val="00893E85"/>
    <w:rsid w:val="00894031"/>
    <w:rsid w:val="008B6DAE"/>
    <w:rsid w:val="008B7C02"/>
    <w:rsid w:val="008B7D2B"/>
    <w:rsid w:val="008C0049"/>
    <w:rsid w:val="008C0E88"/>
    <w:rsid w:val="008D1E6A"/>
    <w:rsid w:val="008D2A16"/>
    <w:rsid w:val="008D46BC"/>
    <w:rsid w:val="008D5947"/>
    <w:rsid w:val="008E2C57"/>
    <w:rsid w:val="008E31FF"/>
    <w:rsid w:val="008E6F06"/>
    <w:rsid w:val="008F029B"/>
    <w:rsid w:val="008F0ADE"/>
    <w:rsid w:val="008F3FC9"/>
    <w:rsid w:val="008F585B"/>
    <w:rsid w:val="008F6FAC"/>
    <w:rsid w:val="009003A8"/>
    <w:rsid w:val="00902500"/>
    <w:rsid w:val="00902EFF"/>
    <w:rsid w:val="00906401"/>
    <w:rsid w:val="0091155E"/>
    <w:rsid w:val="00912A92"/>
    <w:rsid w:val="0091728D"/>
    <w:rsid w:val="0092180B"/>
    <w:rsid w:val="00921F14"/>
    <w:rsid w:val="00924AC8"/>
    <w:rsid w:val="0092597A"/>
    <w:rsid w:val="00932443"/>
    <w:rsid w:val="00937AE2"/>
    <w:rsid w:val="0094427A"/>
    <w:rsid w:val="00950892"/>
    <w:rsid w:val="00967836"/>
    <w:rsid w:val="00974923"/>
    <w:rsid w:val="00980D3D"/>
    <w:rsid w:val="00987A30"/>
    <w:rsid w:val="00992CF3"/>
    <w:rsid w:val="00996263"/>
    <w:rsid w:val="009968D6"/>
    <w:rsid w:val="009A1CAB"/>
    <w:rsid w:val="009A2506"/>
    <w:rsid w:val="009A5F22"/>
    <w:rsid w:val="009A60D1"/>
    <w:rsid w:val="009A7D47"/>
    <w:rsid w:val="009B6FD3"/>
    <w:rsid w:val="009C1750"/>
    <w:rsid w:val="009C2E29"/>
    <w:rsid w:val="009C554B"/>
    <w:rsid w:val="009C719E"/>
    <w:rsid w:val="009D1C60"/>
    <w:rsid w:val="009D3ACD"/>
    <w:rsid w:val="009E0097"/>
    <w:rsid w:val="009E2B02"/>
    <w:rsid w:val="009E5273"/>
    <w:rsid w:val="009E5DDB"/>
    <w:rsid w:val="009F4CA7"/>
    <w:rsid w:val="00A000D7"/>
    <w:rsid w:val="00A10D66"/>
    <w:rsid w:val="00A14114"/>
    <w:rsid w:val="00A16413"/>
    <w:rsid w:val="00A174F2"/>
    <w:rsid w:val="00A23696"/>
    <w:rsid w:val="00A23E43"/>
    <w:rsid w:val="00A24E70"/>
    <w:rsid w:val="00A30F65"/>
    <w:rsid w:val="00A32584"/>
    <w:rsid w:val="00A405AE"/>
    <w:rsid w:val="00A418BC"/>
    <w:rsid w:val="00A46DE0"/>
    <w:rsid w:val="00A50D73"/>
    <w:rsid w:val="00A52CAD"/>
    <w:rsid w:val="00A53BEC"/>
    <w:rsid w:val="00A53FC7"/>
    <w:rsid w:val="00A56DCE"/>
    <w:rsid w:val="00A570BE"/>
    <w:rsid w:val="00A62CE1"/>
    <w:rsid w:val="00A6741E"/>
    <w:rsid w:val="00A73844"/>
    <w:rsid w:val="00A75E40"/>
    <w:rsid w:val="00A77D1D"/>
    <w:rsid w:val="00A81F66"/>
    <w:rsid w:val="00A857C0"/>
    <w:rsid w:val="00AA2996"/>
    <w:rsid w:val="00AA52BF"/>
    <w:rsid w:val="00AA559A"/>
    <w:rsid w:val="00AB2AF1"/>
    <w:rsid w:val="00AC1381"/>
    <w:rsid w:val="00AD306C"/>
    <w:rsid w:val="00AD6465"/>
    <w:rsid w:val="00AE09B3"/>
    <w:rsid w:val="00AE1A83"/>
    <w:rsid w:val="00B00913"/>
    <w:rsid w:val="00B01593"/>
    <w:rsid w:val="00B10A4D"/>
    <w:rsid w:val="00B12DAA"/>
    <w:rsid w:val="00B16121"/>
    <w:rsid w:val="00B17E71"/>
    <w:rsid w:val="00B17FDE"/>
    <w:rsid w:val="00B2379C"/>
    <w:rsid w:val="00B2687D"/>
    <w:rsid w:val="00B32DDB"/>
    <w:rsid w:val="00B34528"/>
    <w:rsid w:val="00B402FC"/>
    <w:rsid w:val="00B46604"/>
    <w:rsid w:val="00B530CD"/>
    <w:rsid w:val="00B55F5E"/>
    <w:rsid w:val="00B563D9"/>
    <w:rsid w:val="00B5752E"/>
    <w:rsid w:val="00B63A11"/>
    <w:rsid w:val="00B64C24"/>
    <w:rsid w:val="00B6608F"/>
    <w:rsid w:val="00B679FB"/>
    <w:rsid w:val="00B76D1E"/>
    <w:rsid w:val="00B80EC6"/>
    <w:rsid w:val="00B92D1D"/>
    <w:rsid w:val="00B938C5"/>
    <w:rsid w:val="00B95940"/>
    <w:rsid w:val="00BB46F3"/>
    <w:rsid w:val="00BB4CB1"/>
    <w:rsid w:val="00BB4F98"/>
    <w:rsid w:val="00BB5F44"/>
    <w:rsid w:val="00BC7154"/>
    <w:rsid w:val="00BD366B"/>
    <w:rsid w:val="00BD6D50"/>
    <w:rsid w:val="00BE18B9"/>
    <w:rsid w:val="00BE2495"/>
    <w:rsid w:val="00BE3071"/>
    <w:rsid w:val="00BF1578"/>
    <w:rsid w:val="00C21F94"/>
    <w:rsid w:val="00C27913"/>
    <w:rsid w:val="00C27ECC"/>
    <w:rsid w:val="00C33B68"/>
    <w:rsid w:val="00C36A79"/>
    <w:rsid w:val="00C405D4"/>
    <w:rsid w:val="00C4513B"/>
    <w:rsid w:val="00C54697"/>
    <w:rsid w:val="00C54F8F"/>
    <w:rsid w:val="00C73885"/>
    <w:rsid w:val="00C747B1"/>
    <w:rsid w:val="00C82191"/>
    <w:rsid w:val="00C90CF4"/>
    <w:rsid w:val="00C92EB6"/>
    <w:rsid w:val="00C93389"/>
    <w:rsid w:val="00CB4930"/>
    <w:rsid w:val="00CC2E7D"/>
    <w:rsid w:val="00CD10A5"/>
    <w:rsid w:val="00CD2076"/>
    <w:rsid w:val="00CE670B"/>
    <w:rsid w:val="00CF51EC"/>
    <w:rsid w:val="00CF73AE"/>
    <w:rsid w:val="00CF7F7C"/>
    <w:rsid w:val="00D040DD"/>
    <w:rsid w:val="00D13986"/>
    <w:rsid w:val="00D235B7"/>
    <w:rsid w:val="00D25F28"/>
    <w:rsid w:val="00D27973"/>
    <w:rsid w:val="00D467CF"/>
    <w:rsid w:val="00D50F46"/>
    <w:rsid w:val="00D66223"/>
    <w:rsid w:val="00D8084C"/>
    <w:rsid w:val="00DA59F4"/>
    <w:rsid w:val="00DA7C0C"/>
    <w:rsid w:val="00DB0E2D"/>
    <w:rsid w:val="00DB11CC"/>
    <w:rsid w:val="00DB2EC8"/>
    <w:rsid w:val="00DC5B3B"/>
    <w:rsid w:val="00DD129F"/>
    <w:rsid w:val="00DD2C11"/>
    <w:rsid w:val="00DF42FF"/>
    <w:rsid w:val="00E01C0E"/>
    <w:rsid w:val="00E03F9A"/>
    <w:rsid w:val="00E04694"/>
    <w:rsid w:val="00E12B1E"/>
    <w:rsid w:val="00E17262"/>
    <w:rsid w:val="00E219AC"/>
    <w:rsid w:val="00E253A2"/>
    <w:rsid w:val="00E3309D"/>
    <w:rsid w:val="00E47933"/>
    <w:rsid w:val="00E50156"/>
    <w:rsid w:val="00E53470"/>
    <w:rsid w:val="00E539F6"/>
    <w:rsid w:val="00E64741"/>
    <w:rsid w:val="00E6519D"/>
    <w:rsid w:val="00E67696"/>
    <w:rsid w:val="00E71A58"/>
    <w:rsid w:val="00E72A7A"/>
    <w:rsid w:val="00E75C20"/>
    <w:rsid w:val="00E75C94"/>
    <w:rsid w:val="00E93820"/>
    <w:rsid w:val="00E943EF"/>
    <w:rsid w:val="00E944B9"/>
    <w:rsid w:val="00EA0C68"/>
    <w:rsid w:val="00EA32BC"/>
    <w:rsid w:val="00EB4511"/>
    <w:rsid w:val="00EC03D7"/>
    <w:rsid w:val="00ED62C6"/>
    <w:rsid w:val="00ED64C1"/>
    <w:rsid w:val="00ED7915"/>
    <w:rsid w:val="00EE3446"/>
    <w:rsid w:val="00EE3E78"/>
    <w:rsid w:val="00EE4B1B"/>
    <w:rsid w:val="00EF150D"/>
    <w:rsid w:val="00EF1F5A"/>
    <w:rsid w:val="00EF47BF"/>
    <w:rsid w:val="00F04811"/>
    <w:rsid w:val="00F0488C"/>
    <w:rsid w:val="00F05F5E"/>
    <w:rsid w:val="00F10F11"/>
    <w:rsid w:val="00F12225"/>
    <w:rsid w:val="00F15AAA"/>
    <w:rsid w:val="00F15BEF"/>
    <w:rsid w:val="00F1607C"/>
    <w:rsid w:val="00F17375"/>
    <w:rsid w:val="00F24407"/>
    <w:rsid w:val="00F24FAA"/>
    <w:rsid w:val="00F3364D"/>
    <w:rsid w:val="00F437CC"/>
    <w:rsid w:val="00F47067"/>
    <w:rsid w:val="00F51A74"/>
    <w:rsid w:val="00F525EB"/>
    <w:rsid w:val="00F63DDE"/>
    <w:rsid w:val="00F63FB7"/>
    <w:rsid w:val="00F649D2"/>
    <w:rsid w:val="00F6602B"/>
    <w:rsid w:val="00F7260E"/>
    <w:rsid w:val="00F73A0C"/>
    <w:rsid w:val="00F756DB"/>
    <w:rsid w:val="00F85066"/>
    <w:rsid w:val="00FA515C"/>
    <w:rsid w:val="00FA5D10"/>
    <w:rsid w:val="00FA5D4D"/>
    <w:rsid w:val="00FB0EE2"/>
    <w:rsid w:val="00FB542E"/>
    <w:rsid w:val="00FB55B8"/>
    <w:rsid w:val="00FC0E5F"/>
    <w:rsid w:val="00FC1A95"/>
    <w:rsid w:val="00FC56DE"/>
    <w:rsid w:val="00FC601D"/>
    <w:rsid w:val="00FC684B"/>
    <w:rsid w:val="00FD3265"/>
    <w:rsid w:val="00FE2F78"/>
    <w:rsid w:val="00FF1443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3D26C255"/>
  <w15:docId w15:val="{7DED213C-005F-4710-8F93-84D5F2CF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rsid w:val="001D59A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4C3442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customStyle="1" w:styleId="Default">
    <w:name w:val="Default"/>
    <w:rsid w:val="002659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59EE"/>
    <w:pPr>
      <w:spacing w:after="0" w:line="240" w:lineRule="auto"/>
    </w:pPr>
    <w:rPr>
      <w:rFonts w:ascii="Calibri" w:eastAsia="Calibri" w:hAnsi="Calibr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59EE"/>
  </w:style>
  <w:style w:type="character" w:styleId="Znakapoznpodarou">
    <w:name w:val="footnote reference"/>
    <w:uiPriority w:val="99"/>
    <w:semiHidden/>
    <w:unhideWhenUsed/>
    <w:rsid w:val="002659EE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7D5B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zso.cz/csu/czso/klasifikace_vzdelani_cz_isced_2011" TargetMode="External"/><Relationship Id="rId13" Type="http://schemas.openxmlformats.org/officeDocument/2006/relationships/hyperlink" Target="http://www.msmt.cz/" TargetMode="External"/><Relationship Id="rId18" Type="http://schemas.openxmlformats.org/officeDocument/2006/relationships/chart" Target="charts/chart4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hyperlink" Target="https://www.czso.cz/csu/czso/klasifikace-oboru-vzdelani-cz-isced-f-2013" TargetMode="Externa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zso.cz/csu/czso/klasifikace_vzdelani_cz_isced_2011" TargetMode="Externa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footer" Target="footer1.xml"/><Relationship Id="rId10" Type="http://schemas.openxmlformats.org/officeDocument/2006/relationships/hyperlink" Target="http://www.msmt.cz/vzdelavani/vysoke-skolstvi/legislativa" TargetMode="External"/><Relationship Id="rId19" Type="http://schemas.openxmlformats.org/officeDocument/2006/relationships/chart" Target="charts/chart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smt.cz/file/19743" TargetMode="External"/><Relationship Id="rId14" Type="http://schemas.openxmlformats.org/officeDocument/2006/relationships/hyperlink" Target="http://www.msmt.cz/vzdelavani/vysoke-skolstvi/sims-sdruzene-informace-matrik-studentu-1?highlightWords=Sdru%C5%BEen%C3%A9+informace+matrik+student%C5%AF" TargetMode="External"/><Relationship Id="rId22" Type="http://schemas.openxmlformats.org/officeDocument/2006/relationships/chart" Target="charts/chart8.xm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csu/czso/skoly-a-skolska-zarizeni-skolni-rok-2018201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US~1\AppData\Local\Temp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List_aplikace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List_aplikace_Microsoft_Excel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List_aplikace_Microsoft_Excel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List_aplikace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List_aplikac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List_aplikace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ABFS2\DATA\DATA\ZPRAC\TECHNOL\oddeleni_6301\2_Vzd&#283;l&#225;v&#225;n&#237;\Vzd&#283;l&#225;v&#225;n&#237;%20AO\7_Terci&#225;rn&#237;%20vzdel&#225;van&#237;%20tabulky%20AO\publikace%202018\V&#352;%20grafy_HCH%20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List_aplikace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ABFS2\DATA\DATA\ZPRAC\TECHNOL\oddeleni_6301\2_Vzd&#283;l&#225;v&#225;n&#237;\Vzd&#283;l&#225;v&#225;n&#237;%20AO\7_Terci&#225;rn&#237;%20vzdel&#225;van&#237;%20tabulky%20AO\publikace%202018\V&#352;%20grafy_HCH%20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List_aplikace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258443288816403"/>
          <c:y val="5.0925925925925923E-2"/>
          <c:w val="0.59455262489472349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List1!$B$9</c:f>
              <c:strCache>
                <c:ptCount val="1"/>
                <c:pt idx="0">
                  <c:v>Vysokoškolští studenti celkem</c:v>
                </c:pt>
              </c:strCache>
            </c:strRef>
          </c:tx>
          <c:spPr>
            <a:solidFill>
              <a:srgbClr val="760000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6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B85-459A-9C24-9709F9EDC330}"/>
              </c:ext>
            </c:extLst>
          </c:dPt>
          <c:cat>
            <c:numRef>
              <c:f>List1!$C$8:$K$8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List1!$C$9:$K$9</c:f>
              <c:numCache>
                <c:formatCode>#,##0</c:formatCode>
                <c:ptCount val="9"/>
                <c:pt idx="0">
                  <c:v>395979</c:v>
                </c:pt>
                <c:pt idx="1">
                  <c:v>392039</c:v>
                </c:pt>
                <c:pt idx="2">
                  <c:v>380891</c:v>
                </c:pt>
                <c:pt idx="3">
                  <c:v>367747</c:v>
                </c:pt>
                <c:pt idx="4">
                  <c:v>346893</c:v>
                </c:pt>
                <c:pt idx="5">
                  <c:v>326528</c:v>
                </c:pt>
                <c:pt idx="6">
                  <c:v>311176</c:v>
                </c:pt>
                <c:pt idx="7">
                  <c:v>298817</c:v>
                </c:pt>
                <c:pt idx="8">
                  <c:v>290099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85-459A-9C24-9709F9EDC330}"/>
            </c:ext>
          </c:extLst>
        </c:ser>
        <c:ser>
          <c:idx val="1"/>
          <c:order val="1"/>
          <c:tx>
            <c:strRef>
              <c:f>List1!$B$10</c:f>
              <c:strCache>
                <c:ptCount val="1"/>
                <c:pt idx="0">
                  <c:v>Bakalářský studijní program</c:v>
                </c:pt>
              </c:strCache>
            </c:strRef>
          </c:tx>
          <c:spPr>
            <a:solidFill>
              <a:srgbClr val="97180B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List1!$C$8:$K$8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List1!$C$10:$K$10</c:f>
              <c:numCache>
                <c:formatCode>#,##0</c:formatCode>
                <c:ptCount val="9"/>
                <c:pt idx="0">
                  <c:v>248032</c:v>
                </c:pt>
                <c:pt idx="1">
                  <c:v>243892</c:v>
                </c:pt>
                <c:pt idx="2">
                  <c:v>235257</c:v>
                </c:pt>
                <c:pt idx="3">
                  <c:v>224440</c:v>
                </c:pt>
                <c:pt idx="4">
                  <c:v>207247</c:v>
                </c:pt>
                <c:pt idx="5">
                  <c:v>192382</c:v>
                </c:pt>
                <c:pt idx="6">
                  <c:v>179876</c:v>
                </c:pt>
                <c:pt idx="7">
                  <c:v>172265</c:v>
                </c:pt>
                <c:pt idx="8">
                  <c:v>168226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85-459A-9C24-9709F9EDC330}"/>
            </c:ext>
          </c:extLst>
        </c:ser>
        <c:ser>
          <c:idx val="2"/>
          <c:order val="2"/>
          <c:tx>
            <c:strRef>
              <c:f>List1!$B$11</c:f>
              <c:strCache>
                <c:ptCount val="1"/>
                <c:pt idx="0">
                  <c:v>Magisterský a navazující magisterský studijní program</c:v>
                </c:pt>
              </c:strCache>
            </c:strRef>
          </c:tx>
          <c:spPr>
            <a:solidFill>
              <a:srgbClr val="F4120C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List1!$C$8:$K$8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List1!$C$11:$K$11</c:f>
              <c:numCache>
                <c:formatCode>#,##0</c:formatCode>
                <c:ptCount val="9"/>
                <c:pt idx="0">
                  <c:v>126516</c:v>
                </c:pt>
                <c:pt idx="1">
                  <c:v>126737</c:v>
                </c:pt>
                <c:pt idx="2">
                  <c:v>124463</c:v>
                </c:pt>
                <c:pt idx="3">
                  <c:v>121803</c:v>
                </c:pt>
                <c:pt idx="4">
                  <c:v>118380</c:v>
                </c:pt>
                <c:pt idx="5">
                  <c:v>112883</c:v>
                </c:pt>
                <c:pt idx="6">
                  <c:v>110565</c:v>
                </c:pt>
                <c:pt idx="7">
                  <c:v>106556</c:v>
                </c:pt>
                <c:pt idx="8">
                  <c:v>102465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B85-459A-9C24-9709F9EDC330}"/>
            </c:ext>
          </c:extLst>
        </c:ser>
        <c:ser>
          <c:idx val="3"/>
          <c:order val="3"/>
          <c:tx>
            <c:strRef>
              <c:f>List1!$B$12</c:f>
              <c:strCache>
                <c:ptCount val="1"/>
                <c:pt idx="0">
                  <c:v>Doktorský studijní program</c:v>
                </c:pt>
              </c:strCache>
            </c:strRef>
          </c:tx>
          <c:spPr>
            <a:solidFill>
              <a:srgbClr val="FA7B66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List1!$C$8:$K$8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List1!$C$12:$K$12</c:f>
              <c:numCache>
                <c:formatCode>#,##0</c:formatCode>
                <c:ptCount val="9"/>
                <c:pt idx="0">
                  <c:v>25912</c:v>
                </c:pt>
                <c:pt idx="1">
                  <c:v>25647</c:v>
                </c:pt>
                <c:pt idx="2">
                  <c:v>24793</c:v>
                </c:pt>
                <c:pt idx="3">
                  <c:v>24717</c:v>
                </c:pt>
                <c:pt idx="4">
                  <c:v>24205</c:v>
                </c:pt>
                <c:pt idx="5">
                  <c:v>23861</c:v>
                </c:pt>
                <c:pt idx="6">
                  <c:v>23184</c:v>
                </c:pt>
                <c:pt idx="7">
                  <c:v>22129</c:v>
                </c:pt>
                <c:pt idx="8">
                  <c:v>21378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B85-459A-9C24-9709F9EDC3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1"/>
        <c:axId val="407936384"/>
        <c:axId val="407942208"/>
      </c:barChart>
      <c:catAx>
        <c:axId val="40793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7942208"/>
        <c:crosses val="autoZero"/>
        <c:auto val="1"/>
        <c:lblAlgn val="ctr"/>
        <c:lblOffset val="100"/>
        <c:noMultiLvlLbl val="0"/>
      </c:catAx>
      <c:valAx>
        <c:axId val="407942208"/>
        <c:scaling>
          <c:orientation val="minMax"/>
          <c:max val="4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7936384"/>
        <c:crosses val="autoZero"/>
        <c:crossBetween val="between"/>
        <c:dispUnits>
          <c:builtInUnit val="thousand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 sz="800">
                      <a:latin typeface="Arial" panose="020B0604020202020204" pitchFamily="34" charset="0"/>
                      <a:cs typeface="Arial" panose="020B0604020202020204" pitchFamily="34" charset="0"/>
                    </a:rPr>
                    <a:t>Tisíce studentů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940078160858067"/>
          <c:y val="0.24305336832895888"/>
          <c:w val="0.27701687543725967"/>
          <c:h val="0.513893263342082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List12!$C$5</c:f>
              <c:strCache>
                <c:ptCount val="1"/>
                <c:pt idx="0">
                  <c:v>Studenti</c:v>
                </c:pt>
              </c:strCache>
            </c:strRef>
          </c:tx>
          <c:spPr>
            <a:ln w="28575" cap="rnd">
              <a:solidFill>
                <a:srgbClr val="C70E09"/>
              </a:solidFill>
              <a:round/>
            </a:ln>
            <a:effectLst/>
          </c:spPr>
          <c:marker>
            <c:symbol val="none"/>
          </c:marker>
          <c:cat>
            <c:strRef>
              <c:f>List12!$B$6:$B$16</c:f>
              <c:strCache>
                <c:ptCount val="11"/>
                <c:pt idx="0">
                  <c:v>2008/09</c:v>
                </c:pt>
                <c:pt idx="1">
                  <c:v>2009/10</c:v>
                </c:pt>
                <c:pt idx="2">
                  <c:v>2010/11</c:v>
                </c:pt>
                <c:pt idx="3">
                  <c:v>2011/12</c:v>
                </c:pt>
                <c:pt idx="4">
                  <c:v>2012/13</c:v>
                </c:pt>
                <c:pt idx="5">
                  <c:v>2013/14</c:v>
                </c:pt>
                <c:pt idx="6">
                  <c:v>2014/15</c:v>
                </c:pt>
                <c:pt idx="7">
                  <c:v>2015/16</c:v>
                </c:pt>
                <c:pt idx="8">
                  <c:v>2016/17</c:v>
                </c:pt>
                <c:pt idx="9">
                  <c:v>2017/18</c:v>
                </c:pt>
                <c:pt idx="10">
                  <c:v>2018/19</c:v>
                </c:pt>
              </c:strCache>
            </c:strRef>
          </c:cat>
          <c:val>
            <c:numRef>
              <c:f>List12!$C$6:$C$16</c:f>
              <c:numCache>
                <c:formatCode>#\ ##0_ ;\-#\ ##0\ </c:formatCode>
                <c:ptCount val="11"/>
                <c:pt idx="0">
                  <c:v>28027</c:v>
                </c:pt>
                <c:pt idx="1">
                  <c:v>28749</c:v>
                </c:pt>
                <c:pt idx="2">
                  <c:v>29800</c:v>
                </c:pt>
                <c:pt idx="3">
                  <c:v>29335</c:v>
                </c:pt>
                <c:pt idx="4">
                  <c:v>28980</c:v>
                </c:pt>
                <c:pt idx="5">
                  <c:v>28332</c:v>
                </c:pt>
                <c:pt idx="6">
                  <c:v>26964</c:v>
                </c:pt>
                <c:pt idx="7">
                  <c:v>24786</c:v>
                </c:pt>
                <c:pt idx="8">
                  <c:v>22002</c:v>
                </c:pt>
                <c:pt idx="9">
                  <c:v>19883</c:v>
                </c:pt>
                <c:pt idx="10">
                  <c:v>18416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4B-4600-8DA4-02BC1E741C93}"/>
            </c:ext>
          </c:extLst>
        </c:ser>
        <c:ser>
          <c:idx val="1"/>
          <c:order val="1"/>
          <c:tx>
            <c:strRef>
              <c:f>List12!$D$5</c:f>
              <c:strCache>
                <c:ptCount val="1"/>
                <c:pt idx="0">
                  <c:v>Nově přijatí do 1. ročníku</c:v>
                </c:pt>
              </c:strCache>
            </c:strRef>
          </c:tx>
          <c:spPr>
            <a:ln w="28575" cap="rnd">
              <a:solidFill>
                <a:srgbClr val="500000"/>
              </a:solidFill>
              <a:round/>
            </a:ln>
            <a:effectLst/>
          </c:spPr>
          <c:marker>
            <c:symbol val="none"/>
          </c:marker>
          <c:cat>
            <c:strRef>
              <c:f>List12!$B$6:$B$16</c:f>
              <c:strCache>
                <c:ptCount val="11"/>
                <c:pt idx="0">
                  <c:v>2008/09</c:v>
                </c:pt>
                <c:pt idx="1">
                  <c:v>2009/10</c:v>
                </c:pt>
                <c:pt idx="2">
                  <c:v>2010/11</c:v>
                </c:pt>
                <c:pt idx="3">
                  <c:v>2011/12</c:v>
                </c:pt>
                <c:pt idx="4">
                  <c:v>2012/13</c:v>
                </c:pt>
                <c:pt idx="5">
                  <c:v>2013/14</c:v>
                </c:pt>
                <c:pt idx="6">
                  <c:v>2014/15</c:v>
                </c:pt>
                <c:pt idx="7">
                  <c:v>2015/16</c:v>
                </c:pt>
                <c:pt idx="8">
                  <c:v>2016/17</c:v>
                </c:pt>
                <c:pt idx="9">
                  <c:v>2017/18</c:v>
                </c:pt>
                <c:pt idx="10">
                  <c:v>2018/19</c:v>
                </c:pt>
              </c:strCache>
            </c:strRef>
          </c:cat>
          <c:val>
            <c:numRef>
              <c:f>List12!$D$6:$D$16</c:f>
              <c:numCache>
                <c:formatCode>#\ ##0_ ;\-#\ ##0\ </c:formatCode>
                <c:ptCount val="11"/>
                <c:pt idx="0">
                  <c:v>11003</c:v>
                </c:pt>
                <c:pt idx="1">
                  <c:v>11870</c:v>
                </c:pt>
                <c:pt idx="2">
                  <c:v>12838</c:v>
                </c:pt>
                <c:pt idx="3">
                  <c:v>11780</c:v>
                </c:pt>
                <c:pt idx="4">
                  <c:v>11966</c:v>
                </c:pt>
                <c:pt idx="5">
                  <c:v>11805</c:v>
                </c:pt>
                <c:pt idx="6">
                  <c:v>10757</c:v>
                </c:pt>
                <c:pt idx="7">
                  <c:v>9868</c:v>
                </c:pt>
                <c:pt idx="8">
                  <c:v>8684</c:v>
                </c:pt>
                <c:pt idx="9">
                  <c:v>7878</c:v>
                </c:pt>
                <c:pt idx="10">
                  <c:v>7361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4B-4600-8DA4-02BC1E741C93}"/>
            </c:ext>
          </c:extLst>
        </c:ser>
        <c:ser>
          <c:idx val="2"/>
          <c:order val="2"/>
          <c:tx>
            <c:strRef>
              <c:f>List12!$E$5</c:f>
              <c:strCache>
                <c:ptCount val="1"/>
                <c:pt idx="0">
                  <c:v>Absolventi</c:v>
                </c:pt>
              </c:strCache>
            </c:strRef>
          </c:tx>
          <c:spPr>
            <a:ln w="28575" cap="rnd">
              <a:solidFill>
                <a:srgbClr val="FF4B4F"/>
              </a:solidFill>
              <a:round/>
            </a:ln>
            <a:effectLst/>
          </c:spPr>
          <c:marker>
            <c:symbol val="none"/>
          </c:marker>
          <c:cat>
            <c:strRef>
              <c:f>List12!$B$6:$B$16</c:f>
              <c:strCache>
                <c:ptCount val="11"/>
                <c:pt idx="0">
                  <c:v>2008/09</c:v>
                </c:pt>
                <c:pt idx="1">
                  <c:v>2009/10</c:v>
                </c:pt>
                <c:pt idx="2">
                  <c:v>2010/11</c:v>
                </c:pt>
                <c:pt idx="3">
                  <c:v>2011/12</c:v>
                </c:pt>
                <c:pt idx="4">
                  <c:v>2012/13</c:v>
                </c:pt>
                <c:pt idx="5">
                  <c:v>2013/14</c:v>
                </c:pt>
                <c:pt idx="6">
                  <c:v>2014/15</c:v>
                </c:pt>
                <c:pt idx="7">
                  <c:v>2015/16</c:v>
                </c:pt>
                <c:pt idx="8">
                  <c:v>2016/17</c:v>
                </c:pt>
                <c:pt idx="9">
                  <c:v>2017/18</c:v>
                </c:pt>
                <c:pt idx="10">
                  <c:v>2018/19</c:v>
                </c:pt>
              </c:strCache>
            </c:strRef>
          </c:cat>
          <c:val>
            <c:numRef>
              <c:f>List12!$E$6:$E$16</c:f>
              <c:numCache>
                <c:formatCode>#\ ##0_ ;\-#\ ##0\ </c:formatCode>
                <c:ptCount val="11"/>
                <c:pt idx="0">
                  <c:v>6185</c:v>
                </c:pt>
                <c:pt idx="1">
                  <c:v>6352</c:v>
                </c:pt>
                <c:pt idx="2">
                  <c:v>6410</c:v>
                </c:pt>
                <c:pt idx="3">
                  <c:v>6607</c:v>
                </c:pt>
                <c:pt idx="4">
                  <c:v>6437</c:v>
                </c:pt>
                <c:pt idx="5">
                  <c:v>6052</c:v>
                </c:pt>
                <c:pt idx="6">
                  <c:v>6035</c:v>
                </c:pt>
                <c:pt idx="7">
                  <c:v>5685</c:v>
                </c:pt>
                <c:pt idx="8">
                  <c:v>5174</c:v>
                </c:pt>
                <c:pt idx="9">
                  <c:v>4582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C4B-4600-8DA4-02BC1E741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4530528"/>
        <c:axId val="495609840"/>
      </c:lineChart>
      <c:catAx>
        <c:axId val="51453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5609840"/>
        <c:crosses val="autoZero"/>
        <c:auto val="1"/>
        <c:lblAlgn val="ctr"/>
        <c:lblOffset val="100"/>
        <c:noMultiLvlLbl val="0"/>
      </c:catAx>
      <c:valAx>
        <c:axId val="49560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 ;\-#\ ##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4530528"/>
        <c:crosses val="autoZero"/>
        <c:crossBetween val="between"/>
        <c:dispUnits>
          <c:builtInUnit val="thousand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 sz="800">
                      <a:latin typeface="Arial" panose="020B0604020202020204" pitchFamily="34" charset="0"/>
                      <a:cs typeface="Arial" panose="020B0604020202020204" pitchFamily="34" charset="0"/>
                    </a:rPr>
                    <a:t>Tisíce studentů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cs-CZ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List13!$C$2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760000"/>
            </a:solidFill>
            <a:ln>
              <a:noFill/>
            </a:ln>
            <a:effectLst/>
          </c:spPr>
          <c:invertIfNegative val="0"/>
          <c:cat>
            <c:strRef>
              <c:f>List13!$B$3:$B$6</c:f>
              <c:strCache>
                <c:ptCount val="4"/>
                <c:pt idx="0">
                  <c:v>Zdravotní a sociální péče, péče o příznivé životní podmínky</c:v>
                </c:pt>
                <c:pt idx="1">
                  <c:v>Obchod, administrativa a právo</c:v>
                </c:pt>
                <c:pt idx="2">
                  <c:v>Služby</c:v>
                </c:pt>
                <c:pt idx="3">
                  <c:v>Technika, výroba a stavebnictví</c:v>
                </c:pt>
              </c:strCache>
            </c:strRef>
          </c:cat>
          <c:val>
            <c:numRef>
              <c:f>List13!$C$3:$C$6</c:f>
              <c:numCache>
                <c:formatCode>General</c:formatCode>
                <c:ptCount val="4"/>
                <c:pt idx="0">
                  <c:v>7991</c:v>
                </c:pt>
                <c:pt idx="1">
                  <c:v>2016</c:v>
                </c:pt>
                <c:pt idx="2">
                  <c:v>924</c:v>
                </c:pt>
                <c:pt idx="3">
                  <c:v>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38-45E5-9321-56E753A835B9}"/>
            </c:ext>
          </c:extLst>
        </c:ser>
        <c:ser>
          <c:idx val="1"/>
          <c:order val="1"/>
          <c:tx>
            <c:strRef>
              <c:f>List13!$D$2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F4120C"/>
            </a:solidFill>
            <a:ln>
              <a:noFill/>
            </a:ln>
            <a:effectLst/>
          </c:spPr>
          <c:invertIfNegative val="0"/>
          <c:cat>
            <c:strRef>
              <c:f>List13!$B$3:$B$6</c:f>
              <c:strCache>
                <c:ptCount val="4"/>
                <c:pt idx="0">
                  <c:v>Zdravotní a sociální péče, péče o příznivé životní podmínky</c:v>
                </c:pt>
                <c:pt idx="1">
                  <c:v>Obchod, administrativa a právo</c:v>
                </c:pt>
                <c:pt idx="2">
                  <c:v>Služby</c:v>
                </c:pt>
                <c:pt idx="3">
                  <c:v>Technika, výroba a stavebnictví</c:v>
                </c:pt>
              </c:strCache>
            </c:strRef>
          </c:cat>
          <c:val>
            <c:numRef>
              <c:f>List13!$D$3:$D$6</c:f>
              <c:numCache>
                <c:formatCode>General</c:formatCode>
                <c:ptCount val="4"/>
                <c:pt idx="0">
                  <c:v>1226</c:v>
                </c:pt>
                <c:pt idx="1">
                  <c:v>1036</c:v>
                </c:pt>
                <c:pt idx="2">
                  <c:v>949</c:v>
                </c:pt>
                <c:pt idx="3">
                  <c:v>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38-45E5-9321-56E753A83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970784"/>
        <c:axId val="499971200"/>
      </c:barChart>
      <c:catAx>
        <c:axId val="49997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9971200"/>
        <c:crosses val="autoZero"/>
        <c:auto val="1"/>
        <c:lblAlgn val="ctr"/>
        <c:lblOffset val="100"/>
        <c:noMultiLvlLbl val="0"/>
      </c:catAx>
      <c:valAx>
        <c:axId val="49997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9970784"/>
        <c:crosses val="autoZero"/>
        <c:crossBetween val="between"/>
        <c:dispUnits>
          <c:builtInUnit val="thousand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 sz="800">
                      <a:latin typeface="Arial" panose="020B0604020202020204" pitchFamily="34" charset="0"/>
                      <a:cs typeface="Arial" panose="020B0604020202020204" pitchFamily="34" charset="0"/>
                    </a:rPr>
                    <a:t>Tisíce studentů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List2!$C$2</c:f>
              <c:strCache>
                <c:ptCount val="1"/>
                <c:pt idx="0">
                  <c:v>Veřejné vysoké školy</c:v>
                </c:pt>
              </c:strCache>
            </c:strRef>
          </c:tx>
          <c:spPr>
            <a:solidFill>
              <a:srgbClr val="76000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List2!$B$3:$B$13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List2!$C$3:$C$13</c:f>
              <c:numCache>
                <c:formatCode>General</c:formatCode>
                <c:ptCount val="11"/>
                <c:pt idx="0">
                  <c:v>319154</c:v>
                </c:pt>
                <c:pt idx="1">
                  <c:v>333146</c:v>
                </c:pt>
                <c:pt idx="2">
                  <c:v>339356</c:v>
                </c:pt>
                <c:pt idx="3">
                  <c:v>339037</c:v>
                </c:pt>
                <c:pt idx="4">
                  <c:v>333283</c:v>
                </c:pt>
                <c:pt idx="5">
                  <c:v>324945</c:v>
                </c:pt>
                <c:pt idx="6">
                  <c:v>308212</c:v>
                </c:pt>
                <c:pt idx="7">
                  <c:v>292431</c:v>
                </c:pt>
                <c:pt idx="8">
                  <c:v>280173</c:v>
                </c:pt>
                <c:pt idx="9">
                  <c:v>269468</c:v>
                </c:pt>
                <c:pt idx="10">
                  <c:v>261796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1E-4396-B7B3-F130D632E41E}"/>
            </c:ext>
          </c:extLst>
        </c:ser>
        <c:ser>
          <c:idx val="1"/>
          <c:order val="1"/>
          <c:tx>
            <c:strRef>
              <c:f>List2!$D$2</c:f>
              <c:strCache>
                <c:ptCount val="1"/>
                <c:pt idx="0">
                  <c:v>Soukromé vysoké školy</c:v>
                </c:pt>
              </c:strCache>
            </c:strRef>
          </c:tx>
          <c:spPr>
            <a:solidFill>
              <a:srgbClr val="FA7B66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numRef>
              <c:f>List2!$B$3:$B$13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List2!$D$3:$D$13</c:f>
              <c:numCache>
                <c:formatCode>General</c:formatCode>
                <c:ptCount val="11"/>
                <c:pt idx="0">
                  <c:v>49528</c:v>
                </c:pt>
                <c:pt idx="1">
                  <c:v>56537</c:v>
                </c:pt>
                <c:pt idx="2">
                  <c:v>57324</c:v>
                </c:pt>
                <c:pt idx="3">
                  <c:v>53660</c:v>
                </c:pt>
                <c:pt idx="4">
                  <c:v>48193</c:v>
                </c:pt>
                <c:pt idx="5">
                  <c:v>43372</c:v>
                </c:pt>
                <c:pt idx="6">
                  <c:v>39207</c:v>
                </c:pt>
                <c:pt idx="7">
                  <c:v>34556</c:v>
                </c:pt>
                <c:pt idx="8">
                  <c:v>31460</c:v>
                </c:pt>
                <c:pt idx="9">
                  <c:v>29808</c:v>
                </c:pt>
                <c:pt idx="10">
                  <c:v>28726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1E-4396-B7B3-F130D632E4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4821440"/>
        <c:axId val="334821856"/>
      </c:barChart>
      <c:catAx>
        <c:axId val="33482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4821856"/>
        <c:crosses val="autoZero"/>
        <c:auto val="1"/>
        <c:lblAlgn val="ctr"/>
        <c:lblOffset val="100"/>
        <c:noMultiLvlLbl val="0"/>
      </c:catAx>
      <c:valAx>
        <c:axId val="334821856"/>
        <c:scaling>
          <c:orientation val="minMax"/>
          <c:max val="4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4821440"/>
        <c:crosses val="autoZero"/>
        <c:crossBetween val="between"/>
        <c:dispUnits>
          <c:builtInUnit val="thousand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 sz="800">
                      <a:latin typeface="Arial" panose="020B0604020202020204" pitchFamily="34" charset="0"/>
                      <a:cs typeface="Arial" panose="020B0604020202020204" pitchFamily="34" charset="0"/>
                    </a:rPr>
                    <a:t>Tisíce studentů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List3!$C$3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List3!$B$4:$B$14</c:f>
              <c:numCache>
                <c:formatCode>General</c:formatCode>
                <c:ptCount val="11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  <c:pt idx="8">
                  <c:v>2008</c:v>
                </c:pt>
                <c:pt idx="9">
                  <c:v>2013</c:v>
                </c:pt>
                <c:pt idx="10">
                  <c:v>2018</c:v>
                </c:pt>
              </c:numCache>
            </c:numRef>
          </c:cat>
          <c:val>
            <c:numRef>
              <c:f>List3!$C$4:$C$14</c:f>
              <c:numCache>
                <c:formatCode>0.0%</c:formatCode>
                <c:ptCount val="11"/>
                <c:pt idx="0">
                  <c:v>0.52654013439142278</c:v>
                </c:pt>
                <c:pt idx="1">
                  <c:v>0.5416747289603453</c:v>
                </c:pt>
                <c:pt idx="2">
                  <c:v>0.53980652205450064</c:v>
                </c:pt>
                <c:pt idx="4">
                  <c:v>0.59852538445333892</c:v>
                </c:pt>
                <c:pt idx="5">
                  <c:v>0.59138444127755885</c:v>
                </c:pt>
                <c:pt idx="6">
                  <c:v>0.58472464490406184</c:v>
                </c:pt>
                <c:pt idx="8">
                  <c:v>0.43749404931924213</c:v>
                </c:pt>
                <c:pt idx="9">
                  <c:v>0.46957866254348668</c:v>
                </c:pt>
                <c:pt idx="10">
                  <c:v>0.47812648597242036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15-426B-A5DE-25F232C5874E}"/>
            </c:ext>
          </c:extLst>
        </c:ser>
        <c:ser>
          <c:idx val="1"/>
          <c:order val="1"/>
          <c:tx>
            <c:strRef>
              <c:f>List3!$D$3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List3!$B$4:$B$14</c:f>
              <c:numCache>
                <c:formatCode>General</c:formatCode>
                <c:ptCount val="11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  <c:pt idx="8">
                  <c:v>2008</c:v>
                </c:pt>
                <c:pt idx="9">
                  <c:v>2013</c:v>
                </c:pt>
                <c:pt idx="10">
                  <c:v>2018</c:v>
                </c:pt>
              </c:numCache>
            </c:numRef>
          </c:cat>
          <c:val>
            <c:numRef>
              <c:f>List3!$D$4:$D$14</c:f>
              <c:numCache>
                <c:formatCode>0.0%</c:formatCode>
                <c:ptCount val="11"/>
                <c:pt idx="0">
                  <c:v>0.47345986560857722</c:v>
                </c:pt>
                <c:pt idx="1">
                  <c:v>0.45832527103965476</c:v>
                </c:pt>
                <c:pt idx="2">
                  <c:v>0.46019347794549936</c:v>
                </c:pt>
                <c:pt idx="4">
                  <c:v>0.40147461554666103</c:v>
                </c:pt>
                <c:pt idx="5">
                  <c:v>0.4086155587224411</c:v>
                </c:pt>
                <c:pt idx="6">
                  <c:v>0.41527535509593821</c:v>
                </c:pt>
                <c:pt idx="8">
                  <c:v>0.56250595068075793</c:v>
                </c:pt>
                <c:pt idx="9">
                  <c:v>0.53042133745651332</c:v>
                </c:pt>
                <c:pt idx="10">
                  <c:v>0.52187351402757964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15-426B-A5DE-25F232C58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1621600"/>
        <c:axId val="482932864"/>
      </c:barChart>
      <c:catAx>
        <c:axId val="33162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82932864"/>
        <c:crossesAt val="0"/>
        <c:auto val="1"/>
        <c:lblAlgn val="ctr"/>
        <c:lblOffset val="100"/>
        <c:noMultiLvlLbl val="0"/>
      </c:catAx>
      <c:valAx>
        <c:axId val="4829328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33162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974453193350829"/>
          <c:y val="0.93576334208223977"/>
          <c:w val="0.18051071741032371"/>
          <c:h val="3.64588801399824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List6!$C$3</c:f>
              <c:strCache>
                <c:ptCount val="1"/>
                <c:pt idx="0">
                  <c:v>veřejné VŠ</c:v>
                </c:pt>
              </c:strCache>
            </c:strRef>
          </c:tx>
          <c:spPr>
            <a:solidFill>
              <a:srgbClr val="97180B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List6!$B$4:$B$13</c:f>
              <c:strCache>
                <c:ptCount val="10"/>
                <c:pt idx="0">
                  <c:v>Služby</c:v>
                </c:pt>
                <c:pt idx="1">
                  <c:v>Zdravotní a sociální péče</c:v>
                </c:pt>
                <c:pt idx="2">
                  <c:v>Zemědělství, lesnictví, rybářství a veterinářství</c:v>
                </c:pt>
                <c:pt idx="3">
                  <c:v>Technika, výroba a stavebníctví</c:v>
                </c:pt>
                <c:pt idx="4">
                  <c:v> Informační a komunikační technologie </c:v>
                </c:pt>
                <c:pt idx="5">
                  <c:v>Přírodní vědy, matematika a stratistika</c:v>
                </c:pt>
                <c:pt idx="6">
                  <c:v>Obchod, administrativa a právo</c:v>
                </c:pt>
                <c:pt idx="7">
                  <c:v> Společenské vědy, žurnalistika a informační vědy</c:v>
                </c:pt>
                <c:pt idx="8">
                  <c:v>Umění a humanitní vědy</c:v>
                </c:pt>
                <c:pt idx="9">
                  <c:v>Vzdělávaní a výchova</c:v>
                </c:pt>
              </c:strCache>
            </c:strRef>
          </c:cat>
          <c:val>
            <c:numRef>
              <c:f>List6!$C$4:$C$13</c:f>
              <c:numCache>
                <c:formatCode>#,##0</c:formatCode>
                <c:ptCount val="10"/>
                <c:pt idx="0">
                  <c:v>11996</c:v>
                </c:pt>
                <c:pt idx="1">
                  <c:v>34080</c:v>
                </c:pt>
                <c:pt idx="2">
                  <c:v>11450</c:v>
                </c:pt>
                <c:pt idx="3">
                  <c:v>45423</c:v>
                </c:pt>
                <c:pt idx="4">
                  <c:v>19554</c:v>
                </c:pt>
                <c:pt idx="5">
                  <c:v>18580</c:v>
                </c:pt>
                <c:pt idx="6">
                  <c:v>43866</c:v>
                </c:pt>
                <c:pt idx="7">
                  <c:v>22710</c:v>
                </c:pt>
                <c:pt idx="8">
                  <c:v>27904</c:v>
                </c:pt>
                <c:pt idx="9">
                  <c:v>29467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4B-4BEB-BCBE-5A0232F3318A}"/>
            </c:ext>
          </c:extLst>
        </c:ser>
        <c:ser>
          <c:idx val="1"/>
          <c:order val="1"/>
          <c:tx>
            <c:strRef>
              <c:f>List6!$D$3</c:f>
              <c:strCache>
                <c:ptCount val="1"/>
                <c:pt idx="0">
                  <c:v>soukromé VŠ</c:v>
                </c:pt>
              </c:strCache>
            </c:strRef>
          </c:tx>
          <c:spPr>
            <a:solidFill>
              <a:srgbClr val="FF4B4F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1"/>
              <c:layout>
                <c:manualLayout>
                  <c:x val="1.63098878695208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14B-4BEB-BCBE-5A0232F3318A}"/>
                </c:ext>
              </c:extLst>
            </c:dLbl>
            <c:dLbl>
              <c:idx val="2"/>
              <c:layout>
                <c:manualLayout>
                  <c:x val="2.0387359836901122E-2"/>
                  <c:y val="-6.84710421943932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14B-4BEB-BCBE-5A0232F3318A}"/>
                </c:ext>
              </c:extLst>
            </c:dLbl>
            <c:dLbl>
              <c:idx val="3"/>
              <c:layout>
                <c:manualLayout>
                  <c:x val="1.8348623853210861E-2"/>
                  <c:y val="-6.84710421943932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14B-4BEB-BCBE-5A0232F3318A}"/>
                </c:ext>
              </c:extLst>
            </c:dLbl>
            <c:dLbl>
              <c:idx val="4"/>
              <c:layout>
                <c:manualLayout>
                  <c:x val="2.65035677879714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14B-4BEB-BCBE-5A0232F3318A}"/>
                </c:ext>
              </c:extLst>
            </c:dLbl>
            <c:dLbl>
              <c:idx val="5"/>
              <c:layout>
                <c:manualLayout>
                  <c:x val="1.8348623853210934E-2"/>
                  <c:y val="-6.84710421943932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14B-4BEB-BCBE-5A0232F3318A}"/>
                </c:ext>
              </c:extLst>
            </c:dLbl>
            <c:dLbl>
              <c:idx val="8"/>
              <c:layout>
                <c:manualLayout>
                  <c:x val="4.1794167930843507E-2"/>
                  <c:y val="-9.3370681605975739E-3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303771661569821E-2"/>
                      <c:h val="4.849687906658726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514B-4BEB-BCBE-5A0232F3318A}"/>
                </c:ext>
              </c:extLst>
            </c:dLbl>
            <c:dLbl>
              <c:idx val="9"/>
              <c:layout>
                <c:manualLayout>
                  <c:x val="3.0581039755351608E-2"/>
                  <c:y val="3.7348272642390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14B-4BEB-BCBE-5A0232F3318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List6!$B$4:$B$13</c:f>
              <c:strCache>
                <c:ptCount val="10"/>
                <c:pt idx="0">
                  <c:v>Služby</c:v>
                </c:pt>
                <c:pt idx="1">
                  <c:v>Zdravotní a sociální péče</c:v>
                </c:pt>
                <c:pt idx="2">
                  <c:v>Zemědělství, lesnictví, rybářství a veterinářství</c:v>
                </c:pt>
                <c:pt idx="3">
                  <c:v>Technika, výroba a stavebníctví</c:v>
                </c:pt>
                <c:pt idx="4">
                  <c:v> Informační a komunikační technologie </c:v>
                </c:pt>
                <c:pt idx="5">
                  <c:v>Přírodní vědy, matematika a stratistika</c:v>
                </c:pt>
                <c:pt idx="6">
                  <c:v>Obchod, administrativa a právo</c:v>
                </c:pt>
                <c:pt idx="7">
                  <c:v> Společenské vědy, žurnalistika a informační vědy</c:v>
                </c:pt>
                <c:pt idx="8">
                  <c:v>Umění a humanitní vědy</c:v>
                </c:pt>
                <c:pt idx="9">
                  <c:v>Vzdělávaní a výchova</c:v>
                </c:pt>
              </c:strCache>
            </c:strRef>
          </c:cat>
          <c:val>
            <c:numRef>
              <c:f>List6!$D$4:$D$13</c:f>
              <c:numCache>
                <c:formatCode>#,##0</c:formatCode>
                <c:ptCount val="10"/>
                <c:pt idx="0">
                  <c:v>4134</c:v>
                </c:pt>
                <c:pt idx="1">
                  <c:v>913</c:v>
                </c:pt>
                <c:pt idx="2">
                  <c:v>0</c:v>
                </c:pt>
                <c:pt idx="3">
                  <c:v>161</c:v>
                </c:pt>
                <c:pt idx="4">
                  <c:v>506</c:v>
                </c:pt>
                <c:pt idx="5">
                  <c:v>0</c:v>
                </c:pt>
                <c:pt idx="6">
                  <c:v>14743</c:v>
                </c:pt>
                <c:pt idx="7">
                  <c:v>6220</c:v>
                </c:pt>
                <c:pt idx="8">
                  <c:v>772</c:v>
                </c:pt>
                <c:pt idx="9">
                  <c:v>1303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14B-4BEB-BCBE-5A0232F331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1512080"/>
        <c:axId val="471512912"/>
      </c:barChart>
      <c:catAx>
        <c:axId val="471512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2">
                    <a:lumMod val="50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71512912"/>
        <c:crosses val="autoZero"/>
        <c:auto val="1"/>
        <c:lblAlgn val="ctr"/>
        <c:lblOffset val="100"/>
        <c:noMultiLvlLbl val="0"/>
      </c:catAx>
      <c:valAx>
        <c:axId val="471512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71512080"/>
        <c:crosses val="autoZero"/>
        <c:crossBetween val="between"/>
        <c:dispUnits>
          <c:builtInUnit val="thousands"/>
          <c:dispUnitsLbl>
            <c:layout/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cs-CZ"/>
                    <a:t>Tisíce studentů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814372851280911"/>
          <c:y val="5.092594199370426E-2"/>
          <c:w val="0.62302776237477353"/>
          <c:h val="0.7955138998628631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List4!$B$5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43,5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3FC-45C7-B11B-DB9C55F750A1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73,0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3FC-45C7-B11B-DB9C55F750A1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62,1 %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3FC-45C7-B11B-DB9C55F750A1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32,6 %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3FC-45C7-B11B-DB9C55F750A1}"/>
                </c:ext>
              </c:extLst>
            </c:dLbl>
            <c:dLbl>
              <c:idx val="4"/>
              <c:layout>
                <c:manualLayout>
                  <c:x val="1.047909223790121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16,5 %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3FC-45C7-B11B-DB9C55F750A1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58,8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3FC-45C7-B11B-DB9C55F750A1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57,2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3FC-45C7-B11B-DB9C55F750A1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62,5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3FC-45C7-B11B-DB9C55F750A1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66,1%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3FC-45C7-B11B-DB9C55F750A1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81,5%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3FC-45C7-B11B-DB9C55F750A1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List4!$A$6:$A$15</c:f>
              <c:strCache>
                <c:ptCount val="10"/>
                <c:pt idx="0">
                  <c:v>Služby</c:v>
                </c:pt>
                <c:pt idx="1">
                  <c:v>Zdravotní a sociální péče</c:v>
                </c:pt>
                <c:pt idx="2">
                  <c:v>Zemědělství, lesnictví, rybářství a veterinářství</c:v>
                </c:pt>
                <c:pt idx="3">
                  <c:v>Technika, výroba a stavebníctví</c:v>
                </c:pt>
                <c:pt idx="4">
                  <c:v> Informační a komunikační technologie </c:v>
                </c:pt>
                <c:pt idx="5">
                  <c:v>Přírodní vědy, matematika a stratistika</c:v>
                </c:pt>
                <c:pt idx="6">
                  <c:v>Obchod, administrativa a právo</c:v>
                </c:pt>
                <c:pt idx="7">
                  <c:v> Společenské vědy, žurnalistika a informační vědy</c:v>
                </c:pt>
                <c:pt idx="8">
                  <c:v>Umění a humanitní vědy</c:v>
                </c:pt>
                <c:pt idx="9">
                  <c:v>Vzdělávaní a výchova</c:v>
                </c:pt>
              </c:strCache>
            </c:strRef>
          </c:cat>
          <c:val>
            <c:numRef>
              <c:f>List4!$B$6:$B$15</c:f>
              <c:numCache>
                <c:formatCode>#,##0</c:formatCode>
                <c:ptCount val="10"/>
                <c:pt idx="0">
                  <c:v>7009</c:v>
                </c:pt>
                <c:pt idx="1">
                  <c:v>25550</c:v>
                </c:pt>
                <c:pt idx="2">
                  <c:v>7113</c:v>
                </c:pt>
                <c:pt idx="3">
                  <c:v>14851</c:v>
                </c:pt>
                <c:pt idx="4">
                  <c:v>3309</c:v>
                </c:pt>
                <c:pt idx="5">
                  <c:v>10924</c:v>
                </c:pt>
                <c:pt idx="6">
                  <c:v>33463</c:v>
                </c:pt>
                <c:pt idx="7">
                  <c:v>18070</c:v>
                </c:pt>
                <c:pt idx="8">
                  <c:v>18954</c:v>
                </c:pt>
                <c:pt idx="9">
                  <c:v>25062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3FC-45C7-B11B-DB9C55F750A1}"/>
            </c:ext>
          </c:extLst>
        </c:ser>
        <c:ser>
          <c:idx val="1"/>
          <c:order val="1"/>
          <c:tx>
            <c:strRef>
              <c:f>List4!$C$5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List4!$A$6:$A$15</c:f>
              <c:strCache>
                <c:ptCount val="10"/>
                <c:pt idx="0">
                  <c:v>Služby</c:v>
                </c:pt>
                <c:pt idx="1">
                  <c:v>Zdravotní a sociální péče</c:v>
                </c:pt>
                <c:pt idx="2">
                  <c:v>Zemědělství, lesnictví, rybářství a veterinářství</c:v>
                </c:pt>
                <c:pt idx="3">
                  <c:v>Technika, výroba a stavebníctví</c:v>
                </c:pt>
                <c:pt idx="4">
                  <c:v> Informační a komunikační technologie </c:v>
                </c:pt>
                <c:pt idx="5">
                  <c:v>Přírodní vědy, matematika a stratistika</c:v>
                </c:pt>
                <c:pt idx="6">
                  <c:v>Obchod, administrativa a právo</c:v>
                </c:pt>
                <c:pt idx="7">
                  <c:v> Společenské vědy, žurnalistika a informační vědy</c:v>
                </c:pt>
                <c:pt idx="8">
                  <c:v>Umění a humanitní vědy</c:v>
                </c:pt>
                <c:pt idx="9">
                  <c:v>Vzdělávaní a výchova</c:v>
                </c:pt>
              </c:strCache>
            </c:strRef>
          </c:cat>
          <c:val>
            <c:numRef>
              <c:f>List4!$C$6:$C$15</c:f>
              <c:numCache>
                <c:formatCode>#,##0</c:formatCode>
                <c:ptCount val="10"/>
                <c:pt idx="0">
                  <c:v>9114</c:v>
                </c:pt>
                <c:pt idx="1">
                  <c:v>9432</c:v>
                </c:pt>
                <c:pt idx="2">
                  <c:v>4337</c:v>
                </c:pt>
                <c:pt idx="3">
                  <c:v>30733</c:v>
                </c:pt>
                <c:pt idx="4">
                  <c:v>16745</c:v>
                </c:pt>
                <c:pt idx="5">
                  <c:v>7656</c:v>
                </c:pt>
                <c:pt idx="6">
                  <c:v>25051</c:v>
                </c:pt>
                <c:pt idx="7">
                  <c:v>10842</c:v>
                </c:pt>
                <c:pt idx="8">
                  <c:v>9712</c:v>
                </c:pt>
                <c:pt idx="9">
                  <c:v>5695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3FC-45C7-B11B-DB9C55F750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334398880"/>
        <c:axId val="409720128"/>
      </c:barChart>
      <c:catAx>
        <c:axId val="334398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9720128"/>
        <c:crosses val="autoZero"/>
        <c:auto val="1"/>
        <c:lblAlgn val="ctr"/>
        <c:lblOffset val="100"/>
        <c:noMultiLvlLbl val="0"/>
      </c:catAx>
      <c:valAx>
        <c:axId val="409720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4398880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03386196443757"/>
          <c:y val="0.93112911326632342"/>
          <c:w val="0.1220354145872611"/>
          <c:h val="5.31290547612472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90046561517269"/>
          <c:y val="6.6798837645294332E-2"/>
          <c:w val="0.59170516185476818"/>
          <c:h val="0.84167468649752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List5!$C$27</c:f>
              <c:strCache>
                <c:ptCount val="1"/>
                <c:pt idx="0">
                  <c:v>Vzdělávání a výchova</c:v>
                </c:pt>
              </c:strCache>
            </c:strRef>
          </c:tx>
          <c:spPr>
            <a:solidFill>
              <a:srgbClr val="500000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0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18-48B4-8ED2-DDF37B60D6E9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18-48B4-8ED2-DDF37B60D6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List5!$B$28:$B$35</c:f>
              <c:numCache>
                <c:formatCode>General</c:formatCode>
                <c:ptCount val="8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</c:numCache>
            </c:numRef>
          </c:cat>
          <c:val>
            <c:numRef>
              <c:f>List5!$C$28:$C$35</c:f>
              <c:numCache>
                <c:formatCode>#,##0</c:formatCode>
                <c:ptCount val="8"/>
                <c:pt idx="0">
                  <c:v>9907</c:v>
                </c:pt>
                <c:pt idx="1">
                  <c:v>7404</c:v>
                </c:pt>
                <c:pt idx="2">
                  <c:v>5695</c:v>
                </c:pt>
                <c:pt idx="3">
                  <c:v>0</c:v>
                </c:pt>
                <c:pt idx="4">
                  <c:v>35874</c:v>
                </c:pt>
                <c:pt idx="5">
                  <c:v>32021</c:v>
                </c:pt>
                <c:pt idx="6">
                  <c:v>25062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18-48B4-8ED2-DDF37B60D6E9}"/>
            </c:ext>
          </c:extLst>
        </c:ser>
        <c:ser>
          <c:idx val="1"/>
          <c:order val="1"/>
          <c:tx>
            <c:strRef>
              <c:f>List5!$D$27</c:f>
              <c:strCache>
                <c:ptCount val="1"/>
                <c:pt idx="0">
                  <c:v>Obchod, administrativa a právo</c:v>
                </c:pt>
              </c:strCache>
            </c:strRef>
          </c:tx>
          <c:spPr>
            <a:solidFill>
              <a:srgbClr val="76000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18-48B4-8ED2-DDF37B60D6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List5!$B$28:$B$35</c:f>
              <c:numCache>
                <c:formatCode>General</c:formatCode>
                <c:ptCount val="8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</c:numCache>
            </c:numRef>
          </c:cat>
          <c:val>
            <c:numRef>
              <c:f>List5!$D$28:$D$35</c:f>
              <c:numCache>
                <c:formatCode>#,##0</c:formatCode>
                <c:ptCount val="8"/>
                <c:pt idx="0">
                  <c:v>33616</c:v>
                </c:pt>
                <c:pt idx="1">
                  <c:v>31829</c:v>
                </c:pt>
                <c:pt idx="2">
                  <c:v>25051</c:v>
                </c:pt>
                <c:pt idx="3">
                  <c:v>0</c:v>
                </c:pt>
                <c:pt idx="4">
                  <c:v>52932</c:v>
                </c:pt>
                <c:pt idx="5">
                  <c:v>47207</c:v>
                </c:pt>
                <c:pt idx="6">
                  <c:v>33463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18-48B4-8ED2-DDF37B60D6E9}"/>
            </c:ext>
          </c:extLst>
        </c:ser>
        <c:ser>
          <c:idx val="2"/>
          <c:order val="2"/>
          <c:tx>
            <c:strRef>
              <c:f>List5!$E$27</c:f>
              <c:strCache>
                <c:ptCount val="1"/>
                <c:pt idx="0">
                  <c:v>ICT</c:v>
                </c:pt>
              </c:strCache>
            </c:strRef>
          </c:tx>
          <c:spPr>
            <a:solidFill>
              <a:srgbClr val="C70E09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D18-48B4-8ED2-DDF37B60D6E9}"/>
                </c:ext>
              </c:extLst>
            </c:dLbl>
            <c:dLbl>
              <c:idx val="4"/>
              <c:layout>
                <c:manualLayout>
                  <c:x val="0"/>
                  <c:y val="7.9365079365078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D18-48B4-8ED2-DDF37B60D6E9}"/>
                </c:ext>
              </c:extLst>
            </c:dLbl>
            <c:dLbl>
              <c:idx val="5"/>
              <c:layout>
                <c:manualLayout>
                  <c:x val="-7.5678520320118843E-17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D18-48B4-8ED2-DDF37B60D6E9}"/>
                </c:ext>
              </c:extLst>
            </c:dLbl>
            <c:dLbl>
              <c:idx val="6"/>
              <c:layout>
                <c:manualLayout>
                  <c:x val="2.0639834881320193E-3"/>
                  <c:y val="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D18-48B4-8ED2-DDF37B60D6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List5!$B$28:$B$35</c:f>
              <c:numCache>
                <c:formatCode>General</c:formatCode>
                <c:ptCount val="8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</c:numCache>
            </c:numRef>
          </c:cat>
          <c:val>
            <c:numRef>
              <c:f>List5!$E$28:$E$35</c:f>
              <c:numCache>
                <c:formatCode>#,##0</c:formatCode>
                <c:ptCount val="8"/>
                <c:pt idx="0">
                  <c:v>20695</c:v>
                </c:pt>
                <c:pt idx="1">
                  <c:v>21379</c:v>
                </c:pt>
                <c:pt idx="2">
                  <c:v>16745</c:v>
                </c:pt>
                <c:pt idx="3">
                  <c:v>0</c:v>
                </c:pt>
                <c:pt idx="4">
                  <c:v>2447</c:v>
                </c:pt>
                <c:pt idx="5">
                  <c:v>3352</c:v>
                </c:pt>
                <c:pt idx="6">
                  <c:v>3309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D18-48B4-8ED2-DDF37B60D6E9}"/>
            </c:ext>
          </c:extLst>
        </c:ser>
        <c:ser>
          <c:idx val="3"/>
          <c:order val="3"/>
          <c:tx>
            <c:strRef>
              <c:f>List5!$F$27</c:f>
              <c:strCache>
                <c:ptCount val="1"/>
                <c:pt idx="0">
                  <c:v>Technika, výroba a stavebníctví</c:v>
                </c:pt>
              </c:strCache>
            </c:strRef>
          </c:tx>
          <c:spPr>
            <a:solidFill>
              <a:srgbClr val="F4120C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D18-48B4-8ED2-DDF37B60D6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List5!$B$28:$B$35</c:f>
              <c:numCache>
                <c:formatCode>General</c:formatCode>
                <c:ptCount val="8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</c:numCache>
            </c:numRef>
          </c:cat>
          <c:val>
            <c:numRef>
              <c:f>List5!$F$28:$F$35</c:f>
              <c:numCache>
                <c:formatCode>#,##0</c:formatCode>
                <c:ptCount val="8"/>
                <c:pt idx="0">
                  <c:v>45947</c:v>
                </c:pt>
                <c:pt idx="1">
                  <c:v>41230</c:v>
                </c:pt>
                <c:pt idx="2">
                  <c:v>30733</c:v>
                </c:pt>
                <c:pt idx="3">
                  <c:v>0</c:v>
                </c:pt>
                <c:pt idx="4">
                  <c:v>17548</c:v>
                </c:pt>
                <c:pt idx="5">
                  <c:v>19210</c:v>
                </c:pt>
                <c:pt idx="6">
                  <c:v>14851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D18-48B4-8ED2-DDF37B60D6E9}"/>
            </c:ext>
          </c:extLst>
        </c:ser>
        <c:ser>
          <c:idx val="4"/>
          <c:order val="4"/>
          <c:tx>
            <c:strRef>
              <c:f>List5!$G$27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solidFill>
              <a:srgbClr val="FBB2A3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D18-48B4-8ED2-DDF37B60D6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List5!$B$28:$B$35</c:f>
              <c:numCache>
                <c:formatCode>General</c:formatCode>
                <c:ptCount val="8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</c:numCache>
            </c:numRef>
          </c:cat>
          <c:val>
            <c:numRef>
              <c:f>List5!$G$28:$G$35</c:f>
              <c:numCache>
                <c:formatCode>#,##0</c:formatCode>
                <c:ptCount val="8"/>
                <c:pt idx="0">
                  <c:v>8483</c:v>
                </c:pt>
                <c:pt idx="1">
                  <c:v>9242</c:v>
                </c:pt>
                <c:pt idx="2">
                  <c:v>9432</c:v>
                </c:pt>
                <c:pt idx="3">
                  <c:v>0</c:v>
                </c:pt>
                <c:pt idx="4">
                  <c:v>23978</c:v>
                </c:pt>
                <c:pt idx="5">
                  <c:v>27330</c:v>
                </c:pt>
                <c:pt idx="6">
                  <c:v>25550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D18-48B4-8ED2-DDF37B60D6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100"/>
        <c:axId val="423304144"/>
        <c:axId val="424657040"/>
        <c:extLst>
          <c:ext xmlns:c15="http://schemas.microsoft.com/office/drawing/2012/chart" uri="{02D57815-91ED-43cb-92C2-25804820EDAC}">
            <c15:filteredBar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List5!$H$27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List5!$B$28:$B$35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2008</c:v>
                      </c:pt>
                      <c:pt idx="1">
                        <c:v>2013</c:v>
                      </c:pt>
                      <c:pt idx="2">
                        <c:v>2018</c:v>
                      </c:pt>
                      <c:pt idx="4">
                        <c:v>2008</c:v>
                      </c:pt>
                      <c:pt idx="5">
                        <c:v>2013</c:v>
                      </c:pt>
                      <c:pt idx="6">
                        <c:v>2018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List5!$H$28:$H$35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3D18-48B4-8ED2-DDF37B60D6E9}"/>
                  </c:ext>
                </c:extLst>
              </c15:ser>
            </c15:filteredBarSeries>
          </c:ext>
        </c:extLst>
      </c:barChart>
      <c:catAx>
        <c:axId val="42330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24657040"/>
        <c:crosses val="autoZero"/>
        <c:auto val="1"/>
        <c:lblAlgn val="ctr"/>
        <c:lblOffset val="100"/>
        <c:noMultiLvlLbl val="0"/>
      </c:catAx>
      <c:valAx>
        <c:axId val="4246570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42330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70722711705648"/>
          <c:y val="0.17215013123359579"/>
          <c:w val="0.27706102362204721"/>
          <c:h val="0.642366579177602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996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5F5-4703-9A8A-176CAB5E074A}"/>
              </c:ext>
            </c:extLst>
          </c:dPt>
          <c:dPt>
            <c:idx val="1"/>
            <c:invertIfNegative val="0"/>
            <c:bubble3D val="0"/>
            <c:spPr>
              <a:solidFill>
                <a:srgbClr val="FBB2A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5F5-4703-9A8A-176CAB5E074A}"/>
              </c:ext>
            </c:extLst>
          </c:dPt>
          <c:dPt>
            <c:idx val="2"/>
            <c:invertIfNegative val="0"/>
            <c:bubble3D val="0"/>
            <c:spPr>
              <a:solidFill>
                <a:srgbClr val="FF4B4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5F5-4703-9A8A-176CAB5E074A}"/>
              </c:ext>
            </c:extLst>
          </c:dPt>
          <c:dPt>
            <c:idx val="3"/>
            <c:invertIfNegative val="0"/>
            <c:bubble3D val="0"/>
            <c:spPr>
              <a:solidFill>
                <a:srgbClr val="F4120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5F5-4703-9A8A-176CAB5E074A}"/>
              </c:ext>
            </c:extLst>
          </c:dPt>
          <c:dPt>
            <c:idx val="4"/>
            <c:invertIfNegative val="0"/>
            <c:bubble3D val="0"/>
            <c:spPr>
              <a:solidFill>
                <a:srgbClr val="C70E0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5F5-4703-9A8A-176CAB5E074A}"/>
              </c:ext>
            </c:extLst>
          </c:dPt>
          <c:dPt>
            <c:idx val="5"/>
            <c:invertIfNegative val="0"/>
            <c:bubble3D val="0"/>
            <c:spPr>
              <a:solidFill>
                <a:srgbClr val="76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5F5-4703-9A8A-176CAB5E074A}"/>
              </c:ext>
            </c:extLst>
          </c:dPt>
          <c:dPt>
            <c:idx val="6"/>
            <c:invertIfNegative val="0"/>
            <c:bubble3D val="0"/>
            <c:spPr>
              <a:solidFill>
                <a:srgbClr val="5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5F5-4703-9A8A-176CAB5E07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List8!$C$4:$C$10</c:f>
              <c:strCache>
                <c:ptCount val="7"/>
                <c:pt idx="0">
                  <c:v>Běloruská republika</c:v>
                </c:pt>
                <c:pt idx="1">
                  <c:v>Německo</c:v>
                </c:pt>
                <c:pt idx="2">
                  <c:v>Indická republika</c:v>
                </c:pt>
                <c:pt idx="3">
                  <c:v>Kazachstán</c:v>
                </c:pt>
                <c:pt idx="4">
                  <c:v>Ukrajina</c:v>
                </c:pt>
                <c:pt idx="5">
                  <c:v>Rusko</c:v>
                </c:pt>
                <c:pt idx="6">
                  <c:v>Slovensko</c:v>
                </c:pt>
              </c:strCache>
            </c:strRef>
          </c:cat>
          <c:val>
            <c:numRef>
              <c:f>List8!$D$4:$D$10</c:f>
              <c:numCache>
                <c:formatCode>#,##0</c:formatCode>
                <c:ptCount val="7"/>
                <c:pt idx="0">
                  <c:v>636</c:v>
                </c:pt>
                <c:pt idx="1">
                  <c:v>787</c:v>
                </c:pt>
                <c:pt idx="2">
                  <c:v>795</c:v>
                </c:pt>
                <c:pt idx="3">
                  <c:v>1167</c:v>
                </c:pt>
                <c:pt idx="4">
                  <c:v>2635</c:v>
                </c:pt>
                <c:pt idx="5">
                  <c:v>4432</c:v>
                </c:pt>
                <c:pt idx="6">
                  <c:v>19592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5F5-4703-9A8A-176CAB5E07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656240"/>
        <c:axId val="337655824"/>
      </c:barChart>
      <c:catAx>
        <c:axId val="33765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7655824"/>
        <c:crosses val="autoZero"/>
        <c:auto val="1"/>
        <c:lblAlgn val="ctr"/>
        <c:lblOffset val="100"/>
        <c:noMultiLvlLbl val="0"/>
      </c:catAx>
      <c:valAx>
        <c:axId val="3376558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337656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716058219995228E-2"/>
          <c:y val="5.0925925925925923E-2"/>
          <c:w val="0.85269806728704367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v>veřejné VŠ (tis.)</c:v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cat>
            <c:numRef>
              <c:f>List9!$B$5:$B$15</c:f>
              <c:numCache>
                <c:formatCode>0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List9!$H$5:$H$15</c:f>
              <c:numCache>
                <c:formatCode>General</c:formatCode>
                <c:ptCount val="11"/>
                <c:pt idx="0">
                  <c:v>23063</c:v>
                </c:pt>
                <c:pt idx="1">
                  <c:v>25476</c:v>
                </c:pt>
                <c:pt idx="2">
                  <c:v>27801</c:v>
                </c:pt>
                <c:pt idx="3">
                  <c:v>29377</c:v>
                </c:pt>
                <c:pt idx="4">
                  <c:v>30974</c:v>
                </c:pt>
                <c:pt idx="5">
                  <c:v>32645</c:v>
                </c:pt>
                <c:pt idx="6">
                  <c:v>34091</c:v>
                </c:pt>
                <c:pt idx="7">
                  <c:v>35788</c:v>
                </c:pt>
                <c:pt idx="8">
                  <c:v>37682</c:v>
                </c:pt>
                <c:pt idx="9">
                  <c:v>38040</c:v>
                </c:pt>
                <c:pt idx="10">
                  <c:v>39284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D-4D3A-9552-FEF4EA8BE187}"/>
            </c:ext>
          </c:extLst>
        </c:ser>
        <c:ser>
          <c:idx val="1"/>
          <c:order val="1"/>
          <c:tx>
            <c:v>soukromé VŠ (tis.)</c:v>
          </c:tx>
          <c:spPr>
            <a:solidFill>
              <a:srgbClr val="FF4B4F"/>
            </a:solidFill>
            <a:ln>
              <a:solidFill>
                <a:srgbClr val="C00000"/>
              </a:solidFill>
            </a:ln>
            <a:effectLst/>
          </c:spPr>
          <c:invertIfNegative val="0"/>
          <c:cat>
            <c:numRef>
              <c:f>List9!$B$5:$B$15</c:f>
              <c:numCache>
                <c:formatCode>0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List9!$I$5:$I$15</c:f>
              <c:numCache>
                <c:formatCode>General</c:formatCode>
                <c:ptCount val="11"/>
                <c:pt idx="0">
                  <c:v>7133</c:v>
                </c:pt>
                <c:pt idx="1">
                  <c:v>9023</c:v>
                </c:pt>
                <c:pt idx="2">
                  <c:v>9765</c:v>
                </c:pt>
                <c:pt idx="3">
                  <c:v>9413</c:v>
                </c:pt>
                <c:pt idx="4">
                  <c:v>8537</c:v>
                </c:pt>
                <c:pt idx="5">
                  <c:v>7774</c:v>
                </c:pt>
                <c:pt idx="6">
                  <c:v>6909</c:v>
                </c:pt>
                <c:pt idx="7">
                  <c:v>6317</c:v>
                </c:pt>
                <c:pt idx="8">
                  <c:v>5885</c:v>
                </c:pt>
                <c:pt idx="9">
                  <c:v>5761</c:v>
                </c:pt>
                <c:pt idx="10">
                  <c:v>5623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6D-4D3A-9552-FEF4EA8BE1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15"/>
        <c:axId val="457743600"/>
        <c:axId val="457744016"/>
      </c:barChart>
      <c:lineChart>
        <c:grouping val="standard"/>
        <c:varyColors val="0"/>
        <c:ser>
          <c:idx val="2"/>
          <c:order val="2"/>
          <c:tx>
            <c:v>veřejné VŠ (%)</c:v>
          </c:tx>
          <c:spPr>
            <a:ln w="2857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List9!$J$5:$J$15</c:f>
              <c:numCache>
                <c:formatCode>#\ ##0.000</c:formatCode>
                <c:ptCount val="11"/>
                <c:pt idx="0">
                  <c:v>7.2262920095001154E-2</c:v>
                </c:pt>
                <c:pt idx="1">
                  <c:v>7.6470976688899156E-2</c:v>
                </c:pt>
                <c:pt idx="2">
                  <c:v>8.1922818515069717E-2</c:v>
                </c:pt>
                <c:pt idx="3">
                  <c:v>8.6648359913519768E-2</c:v>
                </c:pt>
                <c:pt idx="4">
                  <c:v>9.2936033341034494E-2</c:v>
                </c:pt>
                <c:pt idx="5">
                  <c:v>0.10046315530320515</c:v>
                </c:pt>
                <c:pt idx="6">
                  <c:v>0.11060893151467172</c:v>
                </c:pt>
                <c:pt idx="7">
                  <c:v>0.12238100611768246</c:v>
                </c:pt>
                <c:pt idx="8">
                  <c:v>0.13449547244024229</c:v>
                </c:pt>
                <c:pt idx="9">
                  <c:v>0.1411670402422551</c:v>
                </c:pt>
                <c:pt idx="10">
                  <c:v>0.15005576861372977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6D-4D3A-9552-FEF4EA8BE187}"/>
            </c:ext>
          </c:extLst>
        </c:ser>
        <c:ser>
          <c:idx val="3"/>
          <c:order val="3"/>
          <c:tx>
            <c:v>soukromé VŠ (%)</c:v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val>
            <c:numRef>
              <c:f>List9!$K$5:$K$15</c:f>
              <c:numCache>
                <c:formatCode>#\ ##0.000</c:formatCode>
                <c:ptCount val="11"/>
                <c:pt idx="0">
                  <c:v>0.14401954450008075</c:v>
                </c:pt>
                <c:pt idx="1">
                  <c:v>0.1595946017652157</c:v>
                </c:pt>
                <c:pt idx="2">
                  <c:v>0.17034749842997698</c:v>
                </c:pt>
                <c:pt idx="3">
                  <c:v>0.17541930674617964</c:v>
                </c:pt>
                <c:pt idx="4">
                  <c:v>0.17714190857593426</c:v>
                </c:pt>
                <c:pt idx="5">
                  <c:v>0.17924006271327123</c:v>
                </c:pt>
                <c:pt idx="6">
                  <c:v>0.17621853240492769</c:v>
                </c:pt>
                <c:pt idx="7">
                  <c:v>0.182804722768839</c:v>
                </c:pt>
                <c:pt idx="8">
                  <c:v>0.18706293706293706</c:v>
                </c:pt>
                <c:pt idx="9">
                  <c:v>0.19327026301663983</c:v>
                </c:pt>
                <c:pt idx="10">
                  <c:v>0.19574601406391423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A6D-4D3A-9552-FEF4EA8BE1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4368912"/>
        <c:axId val="455030416"/>
      </c:lineChart>
      <c:catAx>
        <c:axId val="45774360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57744016"/>
        <c:crosses val="autoZero"/>
        <c:auto val="1"/>
        <c:lblAlgn val="ctr"/>
        <c:lblOffset val="100"/>
        <c:noMultiLvlLbl val="0"/>
      </c:catAx>
      <c:valAx>
        <c:axId val="457744016"/>
        <c:scaling>
          <c:orientation val="minMax"/>
          <c:max val="4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57743600"/>
        <c:crosses val="autoZero"/>
        <c:crossBetween val="between"/>
        <c:dispUnits>
          <c:builtInUnit val="thousands"/>
          <c:dispUnitsLbl>
            <c:layout/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valAx>
        <c:axId val="455030416"/>
        <c:scaling>
          <c:orientation val="minMax"/>
          <c:max val="0.24000000000000002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44368912"/>
        <c:crosses val="max"/>
        <c:crossBetween val="between"/>
        <c:majorUnit val="3.0000000000000006E-2"/>
      </c:valAx>
      <c:catAx>
        <c:axId val="344368912"/>
        <c:scaling>
          <c:orientation val="minMax"/>
        </c:scaling>
        <c:delete val="1"/>
        <c:axPos val="b"/>
        <c:majorTickMark val="out"/>
        <c:minorTickMark val="none"/>
        <c:tickLblPos val="nextTo"/>
        <c:crossAx val="455030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List11!$D$19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C70E09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List11!$C$20:$C$30</c:f>
              <c:numCache>
                <c:formatCode>General</c:formatCode>
                <c:ptCount val="11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  <c:pt idx="8">
                  <c:v>2008</c:v>
                </c:pt>
                <c:pt idx="9">
                  <c:v>2013</c:v>
                </c:pt>
                <c:pt idx="10">
                  <c:v>2018</c:v>
                </c:pt>
              </c:numCache>
            </c:numRef>
          </c:cat>
          <c:val>
            <c:numRef>
              <c:f>List11!$D$20:$D$30</c:f>
              <c:numCache>
                <c:formatCode>0.0%</c:formatCode>
                <c:ptCount val="11"/>
                <c:pt idx="0">
                  <c:v>0.57084933845497221</c:v>
                </c:pt>
                <c:pt idx="1">
                  <c:v>0.5996870195475511</c:v>
                </c:pt>
                <c:pt idx="2">
                  <c:v>0.59283746556473826</c:v>
                </c:pt>
                <c:pt idx="4">
                  <c:v>0.55545053560176438</c:v>
                </c:pt>
                <c:pt idx="5">
                  <c:v>0.59218645322802443</c:v>
                </c:pt>
                <c:pt idx="6">
                  <c:v>0.5866726884545902</c:v>
                </c:pt>
                <c:pt idx="8">
                  <c:v>0.34824902723735407</c:v>
                </c:pt>
                <c:pt idx="9">
                  <c:v>0.42785234899328861</c:v>
                </c:pt>
                <c:pt idx="10">
                  <c:v>0.46255506607929514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07-4798-8112-068AD28E5B0F}"/>
            </c:ext>
          </c:extLst>
        </c:ser>
        <c:ser>
          <c:idx val="1"/>
          <c:order val="1"/>
          <c:tx>
            <c:strRef>
              <c:f>List11!$E$19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List11!$C$20:$C$30</c:f>
              <c:numCache>
                <c:formatCode>General</c:formatCode>
                <c:ptCount val="11"/>
                <c:pt idx="0">
                  <c:v>2008</c:v>
                </c:pt>
                <c:pt idx="1">
                  <c:v>2013</c:v>
                </c:pt>
                <c:pt idx="2">
                  <c:v>2018</c:v>
                </c:pt>
                <c:pt idx="4">
                  <c:v>2008</c:v>
                </c:pt>
                <c:pt idx="5">
                  <c:v>2013</c:v>
                </c:pt>
                <c:pt idx="6">
                  <c:v>2018</c:v>
                </c:pt>
                <c:pt idx="8">
                  <c:v>2008</c:v>
                </c:pt>
                <c:pt idx="9">
                  <c:v>2013</c:v>
                </c:pt>
                <c:pt idx="10">
                  <c:v>2018</c:v>
                </c:pt>
              </c:numCache>
            </c:numRef>
          </c:cat>
          <c:val>
            <c:numRef>
              <c:f>List11!$E$20:$E$30</c:f>
              <c:numCache>
                <c:formatCode>0.0%</c:formatCode>
                <c:ptCount val="11"/>
                <c:pt idx="0">
                  <c:v>0.42915066154502773</c:v>
                </c:pt>
                <c:pt idx="1">
                  <c:v>0.40031298045244895</c:v>
                </c:pt>
                <c:pt idx="2">
                  <c:v>0.40716253443526168</c:v>
                </c:pt>
                <c:pt idx="4">
                  <c:v>0.44454946439823567</c:v>
                </c:pt>
                <c:pt idx="5">
                  <c:v>0.40781354677197562</c:v>
                </c:pt>
                <c:pt idx="6">
                  <c:v>0.41332731154540975</c:v>
                </c:pt>
                <c:pt idx="8">
                  <c:v>0.65175097276264593</c:v>
                </c:pt>
                <c:pt idx="9">
                  <c:v>0.57214765100671139</c:v>
                </c:pt>
                <c:pt idx="10">
                  <c:v>0.5374449339207048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07-4798-8112-068AD28E5B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7735312"/>
        <c:axId val="213170592"/>
      </c:barChart>
      <c:catAx>
        <c:axId val="33773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13170592"/>
        <c:crosses val="autoZero"/>
        <c:auto val="1"/>
        <c:lblAlgn val="ctr"/>
        <c:lblOffset val="100"/>
        <c:noMultiLvlLbl val="0"/>
      </c:catAx>
      <c:valAx>
        <c:axId val="213170592"/>
        <c:scaling>
          <c:orientation val="minMax"/>
          <c:max val="1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33773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974453193350829"/>
          <c:y val="0.93799630351672281"/>
          <c:w val="0.18051071741032371"/>
          <c:h val="3.4226059363158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0.86632</cdr:y>
    </cdr:from>
    <cdr:to>
      <cdr:x>0.39792</cdr:x>
      <cdr:y>0.94965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904875" y="2376488"/>
          <a:ext cx="9144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0.15</cdr:x>
      <cdr:y>0.78993</cdr:y>
    </cdr:from>
    <cdr:to>
      <cdr:x>0.35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685800" y="2166938"/>
          <a:ext cx="914400" cy="5762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0.12917</cdr:x>
      <cdr:y>0.66667</cdr:y>
    </cdr:from>
    <cdr:to>
      <cdr:x>0.32917</cdr:x>
      <cdr:y>1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590550" y="237648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0.08542</cdr:x>
      <cdr:y>0.85243</cdr:y>
    </cdr:from>
    <cdr:to>
      <cdr:x>0.29792</cdr:x>
      <cdr:y>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390526" y="2338388"/>
          <a:ext cx="971550" cy="4048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0.04375</cdr:x>
      <cdr:y>0.87005</cdr:y>
    </cdr:from>
    <cdr:to>
      <cdr:x>0.36875</cdr:x>
      <cdr:y>1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200025" y="2614613"/>
          <a:ext cx="1485900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Bakalářský</a:t>
          </a:r>
          <a:r>
            <a:rPr lang="cs-CZ" sz="800" baseline="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studijný program</a:t>
          </a:r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0.37083</cdr:x>
      <cdr:y>0.86688</cdr:y>
    </cdr:from>
    <cdr:to>
      <cdr:x>0.76042</cdr:x>
      <cdr:y>1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1695450" y="2605088"/>
          <a:ext cx="1781174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Magisterský studijný program</a:t>
          </a:r>
        </a:p>
      </cdr:txBody>
    </cdr:sp>
  </cdr:relSizeAnchor>
  <cdr:relSizeAnchor xmlns:cdr="http://schemas.openxmlformats.org/drawingml/2006/chartDrawing">
    <cdr:from>
      <cdr:x>0.69375</cdr:x>
      <cdr:y>0.87005</cdr:y>
    </cdr:from>
    <cdr:to>
      <cdr:x>0.94583</cdr:x>
      <cdr:y>1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3171825" y="2614613"/>
          <a:ext cx="11525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Doktorský studijný program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0.71127</cdr:x>
      <cdr:y>0.06982</cdr:y>
    </cdr:from>
    <cdr:to>
      <cdr:x>0.82817</cdr:x>
      <cdr:y>0.30342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810125" y="280987"/>
          <a:ext cx="790582" cy="9400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0.77183</cdr:x>
      <cdr:y>0.16411</cdr:y>
    </cdr:from>
    <cdr:to>
      <cdr:x>0.90704</cdr:x>
      <cdr:y>0.39079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5219700" y="66198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0.71268</cdr:x>
      <cdr:y>0.24203</cdr:y>
    </cdr:from>
    <cdr:to>
      <cdr:x>0.88732</cdr:x>
      <cdr:y>0.46635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4819650" y="976312"/>
          <a:ext cx="1181100" cy="904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0.85634</cdr:x>
      <cdr:y>0.33648</cdr:y>
    </cdr:from>
    <cdr:to>
      <cdr:x>1</cdr:x>
      <cdr:y>0.57733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5791200" y="1357313"/>
          <a:ext cx="971550" cy="971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0.65493</cdr:x>
      <cdr:y>0.41913</cdr:y>
    </cdr:from>
    <cdr:to>
      <cdr:x>0.80423</cdr:x>
      <cdr:y>0.65762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4429125" y="1690688"/>
          <a:ext cx="1009650" cy="962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0.66056</cdr:x>
      <cdr:y>0.50885</cdr:y>
    </cdr:from>
    <cdr:to>
      <cdr:x>0.81408</cdr:x>
      <cdr:y>0.74498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4467225" y="2052638"/>
          <a:ext cx="1038225" cy="952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0.79577</cdr:x>
      <cdr:y>0.59858</cdr:y>
    </cdr:from>
    <cdr:to>
      <cdr:x>0.95915</cdr:x>
      <cdr:y>0.81582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5381625" y="2414588"/>
          <a:ext cx="1104900" cy="876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0.66056</cdr:x>
      <cdr:y>0.68595</cdr:y>
    </cdr:from>
    <cdr:to>
      <cdr:x>0.79577</cdr:x>
      <cdr:y>0.91263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4467225" y="276701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0.64366</cdr:x>
      <cdr:y>0.85832</cdr:y>
    </cdr:from>
    <cdr:to>
      <cdr:x>0.82535</cdr:x>
      <cdr:y>1</cdr:y>
    </cdr:to>
    <cdr:sp macro="" textlink="">
      <cdr:nvSpPr>
        <cdr:cNvPr id="10" name="TextovéPole 9"/>
        <cdr:cNvSpPr txBox="1"/>
      </cdr:nvSpPr>
      <cdr:spPr>
        <a:xfrm xmlns:a="http://schemas.openxmlformats.org/drawingml/2006/main">
          <a:off x="4352925" y="3462338"/>
          <a:ext cx="1228725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solidFill>
              <a:schemeClr val="bg2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0.81268</cdr:x>
      <cdr:y>0.93625</cdr:y>
    </cdr:from>
    <cdr:to>
      <cdr:x>0.95775</cdr:x>
      <cdr:y>1</cdr:y>
    </cdr:to>
    <cdr:sp macro="" textlink="">
      <cdr:nvSpPr>
        <cdr:cNvPr id="11" name="TextovéPole 10"/>
        <cdr:cNvSpPr txBox="1"/>
      </cdr:nvSpPr>
      <cdr:spPr>
        <a:xfrm xmlns:a="http://schemas.openxmlformats.org/drawingml/2006/main">
          <a:off x="5495926" y="3776663"/>
          <a:ext cx="981074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Tisíce studentů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0.17857</cdr:x>
      <cdr:y>3.09696E-7</cdr:y>
    </cdr:from>
    <cdr:to>
      <cdr:x>0.27858</cdr:x>
      <cdr:y>0.05285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056246" y="1"/>
          <a:ext cx="591579" cy="1706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muži</a:t>
          </a:r>
        </a:p>
      </cdr:txBody>
    </cdr:sp>
  </cdr:relSizeAnchor>
  <cdr:relSizeAnchor xmlns:cdr="http://schemas.openxmlformats.org/drawingml/2006/chartDrawing">
    <cdr:from>
      <cdr:x>0.47665</cdr:x>
      <cdr:y>0</cdr:y>
    </cdr:from>
    <cdr:to>
      <cdr:x>0.71599</cdr:x>
      <cdr:y>0.33036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2819400" y="0"/>
          <a:ext cx="1415700" cy="10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ženy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0.01042</cdr:x>
      <cdr:y>0.85069</cdr:y>
    </cdr:from>
    <cdr:to>
      <cdr:x>0.33958</cdr:x>
      <cdr:y>1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7625" y="2333624"/>
          <a:ext cx="15049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Bakalářský studijný program</a:t>
          </a:r>
        </a:p>
      </cdr:txBody>
    </cdr:sp>
  </cdr:relSizeAnchor>
  <cdr:relSizeAnchor xmlns:cdr="http://schemas.openxmlformats.org/drawingml/2006/chartDrawing">
    <cdr:from>
      <cdr:x>0.34727</cdr:x>
      <cdr:y>0.84887</cdr:y>
    </cdr:from>
    <cdr:to>
      <cdr:x>0.64182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819275" y="2514601"/>
          <a:ext cx="1543050" cy="4476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Magisterský studijný program</a:t>
          </a:r>
        </a:p>
      </cdr:txBody>
    </cdr:sp>
  </cdr:relSizeAnchor>
  <cdr:relSizeAnchor xmlns:cdr="http://schemas.openxmlformats.org/drawingml/2006/chartDrawing">
    <cdr:from>
      <cdr:x>0.70909</cdr:x>
      <cdr:y>0.85531</cdr:y>
    </cdr:from>
    <cdr:to>
      <cdr:x>0.93636</cdr:x>
      <cdr:y>1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3714750" y="2533651"/>
          <a:ext cx="1190625" cy="4286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800">
              <a:solidFill>
                <a:schemeClr val="bg2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Doktorský studijný program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A4F76-1176-488D-9F01-FCB0F84D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28</TotalTime>
  <Pages>14</Pages>
  <Words>3241</Words>
  <Characters>19127</Characters>
  <Application>Microsoft Office Word</Application>
  <DocSecurity>0</DocSecurity>
  <Lines>159</Lines>
  <Paragraphs>44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Manager/>
  <Company>CSU</Company>
  <LinksUpToDate>false</LinksUpToDate>
  <CharactersWithSpaces>22324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Ondrušová</dc:creator>
  <cp:keywords/>
  <dc:description/>
  <cp:lastModifiedBy>Adriana Ondrušová</cp:lastModifiedBy>
  <cp:revision>7</cp:revision>
  <cp:lastPrinted>2014-07-17T14:07:00Z</cp:lastPrinted>
  <dcterms:created xsi:type="dcterms:W3CDTF">2020-01-23T12:08:00Z</dcterms:created>
  <dcterms:modified xsi:type="dcterms:W3CDTF">2020-01-23T13:27:00Z</dcterms:modified>
  <cp:category/>
</cp:coreProperties>
</file>