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style4.xml" ContentType="application/vnd.ms-office.chartstyle+xml"/>
  <Override PartName="/word/charts/colors4.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0A1B8" w14:textId="77777777" w:rsidR="00E551F6" w:rsidRDefault="00246358" w:rsidP="00C72884">
      <w:pPr>
        <w:pStyle w:val="Obsah"/>
      </w:pPr>
      <w:r>
        <w:rPr>
          <w:noProof/>
        </w:rPr>
        <w:drawing>
          <wp:anchor distT="0" distB="0" distL="114300" distR="114300" simplePos="0" relativeHeight="251658245" behindDoc="1" locked="0" layoutInCell="1" allowOverlap="1" wp14:anchorId="6A9B9BC8" wp14:editId="5736D100">
            <wp:simplePos x="0" y="0"/>
            <wp:positionH relativeFrom="column">
              <wp:posOffset>-144145</wp:posOffset>
            </wp:positionH>
            <wp:positionV relativeFrom="paragraph">
              <wp:posOffset>-277964</wp:posOffset>
            </wp:positionV>
            <wp:extent cx="2279652" cy="540000"/>
            <wp:effectExtent l="0" t="0" r="6350" b="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3.1 barevna verze logotypu eng.wmf"/>
                    <pic:cNvPicPr/>
                  </pic:nvPicPr>
                  <pic:blipFill>
                    <a:blip r:embed="rId11">
                      <a:extLst>
                        <a:ext uri="{28A0092B-C50C-407E-A947-70E740481C1C}">
                          <a14:useLocalDpi xmlns:a14="http://schemas.microsoft.com/office/drawing/2010/main" val="0"/>
                        </a:ext>
                      </a:extLst>
                    </a:blip>
                    <a:stretch>
                      <a:fillRect/>
                    </a:stretch>
                  </pic:blipFill>
                  <pic:spPr>
                    <a:xfrm>
                      <a:off x="0" y="0"/>
                      <a:ext cx="2279652" cy="540000"/>
                    </a:xfrm>
                    <a:prstGeom prst="rect">
                      <a:avLst/>
                    </a:prstGeom>
                  </pic:spPr>
                </pic:pic>
              </a:graphicData>
            </a:graphic>
            <wp14:sizeRelH relativeFrom="margin">
              <wp14:pctWidth>0</wp14:pctWidth>
            </wp14:sizeRelH>
            <wp14:sizeRelV relativeFrom="margin">
              <wp14:pctHeight>0</wp14:pctHeight>
            </wp14:sizeRelV>
          </wp:anchor>
        </w:drawing>
      </w:r>
      <w:r w:rsidR="00D57677">
        <w:rPr>
          <w:noProof/>
        </w:rPr>
        <mc:AlternateContent>
          <mc:Choice Requires="wps">
            <w:drawing>
              <wp:anchor distT="0" distB="0" distL="114300" distR="114300" simplePos="0" relativeHeight="251658243" behindDoc="0" locked="1" layoutInCell="1" allowOverlap="1" wp14:anchorId="21432972" wp14:editId="5D13B4AB">
                <wp:simplePos x="0" y="0"/>
                <wp:positionH relativeFrom="page">
                  <wp:posOffset>1705610</wp:posOffset>
                </wp:positionH>
                <wp:positionV relativeFrom="page">
                  <wp:posOffset>8173085</wp:posOffset>
                </wp:positionV>
                <wp:extent cx="5130165" cy="925195"/>
                <wp:effectExtent l="381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92519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4608481A" w14:textId="77777777" w:rsidR="006145FA" w:rsidRPr="00BC3D26" w:rsidRDefault="006145FA" w:rsidP="00E551F6">
                            <w:pPr>
                              <w:rPr>
                                <w:lang w:val="en-GB"/>
                              </w:rPr>
                            </w:pPr>
                            <w:r w:rsidRPr="00BC3D26">
                              <w:rPr>
                                <w:lang w:val="en-GB"/>
                              </w:rPr>
                              <w:t>Prepared by: Office of the President of the CZSO</w:t>
                            </w:r>
                          </w:p>
                          <w:p w14:paraId="46C2F5AC" w14:textId="77777777" w:rsidR="006145FA" w:rsidRPr="00BC3D26" w:rsidRDefault="006145FA" w:rsidP="00E551F6">
                            <w:pPr>
                              <w:rPr>
                                <w:lang w:val="en-GB"/>
                              </w:rPr>
                            </w:pPr>
                            <w:r w:rsidRPr="00BC3D26">
                              <w:rPr>
                                <w:lang w:val="en-GB"/>
                              </w:rPr>
                              <w:t>Director: Egor Sidorov, Ph.D.</w:t>
                            </w:r>
                          </w:p>
                          <w:p w14:paraId="4057945C" w14:textId="23BB3E9D" w:rsidR="006145FA" w:rsidRPr="006C5577" w:rsidRDefault="006145FA" w:rsidP="00E551F6">
                            <w:r w:rsidRPr="00BC3D26">
                              <w:rPr>
                                <w:lang w:val="en-GB"/>
                              </w:rPr>
                              <w:t>Contact person: Karolína Zábojníková</w:t>
                            </w:r>
                            <w:r w:rsidRPr="006C5577">
                              <w:t>,</w:t>
                            </w:r>
                            <w:r>
                              <w:t xml:space="preserve"> e-mail: karolina.zabojnikova@csu.gov.cz</w:t>
                            </w:r>
                          </w:p>
                          <w:p w14:paraId="21432990" w14:textId="2B03A61C" w:rsidR="006145FA" w:rsidRPr="006C5577" w:rsidRDefault="006145FA" w:rsidP="004924DC"/>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2972" id="_x0000_t202" coordsize="21600,21600" o:spt="202" path="m,l,21600r21600,l21600,xe">
                <v:stroke joinstyle="miter"/>
                <v:path gradientshapeok="t" o:connecttype="rect"/>
              </v:shapetype>
              <v:shape id="Textové pole 2" o:spid="_x0000_s1026" type="#_x0000_t202" style="position:absolute;margin-left:134.3pt;margin-top:643.55pt;width:403.95pt;height:72.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" filled="f" stroked="f">
                <v:textbox inset="0,0,0,0">
                  <w:txbxContent>
                    <w:p w14:paraId="4608481A" w14:textId="77777777" w:rsidR="006145FA" w:rsidRPr="00BC3D26" w:rsidRDefault="006145FA" w:rsidP="00E551F6">
                      <w:pPr>
                        <w:rPr>
                          <w:lang w:val="en-GB"/>
                        </w:rPr>
                      </w:pPr>
                      <w:r w:rsidRPr="00BC3D26">
                        <w:rPr>
                          <w:lang w:val="en-GB"/>
                        </w:rPr>
                        <w:t>Prepared by: Office of the President of the CZSO</w:t>
                      </w:r>
                    </w:p>
                    <w:p w14:paraId="46C2F5AC" w14:textId="77777777" w:rsidR="006145FA" w:rsidRPr="00BC3D26" w:rsidRDefault="006145FA" w:rsidP="00E551F6">
                      <w:pPr>
                        <w:rPr>
                          <w:lang w:val="en-GB"/>
                        </w:rPr>
                      </w:pPr>
                      <w:r w:rsidRPr="00BC3D26">
                        <w:rPr>
                          <w:lang w:val="en-GB"/>
                        </w:rPr>
                        <w:t>Director: Egor Sidorov, Ph.D.</w:t>
                      </w:r>
                    </w:p>
                    <w:p w14:paraId="4057945C" w14:textId="23BB3E9D" w:rsidR="006145FA" w:rsidRPr="006C5577" w:rsidRDefault="006145FA" w:rsidP="00E551F6">
                      <w:r w:rsidRPr="00BC3D26">
                        <w:rPr>
                          <w:lang w:val="en-GB"/>
                        </w:rPr>
                        <w:t>Contact person: Karolína Zábojníková</w:t>
                      </w:r>
                      <w:r w:rsidRPr="006C5577">
                        <w:t>,</w:t>
                      </w:r>
                      <w:r>
                        <w:t xml:space="preserve"> e-mail: karolina.zabojnikova@csu.gov.cz</w:t>
                      </w:r>
                    </w:p>
                    <w:p w14:paraId="21432990" w14:textId="2B03A61C" w:rsidR="006145FA" w:rsidRPr="006C5577" w:rsidRDefault="006145FA" w:rsidP="004924DC"/>
                  </w:txbxContent>
                </v:textbox>
                <w10:wrap anchorx="page" anchory="page"/>
                <w10:anchorlock/>
              </v:shape>
            </w:pict>
          </mc:Fallback>
        </mc:AlternateContent>
      </w:r>
      <w:r w:rsidR="00D57677">
        <w:rPr>
          <w:noProof/>
        </w:rPr>
        <mc:AlternateContent>
          <mc:Choice Requires="wps">
            <w:drawing>
              <wp:anchor distT="0" distB="0" distL="114300" distR="114300" simplePos="0" relativeHeight="251658242" behindDoc="0" locked="1" layoutInCell="1" allowOverlap="1" wp14:anchorId="21432974" wp14:editId="21432975">
                <wp:simplePos x="0" y="0"/>
                <wp:positionH relativeFrom="page">
                  <wp:posOffset>1710055</wp:posOffset>
                </wp:positionH>
                <wp:positionV relativeFrom="page">
                  <wp:posOffset>4680585</wp:posOffset>
                </wp:positionV>
                <wp:extent cx="5129530" cy="1686560"/>
                <wp:effectExtent l="0" t="0" r="1270" b="15240"/>
                <wp:wrapNone/>
                <wp:docPr id="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168656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715863B2" w14:textId="77777777" w:rsidR="006145FA" w:rsidRDefault="006145FA" w:rsidP="00E551F6">
                            <w:pPr>
                              <w:pStyle w:val="TLIdentifikace-sted"/>
                            </w:pPr>
                            <w:r w:rsidRPr="00C72884">
                              <w:t>S</w:t>
                            </w:r>
                            <w:r>
                              <w:t>ummary Data on the Czech Republic</w:t>
                            </w:r>
                          </w:p>
                          <w:p w14:paraId="66F5A92F" w14:textId="6A298DC6" w:rsidR="006145FA" w:rsidRPr="004924DC" w:rsidRDefault="006145FA" w:rsidP="00E551F6">
                            <w:pPr>
                              <w:pStyle w:val="TLIdentifikace-sted"/>
                            </w:pPr>
                            <w:r>
                              <w:t>Prague, 25</w:t>
                            </w:r>
                            <w:r w:rsidRPr="00194385">
                              <w:rPr>
                                <w:vertAlign w:val="superscript"/>
                              </w:rPr>
                              <w:t>th</w:t>
                            </w:r>
                            <w:r>
                              <w:t xml:space="preserve"> April 2025</w:t>
                            </w:r>
                          </w:p>
                          <w:p w14:paraId="79686449" w14:textId="298DFE82" w:rsidR="006145FA" w:rsidRPr="004924DC" w:rsidRDefault="006145FA" w:rsidP="00E551F6">
                            <w:pPr>
                              <w:pStyle w:val="TLIdentifikace-sted"/>
                            </w:pPr>
                            <w:r>
                              <w:t>Publication Code</w:t>
                            </w:r>
                            <w:r w:rsidRPr="004924DC">
                              <w:t xml:space="preserve">: </w:t>
                            </w:r>
                            <w:r>
                              <w:t>320194-24</w:t>
                            </w:r>
                          </w:p>
                          <w:p w14:paraId="21432994" w14:textId="719DBD96" w:rsidR="006145FA" w:rsidRPr="004924DC" w:rsidRDefault="006145FA" w:rsidP="004924DC">
                            <w:pPr>
                              <w:pStyle w:val="TLIdentifikace-sted"/>
                            </w:pPr>
                            <w:r>
                              <w:t>Yearly Publication Code: 2</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4" id="_x0000_s1027" type="#_x0000_t202" style="position:absolute;margin-left:134.65pt;margin-top:368.55pt;width:403.9pt;height:132.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" filled="f" stroked="f">
                <v:textbox style="mso-fit-shape-to-text:t" inset="0,0,0,0">
                  <w:txbxContent>
                    <w:p w14:paraId="715863B2" w14:textId="77777777" w:rsidR="006145FA" w:rsidRDefault="006145FA" w:rsidP="00E551F6">
                      <w:pPr>
                        <w:pStyle w:val="TLIdentifikace-sted"/>
                      </w:pPr>
                      <w:r w:rsidRPr="00C72884">
                        <w:t>S</w:t>
                      </w:r>
                      <w:r>
                        <w:t>ummary Data on the Czech Republic</w:t>
                      </w:r>
                    </w:p>
                    <w:p w14:paraId="66F5A92F" w14:textId="6A298DC6" w:rsidR="006145FA" w:rsidRPr="004924DC" w:rsidRDefault="006145FA" w:rsidP="00E551F6">
                      <w:pPr>
                        <w:pStyle w:val="TLIdentifikace-sted"/>
                      </w:pPr>
                      <w:r>
                        <w:t>Prague, 25</w:t>
                      </w:r>
                      <w:r w:rsidRPr="00194385">
                        <w:rPr>
                          <w:vertAlign w:val="superscript"/>
                        </w:rPr>
                        <w:t>th</w:t>
                      </w:r>
                      <w:r>
                        <w:t xml:space="preserve"> April 2025</w:t>
                      </w:r>
                    </w:p>
                    <w:p w14:paraId="79686449" w14:textId="298DFE82" w:rsidR="006145FA" w:rsidRPr="004924DC" w:rsidRDefault="006145FA" w:rsidP="00E551F6">
                      <w:pPr>
                        <w:pStyle w:val="TLIdentifikace-sted"/>
                      </w:pPr>
                      <w:r>
                        <w:t>Publication Code</w:t>
                      </w:r>
                      <w:r w:rsidRPr="004924DC">
                        <w:t xml:space="preserve">: </w:t>
                      </w:r>
                      <w:r>
                        <w:t>320194-24</w:t>
                      </w:r>
                    </w:p>
                    <w:p w14:paraId="21432994" w14:textId="719DBD96" w:rsidR="006145FA" w:rsidRPr="004924DC" w:rsidRDefault="006145FA" w:rsidP="004924DC">
                      <w:pPr>
                        <w:pStyle w:val="TLIdentifikace-sted"/>
                      </w:pPr>
                      <w:r>
                        <w:t>Yearly Publication Code: 2</w:t>
                      </w:r>
                    </w:p>
                  </w:txbxContent>
                </v:textbox>
                <w10:wrap anchorx="page" anchory="page"/>
                <w10:anchorlock/>
              </v:shape>
            </w:pict>
          </mc:Fallback>
        </mc:AlternateContent>
      </w:r>
      <w:r w:rsidR="00D57677">
        <w:rPr>
          <w:noProof/>
        </w:rPr>
        <mc:AlternateContent>
          <mc:Choice Requires="wps">
            <w:drawing>
              <wp:anchor distT="0" distB="0" distL="114300" distR="114300" simplePos="0" relativeHeight="251658241" behindDoc="0" locked="1" layoutInCell="1" allowOverlap="1" wp14:anchorId="21432976" wp14:editId="21432977">
                <wp:simplePos x="0" y="0"/>
                <wp:positionH relativeFrom="page">
                  <wp:posOffset>1710055</wp:posOffset>
                </wp:positionH>
                <wp:positionV relativeFrom="page">
                  <wp:posOffset>1476375</wp:posOffset>
                </wp:positionV>
                <wp:extent cx="5129530" cy="2207895"/>
                <wp:effectExtent l="0" t="0" r="1270" b="1905"/>
                <wp:wrapNone/>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220789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4D0573A5" w14:textId="77777777" w:rsidR="006145FA" w:rsidRPr="00DE02BD" w:rsidRDefault="006145FA" w:rsidP="00E551F6">
                            <w:pPr>
                              <w:pStyle w:val="Podnadpis"/>
                            </w:pPr>
                            <w:r>
                              <w:rPr>
                                <w:rFonts w:cs="Times New Roman"/>
                                <w:bCs/>
                                <w:caps/>
                                <w:kern w:val="28"/>
                                <w:sz w:val="56"/>
                                <w:szCs w:val="32"/>
                              </w:rPr>
                              <w:t>THE CZECH ECONOMY DEVELOPMENT</w:t>
                            </w:r>
                          </w:p>
                          <w:p w14:paraId="6532615F" w14:textId="359C776E" w:rsidR="006145FA" w:rsidRPr="00DE02BD" w:rsidRDefault="006145FA" w:rsidP="00E551F6">
                            <w:pPr>
                              <w:pStyle w:val="Podnadpis"/>
                            </w:pPr>
                            <w:r>
                              <w:t>Year 2024</w:t>
                            </w:r>
                          </w:p>
                          <w:p w14:paraId="21432997" w14:textId="7706700C" w:rsidR="006145FA" w:rsidRPr="00DE02BD" w:rsidRDefault="006145FA" w:rsidP="0012192F">
                            <w:pPr>
                              <w:pStyle w:val="Podnadpi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6" id="_x0000_s1028" type="#_x0000_t202" style="position:absolute;margin-left:134.65pt;margin-top:116.25pt;width:403.9pt;height:173.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" filled="f" stroked="f">
                <v:textbox style="mso-fit-shape-to-text:t" inset="0,0,0,0">
                  <w:txbxContent>
                    <w:p w14:paraId="4D0573A5" w14:textId="77777777" w:rsidR="006145FA" w:rsidRPr="00DE02BD" w:rsidRDefault="006145FA" w:rsidP="00E551F6">
                      <w:pPr>
                        <w:pStyle w:val="Podnadpis"/>
                      </w:pPr>
                      <w:r>
                        <w:rPr>
                          <w:rFonts w:cs="Times New Roman"/>
                          <w:bCs/>
                          <w:caps/>
                          <w:kern w:val="28"/>
                          <w:sz w:val="56"/>
                          <w:szCs w:val="32"/>
                        </w:rPr>
                        <w:t>THE CZECH ECONOMY DEVELOPMENT</w:t>
                      </w:r>
                    </w:p>
                    <w:p w14:paraId="6532615F" w14:textId="359C776E" w:rsidR="006145FA" w:rsidRPr="00DE02BD" w:rsidRDefault="006145FA" w:rsidP="00E551F6">
                      <w:pPr>
                        <w:pStyle w:val="Podnadpis"/>
                      </w:pPr>
                      <w:r>
                        <w:t>Year 2024</w:t>
                      </w:r>
                    </w:p>
                    <w:p w14:paraId="21432997" w14:textId="7706700C" w:rsidR="006145FA" w:rsidRPr="00DE02BD" w:rsidRDefault="006145FA" w:rsidP="0012192F">
                      <w:pPr>
                        <w:pStyle w:val="Podnadpis"/>
                      </w:pPr>
                    </w:p>
                  </w:txbxContent>
                </v:textbox>
                <w10:wrap anchorx="page" anchory="page"/>
                <w10:anchorlock/>
              </v:shape>
            </w:pict>
          </mc:Fallback>
        </mc:AlternateContent>
      </w:r>
      <w:r w:rsidR="00D57677">
        <w:rPr>
          <w:noProof/>
        </w:rPr>
        <mc:AlternateContent>
          <mc:Choice Requires="wps">
            <w:drawing>
              <wp:anchor distT="0" distB="0" distL="114300" distR="114300" simplePos="0" relativeHeight="251658244" behindDoc="0" locked="1" layoutInCell="1" allowOverlap="1" wp14:anchorId="21432978" wp14:editId="5BD8AB08">
                <wp:simplePos x="0" y="0"/>
                <wp:positionH relativeFrom="page">
                  <wp:posOffset>1700530</wp:posOffset>
                </wp:positionH>
                <wp:positionV relativeFrom="page">
                  <wp:posOffset>9649460</wp:posOffset>
                </wp:positionV>
                <wp:extent cx="5130165" cy="179705"/>
                <wp:effectExtent l="0" t="0" r="13335" b="1079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17970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9A" w14:textId="5A4C3E7C" w:rsidR="006145FA" w:rsidRPr="005251DD" w:rsidRDefault="006145FA" w:rsidP="00665BA4">
                            <w:r w:rsidRPr="004924DC">
                              <w:t xml:space="preserve">© </w:t>
                            </w:r>
                            <w:r w:rsidRPr="004509CE">
                              <w:rPr>
                                <w:lang w:val="en-GB"/>
                              </w:rPr>
                              <w:t>Czech Statistical Office, Prague</w:t>
                            </w:r>
                            <w:r w:rsidRPr="004924DC">
                              <w:t xml:space="preserve">, </w:t>
                            </w:r>
                            <w:r>
                              <w:t>2025</w:t>
                            </w:r>
                          </w:p>
                          <w:p w14:paraId="2143299B" w14:textId="77777777" w:rsidR="006145FA" w:rsidRPr="005251DD" w:rsidRDefault="006145FA" w:rsidP="00FC684B"/>
                          <w:p w14:paraId="2143299C" w14:textId="77777777" w:rsidR="006145FA" w:rsidRDefault="006145FA"/>
                          <w:p w14:paraId="2143299D" w14:textId="77777777" w:rsidR="006145FA" w:rsidRPr="00097407" w:rsidRDefault="006145FA" w:rsidP="00665BA4">
                            <w:r w:rsidRPr="00097407">
                              <w:t xml:space="preserve">© </w:t>
                            </w:r>
                            <w:r w:rsidRPr="005251DD">
                              <w:t>Český statistický úřad</w:t>
                            </w:r>
                            <w:r>
                              <w:t xml:space="preserve"> / </w:t>
                            </w:r>
                            <w:r w:rsidRPr="009A1902">
                              <w:rPr>
                                <w:i/>
                              </w:rPr>
                              <w:t xml:space="preserve">Czech </w:t>
                            </w:r>
                            <w:r w:rsidRPr="009A1902">
                              <w:rPr>
                                <w:rFonts w:cs="Arial"/>
                                <w:i/>
                                <w:szCs w:val="20"/>
                              </w:rPr>
                              <w:t>Statistical Office</w:t>
                            </w:r>
                            <w:r w:rsidRPr="00097407">
                              <w:t>, místo, rok vydání</w:t>
                            </w:r>
                          </w:p>
                          <w:p w14:paraId="2143299E" w14:textId="77777777" w:rsidR="006145FA" w:rsidRPr="005251DD" w:rsidRDefault="006145FA" w:rsidP="00665BA4"/>
                          <w:p w14:paraId="2143299F" w14:textId="77777777" w:rsidR="006145FA" w:rsidRPr="005251DD" w:rsidRDefault="006145FA" w:rsidP="00FC684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32978" id="_x0000_s1029" type="#_x0000_t202" style="position:absolute;margin-left:133.9pt;margin-top:759.8pt;width:403.95pt;height:14.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" filled="f" stroked="f">
                <v:textbox inset="0,0,0,0">
                  <w:txbxContent>
                    <w:p w14:paraId="2143299A" w14:textId="5A4C3E7C" w:rsidR="006145FA" w:rsidRPr="005251DD" w:rsidRDefault="006145FA" w:rsidP="00665BA4">
                      <w:r w:rsidRPr="004924DC">
                        <w:t xml:space="preserve">© </w:t>
                      </w:r>
                      <w:r w:rsidRPr="004509CE">
                        <w:rPr>
                          <w:lang w:val="en-GB"/>
                        </w:rPr>
                        <w:t>Czech Statistical Office, Prague</w:t>
                      </w:r>
                      <w:r w:rsidRPr="004924DC">
                        <w:t xml:space="preserve">, </w:t>
                      </w:r>
                      <w:r>
                        <w:t>2025</w:t>
                      </w:r>
                    </w:p>
                    <w:p w14:paraId="2143299B" w14:textId="77777777" w:rsidR="006145FA" w:rsidRPr="005251DD" w:rsidRDefault="006145FA" w:rsidP="00FC684B"/>
                    <w:p w14:paraId="2143299C" w14:textId="77777777" w:rsidR="006145FA" w:rsidRDefault="006145FA"/>
                    <w:p w14:paraId="2143299D" w14:textId="77777777" w:rsidR="006145FA" w:rsidRPr="00097407" w:rsidRDefault="006145FA" w:rsidP="00665BA4">
                      <w:r w:rsidRPr="00097407">
                        <w:t xml:space="preserve">© </w:t>
                      </w:r>
                      <w:r w:rsidRPr="005251DD">
                        <w:t>Český statistický úřad</w:t>
                      </w:r>
                      <w:r>
                        <w:t xml:space="preserve"> / </w:t>
                      </w:r>
                      <w:r w:rsidRPr="009A1902">
                        <w:rPr>
                          <w:i/>
                        </w:rPr>
                        <w:t xml:space="preserve">Czech </w:t>
                      </w:r>
                      <w:r w:rsidRPr="009A1902">
                        <w:rPr>
                          <w:rFonts w:cs="Arial"/>
                          <w:i/>
                          <w:szCs w:val="20"/>
                        </w:rPr>
                        <w:t>Statistical Office</w:t>
                      </w:r>
                      <w:r w:rsidRPr="00097407">
                        <w:t>, místo, rok vydání</w:t>
                      </w:r>
                    </w:p>
                    <w:p w14:paraId="2143299E" w14:textId="77777777" w:rsidR="006145FA" w:rsidRPr="005251DD" w:rsidRDefault="006145FA" w:rsidP="00665BA4"/>
                    <w:p w14:paraId="2143299F" w14:textId="77777777" w:rsidR="006145FA" w:rsidRPr="005251DD" w:rsidRDefault="006145FA" w:rsidP="00FC684B"/>
                  </w:txbxContent>
                </v:textbox>
                <w10:wrap anchorx="page" anchory="page"/>
                <w10:anchorlock/>
              </v:shape>
            </w:pict>
          </mc:Fallback>
        </mc:AlternateContent>
      </w:r>
      <w:r w:rsidR="00D57677">
        <w:rPr>
          <w:noProof/>
        </w:rPr>
        <mc:AlternateContent>
          <mc:Choice Requires="wps">
            <w:drawing>
              <wp:anchor distT="4294967294" distB="4294967294" distL="114300" distR="114300" simplePos="0" relativeHeight="251658240" behindDoc="0" locked="1" layoutInCell="0" allowOverlap="1" wp14:anchorId="2143297A" wp14:editId="2143297B">
                <wp:simplePos x="0" y="0"/>
                <wp:positionH relativeFrom="page">
                  <wp:posOffset>1710055</wp:posOffset>
                </wp:positionH>
                <wp:positionV relativeFrom="page">
                  <wp:posOffset>9361169</wp:posOffset>
                </wp:positionV>
                <wp:extent cx="5130165" cy="0"/>
                <wp:effectExtent l="0" t="0" r="26035" b="25400"/>
                <wp:wrapNone/>
                <wp:docPr id="33" name="Přímá spojnic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016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817333" id="Přímá spojnice 33" o:spid="_x0000_s1026" style="position:absolute;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134.65pt,737.1pt" to="538.6pt,7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" o:allowincell="f" strokecolor="windowText" strokeweight="1pt">
                <o:lock v:ext="edit" shapetype="f"/>
                <w10:wrap anchorx="page" anchory="page"/>
                <w10:anchorlock/>
              </v:line>
            </w:pict>
          </mc:Fallback>
        </mc:AlternateContent>
      </w:r>
      <w:r w:rsidR="00F63FB7">
        <w:br w:type="page"/>
      </w:r>
    </w:p>
    <w:p w14:paraId="1739CF39" w14:textId="77777777" w:rsidR="00E551F6" w:rsidRPr="001A0A01" w:rsidRDefault="00E551F6" w:rsidP="00E551F6">
      <w:pPr>
        <w:pStyle w:val="Obsah"/>
        <w:rPr>
          <w:lang w:val="en-GB" w:eastAsia="ar-SA"/>
        </w:rPr>
        <w:sectPr w:rsidR="00E551F6" w:rsidRPr="001A0A01" w:rsidSect="0085114D">
          <w:headerReference w:type="even" r:id="rId12"/>
          <w:headerReference w:type="default" r:id="rId13"/>
          <w:footerReference w:type="even" r:id="rId14"/>
          <w:footerReference w:type="default" r:id="rId15"/>
          <w:pgSz w:w="11906" w:h="16838" w:code="9"/>
          <w:pgMar w:top="1134" w:right="1134" w:bottom="1418" w:left="1134" w:header="709" w:footer="709" w:gutter="0"/>
          <w:pgNumType w:start="1"/>
          <w:cols w:space="708"/>
          <w:docGrid w:linePitch="360"/>
        </w:sectPr>
      </w:pPr>
      <w:r w:rsidRPr="001A0A01">
        <w:rPr>
          <w:lang w:val="en-GB"/>
        </w:rPr>
        <w:lastRenderedPageBreak/>
        <w:br w:type="page"/>
      </w:r>
      <w:r w:rsidRPr="001A0A01">
        <w:rPr>
          <w:noProof/>
        </w:rPr>
        <mc:AlternateContent>
          <mc:Choice Requires="wps">
            <w:drawing>
              <wp:anchor distT="0" distB="0" distL="114300" distR="114300" simplePos="0" relativeHeight="251658246" behindDoc="0" locked="1" layoutInCell="1" allowOverlap="1" wp14:anchorId="1FCF8172" wp14:editId="76A5ADAE">
                <wp:simplePos x="0" y="0"/>
                <wp:positionH relativeFrom="page">
                  <wp:posOffset>723900</wp:posOffset>
                </wp:positionH>
                <wp:positionV relativeFrom="page">
                  <wp:posOffset>1440180</wp:posOffset>
                </wp:positionV>
                <wp:extent cx="6119495" cy="7673340"/>
                <wp:effectExtent l="0" t="5080" r="1905"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767334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03F8DAC7" w14:textId="77777777" w:rsidR="006145FA" w:rsidRPr="00DE02BD" w:rsidRDefault="006145FA" w:rsidP="00E551F6">
                            <w:pPr>
                              <w:pStyle w:val="TLKontaktyerven"/>
                            </w:pPr>
                            <w:r>
                              <w:t>CONTACTS IN THE HEADQUARTERS</w:t>
                            </w:r>
                          </w:p>
                          <w:p w14:paraId="7CEDA9FA" w14:textId="77777777" w:rsidR="006145FA" w:rsidRPr="007D40DF" w:rsidRDefault="006145FA" w:rsidP="00E551F6">
                            <w:pPr>
                              <w:pStyle w:val="TLKontakty"/>
                              <w:spacing w:after="80" w:line="240" w:lineRule="auto"/>
                              <w:contextualSpacing w:val="0"/>
                              <w:rPr>
                                <w:b w:val="0"/>
                                <w:color w:val="auto"/>
                              </w:rPr>
                            </w:pPr>
                            <w:r>
                              <w:t>Czech Statistical Office</w:t>
                            </w:r>
                            <w:r w:rsidRPr="00EA0987">
                              <w:rPr>
                                <w:b w:val="0"/>
                              </w:rPr>
                              <w:t xml:space="preserve"> </w:t>
                            </w:r>
                            <w:r w:rsidRPr="007D40DF">
                              <w:rPr>
                                <w:b w:val="0"/>
                                <w:color w:val="auto"/>
                              </w:rPr>
                              <w:t>| Na</w:t>
                            </w:r>
                            <w:r>
                              <w:rPr>
                                <w:b w:val="0"/>
                                <w:color w:val="auto"/>
                              </w:rPr>
                              <w:t xml:space="preserve"> padesátém 81, 100 82 Praha</w:t>
                            </w:r>
                            <w:r w:rsidRPr="007D40DF">
                              <w:rPr>
                                <w:b w:val="0"/>
                                <w:color w:val="auto"/>
                              </w:rPr>
                              <w:t> </w:t>
                            </w:r>
                            <w:r>
                              <w:rPr>
                                <w:b w:val="0"/>
                                <w:color w:val="auto"/>
                              </w:rPr>
                              <w:t>10, ph</w:t>
                            </w:r>
                            <w:r w:rsidRPr="007D40DF">
                              <w:rPr>
                                <w:b w:val="0"/>
                                <w:color w:val="auto"/>
                              </w:rPr>
                              <w:t xml:space="preserve">.: 274 051 111 | </w:t>
                            </w:r>
                            <w:r>
                              <w:rPr>
                                <w:color w:val="auto"/>
                              </w:rPr>
                              <w:t>www.csu.gov</w:t>
                            </w:r>
                            <w:r w:rsidRPr="007D40DF">
                              <w:rPr>
                                <w:color w:val="auto"/>
                              </w:rPr>
                              <w:t>.cz</w:t>
                            </w:r>
                          </w:p>
                          <w:p w14:paraId="449EEA09" w14:textId="77777777" w:rsidR="006145FA" w:rsidRPr="00D235B7" w:rsidRDefault="006145FA" w:rsidP="00E551F6">
                            <w:pPr>
                              <w:pStyle w:val="TLKontakty"/>
                              <w:spacing w:after="80" w:line="240" w:lineRule="auto"/>
                              <w:contextualSpacing w:val="0"/>
                              <w:rPr>
                                <w:b w:val="0"/>
                                <w:color w:val="auto"/>
                              </w:rPr>
                            </w:pPr>
                            <w:r>
                              <w:rPr>
                                <w:color w:val="auto"/>
                              </w:rPr>
                              <w:t>Information Services</w:t>
                            </w:r>
                            <w:r>
                              <w:rPr>
                                <w:b w:val="0"/>
                                <w:color w:val="auto"/>
                              </w:rPr>
                              <w:t xml:space="preserve"> | ph.: 274 056 789 | e-mail: infoservis@csu.gov</w:t>
                            </w:r>
                            <w:r w:rsidRPr="00D235B7">
                              <w:rPr>
                                <w:b w:val="0"/>
                                <w:color w:val="auto"/>
                              </w:rPr>
                              <w:t>.cz</w:t>
                            </w:r>
                          </w:p>
                          <w:p w14:paraId="1F852BD2" w14:textId="77777777" w:rsidR="006145FA" w:rsidRPr="00D235B7" w:rsidRDefault="006145FA" w:rsidP="00E551F6">
                            <w:pPr>
                              <w:pStyle w:val="TLKontakty"/>
                              <w:spacing w:after="80" w:line="240" w:lineRule="auto"/>
                              <w:contextualSpacing w:val="0"/>
                              <w:rPr>
                                <w:b w:val="0"/>
                                <w:color w:val="auto"/>
                              </w:rPr>
                            </w:pPr>
                            <w:r>
                              <w:rPr>
                                <w:color w:val="auto"/>
                              </w:rPr>
                              <w:t>CZSO Publication Shop</w:t>
                            </w:r>
                            <w:r w:rsidRPr="00D235B7">
                              <w:rPr>
                                <w:b w:val="0"/>
                                <w:color w:val="auto"/>
                              </w:rPr>
                              <w:t xml:space="preserve"> | </w:t>
                            </w:r>
                            <w:r>
                              <w:rPr>
                                <w:b w:val="0"/>
                                <w:color w:val="auto"/>
                              </w:rPr>
                              <w:t>ph</w:t>
                            </w:r>
                            <w:r w:rsidRPr="00D235B7">
                              <w:rPr>
                                <w:b w:val="0"/>
                                <w:color w:val="auto"/>
                              </w:rPr>
                              <w:t>.: 274</w:t>
                            </w:r>
                            <w:r>
                              <w:rPr>
                                <w:b w:val="0"/>
                                <w:color w:val="auto"/>
                              </w:rPr>
                              <w:t xml:space="preserve"> 052 361 | e-mail: prodejna@csu.gov</w:t>
                            </w:r>
                            <w:r w:rsidRPr="00D235B7">
                              <w:rPr>
                                <w:b w:val="0"/>
                                <w:color w:val="auto"/>
                              </w:rPr>
                              <w:t>.cz</w:t>
                            </w:r>
                          </w:p>
                          <w:p w14:paraId="52EED4E1" w14:textId="77777777" w:rsidR="006145FA" w:rsidRPr="00D235B7" w:rsidRDefault="006145FA" w:rsidP="00E551F6">
                            <w:pPr>
                              <w:pStyle w:val="TLKontakty"/>
                              <w:spacing w:after="80" w:line="240" w:lineRule="auto"/>
                              <w:contextualSpacing w:val="0"/>
                              <w:rPr>
                                <w:b w:val="0"/>
                                <w:color w:val="auto"/>
                              </w:rPr>
                            </w:pPr>
                            <w:r w:rsidRPr="00D235B7">
                              <w:rPr>
                                <w:color w:val="auto"/>
                              </w:rPr>
                              <w:t>E</w:t>
                            </w:r>
                            <w:r>
                              <w:rPr>
                                <w:color w:val="auto"/>
                              </w:rPr>
                              <w:t xml:space="preserve">uropean Data </w:t>
                            </w:r>
                            <w:r w:rsidRPr="00D235B7">
                              <w:rPr>
                                <w:color w:val="auto"/>
                              </w:rPr>
                              <w:t xml:space="preserve">(ESDS), </w:t>
                            </w:r>
                            <w:r>
                              <w:rPr>
                                <w:color w:val="auto"/>
                              </w:rPr>
                              <w:t>international comparison</w:t>
                            </w:r>
                            <w:r>
                              <w:rPr>
                                <w:b w:val="0"/>
                                <w:color w:val="auto"/>
                              </w:rPr>
                              <w:t xml:space="preserve"> | ph.: 274 052 732 | e-mail: esds@csu.gov</w:t>
                            </w:r>
                            <w:r w:rsidRPr="00D235B7">
                              <w:rPr>
                                <w:b w:val="0"/>
                                <w:color w:val="auto"/>
                              </w:rPr>
                              <w:t>.cz</w:t>
                            </w:r>
                          </w:p>
                          <w:p w14:paraId="2F69A16B" w14:textId="77777777" w:rsidR="006145FA" w:rsidRPr="00D235B7" w:rsidRDefault="006145FA" w:rsidP="00E551F6">
                            <w:pPr>
                              <w:pStyle w:val="TLKontakty"/>
                              <w:spacing w:after="80" w:line="240" w:lineRule="auto"/>
                              <w:contextualSpacing w:val="0"/>
                              <w:rPr>
                                <w:b w:val="0"/>
                                <w:color w:val="auto"/>
                              </w:rPr>
                            </w:pPr>
                            <w:r>
                              <w:rPr>
                                <w:color w:val="auto"/>
                              </w:rPr>
                              <w:t>Central Statistical Library</w:t>
                            </w:r>
                            <w:r w:rsidRPr="00D235B7">
                              <w:rPr>
                                <w:b w:val="0"/>
                                <w:color w:val="auto"/>
                              </w:rPr>
                              <w:t xml:space="preserve"> | </w:t>
                            </w:r>
                            <w:r>
                              <w:rPr>
                                <w:b w:val="0"/>
                                <w:color w:val="auto"/>
                              </w:rPr>
                              <w:t>ph</w:t>
                            </w:r>
                            <w:r w:rsidRPr="00D235B7">
                              <w:rPr>
                                <w:b w:val="0"/>
                                <w:color w:val="auto"/>
                              </w:rPr>
                              <w:t>.: 274</w:t>
                            </w:r>
                            <w:r>
                              <w:rPr>
                                <w:b w:val="0"/>
                                <w:color w:val="auto"/>
                              </w:rPr>
                              <w:t xml:space="preserve"> 052 361 | e-mail: knihovna@csu.gov</w:t>
                            </w:r>
                            <w:r w:rsidRPr="00D235B7">
                              <w:rPr>
                                <w:b w:val="0"/>
                                <w:color w:val="auto"/>
                              </w:rPr>
                              <w:t>.cz</w:t>
                            </w:r>
                          </w:p>
                          <w:p w14:paraId="02624C02" w14:textId="77777777" w:rsidR="006145FA" w:rsidRPr="004A61C5" w:rsidRDefault="006145FA" w:rsidP="00E551F6">
                            <w:pPr>
                              <w:pStyle w:val="TLKontakty"/>
                              <w:spacing w:after="80" w:line="240" w:lineRule="auto"/>
                              <w:contextualSpacing w:val="0"/>
                              <w:rPr>
                                <w:color w:val="auto"/>
                              </w:rPr>
                            </w:pPr>
                          </w:p>
                          <w:p w14:paraId="100A9CCE" w14:textId="77777777" w:rsidR="006145FA" w:rsidRPr="00DE02BD" w:rsidRDefault="006145FA" w:rsidP="00E551F6">
                            <w:pPr>
                              <w:pStyle w:val="TLKontaktyerven"/>
                            </w:pPr>
                            <w:r w:rsidRPr="00DE02BD">
                              <w:t>INFORMA</w:t>
                            </w:r>
                            <w:r>
                              <w:t>TION SERVICES IN THE REGIONS</w:t>
                            </w:r>
                          </w:p>
                          <w:p w14:paraId="022E4789" w14:textId="77777777" w:rsidR="006145FA" w:rsidRPr="00992CF3" w:rsidRDefault="006145FA" w:rsidP="00E551F6">
                            <w:pPr>
                              <w:pStyle w:val="TLKontakty"/>
                              <w:spacing w:after="80" w:line="240" w:lineRule="auto"/>
                              <w:rPr>
                                <w:b w:val="0"/>
                                <w:color w:val="auto"/>
                              </w:rPr>
                            </w:pPr>
                            <w:r>
                              <w:t>Capital City Prague</w:t>
                            </w:r>
                            <w:r w:rsidRPr="00EA0987">
                              <w:rPr>
                                <w:b w:val="0"/>
                              </w:rPr>
                              <w:t xml:space="preserve"> </w:t>
                            </w:r>
                            <w:r w:rsidRPr="00992CF3">
                              <w:rPr>
                                <w:b w:val="0"/>
                                <w:color w:val="auto"/>
                              </w:rPr>
                              <w:t>| Na</w:t>
                            </w:r>
                            <w:r>
                              <w:rPr>
                                <w:b w:val="0"/>
                                <w:color w:val="auto"/>
                              </w:rPr>
                              <w:t xml:space="preserve"> padesátém 81, 100 82 Praha 10, ph</w:t>
                            </w:r>
                            <w:r w:rsidRPr="00992CF3">
                              <w:rPr>
                                <w:b w:val="0"/>
                                <w:color w:val="auto"/>
                              </w:rPr>
                              <w:t>.</w:t>
                            </w:r>
                            <w:r w:rsidRPr="007D40DF">
                              <w:rPr>
                                <w:b w:val="0"/>
                                <w:color w:val="auto"/>
                              </w:rPr>
                              <w:t>:</w:t>
                            </w:r>
                            <w:r>
                              <w:rPr>
                                <w:b w:val="0"/>
                                <w:color w:val="auto"/>
                              </w:rPr>
                              <w:t xml:space="preserve"> 274 052 673</w:t>
                            </w:r>
                          </w:p>
                          <w:p w14:paraId="447AFBD5" w14:textId="77777777" w:rsidR="006145FA" w:rsidRPr="00992CF3" w:rsidRDefault="006145FA" w:rsidP="00E551F6">
                            <w:pPr>
                              <w:pStyle w:val="TLKontakty"/>
                              <w:spacing w:after="80" w:line="240" w:lineRule="auto"/>
                              <w:rPr>
                                <w:b w:val="0"/>
                                <w:color w:val="auto"/>
                              </w:rPr>
                            </w:pPr>
                            <w:r w:rsidRPr="00992CF3">
                              <w:rPr>
                                <w:b w:val="0"/>
                                <w:color w:val="auto"/>
                              </w:rPr>
                              <w:t>e-mail: infoservispraha@</w:t>
                            </w:r>
                            <w:r>
                              <w:rPr>
                                <w:b w:val="0"/>
                                <w:color w:val="auto"/>
                              </w:rPr>
                              <w:t>csu.gov</w:t>
                            </w:r>
                            <w:r w:rsidRPr="00D235B7">
                              <w:rPr>
                                <w:b w:val="0"/>
                                <w:color w:val="auto"/>
                              </w:rPr>
                              <w:t>.cz</w:t>
                            </w:r>
                            <w:r w:rsidRPr="00992CF3">
                              <w:rPr>
                                <w:b w:val="0"/>
                                <w:color w:val="auto"/>
                              </w:rPr>
                              <w:t xml:space="preserve"> | </w:t>
                            </w:r>
                            <w:r>
                              <w:rPr>
                                <w:color w:val="auto"/>
                              </w:rPr>
                              <w:t>www.csu.gov.cz/praha</w:t>
                            </w:r>
                          </w:p>
                          <w:p w14:paraId="3D1BE28A" w14:textId="77777777" w:rsidR="006145FA" w:rsidRPr="004A61C5" w:rsidRDefault="006145FA" w:rsidP="00E551F6">
                            <w:pPr>
                              <w:pStyle w:val="TLKontakty"/>
                              <w:spacing w:after="80" w:line="240" w:lineRule="auto"/>
                              <w:rPr>
                                <w:color w:val="auto"/>
                              </w:rPr>
                            </w:pPr>
                          </w:p>
                          <w:p w14:paraId="71CE8F89" w14:textId="77777777" w:rsidR="006145FA" w:rsidRPr="00992CF3" w:rsidRDefault="006145FA" w:rsidP="00E551F6">
                            <w:pPr>
                              <w:pStyle w:val="TLKontakty"/>
                              <w:spacing w:after="80" w:line="240" w:lineRule="auto"/>
                              <w:rPr>
                                <w:b w:val="0"/>
                                <w:color w:val="auto"/>
                              </w:rPr>
                            </w:pPr>
                            <w:r>
                              <w:t>Central Bohemia</w:t>
                            </w:r>
                            <w:r w:rsidRPr="00EA0987">
                              <w:rPr>
                                <w:b w:val="0"/>
                              </w:rPr>
                              <w:t xml:space="preserve"> </w:t>
                            </w:r>
                            <w:r w:rsidRPr="00992CF3">
                              <w:rPr>
                                <w:b w:val="0"/>
                                <w:color w:val="auto"/>
                              </w:rPr>
                              <w:t xml:space="preserve">| Na padesátém 81, 100 82 Praha 10, </w:t>
                            </w:r>
                            <w:r>
                              <w:rPr>
                                <w:b w:val="0"/>
                                <w:color w:val="auto"/>
                              </w:rPr>
                              <w:t>ph</w:t>
                            </w:r>
                            <w:r w:rsidRPr="00992CF3">
                              <w:rPr>
                                <w:b w:val="0"/>
                                <w:color w:val="auto"/>
                              </w:rPr>
                              <w:t>.</w:t>
                            </w:r>
                            <w:r>
                              <w:rPr>
                                <w:b w:val="0"/>
                                <w:color w:val="auto"/>
                              </w:rPr>
                              <w:t xml:space="preserve">: </w:t>
                            </w:r>
                            <w:r w:rsidRPr="00992CF3">
                              <w:rPr>
                                <w:b w:val="0"/>
                                <w:color w:val="auto"/>
                              </w:rPr>
                              <w:t>274 054 175</w:t>
                            </w:r>
                          </w:p>
                          <w:p w14:paraId="1C657EF2" w14:textId="77777777" w:rsidR="006145FA" w:rsidRPr="00992CF3" w:rsidRDefault="006145FA" w:rsidP="00E551F6">
                            <w:pPr>
                              <w:pStyle w:val="TLKontakty"/>
                              <w:spacing w:after="80" w:line="240" w:lineRule="auto"/>
                              <w:rPr>
                                <w:color w:val="auto"/>
                              </w:rPr>
                            </w:pPr>
                            <w:r w:rsidRPr="00992CF3">
                              <w:rPr>
                                <w:b w:val="0"/>
                                <w:color w:val="auto"/>
                              </w:rPr>
                              <w:t>e-mail: infoservisstc@</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csu.gov.cz/stredocesky</w:t>
                            </w:r>
                          </w:p>
                          <w:p w14:paraId="7CC3CD45" w14:textId="77777777" w:rsidR="006145FA" w:rsidRPr="004A61C5" w:rsidRDefault="006145FA" w:rsidP="00E551F6">
                            <w:pPr>
                              <w:pStyle w:val="TLKontakty"/>
                              <w:spacing w:after="80" w:line="240" w:lineRule="auto"/>
                              <w:rPr>
                                <w:color w:val="auto"/>
                              </w:rPr>
                            </w:pPr>
                          </w:p>
                          <w:p w14:paraId="7EA6DB94" w14:textId="77777777" w:rsidR="006145FA" w:rsidRPr="00992CF3" w:rsidRDefault="006145FA" w:rsidP="00E551F6">
                            <w:pPr>
                              <w:pStyle w:val="TLKontakty"/>
                              <w:spacing w:after="80" w:line="240" w:lineRule="auto"/>
                              <w:rPr>
                                <w:b w:val="0"/>
                                <w:color w:val="auto"/>
                              </w:rPr>
                            </w:pPr>
                            <w:r w:rsidRPr="00EA0987">
                              <w:t>České Budějovice</w:t>
                            </w:r>
                            <w:r w:rsidRPr="00EA0987">
                              <w:rPr>
                                <w:b w:val="0"/>
                              </w:rPr>
                              <w:t xml:space="preserve"> </w:t>
                            </w:r>
                            <w:r w:rsidRPr="00992CF3">
                              <w:rPr>
                                <w:b w:val="0"/>
                                <w:color w:val="auto"/>
                              </w:rPr>
                              <w:t>| Žižkova 1</w:t>
                            </w:r>
                            <w:r>
                              <w:rPr>
                                <w:b w:val="0"/>
                                <w:color w:val="auto"/>
                              </w:rPr>
                              <w:t>a</w:t>
                            </w:r>
                            <w:r w:rsidRPr="00992CF3">
                              <w:rPr>
                                <w:b w:val="0"/>
                                <w:color w:val="auto"/>
                              </w:rPr>
                              <w:t>, 370 77 České Budějovice</w:t>
                            </w:r>
                            <w:r>
                              <w:rPr>
                                <w:b w:val="0"/>
                                <w:color w:val="auto"/>
                              </w:rPr>
                              <w:t>, ph</w:t>
                            </w:r>
                            <w:r w:rsidRPr="00992CF3">
                              <w:rPr>
                                <w:b w:val="0"/>
                                <w:color w:val="auto"/>
                              </w:rPr>
                              <w:t>.</w:t>
                            </w:r>
                            <w:r>
                              <w:rPr>
                                <w:b w:val="0"/>
                                <w:color w:val="auto"/>
                              </w:rPr>
                              <w:t xml:space="preserve">: </w:t>
                            </w:r>
                            <w:r w:rsidRPr="00992CF3">
                              <w:rPr>
                                <w:b w:val="0"/>
                                <w:color w:val="auto"/>
                              </w:rPr>
                              <w:t>386 718 440</w:t>
                            </w:r>
                          </w:p>
                          <w:p w14:paraId="6242C55C" w14:textId="77777777" w:rsidR="006145FA" w:rsidRPr="00992CF3" w:rsidRDefault="006145FA" w:rsidP="00E551F6">
                            <w:pPr>
                              <w:pStyle w:val="TLKontakty"/>
                              <w:spacing w:after="80" w:line="240" w:lineRule="auto"/>
                              <w:rPr>
                                <w:b w:val="0"/>
                                <w:color w:val="auto"/>
                              </w:rPr>
                            </w:pPr>
                            <w:r w:rsidRPr="00992CF3">
                              <w:rPr>
                                <w:b w:val="0"/>
                                <w:color w:val="auto"/>
                              </w:rPr>
                              <w:t>e-mail: infoserviscb@</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csu.gov.cz/jihocesky</w:t>
                            </w:r>
                          </w:p>
                          <w:p w14:paraId="369A395B" w14:textId="77777777" w:rsidR="006145FA" w:rsidRPr="004A61C5" w:rsidRDefault="006145FA" w:rsidP="00E551F6">
                            <w:pPr>
                              <w:pStyle w:val="TLKontakty"/>
                              <w:spacing w:after="80" w:line="240" w:lineRule="auto"/>
                              <w:rPr>
                                <w:color w:val="auto"/>
                              </w:rPr>
                            </w:pPr>
                          </w:p>
                          <w:p w14:paraId="55973737" w14:textId="77777777" w:rsidR="006145FA" w:rsidRPr="00BC731E" w:rsidRDefault="006145FA" w:rsidP="00E551F6">
                            <w:pPr>
                              <w:pStyle w:val="TLKontakty"/>
                              <w:spacing w:after="80" w:line="240" w:lineRule="auto"/>
                              <w:rPr>
                                <w:b w:val="0"/>
                                <w:color w:val="auto"/>
                              </w:rPr>
                            </w:pPr>
                            <w:r w:rsidRPr="00EA0987">
                              <w:t>Plzeň</w:t>
                            </w:r>
                            <w:r w:rsidRPr="00DE02BD">
                              <w:rPr>
                                <w:b w:val="0"/>
                                <w:color w:val="685B7A"/>
                              </w:rPr>
                              <w:t xml:space="preserve"> </w:t>
                            </w:r>
                            <w:r w:rsidRPr="004A61C5">
                              <w:rPr>
                                <w:b w:val="0"/>
                                <w:color w:val="auto"/>
                              </w:rPr>
                              <w:t>| Slovanská alej 36, 326 64 Plzeň</w:t>
                            </w:r>
                            <w:r>
                              <w:rPr>
                                <w:b w:val="0"/>
                                <w:color w:val="auto"/>
                              </w:rPr>
                              <w:t>, ph</w:t>
                            </w:r>
                            <w:r w:rsidRPr="004A61C5">
                              <w:rPr>
                                <w:b w:val="0"/>
                                <w:color w:val="auto"/>
                              </w:rPr>
                              <w:t>.</w:t>
                            </w:r>
                            <w:r>
                              <w:rPr>
                                <w:b w:val="0"/>
                                <w:color w:val="auto"/>
                              </w:rPr>
                              <w:t xml:space="preserve">: </w:t>
                            </w:r>
                            <w:r w:rsidRPr="004A61C5">
                              <w:rPr>
                                <w:b w:val="0"/>
                                <w:color w:val="auto"/>
                              </w:rPr>
                              <w:t>377 612 108</w:t>
                            </w:r>
                          </w:p>
                          <w:p w14:paraId="252E2D0C" w14:textId="77777777" w:rsidR="006145FA" w:rsidRPr="004A61C5" w:rsidRDefault="006145FA" w:rsidP="00E551F6">
                            <w:pPr>
                              <w:pStyle w:val="TLKontakty"/>
                              <w:spacing w:after="80" w:line="240" w:lineRule="auto"/>
                              <w:rPr>
                                <w:b w:val="0"/>
                                <w:color w:val="auto"/>
                              </w:rPr>
                            </w:pPr>
                            <w:r w:rsidRPr="004A61C5">
                              <w:rPr>
                                <w:b w:val="0"/>
                                <w:color w:val="auto"/>
                              </w:rPr>
                              <w:t>e-mail: infoservisplzen@</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csu.gov.cz/plzensky</w:t>
                            </w:r>
                          </w:p>
                          <w:p w14:paraId="7782E6B2" w14:textId="77777777" w:rsidR="006145FA" w:rsidRPr="004A61C5" w:rsidRDefault="006145FA" w:rsidP="00E551F6">
                            <w:pPr>
                              <w:pStyle w:val="TLKontakty"/>
                              <w:spacing w:after="80" w:line="240" w:lineRule="auto"/>
                              <w:rPr>
                                <w:color w:val="auto"/>
                              </w:rPr>
                            </w:pPr>
                          </w:p>
                          <w:p w14:paraId="73D9237C" w14:textId="77777777" w:rsidR="006145FA" w:rsidRPr="004A61C5" w:rsidRDefault="006145FA" w:rsidP="00E551F6">
                            <w:pPr>
                              <w:pStyle w:val="TLKontakty"/>
                              <w:spacing w:after="80" w:line="240" w:lineRule="auto"/>
                              <w:rPr>
                                <w:b w:val="0"/>
                                <w:color w:val="auto"/>
                              </w:rPr>
                            </w:pPr>
                            <w:r w:rsidRPr="00EA0987">
                              <w:t>Karlovy Vary</w:t>
                            </w:r>
                            <w:r w:rsidRPr="00EA0987">
                              <w:rPr>
                                <w:b w:val="0"/>
                              </w:rPr>
                              <w:t xml:space="preserve"> </w:t>
                            </w:r>
                            <w:r w:rsidRPr="004A61C5">
                              <w:rPr>
                                <w:b w:val="0"/>
                                <w:color w:val="auto"/>
                              </w:rPr>
                              <w:t xml:space="preserve">| </w:t>
                            </w:r>
                            <w:r w:rsidRPr="00095135">
                              <w:rPr>
                                <w:b w:val="0"/>
                                <w:color w:val="auto"/>
                              </w:rPr>
                              <w:t>Závodní 360/94, 360 06 Karlovy Vary</w:t>
                            </w:r>
                            <w:r w:rsidRPr="004A61C5">
                              <w:rPr>
                                <w:b w:val="0"/>
                                <w:color w:val="auto"/>
                              </w:rPr>
                              <w:t xml:space="preserve">, </w:t>
                            </w:r>
                            <w:r>
                              <w:rPr>
                                <w:b w:val="0"/>
                                <w:color w:val="auto"/>
                              </w:rPr>
                              <w:t>ph</w:t>
                            </w:r>
                            <w:r w:rsidRPr="004A61C5">
                              <w:rPr>
                                <w:b w:val="0"/>
                                <w:color w:val="auto"/>
                              </w:rPr>
                              <w:t>.</w:t>
                            </w:r>
                            <w:r>
                              <w:rPr>
                                <w:b w:val="0"/>
                                <w:color w:val="auto"/>
                              </w:rPr>
                              <w:t xml:space="preserve">: </w:t>
                            </w:r>
                            <w:r w:rsidRPr="004A61C5">
                              <w:rPr>
                                <w:b w:val="0"/>
                                <w:color w:val="auto"/>
                              </w:rPr>
                              <w:t>353 114 525</w:t>
                            </w:r>
                          </w:p>
                          <w:p w14:paraId="6C3350BE" w14:textId="77777777" w:rsidR="006145FA" w:rsidRPr="004A61C5" w:rsidRDefault="006145FA" w:rsidP="00E551F6">
                            <w:pPr>
                              <w:pStyle w:val="TLKontakty"/>
                              <w:spacing w:after="80" w:line="240" w:lineRule="auto"/>
                              <w:rPr>
                                <w:b w:val="0"/>
                                <w:color w:val="auto"/>
                              </w:rPr>
                            </w:pPr>
                            <w:r w:rsidRPr="004A61C5">
                              <w:rPr>
                                <w:b w:val="0"/>
                                <w:color w:val="auto"/>
                              </w:rPr>
                              <w:t>e-mail: infoserviskv@</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csu.gov.cz/karlovarsky</w:t>
                            </w:r>
                          </w:p>
                          <w:p w14:paraId="07AD7D3E" w14:textId="77777777" w:rsidR="006145FA" w:rsidRPr="004A61C5" w:rsidRDefault="006145FA" w:rsidP="00E551F6">
                            <w:pPr>
                              <w:pStyle w:val="TLKontakty"/>
                              <w:spacing w:after="80" w:line="240" w:lineRule="auto"/>
                              <w:rPr>
                                <w:color w:val="auto"/>
                              </w:rPr>
                            </w:pPr>
                          </w:p>
                          <w:p w14:paraId="25AA5C83" w14:textId="77777777" w:rsidR="006145FA" w:rsidRPr="004A61C5" w:rsidRDefault="006145FA" w:rsidP="00E551F6">
                            <w:pPr>
                              <w:pStyle w:val="TLKontakty"/>
                              <w:spacing w:after="80" w:line="240" w:lineRule="auto"/>
                              <w:rPr>
                                <w:b w:val="0"/>
                                <w:color w:val="auto"/>
                              </w:rPr>
                            </w:pPr>
                            <w:r w:rsidRPr="00EA0987">
                              <w:t>Ústí nad Labem</w:t>
                            </w:r>
                            <w:r w:rsidRPr="00EA0987">
                              <w:rPr>
                                <w:b w:val="0"/>
                              </w:rPr>
                              <w:t xml:space="preserve"> </w:t>
                            </w:r>
                            <w:r w:rsidRPr="004A61C5">
                              <w:rPr>
                                <w:b w:val="0"/>
                                <w:color w:val="auto"/>
                              </w:rPr>
                              <w:t>| Špálova 2684, 400 11 Ústí nad Labem</w:t>
                            </w:r>
                            <w:r>
                              <w:rPr>
                                <w:b w:val="0"/>
                                <w:color w:val="auto"/>
                              </w:rPr>
                              <w:t>, ph</w:t>
                            </w:r>
                            <w:r w:rsidRPr="004A61C5">
                              <w:rPr>
                                <w:b w:val="0"/>
                                <w:color w:val="auto"/>
                              </w:rPr>
                              <w:t>.</w:t>
                            </w:r>
                            <w:r>
                              <w:rPr>
                                <w:b w:val="0"/>
                                <w:color w:val="auto"/>
                              </w:rPr>
                              <w:t>: 472 706 176</w:t>
                            </w:r>
                          </w:p>
                          <w:p w14:paraId="13ABCEC8" w14:textId="77777777" w:rsidR="006145FA" w:rsidRPr="004A61C5" w:rsidRDefault="006145FA" w:rsidP="00E551F6">
                            <w:pPr>
                              <w:pStyle w:val="TLKontakty"/>
                              <w:spacing w:after="80" w:line="240" w:lineRule="auto"/>
                              <w:rPr>
                                <w:b w:val="0"/>
                                <w:color w:val="auto"/>
                              </w:rPr>
                            </w:pPr>
                            <w:r w:rsidRPr="004A61C5">
                              <w:rPr>
                                <w:b w:val="0"/>
                                <w:color w:val="auto"/>
                              </w:rPr>
                              <w:t>e-mail: infoservisul@</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csu.gov.cz/ustecky</w:t>
                            </w:r>
                          </w:p>
                          <w:p w14:paraId="4128832E" w14:textId="77777777" w:rsidR="006145FA" w:rsidRPr="004A61C5" w:rsidRDefault="006145FA" w:rsidP="00E551F6">
                            <w:pPr>
                              <w:pStyle w:val="TLKontakty"/>
                              <w:spacing w:after="80" w:line="240" w:lineRule="auto"/>
                              <w:rPr>
                                <w:color w:val="auto"/>
                              </w:rPr>
                            </w:pPr>
                          </w:p>
                          <w:p w14:paraId="4A3D6236" w14:textId="77777777" w:rsidR="006145FA" w:rsidRPr="004A61C5" w:rsidRDefault="006145FA" w:rsidP="00E551F6">
                            <w:pPr>
                              <w:pStyle w:val="TLKontakty"/>
                              <w:spacing w:after="80" w:line="240" w:lineRule="auto"/>
                              <w:rPr>
                                <w:b w:val="0"/>
                                <w:color w:val="auto"/>
                              </w:rPr>
                            </w:pPr>
                            <w:r w:rsidRPr="00EA0987">
                              <w:t>Liberec</w:t>
                            </w:r>
                            <w:r>
                              <w:rPr>
                                <w:b w:val="0"/>
                                <w:color w:val="auto"/>
                              </w:rPr>
                              <w:t xml:space="preserve"> | n</w:t>
                            </w:r>
                            <w:r w:rsidRPr="004A61C5">
                              <w:rPr>
                                <w:b w:val="0"/>
                                <w:color w:val="auto"/>
                              </w:rPr>
                              <w:t>ám. Dr. Edvarda</w:t>
                            </w:r>
                            <w:r>
                              <w:rPr>
                                <w:b w:val="0"/>
                                <w:color w:val="auto"/>
                              </w:rPr>
                              <w:t xml:space="preserve"> Beneše 585/26, 460 01 Liberec</w:t>
                            </w:r>
                            <w:r w:rsidRPr="004A61C5">
                              <w:rPr>
                                <w:b w:val="0"/>
                                <w:color w:val="auto"/>
                              </w:rPr>
                              <w:t xml:space="preserve">, </w:t>
                            </w:r>
                            <w:r>
                              <w:rPr>
                                <w:b w:val="0"/>
                                <w:color w:val="auto"/>
                              </w:rPr>
                              <w:t>ph</w:t>
                            </w:r>
                            <w:r w:rsidRPr="004A61C5">
                              <w:rPr>
                                <w:b w:val="0"/>
                                <w:color w:val="auto"/>
                              </w:rPr>
                              <w:t>.</w:t>
                            </w:r>
                            <w:r>
                              <w:rPr>
                                <w:b w:val="0"/>
                                <w:color w:val="auto"/>
                              </w:rPr>
                              <w:t xml:space="preserve">: </w:t>
                            </w:r>
                            <w:r w:rsidRPr="004A61C5">
                              <w:rPr>
                                <w:b w:val="0"/>
                                <w:color w:val="auto"/>
                              </w:rPr>
                              <w:t>485 238 811</w:t>
                            </w:r>
                          </w:p>
                          <w:p w14:paraId="2FED9E0A" w14:textId="77777777" w:rsidR="006145FA" w:rsidRPr="004A61C5" w:rsidRDefault="006145FA" w:rsidP="00E551F6">
                            <w:pPr>
                              <w:pStyle w:val="TLKontakty"/>
                              <w:spacing w:after="80" w:line="240" w:lineRule="auto"/>
                              <w:rPr>
                                <w:b w:val="0"/>
                                <w:color w:val="auto"/>
                              </w:rPr>
                            </w:pPr>
                            <w:r w:rsidRPr="004A61C5">
                              <w:rPr>
                                <w:b w:val="0"/>
                                <w:color w:val="auto"/>
                              </w:rPr>
                              <w:t>e-mail: infoservislbc@</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csu.gov.cz/liberecky</w:t>
                            </w:r>
                          </w:p>
                          <w:p w14:paraId="49D4B91A" w14:textId="77777777" w:rsidR="006145FA" w:rsidRPr="004A61C5" w:rsidRDefault="006145FA" w:rsidP="00E551F6">
                            <w:pPr>
                              <w:pStyle w:val="TLKontakty"/>
                              <w:spacing w:after="80" w:line="240" w:lineRule="auto"/>
                              <w:rPr>
                                <w:b w:val="0"/>
                                <w:color w:val="auto"/>
                              </w:rPr>
                            </w:pPr>
                          </w:p>
                          <w:p w14:paraId="00CE01A0" w14:textId="77777777" w:rsidR="006145FA" w:rsidRPr="004A61C5" w:rsidRDefault="006145FA" w:rsidP="00E551F6">
                            <w:pPr>
                              <w:pStyle w:val="TLKontakty"/>
                              <w:spacing w:after="80" w:line="240" w:lineRule="auto"/>
                              <w:rPr>
                                <w:b w:val="0"/>
                                <w:color w:val="auto"/>
                              </w:rPr>
                            </w:pPr>
                            <w:r w:rsidRPr="00EA0987">
                              <w:t>Hradec Králové</w:t>
                            </w:r>
                            <w:r w:rsidRPr="00EA0987">
                              <w:rPr>
                                <w:b w:val="0"/>
                              </w:rPr>
                              <w:t xml:space="preserve"> </w:t>
                            </w:r>
                            <w:r w:rsidRPr="004A61C5">
                              <w:rPr>
                                <w:b w:val="0"/>
                                <w:color w:val="auto"/>
                              </w:rPr>
                              <w:t>| Myslivečk</w:t>
                            </w:r>
                            <w:r>
                              <w:rPr>
                                <w:b w:val="0"/>
                                <w:color w:val="auto"/>
                              </w:rPr>
                              <w:t>ova 914, 500 03 Hradec Králové</w:t>
                            </w:r>
                            <w:r w:rsidRPr="004A61C5">
                              <w:rPr>
                                <w:b w:val="0"/>
                                <w:color w:val="auto"/>
                              </w:rPr>
                              <w:t xml:space="preserve">, </w:t>
                            </w:r>
                            <w:r>
                              <w:rPr>
                                <w:b w:val="0"/>
                                <w:color w:val="auto"/>
                              </w:rPr>
                              <w:t>ph.</w:t>
                            </w:r>
                            <w:r w:rsidRPr="007D40DF">
                              <w:rPr>
                                <w:b w:val="0"/>
                                <w:color w:val="auto"/>
                              </w:rPr>
                              <w:t>:</w:t>
                            </w:r>
                            <w:r>
                              <w:rPr>
                                <w:b w:val="0"/>
                                <w:color w:val="auto"/>
                              </w:rPr>
                              <w:t xml:space="preserve"> 495 762 322</w:t>
                            </w:r>
                          </w:p>
                          <w:p w14:paraId="7A210F2B" w14:textId="77777777" w:rsidR="006145FA" w:rsidRPr="004A61C5" w:rsidRDefault="006145FA" w:rsidP="00E551F6">
                            <w:pPr>
                              <w:pStyle w:val="TLKontakty"/>
                              <w:spacing w:after="80" w:line="240" w:lineRule="auto"/>
                              <w:rPr>
                                <w:b w:val="0"/>
                                <w:color w:val="auto"/>
                              </w:rPr>
                            </w:pPr>
                            <w:r w:rsidRPr="004A61C5">
                              <w:rPr>
                                <w:b w:val="0"/>
                                <w:color w:val="auto"/>
                              </w:rPr>
                              <w:t>e-mail: infoservishk@</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csu.gov.cz/kralovehradecky</w:t>
                            </w:r>
                          </w:p>
                          <w:p w14:paraId="614FDFBA" w14:textId="77777777" w:rsidR="006145FA" w:rsidRPr="004A61C5" w:rsidRDefault="006145FA" w:rsidP="00E551F6">
                            <w:pPr>
                              <w:pStyle w:val="TLKontakty"/>
                              <w:spacing w:after="80" w:line="240" w:lineRule="auto"/>
                              <w:rPr>
                                <w:color w:val="auto"/>
                              </w:rPr>
                            </w:pPr>
                          </w:p>
                          <w:p w14:paraId="5046D8BB" w14:textId="77777777" w:rsidR="006145FA" w:rsidRPr="004A61C5" w:rsidRDefault="006145FA" w:rsidP="00E551F6">
                            <w:pPr>
                              <w:pStyle w:val="TLKontakty"/>
                              <w:spacing w:after="80" w:line="240" w:lineRule="auto"/>
                              <w:rPr>
                                <w:b w:val="0"/>
                                <w:color w:val="auto"/>
                              </w:rPr>
                            </w:pPr>
                            <w:r w:rsidRPr="00EA0987">
                              <w:t>Pardubice</w:t>
                            </w:r>
                            <w:r w:rsidRPr="00EA0987">
                              <w:rPr>
                                <w:b w:val="0"/>
                              </w:rPr>
                              <w:t xml:space="preserve"> </w:t>
                            </w:r>
                            <w:r w:rsidRPr="004A61C5">
                              <w:rPr>
                                <w:b w:val="0"/>
                                <w:color w:val="auto"/>
                              </w:rPr>
                              <w:t>| V Ráji 872, 531 53 Pardubice</w:t>
                            </w:r>
                            <w:r>
                              <w:rPr>
                                <w:b w:val="0"/>
                                <w:color w:val="auto"/>
                              </w:rPr>
                              <w:t>, ph</w:t>
                            </w:r>
                            <w:r w:rsidRPr="004A61C5">
                              <w:rPr>
                                <w:b w:val="0"/>
                                <w:color w:val="auto"/>
                              </w:rPr>
                              <w:t>.</w:t>
                            </w:r>
                            <w:r>
                              <w:rPr>
                                <w:b w:val="0"/>
                                <w:color w:val="auto"/>
                              </w:rPr>
                              <w:t>: 466 743 480</w:t>
                            </w:r>
                          </w:p>
                          <w:p w14:paraId="48F568EE" w14:textId="77777777" w:rsidR="006145FA" w:rsidRPr="004A61C5" w:rsidRDefault="006145FA" w:rsidP="00E551F6">
                            <w:pPr>
                              <w:pStyle w:val="TLKontakty"/>
                              <w:spacing w:after="80" w:line="240" w:lineRule="auto"/>
                              <w:rPr>
                                <w:b w:val="0"/>
                                <w:color w:val="auto"/>
                              </w:rPr>
                            </w:pPr>
                            <w:r w:rsidRPr="004A61C5">
                              <w:rPr>
                                <w:b w:val="0"/>
                                <w:color w:val="auto"/>
                              </w:rPr>
                              <w:t>e-mail: infoservispa@</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csu.gov.cz/pardubicky</w:t>
                            </w:r>
                          </w:p>
                          <w:p w14:paraId="09C75AFD" w14:textId="77777777" w:rsidR="006145FA" w:rsidRPr="004A61C5" w:rsidRDefault="006145FA" w:rsidP="00E551F6">
                            <w:pPr>
                              <w:pStyle w:val="TLKontakty"/>
                              <w:spacing w:after="80" w:line="240" w:lineRule="auto"/>
                              <w:rPr>
                                <w:b w:val="0"/>
                                <w:color w:val="auto"/>
                              </w:rPr>
                            </w:pPr>
                          </w:p>
                          <w:p w14:paraId="3FFA5E4C" w14:textId="77777777" w:rsidR="006145FA" w:rsidRPr="004A61C5" w:rsidRDefault="006145FA" w:rsidP="00E551F6">
                            <w:pPr>
                              <w:pStyle w:val="TLKontakty"/>
                              <w:spacing w:after="80" w:line="240" w:lineRule="auto"/>
                              <w:rPr>
                                <w:b w:val="0"/>
                                <w:color w:val="auto"/>
                              </w:rPr>
                            </w:pPr>
                            <w:r w:rsidRPr="00EA0987">
                              <w:t>Jihlava</w:t>
                            </w:r>
                            <w:r w:rsidRPr="004A61C5">
                              <w:rPr>
                                <w:b w:val="0"/>
                                <w:color w:val="auto"/>
                              </w:rPr>
                              <w:t xml:space="preserve"> | Ke Skalce 30,</w:t>
                            </w:r>
                            <w:r>
                              <w:rPr>
                                <w:b w:val="0"/>
                                <w:color w:val="auto"/>
                              </w:rPr>
                              <w:t xml:space="preserve"> 586 01 Jihlava, ph.: </w:t>
                            </w:r>
                            <w:r w:rsidRPr="004A61C5">
                              <w:rPr>
                                <w:b w:val="0"/>
                                <w:color w:val="auto"/>
                              </w:rPr>
                              <w:t xml:space="preserve">567 109 </w:t>
                            </w:r>
                            <w:r>
                              <w:rPr>
                                <w:b w:val="0"/>
                                <w:color w:val="auto"/>
                              </w:rPr>
                              <w:t>062</w:t>
                            </w:r>
                          </w:p>
                          <w:p w14:paraId="030060E8" w14:textId="77777777" w:rsidR="006145FA" w:rsidRPr="004A61C5" w:rsidRDefault="006145FA" w:rsidP="00E551F6">
                            <w:pPr>
                              <w:pStyle w:val="TLKontakty"/>
                              <w:spacing w:after="80" w:line="240" w:lineRule="auto"/>
                              <w:rPr>
                                <w:b w:val="0"/>
                                <w:color w:val="auto"/>
                              </w:rPr>
                            </w:pPr>
                            <w:r w:rsidRPr="004A61C5">
                              <w:rPr>
                                <w:b w:val="0"/>
                                <w:color w:val="auto"/>
                              </w:rPr>
                              <w:t>e-mail: infoservisvys@</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csu.gov.cz/vysocina</w:t>
                            </w:r>
                          </w:p>
                          <w:p w14:paraId="409248D9" w14:textId="77777777" w:rsidR="006145FA" w:rsidRDefault="006145FA" w:rsidP="00E551F6">
                            <w:pPr>
                              <w:pStyle w:val="TLKontakty"/>
                              <w:spacing w:after="80" w:line="240" w:lineRule="auto"/>
                            </w:pPr>
                          </w:p>
                          <w:p w14:paraId="470178E3" w14:textId="77777777" w:rsidR="006145FA" w:rsidRPr="00BC731E" w:rsidRDefault="006145FA" w:rsidP="00E551F6">
                            <w:pPr>
                              <w:pStyle w:val="TLKontakty"/>
                              <w:spacing w:after="80" w:line="240" w:lineRule="auto"/>
                              <w:rPr>
                                <w:b w:val="0"/>
                                <w:color w:val="auto"/>
                              </w:rPr>
                            </w:pPr>
                            <w:r w:rsidRPr="00EA0987">
                              <w:t>Brno</w:t>
                            </w:r>
                            <w:r w:rsidRPr="00DE02BD">
                              <w:rPr>
                                <w:b w:val="0"/>
                                <w:color w:val="685B7A"/>
                              </w:rPr>
                              <w:t xml:space="preserve"> </w:t>
                            </w:r>
                            <w:r w:rsidRPr="004A61C5">
                              <w:rPr>
                                <w:b w:val="0"/>
                                <w:color w:val="auto"/>
                              </w:rPr>
                              <w:t xml:space="preserve">| Jezuitská 2, 601 59 Brno, </w:t>
                            </w:r>
                            <w:r>
                              <w:rPr>
                                <w:b w:val="0"/>
                                <w:color w:val="auto"/>
                              </w:rPr>
                              <w:t xml:space="preserve">ph: </w:t>
                            </w:r>
                            <w:r w:rsidRPr="00BC731E">
                              <w:rPr>
                                <w:b w:val="0"/>
                                <w:color w:val="auto"/>
                              </w:rPr>
                              <w:t>542 528 200</w:t>
                            </w:r>
                          </w:p>
                          <w:p w14:paraId="1E8774F5" w14:textId="77777777" w:rsidR="006145FA" w:rsidRPr="004A61C5" w:rsidRDefault="006145FA" w:rsidP="00E551F6">
                            <w:pPr>
                              <w:pStyle w:val="TLKontakty"/>
                              <w:spacing w:after="80" w:line="240" w:lineRule="auto"/>
                              <w:rPr>
                                <w:color w:val="auto"/>
                              </w:rPr>
                            </w:pPr>
                            <w:r w:rsidRPr="004A61C5">
                              <w:rPr>
                                <w:b w:val="0"/>
                                <w:color w:val="auto"/>
                              </w:rPr>
                              <w:t>e-mail: infoservisbrno@</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csu.gov.cz/jihomoravsky</w:t>
                            </w:r>
                          </w:p>
                          <w:p w14:paraId="4D9EA256" w14:textId="77777777" w:rsidR="006145FA" w:rsidRPr="004A61C5" w:rsidRDefault="006145FA" w:rsidP="00E551F6">
                            <w:pPr>
                              <w:pStyle w:val="TLKontakty"/>
                              <w:spacing w:after="80" w:line="240" w:lineRule="auto"/>
                              <w:rPr>
                                <w:b w:val="0"/>
                                <w:color w:val="auto"/>
                              </w:rPr>
                            </w:pPr>
                          </w:p>
                          <w:p w14:paraId="59C69415" w14:textId="77777777" w:rsidR="006145FA" w:rsidRPr="005E7C78" w:rsidRDefault="006145FA" w:rsidP="00E551F6">
                            <w:pPr>
                              <w:pStyle w:val="TLKontakty"/>
                              <w:spacing w:after="80" w:line="240" w:lineRule="auto"/>
                              <w:rPr>
                                <w:b w:val="0"/>
                                <w:color w:val="auto"/>
                              </w:rPr>
                            </w:pPr>
                            <w:r w:rsidRPr="00EA0987">
                              <w:t>Olomouc</w:t>
                            </w:r>
                            <w:r w:rsidRPr="005E7C78">
                              <w:rPr>
                                <w:b w:val="0"/>
                                <w:color w:val="auto"/>
                              </w:rPr>
                              <w:t xml:space="preserve"> | Jeremenkova 1142/42, 772 11 Olomouc, </w:t>
                            </w:r>
                            <w:r>
                              <w:rPr>
                                <w:b w:val="0"/>
                                <w:color w:val="auto"/>
                              </w:rPr>
                              <w:t xml:space="preserve">ph.: </w:t>
                            </w:r>
                            <w:r w:rsidRPr="00BC731E">
                              <w:rPr>
                                <w:b w:val="0"/>
                                <w:color w:val="auto"/>
                              </w:rPr>
                              <w:t>585 731 511</w:t>
                            </w:r>
                          </w:p>
                          <w:p w14:paraId="322BD77A" w14:textId="77777777" w:rsidR="006145FA" w:rsidRPr="005E7C78" w:rsidRDefault="006145FA" w:rsidP="00E551F6">
                            <w:pPr>
                              <w:pStyle w:val="TLKontakty"/>
                              <w:spacing w:after="80" w:line="240" w:lineRule="auto"/>
                              <w:rPr>
                                <w:b w:val="0"/>
                                <w:color w:val="auto"/>
                              </w:rPr>
                            </w:pPr>
                            <w:r w:rsidRPr="005E7C78">
                              <w:rPr>
                                <w:b w:val="0"/>
                                <w:color w:val="auto"/>
                              </w:rPr>
                              <w:t>e-mail: infoservisolom@</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csu.gov.cz/olomoucky</w:t>
                            </w:r>
                          </w:p>
                          <w:p w14:paraId="56F621BC" w14:textId="77777777" w:rsidR="006145FA" w:rsidRPr="005E7C78" w:rsidRDefault="006145FA" w:rsidP="00E551F6">
                            <w:pPr>
                              <w:pStyle w:val="TLKontakty"/>
                              <w:spacing w:after="80" w:line="240" w:lineRule="auto"/>
                              <w:rPr>
                                <w:b w:val="0"/>
                                <w:color w:val="auto"/>
                              </w:rPr>
                            </w:pPr>
                          </w:p>
                          <w:p w14:paraId="3B790EE6" w14:textId="77777777" w:rsidR="006145FA" w:rsidRPr="005E7C78" w:rsidRDefault="006145FA" w:rsidP="00E551F6">
                            <w:pPr>
                              <w:pStyle w:val="TLKontakty"/>
                              <w:spacing w:after="80" w:line="240" w:lineRule="auto"/>
                              <w:rPr>
                                <w:b w:val="0"/>
                                <w:color w:val="auto"/>
                              </w:rPr>
                            </w:pPr>
                            <w:r w:rsidRPr="00EA0987">
                              <w:t>Zlín</w:t>
                            </w:r>
                            <w:r w:rsidRPr="00EA0987">
                              <w:rPr>
                                <w:b w:val="0"/>
                              </w:rPr>
                              <w:t xml:space="preserve"> </w:t>
                            </w:r>
                            <w:r w:rsidRPr="005E7C78">
                              <w:rPr>
                                <w:b w:val="0"/>
                                <w:color w:val="auto"/>
                              </w:rPr>
                              <w:t>| tř</w:t>
                            </w:r>
                            <w:r>
                              <w:rPr>
                                <w:b w:val="0"/>
                                <w:color w:val="auto"/>
                              </w:rPr>
                              <w:t>ída</w:t>
                            </w:r>
                            <w:r w:rsidRPr="005E7C78">
                              <w:rPr>
                                <w:b w:val="0"/>
                                <w:color w:val="auto"/>
                              </w:rPr>
                              <w:t xml:space="preserve"> Tomáše Bati 1565, 761 76 Zlín, </w:t>
                            </w:r>
                            <w:r>
                              <w:rPr>
                                <w:b w:val="0"/>
                                <w:color w:val="auto"/>
                              </w:rPr>
                              <w:t>ph.: 577 004 936</w:t>
                            </w:r>
                          </w:p>
                          <w:p w14:paraId="2E3D7315" w14:textId="77777777" w:rsidR="006145FA" w:rsidRDefault="006145FA" w:rsidP="00E551F6">
                            <w:pPr>
                              <w:pStyle w:val="TLKontakty"/>
                              <w:spacing w:after="80" w:line="240" w:lineRule="auto"/>
                              <w:rPr>
                                <w:color w:val="auto"/>
                              </w:rPr>
                            </w:pPr>
                            <w:r>
                              <w:rPr>
                                <w:b w:val="0"/>
                                <w:color w:val="auto"/>
                              </w:rPr>
                              <w:t>e-mail: infoservis</w:t>
                            </w:r>
                            <w:r w:rsidRPr="005E7C78">
                              <w:rPr>
                                <w:b w:val="0"/>
                                <w:color w:val="auto"/>
                              </w:rPr>
                              <w:t>zl@</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csu.gov.cz/zlinsky</w:t>
                            </w:r>
                          </w:p>
                          <w:p w14:paraId="0674CB31" w14:textId="77777777" w:rsidR="006145FA" w:rsidRPr="005E7C78" w:rsidRDefault="006145FA" w:rsidP="00E551F6">
                            <w:pPr>
                              <w:pStyle w:val="TLKontakty"/>
                              <w:spacing w:after="80" w:line="240" w:lineRule="auto"/>
                              <w:rPr>
                                <w:b w:val="0"/>
                                <w:color w:val="auto"/>
                              </w:rPr>
                            </w:pPr>
                          </w:p>
                          <w:p w14:paraId="49A3D31E" w14:textId="77777777" w:rsidR="006145FA" w:rsidRPr="005E7C78" w:rsidRDefault="006145FA" w:rsidP="00E551F6">
                            <w:pPr>
                              <w:pStyle w:val="TLKontakty"/>
                              <w:spacing w:after="80" w:line="240" w:lineRule="auto"/>
                              <w:rPr>
                                <w:b w:val="0"/>
                                <w:color w:val="auto"/>
                              </w:rPr>
                            </w:pPr>
                            <w:r w:rsidRPr="00EA0987">
                              <w:t>Ostrava</w:t>
                            </w:r>
                            <w:r w:rsidRPr="00EA0987">
                              <w:rPr>
                                <w:b w:val="0"/>
                              </w:rPr>
                              <w:t xml:space="preserve"> </w:t>
                            </w:r>
                            <w:r w:rsidRPr="005E7C78">
                              <w:rPr>
                                <w:b w:val="0"/>
                                <w:color w:val="auto"/>
                              </w:rPr>
                              <w:t>| Repinova 17, 702 03 Ostrava,</w:t>
                            </w:r>
                            <w:r>
                              <w:rPr>
                                <w:b w:val="0"/>
                                <w:color w:val="auto"/>
                              </w:rPr>
                              <w:t xml:space="preserve"> ph: 595 131 230</w:t>
                            </w:r>
                          </w:p>
                          <w:p w14:paraId="2CE70835" w14:textId="77777777" w:rsidR="006145FA" w:rsidRPr="00095135" w:rsidRDefault="006145FA" w:rsidP="00E551F6">
                            <w:pPr>
                              <w:pStyle w:val="TLKontakty"/>
                              <w:spacing w:after="80" w:line="240" w:lineRule="auto"/>
                              <w:rPr>
                                <w:b w:val="0"/>
                                <w:color w:val="auto"/>
                              </w:rPr>
                            </w:pPr>
                            <w:r>
                              <w:rPr>
                                <w:b w:val="0"/>
                                <w:color w:val="auto"/>
                              </w:rPr>
                              <w:t>e-mail: infoservis</w:t>
                            </w:r>
                            <w:r w:rsidRPr="005E7C78">
                              <w:rPr>
                                <w:b w:val="0"/>
                                <w:color w:val="auto"/>
                              </w:rPr>
                              <w:t>ov@</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csu.gov.cz/moravskoslezsky</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FCF8172" id="_x0000_s1030" type="#_x0000_t202" style="position:absolute;margin-left:57pt;margin-top:113.4pt;width:481.85pt;height:604.2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" filled="f" stroked="f">
                <v:textbox style="mso-fit-shape-to-text:t" inset="0,0,0,0">
                  <w:txbxContent>
                    <w:p w14:paraId="03F8DAC7" w14:textId="77777777" w:rsidR="006145FA" w:rsidRPr="00DE02BD" w:rsidRDefault="006145FA" w:rsidP="00E551F6">
                      <w:pPr>
                        <w:pStyle w:val="TLKontaktyerven"/>
                      </w:pPr>
                      <w:r>
                        <w:t>CONTACTS IN THE HEADQUARTERS</w:t>
                      </w:r>
                    </w:p>
                    <w:p w14:paraId="7CEDA9FA" w14:textId="77777777" w:rsidR="006145FA" w:rsidRPr="007D40DF" w:rsidRDefault="006145FA" w:rsidP="00E551F6">
                      <w:pPr>
                        <w:pStyle w:val="TLKontakty"/>
                        <w:spacing w:after="80" w:line="240" w:lineRule="auto"/>
                        <w:contextualSpacing w:val="0"/>
                        <w:rPr>
                          <w:b w:val="0"/>
                          <w:color w:val="auto"/>
                        </w:rPr>
                      </w:pPr>
                      <w:r>
                        <w:t>Czech Statistical Office</w:t>
                      </w:r>
                      <w:r w:rsidRPr="00EA0987">
                        <w:rPr>
                          <w:b w:val="0"/>
                        </w:rPr>
                        <w:t xml:space="preserve"> </w:t>
                      </w:r>
                      <w:r w:rsidRPr="007D40DF">
                        <w:rPr>
                          <w:b w:val="0"/>
                          <w:color w:val="auto"/>
                        </w:rPr>
                        <w:t>| Na</w:t>
                      </w:r>
                      <w:r>
                        <w:rPr>
                          <w:b w:val="0"/>
                          <w:color w:val="auto"/>
                        </w:rPr>
                        <w:t xml:space="preserve"> padesátém 81, 100 82 Praha</w:t>
                      </w:r>
                      <w:r w:rsidRPr="007D40DF">
                        <w:rPr>
                          <w:b w:val="0"/>
                          <w:color w:val="auto"/>
                        </w:rPr>
                        <w:t> </w:t>
                      </w:r>
                      <w:r>
                        <w:rPr>
                          <w:b w:val="0"/>
                          <w:color w:val="auto"/>
                        </w:rPr>
                        <w:t>10, ph</w:t>
                      </w:r>
                      <w:r w:rsidRPr="007D40DF">
                        <w:rPr>
                          <w:b w:val="0"/>
                          <w:color w:val="auto"/>
                        </w:rPr>
                        <w:t xml:space="preserve">.: 274 051 111 | </w:t>
                      </w:r>
                      <w:r>
                        <w:rPr>
                          <w:color w:val="auto"/>
                        </w:rPr>
                        <w:t>www.csu.gov</w:t>
                      </w:r>
                      <w:r w:rsidRPr="007D40DF">
                        <w:rPr>
                          <w:color w:val="auto"/>
                        </w:rPr>
                        <w:t>.cz</w:t>
                      </w:r>
                    </w:p>
                    <w:p w14:paraId="449EEA09" w14:textId="77777777" w:rsidR="006145FA" w:rsidRPr="00D235B7" w:rsidRDefault="006145FA" w:rsidP="00E551F6">
                      <w:pPr>
                        <w:pStyle w:val="TLKontakty"/>
                        <w:spacing w:after="80" w:line="240" w:lineRule="auto"/>
                        <w:contextualSpacing w:val="0"/>
                        <w:rPr>
                          <w:b w:val="0"/>
                          <w:color w:val="auto"/>
                        </w:rPr>
                      </w:pPr>
                      <w:r>
                        <w:rPr>
                          <w:color w:val="auto"/>
                        </w:rPr>
                        <w:t>Information Services</w:t>
                      </w:r>
                      <w:r>
                        <w:rPr>
                          <w:b w:val="0"/>
                          <w:color w:val="auto"/>
                        </w:rPr>
                        <w:t xml:space="preserve"> | ph.: 274 056 789 | e-mail: infoservis@csu.gov</w:t>
                      </w:r>
                      <w:r w:rsidRPr="00D235B7">
                        <w:rPr>
                          <w:b w:val="0"/>
                          <w:color w:val="auto"/>
                        </w:rPr>
                        <w:t>.cz</w:t>
                      </w:r>
                    </w:p>
                    <w:p w14:paraId="1F852BD2" w14:textId="77777777" w:rsidR="006145FA" w:rsidRPr="00D235B7" w:rsidRDefault="006145FA" w:rsidP="00E551F6">
                      <w:pPr>
                        <w:pStyle w:val="TLKontakty"/>
                        <w:spacing w:after="80" w:line="240" w:lineRule="auto"/>
                        <w:contextualSpacing w:val="0"/>
                        <w:rPr>
                          <w:b w:val="0"/>
                          <w:color w:val="auto"/>
                        </w:rPr>
                      </w:pPr>
                      <w:r>
                        <w:rPr>
                          <w:color w:val="auto"/>
                        </w:rPr>
                        <w:t>CZSO Publication Shop</w:t>
                      </w:r>
                      <w:r w:rsidRPr="00D235B7">
                        <w:rPr>
                          <w:b w:val="0"/>
                          <w:color w:val="auto"/>
                        </w:rPr>
                        <w:t xml:space="preserve"> | </w:t>
                      </w:r>
                      <w:r>
                        <w:rPr>
                          <w:b w:val="0"/>
                          <w:color w:val="auto"/>
                        </w:rPr>
                        <w:t>ph</w:t>
                      </w:r>
                      <w:r w:rsidRPr="00D235B7">
                        <w:rPr>
                          <w:b w:val="0"/>
                          <w:color w:val="auto"/>
                        </w:rPr>
                        <w:t>.: 274</w:t>
                      </w:r>
                      <w:r>
                        <w:rPr>
                          <w:b w:val="0"/>
                          <w:color w:val="auto"/>
                        </w:rPr>
                        <w:t xml:space="preserve"> 052 361 | e-mail: prodejna@csu.gov</w:t>
                      </w:r>
                      <w:r w:rsidRPr="00D235B7">
                        <w:rPr>
                          <w:b w:val="0"/>
                          <w:color w:val="auto"/>
                        </w:rPr>
                        <w:t>.cz</w:t>
                      </w:r>
                    </w:p>
                    <w:p w14:paraId="52EED4E1" w14:textId="77777777" w:rsidR="006145FA" w:rsidRPr="00D235B7" w:rsidRDefault="006145FA" w:rsidP="00E551F6">
                      <w:pPr>
                        <w:pStyle w:val="TLKontakty"/>
                        <w:spacing w:after="80" w:line="240" w:lineRule="auto"/>
                        <w:contextualSpacing w:val="0"/>
                        <w:rPr>
                          <w:b w:val="0"/>
                          <w:color w:val="auto"/>
                        </w:rPr>
                      </w:pPr>
                      <w:r w:rsidRPr="00D235B7">
                        <w:rPr>
                          <w:color w:val="auto"/>
                        </w:rPr>
                        <w:t>E</w:t>
                      </w:r>
                      <w:r>
                        <w:rPr>
                          <w:color w:val="auto"/>
                        </w:rPr>
                        <w:t xml:space="preserve">uropean Data </w:t>
                      </w:r>
                      <w:r w:rsidRPr="00D235B7">
                        <w:rPr>
                          <w:color w:val="auto"/>
                        </w:rPr>
                        <w:t xml:space="preserve">(ESDS), </w:t>
                      </w:r>
                      <w:r>
                        <w:rPr>
                          <w:color w:val="auto"/>
                        </w:rPr>
                        <w:t>international comparison</w:t>
                      </w:r>
                      <w:r>
                        <w:rPr>
                          <w:b w:val="0"/>
                          <w:color w:val="auto"/>
                        </w:rPr>
                        <w:t xml:space="preserve"> | ph.: 274 052 732 | e-mail: esds@csu.gov</w:t>
                      </w:r>
                      <w:r w:rsidRPr="00D235B7">
                        <w:rPr>
                          <w:b w:val="0"/>
                          <w:color w:val="auto"/>
                        </w:rPr>
                        <w:t>.cz</w:t>
                      </w:r>
                    </w:p>
                    <w:p w14:paraId="2F69A16B" w14:textId="77777777" w:rsidR="006145FA" w:rsidRPr="00D235B7" w:rsidRDefault="006145FA" w:rsidP="00E551F6">
                      <w:pPr>
                        <w:pStyle w:val="TLKontakty"/>
                        <w:spacing w:after="80" w:line="240" w:lineRule="auto"/>
                        <w:contextualSpacing w:val="0"/>
                        <w:rPr>
                          <w:b w:val="0"/>
                          <w:color w:val="auto"/>
                        </w:rPr>
                      </w:pPr>
                      <w:r>
                        <w:rPr>
                          <w:color w:val="auto"/>
                        </w:rPr>
                        <w:t>Central Statistical Library</w:t>
                      </w:r>
                      <w:r w:rsidRPr="00D235B7">
                        <w:rPr>
                          <w:b w:val="0"/>
                          <w:color w:val="auto"/>
                        </w:rPr>
                        <w:t xml:space="preserve"> | </w:t>
                      </w:r>
                      <w:r>
                        <w:rPr>
                          <w:b w:val="0"/>
                          <w:color w:val="auto"/>
                        </w:rPr>
                        <w:t>ph</w:t>
                      </w:r>
                      <w:r w:rsidRPr="00D235B7">
                        <w:rPr>
                          <w:b w:val="0"/>
                          <w:color w:val="auto"/>
                        </w:rPr>
                        <w:t>.: 274</w:t>
                      </w:r>
                      <w:r>
                        <w:rPr>
                          <w:b w:val="0"/>
                          <w:color w:val="auto"/>
                        </w:rPr>
                        <w:t xml:space="preserve"> 052 361 | e-mail: knihovna@csu.gov</w:t>
                      </w:r>
                      <w:r w:rsidRPr="00D235B7">
                        <w:rPr>
                          <w:b w:val="0"/>
                          <w:color w:val="auto"/>
                        </w:rPr>
                        <w:t>.cz</w:t>
                      </w:r>
                    </w:p>
                    <w:p w14:paraId="02624C02" w14:textId="77777777" w:rsidR="006145FA" w:rsidRPr="004A61C5" w:rsidRDefault="006145FA" w:rsidP="00E551F6">
                      <w:pPr>
                        <w:pStyle w:val="TLKontakty"/>
                        <w:spacing w:after="80" w:line="240" w:lineRule="auto"/>
                        <w:contextualSpacing w:val="0"/>
                        <w:rPr>
                          <w:color w:val="auto"/>
                        </w:rPr>
                      </w:pPr>
                    </w:p>
                    <w:p w14:paraId="100A9CCE" w14:textId="77777777" w:rsidR="006145FA" w:rsidRPr="00DE02BD" w:rsidRDefault="006145FA" w:rsidP="00E551F6">
                      <w:pPr>
                        <w:pStyle w:val="TLKontaktyerven"/>
                      </w:pPr>
                      <w:r w:rsidRPr="00DE02BD">
                        <w:t>INFORMA</w:t>
                      </w:r>
                      <w:r>
                        <w:t>TION SERVICES IN THE REGIONS</w:t>
                      </w:r>
                    </w:p>
                    <w:p w14:paraId="022E4789" w14:textId="77777777" w:rsidR="006145FA" w:rsidRPr="00992CF3" w:rsidRDefault="006145FA" w:rsidP="00E551F6">
                      <w:pPr>
                        <w:pStyle w:val="TLKontakty"/>
                        <w:spacing w:after="80" w:line="240" w:lineRule="auto"/>
                        <w:rPr>
                          <w:b w:val="0"/>
                          <w:color w:val="auto"/>
                        </w:rPr>
                      </w:pPr>
                      <w:r>
                        <w:t>Capital City Prague</w:t>
                      </w:r>
                      <w:r w:rsidRPr="00EA0987">
                        <w:rPr>
                          <w:b w:val="0"/>
                        </w:rPr>
                        <w:t xml:space="preserve"> </w:t>
                      </w:r>
                      <w:r w:rsidRPr="00992CF3">
                        <w:rPr>
                          <w:b w:val="0"/>
                          <w:color w:val="auto"/>
                        </w:rPr>
                        <w:t>| Na</w:t>
                      </w:r>
                      <w:r>
                        <w:rPr>
                          <w:b w:val="0"/>
                          <w:color w:val="auto"/>
                        </w:rPr>
                        <w:t xml:space="preserve"> padesátém 81, 100 82 Praha 10, ph</w:t>
                      </w:r>
                      <w:r w:rsidRPr="00992CF3">
                        <w:rPr>
                          <w:b w:val="0"/>
                          <w:color w:val="auto"/>
                        </w:rPr>
                        <w:t>.</w:t>
                      </w:r>
                      <w:r w:rsidRPr="007D40DF">
                        <w:rPr>
                          <w:b w:val="0"/>
                          <w:color w:val="auto"/>
                        </w:rPr>
                        <w:t>:</w:t>
                      </w:r>
                      <w:r>
                        <w:rPr>
                          <w:b w:val="0"/>
                          <w:color w:val="auto"/>
                        </w:rPr>
                        <w:t xml:space="preserve"> 274 052 673</w:t>
                      </w:r>
                    </w:p>
                    <w:p w14:paraId="447AFBD5" w14:textId="77777777" w:rsidR="006145FA" w:rsidRPr="00992CF3" w:rsidRDefault="006145FA" w:rsidP="00E551F6">
                      <w:pPr>
                        <w:pStyle w:val="TLKontakty"/>
                        <w:spacing w:after="80" w:line="240" w:lineRule="auto"/>
                        <w:rPr>
                          <w:b w:val="0"/>
                          <w:color w:val="auto"/>
                        </w:rPr>
                      </w:pPr>
                      <w:r w:rsidRPr="00992CF3">
                        <w:rPr>
                          <w:b w:val="0"/>
                          <w:color w:val="auto"/>
                        </w:rPr>
                        <w:t>e-mail: infoservispraha@</w:t>
                      </w:r>
                      <w:r>
                        <w:rPr>
                          <w:b w:val="0"/>
                          <w:color w:val="auto"/>
                        </w:rPr>
                        <w:t>csu.gov</w:t>
                      </w:r>
                      <w:r w:rsidRPr="00D235B7">
                        <w:rPr>
                          <w:b w:val="0"/>
                          <w:color w:val="auto"/>
                        </w:rPr>
                        <w:t>.cz</w:t>
                      </w:r>
                      <w:r w:rsidRPr="00992CF3">
                        <w:rPr>
                          <w:b w:val="0"/>
                          <w:color w:val="auto"/>
                        </w:rPr>
                        <w:t xml:space="preserve"> | </w:t>
                      </w:r>
                      <w:r>
                        <w:rPr>
                          <w:color w:val="auto"/>
                        </w:rPr>
                        <w:t>www.csu.gov.cz/praha</w:t>
                      </w:r>
                    </w:p>
                    <w:p w14:paraId="3D1BE28A" w14:textId="77777777" w:rsidR="006145FA" w:rsidRPr="004A61C5" w:rsidRDefault="006145FA" w:rsidP="00E551F6">
                      <w:pPr>
                        <w:pStyle w:val="TLKontakty"/>
                        <w:spacing w:after="80" w:line="240" w:lineRule="auto"/>
                        <w:rPr>
                          <w:color w:val="auto"/>
                        </w:rPr>
                      </w:pPr>
                    </w:p>
                    <w:p w14:paraId="71CE8F89" w14:textId="77777777" w:rsidR="006145FA" w:rsidRPr="00992CF3" w:rsidRDefault="006145FA" w:rsidP="00E551F6">
                      <w:pPr>
                        <w:pStyle w:val="TLKontakty"/>
                        <w:spacing w:after="80" w:line="240" w:lineRule="auto"/>
                        <w:rPr>
                          <w:b w:val="0"/>
                          <w:color w:val="auto"/>
                        </w:rPr>
                      </w:pPr>
                      <w:r>
                        <w:t>Central Bohemia</w:t>
                      </w:r>
                      <w:r w:rsidRPr="00EA0987">
                        <w:rPr>
                          <w:b w:val="0"/>
                        </w:rPr>
                        <w:t xml:space="preserve"> </w:t>
                      </w:r>
                      <w:r w:rsidRPr="00992CF3">
                        <w:rPr>
                          <w:b w:val="0"/>
                          <w:color w:val="auto"/>
                        </w:rPr>
                        <w:t xml:space="preserve">| Na padesátém 81, 100 82 Praha 10, </w:t>
                      </w:r>
                      <w:r>
                        <w:rPr>
                          <w:b w:val="0"/>
                          <w:color w:val="auto"/>
                        </w:rPr>
                        <w:t>ph</w:t>
                      </w:r>
                      <w:r w:rsidRPr="00992CF3">
                        <w:rPr>
                          <w:b w:val="0"/>
                          <w:color w:val="auto"/>
                        </w:rPr>
                        <w:t>.</w:t>
                      </w:r>
                      <w:r>
                        <w:rPr>
                          <w:b w:val="0"/>
                          <w:color w:val="auto"/>
                        </w:rPr>
                        <w:t xml:space="preserve">: </w:t>
                      </w:r>
                      <w:r w:rsidRPr="00992CF3">
                        <w:rPr>
                          <w:b w:val="0"/>
                          <w:color w:val="auto"/>
                        </w:rPr>
                        <w:t>274 054 175</w:t>
                      </w:r>
                    </w:p>
                    <w:p w14:paraId="1C657EF2" w14:textId="77777777" w:rsidR="006145FA" w:rsidRPr="00992CF3" w:rsidRDefault="006145FA" w:rsidP="00E551F6">
                      <w:pPr>
                        <w:pStyle w:val="TLKontakty"/>
                        <w:spacing w:after="80" w:line="240" w:lineRule="auto"/>
                        <w:rPr>
                          <w:color w:val="auto"/>
                        </w:rPr>
                      </w:pPr>
                      <w:r w:rsidRPr="00992CF3">
                        <w:rPr>
                          <w:b w:val="0"/>
                          <w:color w:val="auto"/>
                        </w:rPr>
                        <w:t>e-mail: infoservisstc@</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csu.gov.cz/stredocesky</w:t>
                      </w:r>
                    </w:p>
                    <w:p w14:paraId="7CC3CD45" w14:textId="77777777" w:rsidR="006145FA" w:rsidRPr="004A61C5" w:rsidRDefault="006145FA" w:rsidP="00E551F6">
                      <w:pPr>
                        <w:pStyle w:val="TLKontakty"/>
                        <w:spacing w:after="80" w:line="240" w:lineRule="auto"/>
                        <w:rPr>
                          <w:color w:val="auto"/>
                        </w:rPr>
                      </w:pPr>
                    </w:p>
                    <w:p w14:paraId="7EA6DB94" w14:textId="77777777" w:rsidR="006145FA" w:rsidRPr="00992CF3" w:rsidRDefault="006145FA" w:rsidP="00E551F6">
                      <w:pPr>
                        <w:pStyle w:val="TLKontakty"/>
                        <w:spacing w:after="80" w:line="240" w:lineRule="auto"/>
                        <w:rPr>
                          <w:b w:val="0"/>
                          <w:color w:val="auto"/>
                        </w:rPr>
                      </w:pPr>
                      <w:r w:rsidRPr="00EA0987">
                        <w:t>České Budějovice</w:t>
                      </w:r>
                      <w:r w:rsidRPr="00EA0987">
                        <w:rPr>
                          <w:b w:val="0"/>
                        </w:rPr>
                        <w:t xml:space="preserve"> </w:t>
                      </w:r>
                      <w:r w:rsidRPr="00992CF3">
                        <w:rPr>
                          <w:b w:val="0"/>
                          <w:color w:val="auto"/>
                        </w:rPr>
                        <w:t>| Žižkova 1</w:t>
                      </w:r>
                      <w:r>
                        <w:rPr>
                          <w:b w:val="0"/>
                          <w:color w:val="auto"/>
                        </w:rPr>
                        <w:t>a</w:t>
                      </w:r>
                      <w:r w:rsidRPr="00992CF3">
                        <w:rPr>
                          <w:b w:val="0"/>
                          <w:color w:val="auto"/>
                        </w:rPr>
                        <w:t>, 370 77 České Budějovice</w:t>
                      </w:r>
                      <w:r>
                        <w:rPr>
                          <w:b w:val="0"/>
                          <w:color w:val="auto"/>
                        </w:rPr>
                        <w:t>, ph</w:t>
                      </w:r>
                      <w:r w:rsidRPr="00992CF3">
                        <w:rPr>
                          <w:b w:val="0"/>
                          <w:color w:val="auto"/>
                        </w:rPr>
                        <w:t>.</w:t>
                      </w:r>
                      <w:r>
                        <w:rPr>
                          <w:b w:val="0"/>
                          <w:color w:val="auto"/>
                        </w:rPr>
                        <w:t xml:space="preserve">: </w:t>
                      </w:r>
                      <w:r w:rsidRPr="00992CF3">
                        <w:rPr>
                          <w:b w:val="0"/>
                          <w:color w:val="auto"/>
                        </w:rPr>
                        <w:t>386 718 440</w:t>
                      </w:r>
                    </w:p>
                    <w:p w14:paraId="6242C55C" w14:textId="77777777" w:rsidR="006145FA" w:rsidRPr="00992CF3" w:rsidRDefault="006145FA" w:rsidP="00E551F6">
                      <w:pPr>
                        <w:pStyle w:val="TLKontakty"/>
                        <w:spacing w:after="80" w:line="240" w:lineRule="auto"/>
                        <w:rPr>
                          <w:b w:val="0"/>
                          <w:color w:val="auto"/>
                        </w:rPr>
                      </w:pPr>
                      <w:r w:rsidRPr="00992CF3">
                        <w:rPr>
                          <w:b w:val="0"/>
                          <w:color w:val="auto"/>
                        </w:rPr>
                        <w:t>e-mail: infoserviscb@</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csu.gov.cz/jihocesky</w:t>
                      </w:r>
                    </w:p>
                    <w:p w14:paraId="369A395B" w14:textId="77777777" w:rsidR="006145FA" w:rsidRPr="004A61C5" w:rsidRDefault="006145FA" w:rsidP="00E551F6">
                      <w:pPr>
                        <w:pStyle w:val="TLKontakty"/>
                        <w:spacing w:after="80" w:line="240" w:lineRule="auto"/>
                        <w:rPr>
                          <w:color w:val="auto"/>
                        </w:rPr>
                      </w:pPr>
                    </w:p>
                    <w:p w14:paraId="55973737" w14:textId="77777777" w:rsidR="006145FA" w:rsidRPr="00BC731E" w:rsidRDefault="006145FA" w:rsidP="00E551F6">
                      <w:pPr>
                        <w:pStyle w:val="TLKontakty"/>
                        <w:spacing w:after="80" w:line="240" w:lineRule="auto"/>
                        <w:rPr>
                          <w:b w:val="0"/>
                          <w:color w:val="auto"/>
                        </w:rPr>
                      </w:pPr>
                      <w:r w:rsidRPr="00EA0987">
                        <w:t>Plzeň</w:t>
                      </w:r>
                      <w:r w:rsidRPr="00DE02BD">
                        <w:rPr>
                          <w:b w:val="0"/>
                          <w:color w:val="685B7A"/>
                        </w:rPr>
                        <w:t xml:space="preserve"> </w:t>
                      </w:r>
                      <w:r w:rsidRPr="004A61C5">
                        <w:rPr>
                          <w:b w:val="0"/>
                          <w:color w:val="auto"/>
                        </w:rPr>
                        <w:t>| Slovanská alej 36, 326 64 Plzeň</w:t>
                      </w:r>
                      <w:r>
                        <w:rPr>
                          <w:b w:val="0"/>
                          <w:color w:val="auto"/>
                        </w:rPr>
                        <w:t>, ph</w:t>
                      </w:r>
                      <w:r w:rsidRPr="004A61C5">
                        <w:rPr>
                          <w:b w:val="0"/>
                          <w:color w:val="auto"/>
                        </w:rPr>
                        <w:t>.</w:t>
                      </w:r>
                      <w:r>
                        <w:rPr>
                          <w:b w:val="0"/>
                          <w:color w:val="auto"/>
                        </w:rPr>
                        <w:t xml:space="preserve">: </w:t>
                      </w:r>
                      <w:r w:rsidRPr="004A61C5">
                        <w:rPr>
                          <w:b w:val="0"/>
                          <w:color w:val="auto"/>
                        </w:rPr>
                        <w:t>377 612 108</w:t>
                      </w:r>
                    </w:p>
                    <w:p w14:paraId="252E2D0C" w14:textId="77777777" w:rsidR="006145FA" w:rsidRPr="004A61C5" w:rsidRDefault="006145FA" w:rsidP="00E551F6">
                      <w:pPr>
                        <w:pStyle w:val="TLKontakty"/>
                        <w:spacing w:after="80" w:line="240" w:lineRule="auto"/>
                        <w:rPr>
                          <w:b w:val="0"/>
                          <w:color w:val="auto"/>
                        </w:rPr>
                      </w:pPr>
                      <w:r w:rsidRPr="004A61C5">
                        <w:rPr>
                          <w:b w:val="0"/>
                          <w:color w:val="auto"/>
                        </w:rPr>
                        <w:t>e-mail: infoservisplzen@</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csu.gov.cz/plzensky</w:t>
                      </w:r>
                    </w:p>
                    <w:p w14:paraId="7782E6B2" w14:textId="77777777" w:rsidR="006145FA" w:rsidRPr="004A61C5" w:rsidRDefault="006145FA" w:rsidP="00E551F6">
                      <w:pPr>
                        <w:pStyle w:val="TLKontakty"/>
                        <w:spacing w:after="80" w:line="240" w:lineRule="auto"/>
                        <w:rPr>
                          <w:color w:val="auto"/>
                        </w:rPr>
                      </w:pPr>
                    </w:p>
                    <w:p w14:paraId="73D9237C" w14:textId="77777777" w:rsidR="006145FA" w:rsidRPr="004A61C5" w:rsidRDefault="006145FA" w:rsidP="00E551F6">
                      <w:pPr>
                        <w:pStyle w:val="TLKontakty"/>
                        <w:spacing w:after="80" w:line="240" w:lineRule="auto"/>
                        <w:rPr>
                          <w:b w:val="0"/>
                          <w:color w:val="auto"/>
                        </w:rPr>
                      </w:pPr>
                      <w:r w:rsidRPr="00EA0987">
                        <w:t>Karlovy Vary</w:t>
                      </w:r>
                      <w:r w:rsidRPr="00EA0987">
                        <w:rPr>
                          <w:b w:val="0"/>
                        </w:rPr>
                        <w:t xml:space="preserve"> </w:t>
                      </w:r>
                      <w:r w:rsidRPr="004A61C5">
                        <w:rPr>
                          <w:b w:val="0"/>
                          <w:color w:val="auto"/>
                        </w:rPr>
                        <w:t xml:space="preserve">| </w:t>
                      </w:r>
                      <w:r w:rsidRPr="00095135">
                        <w:rPr>
                          <w:b w:val="0"/>
                          <w:color w:val="auto"/>
                        </w:rPr>
                        <w:t>Závodní 360/94, 360 06 Karlovy Vary</w:t>
                      </w:r>
                      <w:r w:rsidRPr="004A61C5">
                        <w:rPr>
                          <w:b w:val="0"/>
                          <w:color w:val="auto"/>
                        </w:rPr>
                        <w:t xml:space="preserve">, </w:t>
                      </w:r>
                      <w:r>
                        <w:rPr>
                          <w:b w:val="0"/>
                          <w:color w:val="auto"/>
                        </w:rPr>
                        <w:t>ph</w:t>
                      </w:r>
                      <w:r w:rsidRPr="004A61C5">
                        <w:rPr>
                          <w:b w:val="0"/>
                          <w:color w:val="auto"/>
                        </w:rPr>
                        <w:t>.</w:t>
                      </w:r>
                      <w:r>
                        <w:rPr>
                          <w:b w:val="0"/>
                          <w:color w:val="auto"/>
                        </w:rPr>
                        <w:t xml:space="preserve">: </w:t>
                      </w:r>
                      <w:r w:rsidRPr="004A61C5">
                        <w:rPr>
                          <w:b w:val="0"/>
                          <w:color w:val="auto"/>
                        </w:rPr>
                        <w:t>353 114 525</w:t>
                      </w:r>
                    </w:p>
                    <w:p w14:paraId="6C3350BE" w14:textId="77777777" w:rsidR="006145FA" w:rsidRPr="004A61C5" w:rsidRDefault="006145FA" w:rsidP="00E551F6">
                      <w:pPr>
                        <w:pStyle w:val="TLKontakty"/>
                        <w:spacing w:after="80" w:line="240" w:lineRule="auto"/>
                        <w:rPr>
                          <w:b w:val="0"/>
                          <w:color w:val="auto"/>
                        </w:rPr>
                      </w:pPr>
                      <w:r w:rsidRPr="004A61C5">
                        <w:rPr>
                          <w:b w:val="0"/>
                          <w:color w:val="auto"/>
                        </w:rPr>
                        <w:t>e-mail: infoserviskv@</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csu.gov.cz/karlovarsky</w:t>
                      </w:r>
                    </w:p>
                    <w:p w14:paraId="07AD7D3E" w14:textId="77777777" w:rsidR="006145FA" w:rsidRPr="004A61C5" w:rsidRDefault="006145FA" w:rsidP="00E551F6">
                      <w:pPr>
                        <w:pStyle w:val="TLKontakty"/>
                        <w:spacing w:after="80" w:line="240" w:lineRule="auto"/>
                        <w:rPr>
                          <w:color w:val="auto"/>
                        </w:rPr>
                      </w:pPr>
                    </w:p>
                    <w:p w14:paraId="25AA5C83" w14:textId="77777777" w:rsidR="006145FA" w:rsidRPr="004A61C5" w:rsidRDefault="006145FA" w:rsidP="00E551F6">
                      <w:pPr>
                        <w:pStyle w:val="TLKontakty"/>
                        <w:spacing w:after="80" w:line="240" w:lineRule="auto"/>
                        <w:rPr>
                          <w:b w:val="0"/>
                          <w:color w:val="auto"/>
                        </w:rPr>
                      </w:pPr>
                      <w:r w:rsidRPr="00EA0987">
                        <w:t>Ústí nad Labem</w:t>
                      </w:r>
                      <w:r w:rsidRPr="00EA0987">
                        <w:rPr>
                          <w:b w:val="0"/>
                        </w:rPr>
                        <w:t xml:space="preserve"> </w:t>
                      </w:r>
                      <w:r w:rsidRPr="004A61C5">
                        <w:rPr>
                          <w:b w:val="0"/>
                          <w:color w:val="auto"/>
                        </w:rPr>
                        <w:t>| Špálova 2684, 400 11 Ústí nad Labem</w:t>
                      </w:r>
                      <w:r>
                        <w:rPr>
                          <w:b w:val="0"/>
                          <w:color w:val="auto"/>
                        </w:rPr>
                        <w:t>, ph</w:t>
                      </w:r>
                      <w:r w:rsidRPr="004A61C5">
                        <w:rPr>
                          <w:b w:val="0"/>
                          <w:color w:val="auto"/>
                        </w:rPr>
                        <w:t>.</w:t>
                      </w:r>
                      <w:r>
                        <w:rPr>
                          <w:b w:val="0"/>
                          <w:color w:val="auto"/>
                        </w:rPr>
                        <w:t>: 472 706 176</w:t>
                      </w:r>
                    </w:p>
                    <w:p w14:paraId="13ABCEC8" w14:textId="77777777" w:rsidR="006145FA" w:rsidRPr="004A61C5" w:rsidRDefault="006145FA" w:rsidP="00E551F6">
                      <w:pPr>
                        <w:pStyle w:val="TLKontakty"/>
                        <w:spacing w:after="80" w:line="240" w:lineRule="auto"/>
                        <w:rPr>
                          <w:b w:val="0"/>
                          <w:color w:val="auto"/>
                        </w:rPr>
                      </w:pPr>
                      <w:r w:rsidRPr="004A61C5">
                        <w:rPr>
                          <w:b w:val="0"/>
                          <w:color w:val="auto"/>
                        </w:rPr>
                        <w:t>e-mail: infoservisul@</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csu.gov.cz/ustecky</w:t>
                      </w:r>
                    </w:p>
                    <w:p w14:paraId="4128832E" w14:textId="77777777" w:rsidR="006145FA" w:rsidRPr="004A61C5" w:rsidRDefault="006145FA" w:rsidP="00E551F6">
                      <w:pPr>
                        <w:pStyle w:val="TLKontakty"/>
                        <w:spacing w:after="80" w:line="240" w:lineRule="auto"/>
                        <w:rPr>
                          <w:color w:val="auto"/>
                        </w:rPr>
                      </w:pPr>
                    </w:p>
                    <w:p w14:paraId="4A3D6236" w14:textId="77777777" w:rsidR="006145FA" w:rsidRPr="004A61C5" w:rsidRDefault="006145FA" w:rsidP="00E551F6">
                      <w:pPr>
                        <w:pStyle w:val="TLKontakty"/>
                        <w:spacing w:after="80" w:line="240" w:lineRule="auto"/>
                        <w:rPr>
                          <w:b w:val="0"/>
                          <w:color w:val="auto"/>
                        </w:rPr>
                      </w:pPr>
                      <w:r w:rsidRPr="00EA0987">
                        <w:t>Liberec</w:t>
                      </w:r>
                      <w:r>
                        <w:rPr>
                          <w:b w:val="0"/>
                          <w:color w:val="auto"/>
                        </w:rPr>
                        <w:t xml:space="preserve"> | n</w:t>
                      </w:r>
                      <w:r w:rsidRPr="004A61C5">
                        <w:rPr>
                          <w:b w:val="0"/>
                          <w:color w:val="auto"/>
                        </w:rPr>
                        <w:t>ám. Dr. Edvarda</w:t>
                      </w:r>
                      <w:r>
                        <w:rPr>
                          <w:b w:val="0"/>
                          <w:color w:val="auto"/>
                        </w:rPr>
                        <w:t xml:space="preserve"> Beneše 585/26, 460 01 Liberec</w:t>
                      </w:r>
                      <w:r w:rsidRPr="004A61C5">
                        <w:rPr>
                          <w:b w:val="0"/>
                          <w:color w:val="auto"/>
                        </w:rPr>
                        <w:t xml:space="preserve">, </w:t>
                      </w:r>
                      <w:r>
                        <w:rPr>
                          <w:b w:val="0"/>
                          <w:color w:val="auto"/>
                        </w:rPr>
                        <w:t>ph</w:t>
                      </w:r>
                      <w:r w:rsidRPr="004A61C5">
                        <w:rPr>
                          <w:b w:val="0"/>
                          <w:color w:val="auto"/>
                        </w:rPr>
                        <w:t>.</w:t>
                      </w:r>
                      <w:r>
                        <w:rPr>
                          <w:b w:val="0"/>
                          <w:color w:val="auto"/>
                        </w:rPr>
                        <w:t xml:space="preserve">: </w:t>
                      </w:r>
                      <w:r w:rsidRPr="004A61C5">
                        <w:rPr>
                          <w:b w:val="0"/>
                          <w:color w:val="auto"/>
                        </w:rPr>
                        <w:t>485 238 811</w:t>
                      </w:r>
                    </w:p>
                    <w:p w14:paraId="2FED9E0A" w14:textId="77777777" w:rsidR="006145FA" w:rsidRPr="004A61C5" w:rsidRDefault="006145FA" w:rsidP="00E551F6">
                      <w:pPr>
                        <w:pStyle w:val="TLKontakty"/>
                        <w:spacing w:after="80" w:line="240" w:lineRule="auto"/>
                        <w:rPr>
                          <w:b w:val="0"/>
                          <w:color w:val="auto"/>
                        </w:rPr>
                      </w:pPr>
                      <w:r w:rsidRPr="004A61C5">
                        <w:rPr>
                          <w:b w:val="0"/>
                          <w:color w:val="auto"/>
                        </w:rPr>
                        <w:t>e-mail: infoservislbc@</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csu.gov.cz/liberecky</w:t>
                      </w:r>
                    </w:p>
                    <w:p w14:paraId="49D4B91A" w14:textId="77777777" w:rsidR="006145FA" w:rsidRPr="004A61C5" w:rsidRDefault="006145FA" w:rsidP="00E551F6">
                      <w:pPr>
                        <w:pStyle w:val="TLKontakty"/>
                        <w:spacing w:after="80" w:line="240" w:lineRule="auto"/>
                        <w:rPr>
                          <w:b w:val="0"/>
                          <w:color w:val="auto"/>
                        </w:rPr>
                      </w:pPr>
                    </w:p>
                    <w:p w14:paraId="00CE01A0" w14:textId="77777777" w:rsidR="006145FA" w:rsidRPr="004A61C5" w:rsidRDefault="006145FA" w:rsidP="00E551F6">
                      <w:pPr>
                        <w:pStyle w:val="TLKontakty"/>
                        <w:spacing w:after="80" w:line="240" w:lineRule="auto"/>
                        <w:rPr>
                          <w:b w:val="0"/>
                          <w:color w:val="auto"/>
                        </w:rPr>
                      </w:pPr>
                      <w:r w:rsidRPr="00EA0987">
                        <w:t>Hradec Králové</w:t>
                      </w:r>
                      <w:r w:rsidRPr="00EA0987">
                        <w:rPr>
                          <w:b w:val="0"/>
                        </w:rPr>
                        <w:t xml:space="preserve"> </w:t>
                      </w:r>
                      <w:r w:rsidRPr="004A61C5">
                        <w:rPr>
                          <w:b w:val="0"/>
                          <w:color w:val="auto"/>
                        </w:rPr>
                        <w:t>| Myslivečk</w:t>
                      </w:r>
                      <w:r>
                        <w:rPr>
                          <w:b w:val="0"/>
                          <w:color w:val="auto"/>
                        </w:rPr>
                        <w:t>ova 914, 500 03 Hradec Králové</w:t>
                      </w:r>
                      <w:r w:rsidRPr="004A61C5">
                        <w:rPr>
                          <w:b w:val="0"/>
                          <w:color w:val="auto"/>
                        </w:rPr>
                        <w:t xml:space="preserve">, </w:t>
                      </w:r>
                      <w:r>
                        <w:rPr>
                          <w:b w:val="0"/>
                          <w:color w:val="auto"/>
                        </w:rPr>
                        <w:t>ph.</w:t>
                      </w:r>
                      <w:r w:rsidRPr="007D40DF">
                        <w:rPr>
                          <w:b w:val="0"/>
                          <w:color w:val="auto"/>
                        </w:rPr>
                        <w:t>:</w:t>
                      </w:r>
                      <w:r>
                        <w:rPr>
                          <w:b w:val="0"/>
                          <w:color w:val="auto"/>
                        </w:rPr>
                        <w:t xml:space="preserve"> 495 762 322</w:t>
                      </w:r>
                    </w:p>
                    <w:p w14:paraId="7A210F2B" w14:textId="77777777" w:rsidR="006145FA" w:rsidRPr="004A61C5" w:rsidRDefault="006145FA" w:rsidP="00E551F6">
                      <w:pPr>
                        <w:pStyle w:val="TLKontakty"/>
                        <w:spacing w:after="80" w:line="240" w:lineRule="auto"/>
                        <w:rPr>
                          <w:b w:val="0"/>
                          <w:color w:val="auto"/>
                        </w:rPr>
                      </w:pPr>
                      <w:r w:rsidRPr="004A61C5">
                        <w:rPr>
                          <w:b w:val="0"/>
                          <w:color w:val="auto"/>
                        </w:rPr>
                        <w:t>e-mail: infoservishk@</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csu.gov.cz/kralovehradecky</w:t>
                      </w:r>
                    </w:p>
                    <w:p w14:paraId="614FDFBA" w14:textId="77777777" w:rsidR="006145FA" w:rsidRPr="004A61C5" w:rsidRDefault="006145FA" w:rsidP="00E551F6">
                      <w:pPr>
                        <w:pStyle w:val="TLKontakty"/>
                        <w:spacing w:after="80" w:line="240" w:lineRule="auto"/>
                        <w:rPr>
                          <w:color w:val="auto"/>
                        </w:rPr>
                      </w:pPr>
                    </w:p>
                    <w:p w14:paraId="5046D8BB" w14:textId="77777777" w:rsidR="006145FA" w:rsidRPr="004A61C5" w:rsidRDefault="006145FA" w:rsidP="00E551F6">
                      <w:pPr>
                        <w:pStyle w:val="TLKontakty"/>
                        <w:spacing w:after="80" w:line="240" w:lineRule="auto"/>
                        <w:rPr>
                          <w:b w:val="0"/>
                          <w:color w:val="auto"/>
                        </w:rPr>
                      </w:pPr>
                      <w:r w:rsidRPr="00EA0987">
                        <w:t>Pardubice</w:t>
                      </w:r>
                      <w:r w:rsidRPr="00EA0987">
                        <w:rPr>
                          <w:b w:val="0"/>
                        </w:rPr>
                        <w:t xml:space="preserve"> </w:t>
                      </w:r>
                      <w:r w:rsidRPr="004A61C5">
                        <w:rPr>
                          <w:b w:val="0"/>
                          <w:color w:val="auto"/>
                        </w:rPr>
                        <w:t>| V Ráji 872, 531 53 Pardubice</w:t>
                      </w:r>
                      <w:r>
                        <w:rPr>
                          <w:b w:val="0"/>
                          <w:color w:val="auto"/>
                        </w:rPr>
                        <w:t>, ph</w:t>
                      </w:r>
                      <w:r w:rsidRPr="004A61C5">
                        <w:rPr>
                          <w:b w:val="0"/>
                          <w:color w:val="auto"/>
                        </w:rPr>
                        <w:t>.</w:t>
                      </w:r>
                      <w:r>
                        <w:rPr>
                          <w:b w:val="0"/>
                          <w:color w:val="auto"/>
                        </w:rPr>
                        <w:t>: 466 743 480</w:t>
                      </w:r>
                    </w:p>
                    <w:p w14:paraId="48F568EE" w14:textId="77777777" w:rsidR="006145FA" w:rsidRPr="004A61C5" w:rsidRDefault="006145FA" w:rsidP="00E551F6">
                      <w:pPr>
                        <w:pStyle w:val="TLKontakty"/>
                        <w:spacing w:after="80" w:line="240" w:lineRule="auto"/>
                        <w:rPr>
                          <w:b w:val="0"/>
                          <w:color w:val="auto"/>
                        </w:rPr>
                      </w:pPr>
                      <w:r w:rsidRPr="004A61C5">
                        <w:rPr>
                          <w:b w:val="0"/>
                          <w:color w:val="auto"/>
                        </w:rPr>
                        <w:t>e-mail: infoservispa@</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csu.gov.cz/pardubicky</w:t>
                      </w:r>
                    </w:p>
                    <w:p w14:paraId="09C75AFD" w14:textId="77777777" w:rsidR="006145FA" w:rsidRPr="004A61C5" w:rsidRDefault="006145FA" w:rsidP="00E551F6">
                      <w:pPr>
                        <w:pStyle w:val="TLKontakty"/>
                        <w:spacing w:after="80" w:line="240" w:lineRule="auto"/>
                        <w:rPr>
                          <w:b w:val="0"/>
                          <w:color w:val="auto"/>
                        </w:rPr>
                      </w:pPr>
                    </w:p>
                    <w:p w14:paraId="3FFA5E4C" w14:textId="77777777" w:rsidR="006145FA" w:rsidRPr="004A61C5" w:rsidRDefault="006145FA" w:rsidP="00E551F6">
                      <w:pPr>
                        <w:pStyle w:val="TLKontakty"/>
                        <w:spacing w:after="80" w:line="240" w:lineRule="auto"/>
                        <w:rPr>
                          <w:b w:val="0"/>
                          <w:color w:val="auto"/>
                        </w:rPr>
                      </w:pPr>
                      <w:r w:rsidRPr="00EA0987">
                        <w:t>Jihlava</w:t>
                      </w:r>
                      <w:r w:rsidRPr="004A61C5">
                        <w:rPr>
                          <w:b w:val="0"/>
                          <w:color w:val="auto"/>
                        </w:rPr>
                        <w:t xml:space="preserve"> | Ke Skalce 30,</w:t>
                      </w:r>
                      <w:r>
                        <w:rPr>
                          <w:b w:val="0"/>
                          <w:color w:val="auto"/>
                        </w:rPr>
                        <w:t xml:space="preserve"> 586 01 Jihlava, ph.: </w:t>
                      </w:r>
                      <w:r w:rsidRPr="004A61C5">
                        <w:rPr>
                          <w:b w:val="0"/>
                          <w:color w:val="auto"/>
                        </w:rPr>
                        <w:t xml:space="preserve">567 109 </w:t>
                      </w:r>
                      <w:r>
                        <w:rPr>
                          <w:b w:val="0"/>
                          <w:color w:val="auto"/>
                        </w:rPr>
                        <w:t>062</w:t>
                      </w:r>
                    </w:p>
                    <w:p w14:paraId="030060E8" w14:textId="77777777" w:rsidR="006145FA" w:rsidRPr="004A61C5" w:rsidRDefault="006145FA" w:rsidP="00E551F6">
                      <w:pPr>
                        <w:pStyle w:val="TLKontakty"/>
                        <w:spacing w:after="80" w:line="240" w:lineRule="auto"/>
                        <w:rPr>
                          <w:b w:val="0"/>
                          <w:color w:val="auto"/>
                        </w:rPr>
                      </w:pPr>
                      <w:r w:rsidRPr="004A61C5">
                        <w:rPr>
                          <w:b w:val="0"/>
                          <w:color w:val="auto"/>
                        </w:rPr>
                        <w:t>e-mail: infoservisvys@</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csu.gov.cz/vysocina</w:t>
                      </w:r>
                    </w:p>
                    <w:p w14:paraId="409248D9" w14:textId="77777777" w:rsidR="006145FA" w:rsidRDefault="006145FA" w:rsidP="00E551F6">
                      <w:pPr>
                        <w:pStyle w:val="TLKontakty"/>
                        <w:spacing w:after="80" w:line="240" w:lineRule="auto"/>
                      </w:pPr>
                    </w:p>
                    <w:p w14:paraId="470178E3" w14:textId="77777777" w:rsidR="006145FA" w:rsidRPr="00BC731E" w:rsidRDefault="006145FA" w:rsidP="00E551F6">
                      <w:pPr>
                        <w:pStyle w:val="TLKontakty"/>
                        <w:spacing w:after="80" w:line="240" w:lineRule="auto"/>
                        <w:rPr>
                          <w:b w:val="0"/>
                          <w:color w:val="auto"/>
                        </w:rPr>
                      </w:pPr>
                      <w:r w:rsidRPr="00EA0987">
                        <w:t>Brno</w:t>
                      </w:r>
                      <w:r w:rsidRPr="00DE02BD">
                        <w:rPr>
                          <w:b w:val="0"/>
                          <w:color w:val="685B7A"/>
                        </w:rPr>
                        <w:t xml:space="preserve"> </w:t>
                      </w:r>
                      <w:r w:rsidRPr="004A61C5">
                        <w:rPr>
                          <w:b w:val="0"/>
                          <w:color w:val="auto"/>
                        </w:rPr>
                        <w:t xml:space="preserve">| Jezuitská 2, 601 59 Brno, </w:t>
                      </w:r>
                      <w:r>
                        <w:rPr>
                          <w:b w:val="0"/>
                          <w:color w:val="auto"/>
                        </w:rPr>
                        <w:t xml:space="preserve">ph: </w:t>
                      </w:r>
                      <w:r w:rsidRPr="00BC731E">
                        <w:rPr>
                          <w:b w:val="0"/>
                          <w:color w:val="auto"/>
                        </w:rPr>
                        <w:t>542 528 200</w:t>
                      </w:r>
                    </w:p>
                    <w:p w14:paraId="1E8774F5" w14:textId="77777777" w:rsidR="006145FA" w:rsidRPr="004A61C5" w:rsidRDefault="006145FA" w:rsidP="00E551F6">
                      <w:pPr>
                        <w:pStyle w:val="TLKontakty"/>
                        <w:spacing w:after="80" w:line="240" w:lineRule="auto"/>
                        <w:rPr>
                          <w:color w:val="auto"/>
                        </w:rPr>
                      </w:pPr>
                      <w:r w:rsidRPr="004A61C5">
                        <w:rPr>
                          <w:b w:val="0"/>
                          <w:color w:val="auto"/>
                        </w:rPr>
                        <w:t>e-mail: infoservisbrno@</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csu.gov.cz/jihomoravsky</w:t>
                      </w:r>
                    </w:p>
                    <w:p w14:paraId="4D9EA256" w14:textId="77777777" w:rsidR="006145FA" w:rsidRPr="004A61C5" w:rsidRDefault="006145FA" w:rsidP="00E551F6">
                      <w:pPr>
                        <w:pStyle w:val="TLKontakty"/>
                        <w:spacing w:after="80" w:line="240" w:lineRule="auto"/>
                        <w:rPr>
                          <w:b w:val="0"/>
                          <w:color w:val="auto"/>
                        </w:rPr>
                      </w:pPr>
                    </w:p>
                    <w:p w14:paraId="59C69415" w14:textId="77777777" w:rsidR="006145FA" w:rsidRPr="005E7C78" w:rsidRDefault="006145FA" w:rsidP="00E551F6">
                      <w:pPr>
                        <w:pStyle w:val="TLKontakty"/>
                        <w:spacing w:after="80" w:line="240" w:lineRule="auto"/>
                        <w:rPr>
                          <w:b w:val="0"/>
                          <w:color w:val="auto"/>
                        </w:rPr>
                      </w:pPr>
                      <w:r w:rsidRPr="00EA0987">
                        <w:t>Olomouc</w:t>
                      </w:r>
                      <w:r w:rsidRPr="005E7C78">
                        <w:rPr>
                          <w:b w:val="0"/>
                          <w:color w:val="auto"/>
                        </w:rPr>
                        <w:t xml:space="preserve"> | Jeremenkova 1142/42, 772 11 Olomouc, </w:t>
                      </w:r>
                      <w:r>
                        <w:rPr>
                          <w:b w:val="0"/>
                          <w:color w:val="auto"/>
                        </w:rPr>
                        <w:t xml:space="preserve">ph.: </w:t>
                      </w:r>
                      <w:r w:rsidRPr="00BC731E">
                        <w:rPr>
                          <w:b w:val="0"/>
                          <w:color w:val="auto"/>
                        </w:rPr>
                        <w:t>585 731 511</w:t>
                      </w:r>
                    </w:p>
                    <w:p w14:paraId="322BD77A" w14:textId="77777777" w:rsidR="006145FA" w:rsidRPr="005E7C78" w:rsidRDefault="006145FA" w:rsidP="00E551F6">
                      <w:pPr>
                        <w:pStyle w:val="TLKontakty"/>
                        <w:spacing w:after="80" w:line="240" w:lineRule="auto"/>
                        <w:rPr>
                          <w:b w:val="0"/>
                          <w:color w:val="auto"/>
                        </w:rPr>
                      </w:pPr>
                      <w:r w:rsidRPr="005E7C78">
                        <w:rPr>
                          <w:b w:val="0"/>
                          <w:color w:val="auto"/>
                        </w:rPr>
                        <w:t>e-mail: infoservisolom@</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csu.gov.cz/olomoucky</w:t>
                      </w:r>
                    </w:p>
                    <w:p w14:paraId="56F621BC" w14:textId="77777777" w:rsidR="006145FA" w:rsidRPr="005E7C78" w:rsidRDefault="006145FA" w:rsidP="00E551F6">
                      <w:pPr>
                        <w:pStyle w:val="TLKontakty"/>
                        <w:spacing w:after="80" w:line="240" w:lineRule="auto"/>
                        <w:rPr>
                          <w:b w:val="0"/>
                          <w:color w:val="auto"/>
                        </w:rPr>
                      </w:pPr>
                    </w:p>
                    <w:p w14:paraId="3B790EE6" w14:textId="77777777" w:rsidR="006145FA" w:rsidRPr="005E7C78" w:rsidRDefault="006145FA" w:rsidP="00E551F6">
                      <w:pPr>
                        <w:pStyle w:val="TLKontakty"/>
                        <w:spacing w:after="80" w:line="240" w:lineRule="auto"/>
                        <w:rPr>
                          <w:b w:val="0"/>
                          <w:color w:val="auto"/>
                        </w:rPr>
                      </w:pPr>
                      <w:r w:rsidRPr="00EA0987">
                        <w:t>Zlín</w:t>
                      </w:r>
                      <w:r w:rsidRPr="00EA0987">
                        <w:rPr>
                          <w:b w:val="0"/>
                        </w:rPr>
                        <w:t xml:space="preserve"> </w:t>
                      </w:r>
                      <w:r w:rsidRPr="005E7C78">
                        <w:rPr>
                          <w:b w:val="0"/>
                          <w:color w:val="auto"/>
                        </w:rPr>
                        <w:t>| tř</w:t>
                      </w:r>
                      <w:r>
                        <w:rPr>
                          <w:b w:val="0"/>
                          <w:color w:val="auto"/>
                        </w:rPr>
                        <w:t>ída</w:t>
                      </w:r>
                      <w:r w:rsidRPr="005E7C78">
                        <w:rPr>
                          <w:b w:val="0"/>
                          <w:color w:val="auto"/>
                        </w:rPr>
                        <w:t xml:space="preserve"> Tomáše Bati 1565, 761 76 Zlín, </w:t>
                      </w:r>
                      <w:r>
                        <w:rPr>
                          <w:b w:val="0"/>
                          <w:color w:val="auto"/>
                        </w:rPr>
                        <w:t>ph.: 577 004 936</w:t>
                      </w:r>
                    </w:p>
                    <w:p w14:paraId="2E3D7315" w14:textId="77777777" w:rsidR="006145FA" w:rsidRDefault="006145FA" w:rsidP="00E551F6">
                      <w:pPr>
                        <w:pStyle w:val="TLKontakty"/>
                        <w:spacing w:after="80" w:line="240" w:lineRule="auto"/>
                        <w:rPr>
                          <w:color w:val="auto"/>
                        </w:rPr>
                      </w:pPr>
                      <w:r>
                        <w:rPr>
                          <w:b w:val="0"/>
                          <w:color w:val="auto"/>
                        </w:rPr>
                        <w:t>e-mail: infoservis</w:t>
                      </w:r>
                      <w:r w:rsidRPr="005E7C78">
                        <w:rPr>
                          <w:b w:val="0"/>
                          <w:color w:val="auto"/>
                        </w:rPr>
                        <w:t>zl@</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csu.gov.cz/zlinsky</w:t>
                      </w:r>
                    </w:p>
                    <w:p w14:paraId="0674CB31" w14:textId="77777777" w:rsidR="006145FA" w:rsidRPr="005E7C78" w:rsidRDefault="006145FA" w:rsidP="00E551F6">
                      <w:pPr>
                        <w:pStyle w:val="TLKontakty"/>
                        <w:spacing w:after="80" w:line="240" w:lineRule="auto"/>
                        <w:rPr>
                          <w:b w:val="0"/>
                          <w:color w:val="auto"/>
                        </w:rPr>
                      </w:pPr>
                    </w:p>
                    <w:p w14:paraId="49A3D31E" w14:textId="77777777" w:rsidR="006145FA" w:rsidRPr="005E7C78" w:rsidRDefault="006145FA" w:rsidP="00E551F6">
                      <w:pPr>
                        <w:pStyle w:val="TLKontakty"/>
                        <w:spacing w:after="80" w:line="240" w:lineRule="auto"/>
                        <w:rPr>
                          <w:b w:val="0"/>
                          <w:color w:val="auto"/>
                        </w:rPr>
                      </w:pPr>
                      <w:r w:rsidRPr="00EA0987">
                        <w:t>Ostrava</w:t>
                      </w:r>
                      <w:r w:rsidRPr="00EA0987">
                        <w:rPr>
                          <w:b w:val="0"/>
                        </w:rPr>
                        <w:t xml:space="preserve"> </w:t>
                      </w:r>
                      <w:r w:rsidRPr="005E7C78">
                        <w:rPr>
                          <w:b w:val="0"/>
                          <w:color w:val="auto"/>
                        </w:rPr>
                        <w:t>| Repinova 17, 702 03 Ostrava,</w:t>
                      </w:r>
                      <w:r>
                        <w:rPr>
                          <w:b w:val="0"/>
                          <w:color w:val="auto"/>
                        </w:rPr>
                        <w:t xml:space="preserve"> ph: 595 131 230</w:t>
                      </w:r>
                    </w:p>
                    <w:p w14:paraId="2CE70835" w14:textId="77777777" w:rsidR="006145FA" w:rsidRPr="00095135" w:rsidRDefault="006145FA" w:rsidP="00E551F6">
                      <w:pPr>
                        <w:pStyle w:val="TLKontakty"/>
                        <w:spacing w:after="80" w:line="240" w:lineRule="auto"/>
                        <w:rPr>
                          <w:b w:val="0"/>
                          <w:color w:val="auto"/>
                        </w:rPr>
                      </w:pPr>
                      <w:r>
                        <w:rPr>
                          <w:b w:val="0"/>
                          <w:color w:val="auto"/>
                        </w:rPr>
                        <w:t>e-mail: infoservis</w:t>
                      </w:r>
                      <w:r w:rsidRPr="005E7C78">
                        <w:rPr>
                          <w:b w:val="0"/>
                          <w:color w:val="auto"/>
                        </w:rPr>
                        <w:t>ov@</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csu.gov.cz/moravskoslezsky</w:t>
                      </w:r>
                    </w:p>
                  </w:txbxContent>
                </v:textbox>
                <w10:wrap anchorx="page" anchory="page"/>
                <w10:anchorlock/>
              </v:shape>
            </w:pict>
          </mc:Fallback>
        </mc:AlternateContent>
      </w:r>
      <w:r w:rsidRPr="001A0A01">
        <w:rPr>
          <w:noProof/>
        </w:rPr>
        <mc:AlternateContent>
          <mc:Choice Requires="wps">
            <w:drawing>
              <wp:anchor distT="0" distB="0" distL="114300" distR="114300" simplePos="0" relativeHeight="251658248" behindDoc="0" locked="1" layoutInCell="1" allowOverlap="1" wp14:anchorId="4D04E00D" wp14:editId="4F1425AB">
                <wp:simplePos x="0" y="0"/>
                <wp:positionH relativeFrom="page">
                  <wp:posOffset>720090</wp:posOffset>
                </wp:positionH>
                <wp:positionV relativeFrom="page">
                  <wp:posOffset>9324975</wp:posOffset>
                </wp:positionV>
                <wp:extent cx="6120000" cy="540000"/>
                <wp:effectExtent l="0" t="0" r="14605" b="1270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000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363298B8" w14:textId="77777777" w:rsidR="006145FA" w:rsidRDefault="006145FA" w:rsidP="00E551F6"/>
                          <w:p w14:paraId="47F24934" w14:textId="3FF2A8F0" w:rsidR="006145FA" w:rsidRDefault="006145FA" w:rsidP="00E551F6">
                            <w:r w:rsidRPr="00321924">
                              <w:t xml:space="preserve">© </w:t>
                            </w:r>
                            <w:r>
                              <w:t>Czech Statistical Office</w:t>
                            </w:r>
                            <w:r w:rsidRPr="00321924">
                              <w:t xml:space="preserve">, </w:t>
                            </w:r>
                            <w:r>
                              <w:t>Prague</w:t>
                            </w:r>
                            <w:r w:rsidRPr="00321924">
                              <w:t xml:space="preserve">, </w:t>
                            </w:r>
                            <w:r>
                              <w:t>2025</w:t>
                            </w:r>
                          </w:p>
                          <w:p w14:paraId="34EF33B2" w14:textId="77777777" w:rsidR="006145FA" w:rsidRPr="00841D9F" w:rsidRDefault="006145FA" w:rsidP="00E551F6">
                            <w:r w:rsidRPr="00841D9F">
                              <w:rPr>
                                <w:szCs w:val="26"/>
                              </w:rPr>
                              <w:t xml:space="preserve">ISBN XX-XXXX-XXX-X  </w:t>
                            </w:r>
                            <w:r w:rsidRPr="00841D9F">
                              <w:t>(pouze u nepravidelných a ročních publikací)</w:t>
                            </w:r>
                          </w:p>
                          <w:p w14:paraId="579F0B67" w14:textId="77777777" w:rsidR="006145FA" w:rsidRPr="00AF2852" w:rsidRDefault="006145FA" w:rsidP="00E551F6">
                            <w:r w:rsidRPr="00841D9F">
                              <w:t>© Český sta</w:t>
                            </w:r>
                            <w:r>
                              <w:t xml:space="preserve">tistický úřad / </w:t>
                            </w:r>
                            <w:r w:rsidRPr="009A1902">
                              <w:rPr>
                                <w:i/>
                              </w:rPr>
                              <w:t xml:space="preserve">Czech </w:t>
                            </w:r>
                            <w:r w:rsidRPr="009A1902">
                              <w:rPr>
                                <w:rFonts w:cs="Arial"/>
                                <w:i/>
                                <w:szCs w:val="20"/>
                              </w:rPr>
                              <w:t>Statistical Office</w:t>
                            </w:r>
                            <w:r>
                              <w:t>, místo, rok vydání</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4E00D" id="_x0000_s1031" type="#_x0000_t202" style="position:absolute;margin-left:56.7pt;margin-top:734.25pt;width:481.9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" filled="f" stroked="f">
                <v:textbox inset="0,0,0,0">
                  <w:txbxContent>
                    <w:p w14:paraId="363298B8" w14:textId="77777777" w:rsidR="006145FA" w:rsidRDefault="006145FA" w:rsidP="00E551F6"/>
                    <w:p w14:paraId="47F24934" w14:textId="3FF2A8F0" w:rsidR="006145FA" w:rsidRDefault="006145FA" w:rsidP="00E551F6">
                      <w:r w:rsidRPr="00321924">
                        <w:t xml:space="preserve">© </w:t>
                      </w:r>
                      <w:r>
                        <w:t>Czech Statistical Office</w:t>
                      </w:r>
                      <w:r w:rsidRPr="00321924">
                        <w:t xml:space="preserve">, </w:t>
                      </w:r>
                      <w:r>
                        <w:t>Prague</w:t>
                      </w:r>
                      <w:r w:rsidRPr="00321924">
                        <w:t xml:space="preserve">, </w:t>
                      </w:r>
                      <w:r>
                        <w:t>2025</w:t>
                      </w:r>
                    </w:p>
                    <w:p w14:paraId="34EF33B2" w14:textId="77777777" w:rsidR="006145FA" w:rsidRPr="00841D9F" w:rsidRDefault="006145FA" w:rsidP="00E551F6">
                      <w:r w:rsidRPr="00841D9F">
                        <w:rPr>
                          <w:szCs w:val="26"/>
                        </w:rPr>
                        <w:t xml:space="preserve">ISBN XX-XXXX-XXX-X  </w:t>
                      </w:r>
                      <w:r w:rsidRPr="00841D9F">
                        <w:t>(pouze u nepravidelných a ročních publikací)</w:t>
                      </w:r>
                    </w:p>
                    <w:p w14:paraId="579F0B67" w14:textId="77777777" w:rsidR="006145FA" w:rsidRPr="00AF2852" w:rsidRDefault="006145FA" w:rsidP="00E551F6">
                      <w:r w:rsidRPr="00841D9F">
                        <w:t>© Český sta</w:t>
                      </w:r>
                      <w:r>
                        <w:t xml:space="preserve">tistický úřad / </w:t>
                      </w:r>
                      <w:r w:rsidRPr="009A1902">
                        <w:rPr>
                          <w:i/>
                        </w:rPr>
                        <w:t xml:space="preserve">Czech </w:t>
                      </w:r>
                      <w:r w:rsidRPr="009A1902">
                        <w:rPr>
                          <w:rFonts w:cs="Arial"/>
                          <w:i/>
                          <w:szCs w:val="20"/>
                        </w:rPr>
                        <w:t>Statistical Office</w:t>
                      </w:r>
                      <w:r>
                        <w:t>, místo, rok vydání</w:t>
                      </w:r>
                    </w:p>
                  </w:txbxContent>
                </v:textbox>
                <w10:wrap anchorx="page" anchory="page"/>
                <w10:anchorlock/>
              </v:shape>
            </w:pict>
          </mc:Fallback>
        </mc:AlternateContent>
      </w:r>
      <w:r w:rsidRPr="001A0A01">
        <w:rPr>
          <w:noProof/>
        </w:rPr>
        <mc:AlternateContent>
          <mc:Choice Requires="wps">
            <w:drawing>
              <wp:anchor distT="0" distB="0" distL="114300" distR="114300" simplePos="0" relativeHeight="251658247" behindDoc="0" locked="1" layoutInCell="1" allowOverlap="1" wp14:anchorId="52F5EDE2" wp14:editId="3FB3CBFF">
                <wp:simplePos x="0" y="0"/>
                <wp:positionH relativeFrom="page">
                  <wp:posOffset>723265</wp:posOffset>
                </wp:positionH>
                <wp:positionV relativeFrom="page">
                  <wp:posOffset>723265</wp:posOffset>
                </wp:positionV>
                <wp:extent cx="6119495" cy="555625"/>
                <wp:effectExtent l="0" t="0" r="254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55562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0B856329" w14:textId="77777777" w:rsidR="006145FA" w:rsidRPr="009A1902" w:rsidRDefault="006145FA" w:rsidP="00E551F6">
                            <w:pPr>
                              <w:jc w:val="left"/>
                              <w:rPr>
                                <w:b/>
                                <w:bCs/>
                                <w:i/>
                                <w:sz w:val="24"/>
                              </w:rPr>
                            </w:pPr>
                            <w:r w:rsidRPr="004311B1">
                              <w:rPr>
                                <w:b/>
                                <w:color w:val="86BF5E"/>
                                <w:sz w:val="24"/>
                              </w:rPr>
                              <w:t xml:space="preserve">Are you interested in the latest data connected with inflation, GDP, population, average wages and much more? You can find them on the CZSO web page: </w:t>
                            </w:r>
                            <w:r>
                              <w:rPr>
                                <w:b/>
                                <w:bCs/>
                                <w:sz w:val="24"/>
                              </w:rPr>
                              <w:t>www.csu.gov.cz</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2F5EDE2" id="_x0000_s1032" type="#_x0000_t202" style="position:absolute;margin-left:56.95pt;margin-top:56.95pt;width:481.85pt;height:43.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" filled="f" stroked="f">
                <v:textbox style="mso-fit-shape-to-text:t" inset="0,0,0,0">
                  <w:txbxContent>
                    <w:p w14:paraId="0B856329" w14:textId="77777777" w:rsidR="006145FA" w:rsidRPr="009A1902" w:rsidRDefault="006145FA" w:rsidP="00E551F6">
                      <w:pPr>
                        <w:jc w:val="left"/>
                        <w:rPr>
                          <w:b/>
                          <w:bCs/>
                          <w:i/>
                          <w:sz w:val="24"/>
                        </w:rPr>
                      </w:pPr>
                      <w:r w:rsidRPr="004311B1">
                        <w:rPr>
                          <w:b/>
                          <w:color w:val="86BF5E"/>
                          <w:sz w:val="24"/>
                        </w:rPr>
                        <w:t xml:space="preserve">Are you interested in the latest data connected with inflation, GDP, population, average wages and much more? You can find them on the CZSO web page: </w:t>
                      </w:r>
                      <w:r>
                        <w:rPr>
                          <w:b/>
                          <w:bCs/>
                          <w:sz w:val="24"/>
                        </w:rPr>
                        <w:t>www.csu.gov.cz</w:t>
                      </w:r>
                    </w:p>
                  </w:txbxContent>
                </v:textbox>
                <w10:wrap anchorx="page" anchory="page"/>
                <w10:anchorlock/>
              </v:shape>
            </w:pict>
          </mc:Fallback>
        </mc:AlternateContent>
      </w:r>
    </w:p>
    <w:sdt>
      <w:sdtPr>
        <w:rPr>
          <w:b w:val="0"/>
          <w:color w:val="auto"/>
          <w:sz w:val="20"/>
          <w:szCs w:val="20"/>
        </w:rPr>
        <w:id w:val="752396152"/>
        <w:docPartObj>
          <w:docPartGallery w:val="Table of Contents"/>
          <w:docPartUnique/>
        </w:docPartObj>
      </w:sdtPr>
      <w:sdtEndPr/>
      <w:sdtContent>
        <w:p w14:paraId="015E7D68" w14:textId="77777777" w:rsidR="00803507" w:rsidRPr="009110F7" w:rsidRDefault="00803507" w:rsidP="00803507">
          <w:pPr>
            <w:pStyle w:val="Obsah"/>
          </w:pPr>
          <w:r>
            <w:t>Contents</w:t>
          </w:r>
        </w:p>
        <w:p w14:paraId="1327F727" w14:textId="7080E8D8" w:rsidR="00F5617E" w:rsidRDefault="00803507">
          <w:pPr>
            <w:pStyle w:val="Obsah1"/>
            <w:rPr>
              <w:rFonts w:asciiTheme="minorHAnsi" w:eastAsiaTheme="minorEastAsia" w:hAnsiTheme="minorHAnsi" w:cstheme="minorBidi"/>
              <w:noProof/>
              <w:sz w:val="22"/>
              <w:szCs w:val="22"/>
            </w:rPr>
          </w:pPr>
          <w:r>
            <w:fldChar w:fldCharType="begin"/>
          </w:r>
          <w:r>
            <w:instrText>TOC \o "1-3" \h \z \u</w:instrText>
          </w:r>
          <w:r>
            <w:fldChar w:fldCharType="separate"/>
          </w:r>
          <w:hyperlink w:anchor="_Toc196386137" w:history="1">
            <w:r w:rsidR="00F5617E" w:rsidRPr="00562803">
              <w:rPr>
                <w:rStyle w:val="Hypertextovodkaz"/>
                <w:noProof/>
                <w:lang w:val="en-GB"/>
              </w:rPr>
              <w:t>1. Summary</w:t>
            </w:r>
            <w:r w:rsidR="00F5617E">
              <w:rPr>
                <w:noProof/>
                <w:webHidden/>
              </w:rPr>
              <w:tab/>
            </w:r>
            <w:r w:rsidR="00F5617E">
              <w:rPr>
                <w:noProof/>
                <w:webHidden/>
              </w:rPr>
              <w:fldChar w:fldCharType="begin"/>
            </w:r>
            <w:r w:rsidR="00F5617E">
              <w:rPr>
                <w:noProof/>
                <w:webHidden/>
              </w:rPr>
              <w:instrText xml:space="preserve"> PAGEREF _Toc196386137 \h </w:instrText>
            </w:r>
            <w:r w:rsidR="00F5617E">
              <w:rPr>
                <w:noProof/>
                <w:webHidden/>
              </w:rPr>
            </w:r>
            <w:r w:rsidR="00F5617E">
              <w:rPr>
                <w:noProof/>
                <w:webHidden/>
              </w:rPr>
              <w:fldChar w:fldCharType="separate"/>
            </w:r>
            <w:r w:rsidR="00F5617E">
              <w:rPr>
                <w:noProof/>
                <w:webHidden/>
              </w:rPr>
              <w:t>4</w:t>
            </w:r>
            <w:r w:rsidR="00F5617E">
              <w:rPr>
                <w:noProof/>
                <w:webHidden/>
              </w:rPr>
              <w:fldChar w:fldCharType="end"/>
            </w:r>
          </w:hyperlink>
        </w:p>
        <w:p w14:paraId="7F413DF3" w14:textId="0DDDF985" w:rsidR="00F5617E" w:rsidRDefault="00F5617E">
          <w:pPr>
            <w:pStyle w:val="Obsah1"/>
            <w:rPr>
              <w:rFonts w:asciiTheme="minorHAnsi" w:eastAsiaTheme="minorEastAsia" w:hAnsiTheme="minorHAnsi" w:cstheme="minorBidi"/>
              <w:noProof/>
              <w:sz w:val="22"/>
              <w:szCs w:val="22"/>
            </w:rPr>
          </w:pPr>
          <w:hyperlink w:anchor="_Toc196386138" w:history="1">
            <w:r w:rsidRPr="00562803">
              <w:rPr>
                <w:rStyle w:val="Hypertextovodkaz"/>
                <w:noProof/>
                <w:lang w:val="en-GB"/>
              </w:rPr>
              <w:t>2. Overall Economic Performance</w:t>
            </w:r>
            <w:r>
              <w:rPr>
                <w:noProof/>
                <w:webHidden/>
              </w:rPr>
              <w:tab/>
            </w:r>
            <w:r>
              <w:rPr>
                <w:noProof/>
                <w:webHidden/>
              </w:rPr>
              <w:fldChar w:fldCharType="begin"/>
            </w:r>
            <w:r>
              <w:rPr>
                <w:noProof/>
                <w:webHidden/>
              </w:rPr>
              <w:instrText xml:space="preserve"> PAGEREF _Toc196386138 \h </w:instrText>
            </w:r>
            <w:r>
              <w:rPr>
                <w:noProof/>
                <w:webHidden/>
              </w:rPr>
            </w:r>
            <w:r>
              <w:rPr>
                <w:noProof/>
                <w:webHidden/>
              </w:rPr>
              <w:fldChar w:fldCharType="separate"/>
            </w:r>
            <w:r>
              <w:rPr>
                <w:noProof/>
                <w:webHidden/>
              </w:rPr>
              <w:t>7</w:t>
            </w:r>
            <w:r>
              <w:rPr>
                <w:noProof/>
                <w:webHidden/>
              </w:rPr>
              <w:fldChar w:fldCharType="end"/>
            </w:r>
          </w:hyperlink>
        </w:p>
        <w:p w14:paraId="04F2889E" w14:textId="194CC053" w:rsidR="00F5617E" w:rsidRDefault="00F5617E">
          <w:pPr>
            <w:pStyle w:val="Obsah1"/>
            <w:rPr>
              <w:rFonts w:asciiTheme="minorHAnsi" w:eastAsiaTheme="minorEastAsia" w:hAnsiTheme="minorHAnsi" w:cstheme="minorBidi"/>
              <w:noProof/>
              <w:sz w:val="22"/>
              <w:szCs w:val="22"/>
            </w:rPr>
          </w:pPr>
          <w:hyperlink w:anchor="_Toc196386139" w:history="1">
            <w:r w:rsidRPr="00562803">
              <w:rPr>
                <w:rStyle w:val="Hypertextovodkaz"/>
                <w:noProof/>
                <w:lang w:val="en-GB"/>
              </w:rPr>
              <w:t>3. Branches Performance</w:t>
            </w:r>
            <w:r>
              <w:rPr>
                <w:noProof/>
                <w:webHidden/>
              </w:rPr>
              <w:tab/>
            </w:r>
            <w:r>
              <w:rPr>
                <w:noProof/>
                <w:webHidden/>
              </w:rPr>
              <w:fldChar w:fldCharType="begin"/>
            </w:r>
            <w:r>
              <w:rPr>
                <w:noProof/>
                <w:webHidden/>
              </w:rPr>
              <w:instrText xml:space="preserve"> PAGEREF _Toc196386139 \h </w:instrText>
            </w:r>
            <w:r>
              <w:rPr>
                <w:noProof/>
                <w:webHidden/>
              </w:rPr>
            </w:r>
            <w:r>
              <w:rPr>
                <w:noProof/>
                <w:webHidden/>
              </w:rPr>
              <w:fldChar w:fldCharType="separate"/>
            </w:r>
            <w:r>
              <w:rPr>
                <w:noProof/>
                <w:webHidden/>
              </w:rPr>
              <w:t>12</w:t>
            </w:r>
            <w:r>
              <w:rPr>
                <w:noProof/>
                <w:webHidden/>
              </w:rPr>
              <w:fldChar w:fldCharType="end"/>
            </w:r>
          </w:hyperlink>
        </w:p>
        <w:p w14:paraId="676FDA41" w14:textId="7F318F81" w:rsidR="00F5617E" w:rsidRDefault="00F5617E">
          <w:pPr>
            <w:pStyle w:val="Obsah1"/>
            <w:rPr>
              <w:rFonts w:asciiTheme="minorHAnsi" w:eastAsiaTheme="minorEastAsia" w:hAnsiTheme="minorHAnsi" w:cstheme="minorBidi"/>
              <w:noProof/>
              <w:sz w:val="22"/>
              <w:szCs w:val="22"/>
            </w:rPr>
          </w:pPr>
          <w:hyperlink w:anchor="_Toc196386140" w:history="1">
            <w:r w:rsidRPr="00562803">
              <w:rPr>
                <w:rStyle w:val="Hypertextovodkaz"/>
                <w:noProof/>
                <w:lang w:val="en-GB"/>
              </w:rPr>
              <w:t>4. External Relations</w:t>
            </w:r>
            <w:r>
              <w:rPr>
                <w:noProof/>
                <w:webHidden/>
              </w:rPr>
              <w:tab/>
            </w:r>
            <w:r>
              <w:rPr>
                <w:noProof/>
                <w:webHidden/>
              </w:rPr>
              <w:fldChar w:fldCharType="begin"/>
            </w:r>
            <w:r>
              <w:rPr>
                <w:noProof/>
                <w:webHidden/>
              </w:rPr>
              <w:instrText xml:space="preserve"> PAGEREF _Toc196386140 \h </w:instrText>
            </w:r>
            <w:r>
              <w:rPr>
                <w:noProof/>
                <w:webHidden/>
              </w:rPr>
            </w:r>
            <w:r>
              <w:rPr>
                <w:noProof/>
                <w:webHidden/>
              </w:rPr>
              <w:fldChar w:fldCharType="separate"/>
            </w:r>
            <w:r>
              <w:rPr>
                <w:noProof/>
                <w:webHidden/>
              </w:rPr>
              <w:t>25</w:t>
            </w:r>
            <w:r>
              <w:rPr>
                <w:noProof/>
                <w:webHidden/>
              </w:rPr>
              <w:fldChar w:fldCharType="end"/>
            </w:r>
          </w:hyperlink>
        </w:p>
        <w:p w14:paraId="4914ED0B" w14:textId="60D9C2FD" w:rsidR="00F5617E" w:rsidRDefault="00F5617E">
          <w:pPr>
            <w:pStyle w:val="Obsah1"/>
            <w:rPr>
              <w:rFonts w:asciiTheme="minorHAnsi" w:eastAsiaTheme="minorEastAsia" w:hAnsiTheme="minorHAnsi" w:cstheme="minorBidi"/>
              <w:noProof/>
              <w:sz w:val="22"/>
              <w:szCs w:val="22"/>
            </w:rPr>
          </w:pPr>
          <w:hyperlink w:anchor="_Toc196386141" w:history="1">
            <w:r w:rsidRPr="00562803">
              <w:rPr>
                <w:rStyle w:val="Hypertextovodkaz"/>
                <w:noProof/>
                <w:lang w:val="en-GB"/>
              </w:rPr>
              <w:t>5. Prices</w:t>
            </w:r>
            <w:r>
              <w:rPr>
                <w:noProof/>
                <w:webHidden/>
              </w:rPr>
              <w:tab/>
            </w:r>
            <w:r>
              <w:rPr>
                <w:noProof/>
                <w:webHidden/>
              </w:rPr>
              <w:fldChar w:fldCharType="begin"/>
            </w:r>
            <w:r>
              <w:rPr>
                <w:noProof/>
                <w:webHidden/>
              </w:rPr>
              <w:instrText xml:space="preserve"> PAGEREF _Toc196386141 \h </w:instrText>
            </w:r>
            <w:r>
              <w:rPr>
                <w:noProof/>
                <w:webHidden/>
              </w:rPr>
            </w:r>
            <w:r>
              <w:rPr>
                <w:noProof/>
                <w:webHidden/>
              </w:rPr>
              <w:fldChar w:fldCharType="separate"/>
            </w:r>
            <w:r>
              <w:rPr>
                <w:noProof/>
                <w:webHidden/>
              </w:rPr>
              <w:t>30</w:t>
            </w:r>
            <w:r>
              <w:rPr>
                <w:noProof/>
                <w:webHidden/>
              </w:rPr>
              <w:fldChar w:fldCharType="end"/>
            </w:r>
          </w:hyperlink>
        </w:p>
        <w:p w14:paraId="42D69B62" w14:textId="44121D95" w:rsidR="00F5617E" w:rsidRDefault="00F5617E">
          <w:pPr>
            <w:pStyle w:val="Obsah1"/>
            <w:rPr>
              <w:rFonts w:asciiTheme="minorHAnsi" w:eastAsiaTheme="minorEastAsia" w:hAnsiTheme="minorHAnsi" w:cstheme="minorBidi"/>
              <w:noProof/>
              <w:sz w:val="22"/>
              <w:szCs w:val="22"/>
            </w:rPr>
          </w:pPr>
          <w:hyperlink w:anchor="_Toc196386142" w:history="1">
            <w:r w:rsidRPr="00562803">
              <w:rPr>
                <w:rStyle w:val="Hypertextovodkaz"/>
                <w:noProof/>
                <w:lang w:val="en-GB"/>
              </w:rPr>
              <w:t>6. Labour Market</w:t>
            </w:r>
            <w:r>
              <w:rPr>
                <w:noProof/>
                <w:webHidden/>
              </w:rPr>
              <w:tab/>
            </w:r>
            <w:r>
              <w:rPr>
                <w:noProof/>
                <w:webHidden/>
              </w:rPr>
              <w:fldChar w:fldCharType="begin"/>
            </w:r>
            <w:r>
              <w:rPr>
                <w:noProof/>
                <w:webHidden/>
              </w:rPr>
              <w:instrText xml:space="preserve"> PAGEREF _Toc196386142 \h </w:instrText>
            </w:r>
            <w:r>
              <w:rPr>
                <w:noProof/>
                <w:webHidden/>
              </w:rPr>
            </w:r>
            <w:r>
              <w:rPr>
                <w:noProof/>
                <w:webHidden/>
              </w:rPr>
              <w:fldChar w:fldCharType="separate"/>
            </w:r>
            <w:r>
              <w:rPr>
                <w:noProof/>
                <w:webHidden/>
              </w:rPr>
              <w:t>37</w:t>
            </w:r>
            <w:r>
              <w:rPr>
                <w:noProof/>
                <w:webHidden/>
              </w:rPr>
              <w:fldChar w:fldCharType="end"/>
            </w:r>
          </w:hyperlink>
        </w:p>
        <w:p w14:paraId="3E13D704" w14:textId="5B7B7FE2" w:rsidR="00F5617E" w:rsidRDefault="00F5617E">
          <w:pPr>
            <w:pStyle w:val="Obsah1"/>
            <w:rPr>
              <w:rFonts w:asciiTheme="minorHAnsi" w:eastAsiaTheme="minorEastAsia" w:hAnsiTheme="minorHAnsi" w:cstheme="minorBidi"/>
              <w:noProof/>
              <w:sz w:val="22"/>
              <w:szCs w:val="22"/>
            </w:rPr>
          </w:pPr>
          <w:hyperlink w:anchor="_Toc196386143" w:history="1">
            <w:r w:rsidRPr="00562803">
              <w:rPr>
                <w:rStyle w:val="Hypertextovodkaz"/>
                <w:noProof/>
                <w:lang w:val="en-GB"/>
              </w:rPr>
              <w:t>7. Monetary Conditions</w:t>
            </w:r>
            <w:r>
              <w:rPr>
                <w:noProof/>
                <w:webHidden/>
              </w:rPr>
              <w:tab/>
            </w:r>
            <w:r>
              <w:rPr>
                <w:noProof/>
                <w:webHidden/>
              </w:rPr>
              <w:fldChar w:fldCharType="begin"/>
            </w:r>
            <w:r>
              <w:rPr>
                <w:noProof/>
                <w:webHidden/>
              </w:rPr>
              <w:instrText xml:space="preserve"> PAGEREF _Toc196386143 \h </w:instrText>
            </w:r>
            <w:r>
              <w:rPr>
                <w:noProof/>
                <w:webHidden/>
              </w:rPr>
            </w:r>
            <w:r>
              <w:rPr>
                <w:noProof/>
                <w:webHidden/>
              </w:rPr>
              <w:fldChar w:fldCharType="separate"/>
            </w:r>
            <w:r>
              <w:rPr>
                <w:noProof/>
                <w:webHidden/>
              </w:rPr>
              <w:t>45</w:t>
            </w:r>
            <w:r>
              <w:rPr>
                <w:noProof/>
                <w:webHidden/>
              </w:rPr>
              <w:fldChar w:fldCharType="end"/>
            </w:r>
          </w:hyperlink>
        </w:p>
        <w:p w14:paraId="1A2C9B2F" w14:textId="78D9878E" w:rsidR="00F5617E" w:rsidRDefault="00F5617E">
          <w:pPr>
            <w:pStyle w:val="Obsah1"/>
            <w:rPr>
              <w:rFonts w:asciiTheme="minorHAnsi" w:eastAsiaTheme="minorEastAsia" w:hAnsiTheme="minorHAnsi" w:cstheme="minorBidi"/>
              <w:noProof/>
              <w:sz w:val="22"/>
              <w:szCs w:val="22"/>
            </w:rPr>
          </w:pPr>
          <w:hyperlink w:anchor="_Toc196386144" w:history="1">
            <w:r w:rsidRPr="00562803">
              <w:rPr>
                <w:rStyle w:val="Hypertextovodkaz"/>
                <w:noProof/>
                <w:lang w:val="en-GB"/>
              </w:rPr>
              <w:t>8. State Budget</w:t>
            </w:r>
            <w:r>
              <w:rPr>
                <w:noProof/>
                <w:webHidden/>
              </w:rPr>
              <w:tab/>
            </w:r>
            <w:r>
              <w:rPr>
                <w:noProof/>
                <w:webHidden/>
              </w:rPr>
              <w:fldChar w:fldCharType="begin"/>
            </w:r>
            <w:r>
              <w:rPr>
                <w:noProof/>
                <w:webHidden/>
              </w:rPr>
              <w:instrText xml:space="preserve"> PAGEREF _Toc196386144 \h </w:instrText>
            </w:r>
            <w:r>
              <w:rPr>
                <w:noProof/>
                <w:webHidden/>
              </w:rPr>
            </w:r>
            <w:r>
              <w:rPr>
                <w:noProof/>
                <w:webHidden/>
              </w:rPr>
              <w:fldChar w:fldCharType="separate"/>
            </w:r>
            <w:r>
              <w:rPr>
                <w:noProof/>
                <w:webHidden/>
              </w:rPr>
              <w:t>48</w:t>
            </w:r>
            <w:r>
              <w:rPr>
                <w:noProof/>
                <w:webHidden/>
              </w:rPr>
              <w:fldChar w:fldCharType="end"/>
            </w:r>
          </w:hyperlink>
        </w:p>
        <w:p w14:paraId="6BFDD9EB" w14:textId="4389A912" w:rsidR="00803507" w:rsidRDefault="00803507" w:rsidP="00803507">
          <w:pPr>
            <w:pStyle w:val="Obsah1"/>
            <w:tabs>
              <w:tab w:val="clear" w:pos="9639"/>
              <w:tab w:val="right" w:leader="dot" w:pos="9630"/>
            </w:tabs>
            <w:rPr>
              <w:szCs w:val="20"/>
            </w:rPr>
          </w:pPr>
          <w:r>
            <w:fldChar w:fldCharType="end"/>
          </w:r>
        </w:p>
      </w:sdtContent>
    </w:sdt>
    <w:p w14:paraId="049E0875" w14:textId="77777777" w:rsidR="00803507" w:rsidRDefault="00803507" w:rsidP="00803507">
      <w:pPr>
        <w:pStyle w:val="Obsahpoloky"/>
      </w:pPr>
    </w:p>
    <w:p w14:paraId="3DB71C30" w14:textId="77777777" w:rsidR="00803507" w:rsidRDefault="00803507" w:rsidP="00803507">
      <w:pPr>
        <w:pStyle w:val="Obsahpoloky"/>
      </w:pPr>
    </w:p>
    <w:p w14:paraId="34C1334E" w14:textId="77777777" w:rsidR="00803507" w:rsidRDefault="00803507" w:rsidP="00803507">
      <w:pPr>
        <w:pStyle w:val="Obsahpoloky"/>
      </w:pPr>
    </w:p>
    <w:p w14:paraId="72DA1751" w14:textId="77777777" w:rsidR="00803507" w:rsidRPr="009110F7" w:rsidRDefault="00803507" w:rsidP="00803507">
      <w:pPr>
        <w:pStyle w:val="Textpoznpodarou"/>
        <w:jc w:val="both"/>
        <w:rPr>
          <w:rFonts w:cs="Arial"/>
          <w:color w:val="000000"/>
        </w:rPr>
      </w:pPr>
    </w:p>
    <w:p w14:paraId="33BD726A" w14:textId="77777777" w:rsidR="00803507" w:rsidRDefault="00803507" w:rsidP="00803507">
      <w:pPr>
        <w:pStyle w:val="Textpoznpodarou"/>
        <w:jc w:val="both"/>
        <w:rPr>
          <w:rFonts w:cs="Arial"/>
          <w:color w:val="000000"/>
        </w:rPr>
      </w:pPr>
    </w:p>
    <w:p w14:paraId="05DB2D3E" w14:textId="77777777" w:rsidR="00803507" w:rsidRDefault="00803507" w:rsidP="00803507">
      <w:pPr>
        <w:pStyle w:val="Textpoznpodarou"/>
        <w:jc w:val="both"/>
        <w:rPr>
          <w:rFonts w:cs="Arial"/>
          <w:color w:val="000000"/>
        </w:rPr>
      </w:pPr>
    </w:p>
    <w:p w14:paraId="44636A1B" w14:textId="77777777" w:rsidR="00803507" w:rsidRDefault="00803507" w:rsidP="00803507">
      <w:pPr>
        <w:pStyle w:val="Textpoznpodarou"/>
        <w:jc w:val="both"/>
        <w:rPr>
          <w:rFonts w:cs="Arial"/>
          <w:color w:val="000000"/>
        </w:rPr>
      </w:pPr>
    </w:p>
    <w:p w14:paraId="34EA6BB2" w14:textId="77777777" w:rsidR="00803507" w:rsidRDefault="00803507" w:rsidP="00803507">
      <w:pPr>
        <w:pStyle w:val="Textpoznpodarou"/>
        <w:jc w:val="both"/>
        <w:rPr>
          <w:rFonts w:cs="Arial"/>
          <w:color w:val="000000"/>
        </w:rPr>
      </w:pPr>
    </w:p>
    <w:p w14:paraId="203255FF" w14:textId="77777777" w:rsidR="00803507" w:rsidRPr="00884D55" w:rsidRDefault="00803507" w:rsidP="00803507">
      <w:pPr>
        <w:pStyle w:val="Textpoznpodarou"/>
        <w:jc w:val="both"/>
        <w:rPr>
          <w:rFonts w:cs="Arial"/>
          <w:color w:val="000000"/>
          <w:lang w:val="en-GB"/>
        </w:rPr>
      </w:pPr>
      <w:r w:rsidRPr="00884D55">
        <w:rPr>
          <w:rFonts w:cs="Arial"/>
          <w:color w:val="000000"/>
          <w:lang w:val="en-GB"/>
        </w:rPr>
        <w:t>Main source of data in the whole analysis: Czech Statistical Office (CZSO), Ministry of Finance (MF CR), Czech National Bank (CNB), Ministry of Labour and Social Affairs (MLSA), Czech Social Security Administration (CSSA), Eurostat, CZSO calculations.</w:t>
      </w:r>
    </w:p>
    <w:p w14:paraId="4619D24E" w14:textId="77777777" w:rsidR="00803507" w:rsidRPr="00884D55" w:rsidRDefault="00803507" w:rsidP="00803507">
      <w:pPr>
        <w:pStyle w:val="Textpoznpodarou"/>
        <w:jc w:val="both"/>
        <w:rPr>
          <w:rFonts w:cs="Arial"/>
          <w:color w:val="000000"/>
          <w:lang w:val="en-GB"/>
        </w:rPr>
      </w:pPr>
      <w:r w:rsidRPr="00884D55">
        <w:rPr>
          <w:rFonts w:cs="Arial"/>
          <w:color w:val="000000"/>
          <w:lang w:val="en-GB"/>
        </w:rPr>
        <w:t>Latest information provided in this report has been dated the 13</w:t>
      </w:r>
      <w:r w:rsidRPr="00884D55">
        <w:rPr>
          <w:rFonts w:cs="Arial"/>
          <w:color w:val="000000"/>
          <w:vertAlign w:val="superscript"/>
          <w:lang w:val="en-GB"/>
        </w:rPr>
        <w:t xml:space="preserve">th </w:t>
      </w:r>
      <w:r w:rsidRPr="005C5CD4">
        <w:rPr>
          <w:rFonts w:cs="Arial"/>
          <w:color w:val="000000"/>
          <w:lang w:val="en-GB"/>
        </w:rPr>
        <w:t>of</w:t>
      </w:r>
      <w:r w:rsidRPr="00884D55">
        <w:rPr>
          <w:rFonts w:cs="Arial"/>
          <w:color w:val="000000"/>
          <w:vertAlign w:val="superscript"/>
          <w:lang w:val="en-GB"/>
        </w:rPr>
        <w:t xml:space="preserve"> </w:t>
      </w:r>
      <w:r w:rsidRPr="00884D55">
        <w:rPr>
          <w:rFonts w:cs="Arial"/>
          <w:color w:val="000000"/>
          <w:lang w:val="en-GB"/>
        </w:rPr>
        <w:t>March 2025.</w:t>
      </w:r>
    </w:p>
    <w:p w14:paraId="67A5DCCA" w14:textId="77777777" w:rsidR="00803507" w:rsidRPr="00884D55" w:rsidRDefault="00803507" w:rsidP="00803507">
      <w:pPr>
        <w:pStyle w:val="Textpoznpodarou"/>
        <w:jc w:val="both"/>
        <w:rPr>
          <w:rFonts w:cs="Arial"/>
          <w:color w:val="000000"/>
          <w:lang w:val="en-GB"/>
        </w:rPr>
      </w:pPr>
    </w:p>
    <w:p w14:paraId="61142525" w14:textId="77777777" w:rsidR="00803507" w:rsidRPr="00884D55" w:rsidRDefault="00803507" w:rsidP="00803507">
      <w:pPr>
        <w:rPr>
          <w:lang w:val="en-GB"/>
        </w:rPr>
      </w:pPr>
    </w:p>
    <w:p w14:paraId="5CE1EEA1" w14:textId="77777777" w:rsidR="00803507" w:rsidRPr="00884D55" w:rsidRDefault="00803507" w:rsidP="00803507">
      <w:pPr>
        <w:pStyle w:val="Nadpis1"/>
        <w:rPr>
          <w:lang w:val="en-GB"/>
        </w:rPr>
      </w:pPr>
      <w:r w:rsidRPr="00884D55">
        <w:rPr>
          <w:lang w:val="en-GB"/>
        </w:rPr>
        <w:br w:type="page"/>
      </w:r>
    </w:p>
    <w:p w14:paraId="628C8FCC" w14:textId="77777777" w:rsidR="00803507" w:rsidRPr="00884D55" w:rsidRDefault="00803507" w:rsidP="00803507">
      <w:pPr>
        <w:pStyle w:val="Nadpis1"/>
        <w:rPr>
          <w:lang w:val="en-GB"/>
        </w:rPr>
      </w:pPr>
      <w:bookmarkStart w:id="0" w:name="_Toc196386137"/>
      <w:r w:rsidRPr="00884D55">
        <w:rPr>
          <w:lang w:val="en-GB"/>
        </w:rPr>
        <w:lastRenderedPageBreak/>
        <w:t>1. Summary</w:t>
      </w:r>
      <w:bookmarkEnd w:id="0"/>
    </w:p>
    <w:p w14:paraId="457561DF" w14:textId="77777777" w:rsidR="00803507" w:rsidRPr="00884D55" w:rsidRDefault="00803507" w:rsidP="00803507">
      <w:pPr>
        <w:pStyle w:val="Normalodrka"/>
        <w:rPr>
          <w:lang w:val="en-GB"/>
        </w:rPr>
      </w:pPr>
      <w:r w:rsidRPr="00884D55">
        <w:rPr>
          <w:lang w:val="en-GB"/>
        </w:rPr>
        <w:t>The Gross domestic product (GDP) grew by a total of 1.0%</w:t>
      </w:r>
      <w:r w:rsidRPr="00884D55">
        <w:rPr>
          <w:rStyle w:val="Znakapoznpodarou"/>
          <w:spacing w:val="-4"/>
          <w:lang w:val="en-GB"/>
        </w:rPr>
        <w:footnoteReference w:id="2"/>
      </w:r>
      <w:r w:rsidRPr="00884D55">
        <w:rPr>
          <w:lang w:val="en-GB"/>
        </w:rPr>
        <w:t xml:space="preserve"> in 2024. In particular, the consumption strengthened and, conversely, investment activity decreased. In Q4, the year-on-year GDP growth strengthened to 1.8% and the economy grew by 0.7%, quarter-on-quarter. Domestic consumption continued to recover and the change in inventories had a positive effect. However, both year-on-year and quarter-on-quarter growth was hampered by investment activity and foreign demand also had a significant negative effect, year-on-year. Gross domestic product grew by 1.0% in the EU in 2024. The GDP grew by 1.4%, year-on-year, and by 0.4%, quarter-on-quarter, in the EU in Q4. The German economy, which has been declining already six quarters in a row, year-on-year, continued to fall. On the contrary, Poland grew strongly within the Central Europe. After a longer time, the Czech economy is growing faster than the EU average.</w:t>
      </w:r>
    </w:p>
    <w:p w14:paraId="43387CE8" w14:textId="6E5D6F0D" w:rsidR="00803507" w:rsidRPr="00884D55" w:rsidRDefault="00803507" w:rsidP="00803507">
      <w:pPr>
        <w:pStyle w:val="Normalodrka"/>
        <w:rPr>
          <w:lang w:val="en-GB"/>
        </w:rPr>
      </w:pPr>
      <w:r w:rsidRPr="00884D55">
        <w:rPr>
          <w:lang w:val="en-GB"/>
        </w:rPr>
        <w:t>The gross domestic value (GVA) increased by 0.3% in 2024. The development for the whole year was characterised by a weak performance of manufacturing, where the GVA decreased by 1.6%. This was offset by the services branch</w:t>
      </w:r>
      <w:r w:rsidR="00573683">
        <w:rPr>
          <w:lang w:val="en-GB"/>
        </w:rPr>
        <w:t>es</w:t>
      </w:r>
      <w:r w:rsidRPr="00884D55">
        <w:rPr>
          <w:lang w:val="en-GB"/>
        </w:rPr>
        <w:t xml:space="preserve"> boosted by revived consumer demand. The </w:t>
      </w:r>
      <w:r w:rsidR="00252F89">
        <w:rPr>
          <w:lang w:val="en-GB"/>
        </w:rPr>
        <w:t xml:space="preserve">total </w:t>
      </w:r>
      <w:r w:rsidRPr="00884D55">
        <w:rPr>
          <w:lang w:val="en-GB"/>
        </w:rPr>
        <w:t xml:space="preserve">GVA increased by 1.1%, year-on-year, in Q4. The highest growth was recorded in financial and insurance activities, other </w:t>
      </w:r>
      <w:r>
        <w:rPr>
          <w:lang w:val="en-GB"/>
        </w:rPr>
        <w:t xml:space="preserve">service </w:t>
      </w:r>
      <w:r w:rsidRPr="00884D55">
        <w:rPr>
          <w:lang w:val="en-GB"/>
        </w:rPr>
        <w:t xml:space="preserve">activities, group of economic activities of trade, transport, accommodation and food service and information and communication. In contrast, the GVA in industry fell by 2.2%. In quarter-on-quarter terms, the GVA stagnated in Q4. Although manufacturing recorded a quarter-on-quarter recovery, the GVA fell in industry as a whole. Growth was recorded on the other hand in real estate activities, other activities or in group of economic activities of trade, transport, accommodation and food service. </w:t>
      </w:r>
    </w:p>
    <w:p w14:paraId="691CA267" w14:textId="77777777" w:rsidR="00803507" w:rsidRPr="00884D55" w:rsidRDefault="00803507" w:rsidP="00803507">
      <w:pPr>
        <w:pStyle w:val="Normalodrka"/>
        <w:rPr>
          <w:lang w:val="en-GB"/>
        </w:rPr>
      </w:pPr>
      <w:r w:rsidRPr="00884D55">
        <w:rPr>
          <w:lang w:val="en-GB"/>
        </w:rPr>
        <w:t>Exports of goods and services increased by 1.5%</w:t>
      </w:r>
      <w:r w:rsidRPr="00884D55">
        <w:rPr>
          <w:rStyle w:val="Znakapoznpodarou"/>
          <w:spacing w:val="-4"/>
          <w:lang w:val="en-GB"/>
        </w:rPr>
        <w:footnoteReference w:id="3"/>
      </w:r>
      <w:r w:rsidRPr="00884D55">
        <w:rPr>
          <w:lang w:val="en-GB"/>
        </w:rPr>
        <w:t xml:space="preserve"> last year and imports by 0.7%. The international trade balance of goods and services at current prices reached a total surplus of 525.6 bn CZK, which thus enlarged by 141.2 bn CZK, year-on-year, mainly due to an increase of the surplus of trade with goods. Sale of motor vehicles, electrical equipment and oil and natural gas contributed the most to this improvement. On the contrary, the balance of trade with coke and refined petroleum products and basic metals deteriorated. </w:t>
      </w:r>
    </w:p>
    <w:p w14:paraId="0A8F2642" w14:textId="77777777" w:rsidR="00803507" w:rsidRPr="00884D55" w:rsidRDefault="00803507" w:rsidP="00803507">
      <w:pPr>
        <w:pStyle w:val="Normalodrka"/>
        <w:rPr>
          <w:lang w:val="en-GB"/>
        </w:rPr>
      </w:pPr>
      <w:r w:rsidRPr="00884D55">
        <w:rPr>
          <w:lang w:val="en-GB"/>
        </w:rPr>
        <w:t xml:space="preserve">Total price level (gauged by the GDP deflator) increased by 3.9% in 2024. In Q4, it increased by 3.7%, year-on-year, and by 0.3%, quarter-on-quarter. Consumer prices were higher by 2.4% last year. Their year-on-year growth accelerated to 2.9% in Q4 and increased by 0.1%, quarter-on-quarter. Food prices started to rise, year-on-year, and housing and energy price growth strengthened. Transport prices rose less. The growth of both catalogue and realised prices of </w:t>
      </w:r>
      <w:r>
        <w:rPr>
          <w:lang w:val="en-GB"/>
        </w:rPr>
        <w:t xml:space="preserve">dwellings </w:t>
      </w:r>
      <w:r w:rsidRPr="00884D55">
        <w:rPr>
          <w:lang w:val="en-GB"/>
        </w:rPr>
        <w:t xml:space="preserve">strengthened. Industrial producer prices rose by 0.8% in 2024. Agricultural producer prices fell by 5.9% last year, but in Q4, they rose by 5.0%, year-on-year, for the first time since Q1 2023.   </w:t>
      </w:r>
    </w:p>
    <w:p w14:paraId="30BB677A" w14:textId="77777777" w:rsidR="00803507" w:rsidRPr="00884D55" w:rsidRDefault="00803507" w:rsidP="00803507">
      <w:pPr>
        <w:pStyle w:val="Normalodrka"/>
        <w:rPr>
          <w:lang w:val="en-GB"/>
        </w:rPr>
      </w:pPr>
      <w:r w:rsidRPr="00884D55">
        <w:rPr>
          <w:lang w:val="en-GB"/>
        </w:rPr>
        <w:t xml:space="preserve">The monetary policy-relevant interest rates have fallen significantly over the year. Interest rates on most types of client deposits also decreased along with them. The growth of the volume of credit provided strengthened at the end of the year. In new mortgage contracts, most of the negotiations comprised of new terms of existing contracts. </w:t>
      </w:r>
    </w:p>
    <w:p w14:paraId="207D8153" w14:textId="77777777" w:rsidR="00803507" w:rsidRPr="00884D55" w:rsidRDefault="00803507" w:rsidP="00803507">
      <w:pPr>
        <w:pStyle w:val="Normalodrka"/>
        <w:rPr>
          <w:lang w:val="en-GB"/>
        </w:rPr>
      </w:pPr>
      <w:r w:rsidRPr="00884D55">
        <w:rPr>
          <w:lang w:val="en-GB"/>
        </w:rPr>
        <w:t>Total employment</w:t>
      </w:r>
      <w:r w:rsidRPr="00884D55">
        <w:rPr>
          <w:rStyle w:val="Znakapoznpodarou"/>
          <w:lang w:val="en-GB"/>
        </w:rPr>
        <w:footnoteReference w:id="4"/>
      </w:r>
      <w:r w:rsidRPr="00884D55">
        <w:rPr>
          <w:lang w:val="en-GB"/>
        </w:rPr>
        <w:t xml:space="preserve"> grew by 0.3% last year. In Q4, it was 0.2% higher, year-on-year, and decreased by 0.1%, quarter-on-quarter. The total unemployment rate fluctuated below 3% for most of year 2024. The average gross monthly nominal wage reached 46,165 CZK in 2024 and increased by 7.1% in nominal terms and by 4.6% in real terms. In Q4, the average wage increased by 7.2%, year-on-year and reached 49,229 CZK. In real terms, the average wage strengthened by 4.2%. The quarter-on-quarter nominal increase of the average wage amounted to 1.7%.  </w:t>
      </w:r>
    </w:p>
    <w:p w14:paraId="09D70401" w14:textId="487A253B" w:rsidR="00803507" w:rsidRPr="00884D55" w:rsidRDefault="00803507" w:rsidP="00803507">
      <w:pPr>
        <w:pStyle w:val="Normalodrka"/>
        <w:spacing w:after="0"/>
        <w:rPr>
          <w:lang w:val="en-GB"/>
        </w:rPr>
      </w:pPr>
      <w:r w:rsidRPr="00884D55">
        <w:rPr>
          <w:spacing w:val="-4"/>
          <w:lang w:val="en-GB"/>
        </w:rPr>
        <w:lastRenderedPageBreak/>
        <w:t xml:space="preserve">The state budget ended with a deficit of 271.4 bn CZK last year. The deficit decreased by 17.1 bn CZK compared to 2023. </w:t>
      </w:r>
      <w:r w:rsidR="0053014E">
        <w:rPr>
          <w:spacing w:val="-4"/>
          <w:lang w:val="en-GB"/>
        </w:rPr>
        <w:t>Especially</w:t>
      </w:r>
      <w:r w:rsidRPr="00884D55">
        <w:rPr>
          <w:spacing w:val="-4"/>
          <w:lang w:val="en-GB"/>
        </w:rPr>
        <w:t xml:space="preserve"> the growth of expenditure moderated. The need for extraordinary expenditure for households as well as firms hit by the effects of high inflation gradually receded and the previously approved consolidation package and changes to the budgetary allocation of taxes became apparent. On the other hand, the persisting weak economic growth dampened the revenue side of the budget. </w:t>
      </w:r>
    </w:p>
    <w:p w14:paraId="18C14C58" w14:textId="78FC60FA" w:rsidR="00803507" w:rsidRPr="00884D55" w:rsidRDefault="00F32B91" w:rsidP="00803507">
      <w:pPr>
        <w:pStyle w:val="Normalodrka"/>
        <w:numPr>
          <w:ilvl w:val="0"/>
          <w:numId w:val="0"/>
        </w:numPr>
        <w:spacing w:after="0"/>
        <w:jc w:val="center"/>
        <w:rPr>
          <w:lang w:val="en-GB"/>
        </w:rPr>
      </w:pPr>
      <w:r w:rsidRPr="00F32B91">
        <w:rPr>
          <w:noProof/>
        </w:rPr>
        <w:lastRenderedPageBreak/>
        <w:drawing>
          <wp:inline distT="0" distB="0" distL="0" distR="0" wp14:anchorId="0B031EA8" wp14:editId="5760D5FC">
            <wp:extent cx="5838825" cy="8943975"/>
            <wp:effectExtent l="0" t="0" r="952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8825" cy="8943975"/>
                    </a:xfrm>
                    <a:prstGeom prst="rect">
                      <a:avLst/>
                    </a:prstGeom>
                    <a:noFill/>
                    <a:ln>
                      <a:noFill/>
                    </a:ln>
                  </pic:spPr>
                </pic:pic>
              </a:graphicData>
            </a:graphic>
          </wp:inline>
        </w:drawing>
      </w:r>
    </w:p>
    <w:p w14:paraId="38E3A94C" w14:textId="77777777" w:rsidR="00803507" w:rsidRPr="00884D55" w:rsidRDefault="00803507" w:rsidP="00803507">
      <w:pPr>
        <w:pStyle w:val="Nadpis1"/>
        <w:rPr>
          <w:lang w:val="en-GB"/>
        </w:rPr>
      </w:pPr>
      <w:bookmarkStart w:id="1" w:name="_Toc176767107"/>
      <w:bookmarkStart w:id="2" w:name="_Toc196386138"/>
      <w:r w:rsidRPr="00884D55">
        <w:rPr>
          <w:lang w:val="en-GB"/>
        </w:rPr>
        <w:t>2. Overall Economic Performance</w:t>
      </w:r>
      <w:bookmarkEnd w:id="2"/>
    </w:p>
    <w:tbl>
      <w:tblPr>
        <w:tblW w:w="9639" w:type="dxa"/>
        <w:tblInd w:w="-20" w:type="dxa"/>
        <w:tblCellMar>
          <w:left w:w="0" w:type="dxa"/>
          <w:right w:w="0" w:type="dxa"/>
        </w:tblCellMar>
        <w:tblLook w:val="00A0" w:firstRow="1" w:lastRow="0" w:firstColumn="1" w:lastColumn="0" w:noHBand="0" w:noVBand="0"/>
      </w:tblPr>
      <w:tblGrid>
        <w:gridCol w:w="1806"/>
        <w:gridCol w:w="210"/>
        <w:gridCol w:w="7623"/>
      </w:tblGrid>
      <w:tr w:rsidR="00803507" w:rsidRPr="00884D55" w14:paraId="5EA60586" w14:textId="77777777" w:rsidTr="00803507">
        <w:trPr>
          <w:trHeight w:val="145"/>
        </w:trPr>
        <w:tc>
          <w:tcPr>
            <w:tcW w:w="1806" w:type="dxa"/>
            <w:shd w:val="clear" w:color="auto" w:fill="auto"/>
            <w:tcMar>
              <w:left w:w="0" w:type="dxa"/>
            </w:tcMar>
          </w:tcPr>
          <w:p w14:paraId="10E2A48D" w14:textId="77777777" w:rsidR="00803507" w:rsidRPr="00884D55" w:rsidRDefault="00803507" w:rsidP="00803507">
            <w:pPr>
              <w:pStyle w:val="Marginlie"/>
              <w:rPr>
                <w:lang w:val="en-GB"/>
              </w:rPr>
            </w:pPr>
            <w:r w:rsidRPr="00884D55">
              <w:rPr>
                <w:lang w:val="en-GB"/>
              </w:rPr>
              <w:t xml:space="preserve">Czech economy expanded last year. </w:t>
            </w:r>
          </w:p>
        </w:tc>
        <w:tc>
          <w:tcPr>
            <w:tcW w:w="210" w:type="dxa"/>
            <w:shd w:val="clear" w:color="auto" w:fill="auto"/>
            <w:tcMar>
              <w:left w:w="0" w:type="dxa"/>
            </w:tcMar>
          </w:tcPr>
          <w:p w14:paraId="61CF63D4"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6C35951A" w14:textId="6FE70EF3" w:rsidR="00803507" w:rsidRPr="00884D55" w:rsidRDefault="00803507" w:rsidP="00803507">
            <w:pPr>
              <w:rPr>
                <w:spacing w:val="-2"/>
                <w:lang w:val="en-GB"/>
              </w:rPr>
            </w:pPr>
            <w:r w:rsidRPr="00884D55">
              <w:rPr>
                <w:spacing w:val="-2"/>
                <w:lang w:val="en-GB"/>
              </w:rPr>
              <w:t>Gross domestic product (GDP) grew by 1.0% in 2024</w:t>
            </w:r>
            <w:r w:rsidRPr="00884D55">
              <w:rPr>
                <w:rStyle w:val="Znakapoznpodarou"/>
                <w:rFonts w:cs="Arial"/>
                <w:spacing w:val="-2"/>
                <w:lang w:val="en-GB"/>
              </w:rPr>
              <w:footnoteReference w:id="5"/>
            </w:r>
            <w:r w:rsidRPr="00884D55">
              <w:rPr>
                <w:spacing w:val="-2"/>
                <w:lang w:val="en-GB"/>
              </w:rPr>
              <w:t xml:space="preserve">. The economy thus followed up on the stagnation of 2023 with moderate growth. The higher growth was mainly due to strengthening household and government consumption. By contrast, investment activity lagged behind the 2023 level, and GDP growth was also negatively affected by changes in inventories. The effect of external demand was slightly negative overall. During the year, the annual GDP growth gradually strengthened (0.3%, 0.5%, </w:t>
            </w:r>
            <w:r w:rsidR="00511130" w:rsidRPr="00884D55">
              <w:rPr>
                <w:spacing w:val="-2"/>
                <w:lang w:val="en-GB"/>
              </w:rPr>
              <w:t>and 1.4</w:t>
            </w:r>
            <w:r w:rsidRPr="00884D55">
              <w:rPr>
                <w:spacing w:val="-2"/>
                <w:lang w:val="en-GB"/>
              </w:rPr>
              <w:t xml:space="preserve">% in Q1 to Q3) to 1.8% in Q4. The year-on-year growth of household consumption strengthened at the end of the year and the change in inventories started to have a positive effect. On the contrary, the investment activity and external demand had an adverse effect on the year-on-year GDP growth. Quarter-on-quarter GDP dynamics strengthened to 0.7% in Q4. Household consumption and change in inventories were higher. Investment and external demand had a slightly anti-growth effect. </w:t>
            </w:r>
          </w:p>
        </w:tc>
      </w:tr>
      <w:tr w:rsidR="00803507" w:rsidRPr="00884D55" w14:paraId="06DFE7C4" w14:textId="77777777" w:rsidTr="00803507">
        <w:trPr>
          <w:trHeight w:val="170"/>
        </w:trPr>
        <w:tc>
          <w:tcPr>
            <w:tcW w:w="1806" w:type="dxa"/>
            <w:vMerge w:val="restart"/>
            <w:shd w:val="clear" w:color="auto" w:fill="auto"/>
            <w:tcMar>
              <w:left w:w="0" w:type="dxa"/>
            </w:tcMar>
          </w:tcPr>
          <w:p w14:paraId="222EC1EB" w14:textId="77777777" w:rsidR="00803507" w:rsidRPr="00884D55" w:rsidRDefault="00803507" w:rsidP="00803507">
            <w:pPr>
              <w:pStyle w:val="Marginlie"/>
              <w:rPr>
                <w:lang w:val="en-GB"/>
              </w:rPr>
            </w:pPr>
          </w:p>
        </w:tc>
        <w:tc>
          <w:tcPr>
            <w:tcW w:w="210" w:type="dxa"/>
            <w:vMerge w:val="restart"/>
            <w:shd w:val="clear" w:color="auto" w:fill="auto"/>
            <w:tcMar>
              <w:left w:w="0" w:type="dxa"/>
            </w:tcMar>
          </w:tcPr>
          <w:p w14:paraId="76D21ED9"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75F659CC" w14:textId="77777777" w:rsidR="00803507" w:rsidRPr="00884D55" w:rsidRDefault="00803507" w:rsidP="00803507">
            <w:pPr>
              <w:spacing w:after="0"/>
              <w:rPr>
                <w:b/>
                <w:szCs w:val="20"/>
                <w:lang w:val="en-GB"/>
              </w:rPr>
            </w:pPr>
            <w:r w:rsidRPr="00884D55">
              <w:rPr>
                <w:rFonts w:cs="Arial"/>
                <w:b/>
                <w:bCs/>
                <w:color w:val="000000"/>
                <w:szCs w:val="20"/>
                <w:lang w:val="en-GB"/>
              </w:rPr>
              <w:t>Chart 1 GDP</w:t>
            </w:r>
            <w:r w:rsidRPr="00884D55">
              <w:rPr>
                <w:rFonts w:cs="Arial"/>
                <w:b/>
                <w:szCs w:val="20"/>
                <w:lang w:val="en-GB" w:eastAsia="en-US"/>
              </w:rPr>
              <w:t xml:space="preserve"> </w:t>
            </w:r>
            <w:r w:rsidRPr="00884D55">
              <w:rPr>
                <w:rFonts w:cs="Arial"/>
                <w:bCs/>
                <w:szCs w:val="20"/>
                <w:lang w:val="en-GB" w:eastAsia="en-US"/>
              </w:rPr>
              <w:t>(volume indices, adjusted for seasonal and calendar effects, in %)</w:t>
            </w:r>
          </w:p>
        </w:tc>
      </w:tr>
      <w:tr w:rsidR="00803507" w:rsidRPr="00884D55" w14:paraId="1042B36E" w14:textId="77777777" w:rsidTr="00900097">
        <w:tblPrEx>
          <w:tblCellMar>
            <w:left w:w="70" w:type="dxa"/>
            <w:right w:w="70" w:type="dxa"/>
          </w:tblCellMar>
        </w:tblPrEx>
        <w:trPr>
          <w:trHeight w:val="170"/>
        </w:trPr>
        <w:tc>
          <w:tcPr>
            <w:tcW w:w="1806" w:type="dxa"/>
            <w:vMerge/>
          </w:tcPr>
          <w:p w14:paraId="56CAF908" w14:textId="77777777" w:rsidR="00803507" w:rsidRPr="00884D55" w:rsidRDefault="00803507" w:rsidP="00803507">
            <w:pPr>
              <w:pStyle w:val="Marginlie"/>
              <w:rPr>
                <w:lang w:val="en-GB"/>
              </w:rPr>
            </w:pPr>
          </w:p>
        </w:tc>
        <w:tc>
          <w:tcPr>
            <w:tcW w:w="210" w:type="dxa"/>
            <w:vMerge/>
          </w:tcPr>
          <w:p w14:paraId="43C095E7" w14:textId="77777777" w:rsidR="00803507" w:rsidRPr="00884D55" w:rsidRDefault="00803507" w:rsidP="00803507">
            <w:pPr>
              <w:pStyle w:val="Textpoznpodarou"/>
              <w:jc w:val="both"/>
              <w:rPr>
                <w:spacing w:val="-4"/>
                <w:lang w:val="en-GB"/>
              </w:rPr>
            </w:pPr>
          </w:p>
        </w:tc>
        <w:tc>
          <w:tcPr>
            <w:tcW w:w="7623" w:type="dxa"/>
            <w:shd w:val="clear" w:color="auto" w:fill="auto"/>
          </w:tcPr>
          <w:p w14:paraId="4E438B45" w14:textId="7CF75B2E" w:rsidR="00803507" w:rsidRPr="00884D55" w:rsidRDefault="00900097" w:rsidP="00803507">
            <w:pPr>
              <w:spacing w:after="0"/>
              <w:rPr>
                <w:lang w:val="en-GB"/>
              </w:rPr>
            </w:pPr>
            <w:r>
              <w:rPr>
                <w:noProof/>
              </w:rPr>
              <w:drawing>
                <wp:inline distT="0" distB="0" distL="0" distR="0" wp14:anchorId="3871FE8E" wp14:editId="42E10DBF">
                  <wp:extent cx="4737600" cy="3553200"/>
                  <wp:effectExtent l="0" t="0" r="6350" b="0"/>
                  <wp:docPr id="6" name="Graf 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803507" w:rsidRPr="00884D55" w14:paraId="7172834C" w14:textId="77777777" w:rsidTr="00803507">
        <w:trPr>
          <w:trHeight w:val="170"/>
        </w:trPr>
        <w:tc>
          <w:tcPr>
            <w:tcW w:w="1806" w:type="dxa"/>
            <w:vMerge/>
            <w:tcMar>
              <w:left w:w="0" w:type="dxa"/>
            </w:tcMar>
          </w:tcPr>
          <w:p w14:paraId="69EA42DF" w14:textId="77777777" w:rsidR="00803507" w:rsidRPr="00884D55" w:rsidRDefault="00803507" w:rsidP="00803507">
            <w:pPr>
              <w:pStyle w:val="Marginlie"/>
              <w:rPr>
                <w:lang w:val="en-GB"/>
              </w:rPr>
            </w:pPr>
          </w:p>
        </w:tc>
        <w:tc>
          <w:tcPr>
            <w:tcW w:w="210" w:type="dxa"/>
            <w:vMerge/>
            <w:tcMar>
              <w:left w:w="0" w:type="dxa"/>
            </w:tcMar>
          </w:tcPr>
          <w:p w14:paraId="5B1462E4"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251D55D5" w14:textId="49FE3FCA" w:rsidR="00803507" w:rsidRPr="00884D55" w:rsidRDefault="00803507" w:rsidP="00900097">
            <w:pPr>
              <w:spacing w:after="220"/>
              <w:rPr>
                <w:b/>
                <w:bCs/>
                <w:sz w:val="14"/>
                <w:szCs w:val="14"/>
                <w:lang w:val="en-GB"/>
              </w:rPr>
            </w:pPr>
            <w:r w:rsidRPr="00884D55">
              <w:rPr>
                <w:sz w:val="14"/>
                <w:szCs w:val="14"/>
                <w:lang w:val="en-GB"/>
              </w:rPr>
              <w:t>Source: CZSO, Eurostat</w:t>
            </w:r>
          </w:p>
        </w:tc>
      </w:tr>
      <w:tr w:rsidR="00803507" w:rsidRPr="00884D55" w14:paraId="7206809D" w14:textId="77777777" w:rsidTr="00803507">
        <w:trPr>
          <w:trHeight w:val="145"/>
        </w:trPr>
        <w:tc>
          <w:tcPr>
            <w:tcW w:w="1806" w:type="dxa"/>
            <w:shd w:val="clear" w:color="auto" w:fill="auto"/>
            <w:tcMar>
              <w:left w:w="0" w:type="dxa"/>
            </w:tcMar>
          </w:tcPr>
          <w:p w14:paraId="51240048" w14:textId="77777777" w:rsidR="00803507" w:rsidRPr="00884D55" w:rsidRDefault="00803507" w:rsidP="00803507">
            <w:pPr>
              <w:pStyle w:val="Marginlie"/>
              <w:rPr>
                <w:lang w:val="en-GB"/>
              </w:rPr>
            </w:pPr>
            <w:r w:rsidRPr="00884D55">
              <w:rPr>
                <w:lang w:val="en-GB"/>
              </w:rPr>
              <w:t xml:space="preserve">Gross domestic product continued in mild growth in the EU. </w:t>
            </w:r>
          </w:p>
        </w:tc>
        <w:tc>
          <w:tcPr>
            <w:tcW w:w="210" w:type="dxa"/>
            <w:shd w:val="clear" w:color="auto" w:fill="auto"/>
            <w:tcMar>
              <w:left w:w="0" w:type="dxa"/>
            </w:tcMar>
          </w:tcPr>
          <w:p w14:paraId="6D2BA5CB"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3E843C35" w14:textId="77777777" w:rsidR="00803507" w:rsidRPr="00884D55" w:rsidRDefault="00803507" w:rsidP="00803507">
            <w:pPr>
              <w:rPr>
                <w:lang w:val="en-GB"/>
              </w:rPr>
            </w:pPr>
            <w:r w:rsidRPr="00884D55">
              <w:rPr>
                <w:lang w:val="en-GB"/>
              </w:rPr>
              <w:t>The strengthening of the year-on-year GDP growth was also evident in the European Union in the second half of 2024. The GDP increased by 1.4%</w:t>
            </w:r>
            <w:r w:rsidRPr="00884D55">
              <w:rPr>
                <w:rStyle w:val="Znakapoznpodarou"/>
                <w:lang w:val="en-GB"/>
              </w:rPr>
              <w:footnoteReference w:id="6"/>
            </w:r>
            <w:r w:rsidRPr="00884D55">
              <w:rPr>
                <w:lang w:val="en-GB"/>
              </w:rPr>
              <w:t>, year-on-year, in the EU in Q4. At the end of the year, the economic growth was supported mainly by consumption. In the vast majority of countries, the GDP grew, year-on-year, in Q4, the most in Ireland (9.2%), Denmark (4.1%) and Poland and Lithuania (both by 3.7%). In Q4, the GDP lagged behind the level of the same period of year 2023 in Austria (−1.2%), Latvia (−0.4%) and Germany (−0.2%). The year-on-year decline has been going on since Q3 2023 in Germany, and in Austria it has been one quarter longer. The GDP increased by 0.4% in the EU, quarter-on-quarter, and this was also mainly due to the development of consumption here. Most EU countries reported quarter-on-quarter GDP recovery, Ireland (3.6%), Denmark (1.6%) and Portugal (1.5%) the most. According to available data, a decrease was recorded in Malta (−0.7%), Austria (−0.4%), Finland (−0.2%), Germany (−0.2%) and France (−0.1%). The GDP grew in total by 1.0% in the EU last year and the increase accelerated compared to 2023. According to the available data</w:t>
            </w:r>
            <w:r w:rsidRPr="00884D55">
              <w:rPr>
                <w:rStyle w:val="Znakapoznpodarou"/>
                <w:lang w:val="en-GB"/>
              </w:rPr>
              <w:footnoteReference w:id="7"/>
            </w:r>
            <w:r w:rsidRPr="00884D55">
              <w:rPr>
                <w:lang w:val="en-GB"/>
              </w:rPr>
              <w:t xml:space="preserve">, the GDP of Malta (6.0%), Croatia (3.8%) and Denmark (3.6%) grew the most last year. On the other hand, five economies declined, Austria (−1.2%), Latvia (−0.4%) and Estonia (−0.3%) the most.   </w:t>
            </w:r>
          </w:p>
        </w:tc>
      </w:tr>
      <w:tr w:rsidR="00803507" w:rsidRPr="00884D55" w14:paraId="2593A23F" w14:textId="77777777" w:rsidTr="00803507">
        <w:trPr>
          <w:trHeight w:val="145"/>
        </w:trPr>
        <w:tc>
          <w:tcPr>
            <w:tcW w:w="1806" w:type="dxa"/>
            <w:shd w:val="clear" w:color="auto" w:fill="auto"/>
            <w:tcMar>
              <w:left w:w="0" w:type="dxa"/>
            </w:tcMar>
          </w:tcPr>
          <w:p w14:paraId="7E80EC2F" w14:textId="77777777" w:rsidR="00803507" w:rsidRPr="00884D55" w:rsidRDefault="00803507" w:rsidP="00803507">
            <w:pPr>
              <w:pStyle w:val="Marginlie"/>
              <w:rPr>
                <w:lang w:val="en-GB"/>
              </w:rPr>
            </w:pPr>
            <w:r w:rsidRPr="00884D55">
              <w:rPr>
                <w:lang w:val="en-GB"/>
              </w:rPr>
              <w:t xml:space="preserve">Wages and salaries grew in real terms last year. </w:t>
            </w:r>
          </w:p>
        </w:tc>
        <w:tc>
          <w:tcPr>
            <w:tcW w:w="210" w:type="dxa"/>
            <w:shd w:val="clear" w:color="auto" w:fill="auto"/>
            <w:tcMar>
              <w:left w:w="0" w:type="dxa"/>
            </w:tcMar>
          </w:tcPr>
          <w:p w14:paraId="32F1CFAB"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01B8B20F" w14:textId="77777777" w:rsidR="00803507" w:rsidRPr="00884D55" w:rsidRDefault="00803507" w:rsidP="00803507">
            <w:pPr>
              <w:rPr>
                <w:lang w:val="en-GB"/>
              </w:rPr>
            </w:pPr>
            <w:r w:rsidRPr="00884D55">
              <w:rPr>
                <w:lang w:val="en-GB"/>
              </w:rPr>
              <w:t>The volume of wages and salaries paid increased by 6.4% in 2024 while employment expanded by 0.3%</w:t>
            </w:r>
            <w:r w:rsidRPr="00884D55">
              <w:rPr>
                <w:rStyle w:val="Znakapoznpodarou"/>
                <w:spacing w:val="-2"/>
                <w:lang w:val="en-GB"/>
              </w:rPr>
              <w:footnoteReference w:id="8"/>
            </w:r>
            <w:r w:rsidRPr="00884D55">
              <w:rPr>
                <w:lang w:val="en-GB"/>
              </w:rPr>
              <w:t>. The nominal increase of wages and salaries was the most modest since year 2020 (if we do not count this extraordinary covid year, then since 2016), but thanks to the slowdown of price growth, the real increase of wages and salaries reached 3.3%</w:t>
            </w:r>
            <w:r w:rsidRPr="00884D55">
              <w:rPr>
                <w:rStyle w:val="Znakapoznpodarou"/>
                <w:spacing w:val="-2"/>
                <w:lang w:val="en-GB"/>
              </w:rPr>
              <w:footnoteReference w:id="9"/>
            </w:r>
            <w:r w:rsidRPr="00884D55">
              <w:rPr>
                <w:lang w:val="en-GB"/>
              </w:rPr>
              <w:t xml:space="preserve">, the highest since 2019. The growth of volume of wages and salaries was driven mainly by the services sector, which also contributed to the total slight increase of employment. Wages and salaries increased the most in real estate activities (23.5% with an increase of employment by 1.6%). Professional, scientific, technical and administrative activities (9.6%, employment increased by 0.9%), financial and insurance activities (7.2%, employment +0.5%), information and communication (7.0%, employment decreased by 0.3%) recorded an above-average increase. A significant increase of wages and salaries was evident in </w:t>
            </w:r>
            <w:r w:rsidRPr="00884D55">
              <w:rPr>
                <w:color w:val="0D0D0D" w:themeColor="text1" w:themeTint="F2"/>
                <w:spacing w:val="-4"/>
                <w:lang w:val="en-GB"/>
              </w:rPr>
              <w:t xml:space="preserve">the weight significant division trade, transport, accommodation and food service activities </w:t>
            </w:r>
            <w:r w:rsidRPr="00884D55">
              <w:rPr>
                <w:lang w:val="en-GB"/>
              </w:rPr>
              <w:t>(6.8%, employment +1.0%) and in other activities</w:t>
            </w:r>
            <w:r w:rsidRPr="00884D55">
              <w:rPr>
                <w:rStyle w:val="Znakapoznpodarou"/>
                <w:spacing w:val="-2"/>
                <w:lang w:val="en-GB"/>
              </w:rPr>
              <w:footnoteReference w:id="10"/>
            </w:r>
            <w:r w:rsidRPr="00884D55">
              <w:rPr>
                <w:lang w:val="en-GB"/>
              </w:rPr>
              <w:t xml:space="preserve"> (6.8%, employment +2.0%). Within services, only the volume of wages and salaries in public administration and defence, education, health and social work increased at below average rate (5.8% with an increase of employment by 1.9%). Wages and salaries grew by 5.9% in construction (employment fell by 0.2%) and the volume of wages and salaries grew by only 4.9% in manufacturing, where the reduced employment by 2.0% was instrumental.  </w:t>
            </w:r>
          </w:p>
        </w:tc>
      </w:tr>
      <w:tr w:rsidR="00803507" w:rsidRPr="00884D55" w14:paraId="13277ED2" w14:textId="77777777" w:rsidTr="00803507">
        <w:trPr>
          <w:trHeight w:val="145"/>
        </w:trPr>
        <w:tc>
          <w:tcPr>
            <w:tcW w:w="1806" w:type="dxa"/>
            <w:shd w:val="clear" w:color="auto" w:fill="auto"/>
            <w:tcMar>
              <w:left w:w="0" w:type="dxa"/>
            </w:tcMar>
          </w:tcPr>
          <w:p w14:paraId="2BC41897" w14:textId="77777777" w:rsidR="00803507" w:rsidRPr="00884D55" w:rsidRDefault="00803507" w:rsidP="00803507">
            <w:pPr>
              <w:pStyle w:val="Marginlie"/>
              <w:rPr>
                <w:lang w:val="en-GB"/>
              </w:rPr>
            </w:pPr>
            <w:r w:rsidRPr="00884D55">
              <w:rPr>
                <w:lang w:val="en-GB"/>
              </w:rPr>
              <w:t>Growth of the total volume of wages and salaries paid was supported by the services sector.</w:t>
            </w:r>
          </w:p>
        </w:tc>
        <w:tc>
          <w:tcPr>
            <w:tcW w:w="210" w:type="dxa"/>
            <w:shd w:val="clear" w:color="auto" w:fill="auto"/>
            <w:tcMar>
              <w:left w:w="0" w:type="dxa"/>
            </w:tcMar>
          </w:tcPr>
          <w:p w14:paraId="1CF03133"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459C2AEC" w14:textId="77777777" w:rsidR="00803507" w:rsidRPr="00884D55" w:rsidRDefault="00803507" w:rsidP="00803507">
            <w:pPr>
              <w:rPr>
                <w:lang w:val="en-GB"/>
              </w:rPr>
            </w:pPr>
            <w:r w:rsidRPr="00884D55">
              <w:rPr>
                <w:lang w:val="en-GB"/>
              </w:rPr>
              <w:t xml:space="preserve">The year-on-year growth of the volume of wages and salaries accelerated slightly to 7.1% amid employment growth of 0.2% in Q4. The real increase of wages and salaries amounted to 4.3%. The widening gap between industry and services was apparent in Q4. The year-on-year growth of the volume of wages and salaries slowed to 4.4% (employment fell by 1.6%) in manufacturing. Wages and salaries also grew more moderately in construction (4.7%, employment increased by 0.9%). The dynamics on the contrary accelerated in services. The highest increase of wages and salaries was recorded in real estate activities (37.4%, employment +3.0%), followed by professional, scientific, technical and administrative activities (11.6%, employment +0.3%), financial and insurance activities (8.1%, employment +0.5%) and information and communication (8.0%, employment decreased by 3.5%). The volume of wages and salaries increased by 7.7%, year-on-year, but employment fell by 0.2% in the group of economic activities trade, transport, accommodation and food service activities and a rise of 7.2% was recorded with an increase of employment by 2.5% in public administration and defence, education, health and social work. The quarter-on-quarter growth of wages and salaries also accelerated in Q4 (2.4%, employment decreased by 0.1%). The real increase of wages and salaries reached 1.4%. Wages and salaries increased again more sharply in services (real estate activities by 11.8%, information and communication by 3.3%, trade, transport, accommodation and food service activities by 3.1%). Wages and salaries increased by 1.0%, quarter-on-quarter, in manufacturing and by 0.9% in construction.  </w:t>
            </w:r>
          </w:p>
        </w:tc>
      </w:tr>
      <w:tr w:rsidR="00803507" w:rsidRPr="00884D55" w14:paraId="39567869" w14:textId="77777777" w:rsidTr="00803507">
        <w:trPr>
          <w:trHeight w:val="145"/>
        </w:trPr>
        <w:tc>
          <w:tcPr>
            <w:tcW w:w="1806" w:type="dxa"/>
            <w:shd w:val="clear" w:color="auto" w:fill="auto"/>
            <w:tcMar>
              <w:left w:w="0" w:type="dxa"/>
            </w:tcMar>
          </w:tcPr>
          <w:p w14:paraId="6D390505" w14:textId="77777777" w:rsidR="00803507" w:rsidRPr="00884D55" w:rsidRDefault="00803507" w:rsidP="00803507">
            <w:pPr>
              <w:pStyle w:val="Marginlie"/>
              <w:rPr>
                <w:lang w:val="en-GB"/>
              </w:rPr>
            </w:pPr>
            <w:r w:rsidRPr="00884D55">
              <w:rPr>
                <w:lang w:val="en-GB"/>
              </w:rPr>
              <w:t xml:space="preserve">Consumption substantially supported the GDP growth last year. </w:t>
            </w:r>
          </w:p>
        </w:tc>
        <w:tc>
          <w:tcPr>
            <w:tcW w:w="210" w:type="dxa"/>
            <w:shd w:val="clear" w:color="auto" w:fill="auto"/>
            <w:tcMar>
              <w:left w:w="0" w:type="dxa"/>
            </w:tcMar>
          </w:tcPr>
          <w:p w14:paraId="3F827CA3"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0BF461BE" w14:textId="74C1129C" w:rsidR="00803507" w:rsidRPr="00884D55" w:rsidRDefault="00803507" w:rsidP="0079597E">
            <w:pPr>
              <w:rPr>
                <w:spacing w:val="-2"/>
                <w:lang w:val="en-GB"/>
              </w:rPr>
            </w:pPr>
            <w:r w:rsidRPr="00884D55">
              <w:rPr>
                <w:spacing w:val="-2"/>
                <w:lang w:val="en-GB"/>
              </w:rPr>
              <w:t>Total consumption increased by 2.6% last year. Growth of household consumption resumed (2.0%) and growth of general government consumption strengthened (3.8%). Total contribution of consumption to GDP growth was thus 2.3 p. p.</w:t>
            </w:r>
            <w:r w:rsidRPr="00884D55">
              <w:rPr>
                <w:rStyle w:val="Znakapoznpodarou"/>
                <w:spacing w:val="-2"/>
                <w:lang w:val="en-GB"/>
              </w:rPr>
              <w:footnoteReference w:id="11"/>
            </w:r>
            <w:r w:rsidRPr="00884D55">
              <w:rPr>
                <w:spacing w:val="-2"/>
                <w:lang w:val="en-GB"/>
              </w:rPr>
              <w:t xml:space="preserve"> last year. In terms of durability</w:t>
            </w:r>
            <w:r w:rsidRPr="00884D55">
              <w:rPr>
                <w:rStyle w:val="Znakapoznpodarou"/>
                <w:lang w:val="en-GB"/>
              </w:rPr>
              <w:footnoteReference w:id="12"/>
            </w:r>
            <w:r w:rsidRPr="00884D55">
              <w:rPr>
                <w:spacing w:val="-2"/>
                <w:lang w:val="en-GB"/>
              </w:rPr>
              <w:t xml:space="preserve">, the expenditure on non-durable goods increased last year (4.5%) and consumption of services also grew for the fourth year in a row (1.7%). Expenditure on </w:t>
            </w:r>
            <w:r w:rsidR="0079597E">
              <w:rPr>
                <w:spacing w:val="-2"/>
                <w:lang w:val="en-GB"/>
              </w:rPr>
              <w:t>semi-</w:t>
            </w:r>
            <w:r w:rsidRPr="00884D55">
              <w:rPr>
                <w:spacing w:val="-2"/>
                <w:lang w:val="en-GB"/>
              </w:rPr>
              <w:t>durab</w:t>
            </w:r>
            <w:r w:rsidR="0079597E">
              <w:rPr>
                <w:spacing w:val="-2"/>
                <w:lang w:val="en-GB"/>
              </w:rPr>
              <w:t>le</w:t>
            </w:r>
            <w:r w:rsidRPr="00884D55">
              <w:rPr>
                <w:spacing w:val="-2"/>
                <w:lang w:val="en-GB"/>
              </w:rPr>
              <w:t xml:space="preserve"> goods stagnated and </w:t>
            </w:r>
            <w:r w:rsidR="0079597E">
              <w:rPr>
                <w:spacing w:val="-2"/>
                <w:lang w:val="en-GB"/>
              </w:rPr>
              <w:t>durable goods c</w:t>
            </w:r>
            <w:r w:rsidRPr="00884D55">
              <w:rPr>
                <w:spacing w:val="-2"/>
                <w:lang w:val="en-GB"/>
              </w:rPr>
              <w:t xml:space="preserve">onsumption fell for the third year in a row (−2.8%). In the second half of 2024, the year-on-year consumption growth strengthened, reaching 3.2% in Q4. Household and government consumption increased at the same pace. Consumption contributed 2.5 p. p. to the year-on-year GDP growth. The consumption of non-durable goods (6.1%), services as well as </w:t>
            </w:r>
            <w:r w:rsidR="0079597E">
              <w:rPr>
                <w:spacing w:val="-2"/>
                <w:lang w:val="en-GB"/>
              </w:rPr>
              <w:t>semi-durable</w:t>
            </w:r>
            <w:r w:rsidRPr="00884D55">
              <w:rPr>
                <w:spacing w:val="-2"/>
                <w:lang w:val="en-GB"/>
              </w:rPr>
              <w:t xml:space="preserve"> goods (0.2%) was higher, year-on-year, in Q4. The decline of </w:t>
            </w:r>
            <w:r w:rsidR="0079597E">
              <w:rPr>
                <w:spacing w:val="-2"/>
                <w:lang w:val="en-GB"/>
              </w:rPr>
              <w:t>durables</w:t>
            </w:r>
            <w:r w:rsidRPr="00884D55">
              <w:rPr>
                <w:spacing w:val="-2"/>
                <w:lang w:val="en-GB"/>
              </w:rPr>
              <w:t xml:space="preserve"> consumption moderated (−0.6%). In the quarter-on-quarter comparison, the consumption increased by 1.0%. This was solely due to households, while general government experienced a decrease of 0.3% for the first time since Q1 2022. There was a quarter-on-quarter recovery in all consumption segments in Q4 – mostly in </w:t>
            </w:r>
            <w:r w:rsidR="0079597E">
              <w:rPr>
                <w:spacing w:val="-2"/>
                <w:lang w:val="en-GB"/>
              </w:rPr>
              <w:t xml:space="preserve">semi-durable </w:t>
            </w:r>
            <w:r w:rsidRPr="00884D55">
              <w:rPr>
                <w:spacing w:val="-2"/>
                <w:lang w:val="en-GB"/>
              </w:rPr>
              <w:t>goods (8.0%), followed by services (2.0%), durable goods consumption (1.1%) and non-durable goods (0.6%).</w:t>
            </w:r>
          </w:p>
        </w:tc>
      </w:tr>
      <w:tr w:rsidR="00803507" w:rsidRPr="00884D55" w14:paraId="0AB6602D" w14:textId="77777777" w:rsidTr="00803507">
        <w:trPr>
          <w:trHeight w:val="154"/>
        </w:trPr>
        <w:tc>
          <w:tcPr>
            <w:tcW w:w="1806" w:type="dxa"/>
            <w:vMerge w:val="restart"/>
            <w:shd w:val="clear" w:color="auto" w:fill="auto"/>
            <w:tcMar>
              <w:left w:w="0" w:type="dxa"/>
            </w:tcMar>
          </w:tcPr>
          <w:p w14:paraId="6453A309" w14:textId="77777777" w:rsidR="00803507" w:rsidRPr="00884D55" w:rsidRDefault="00803507" w:rsidP="00803507">
            <w:pPr>
              <w:pStyle w:val="Marginlie"/>
              <w:rPr>
                <w:lang w:val="en-GB"/>
              </w:rPr>
            </w:pPr>
          </w:p>
        </w:tc>
        <w:tc>
          <w:tcPr>
            <w:tcW w:w="210" w:type="dxa"/>
            <w:vMerge w:val="restart"/>
            <w:shd w:val="clear" w:color="auto" w:fill="auto"/>
            <w:tcMar>
              <w:left w:w="0" w:type="dxa"/>
            </w:tcMar>
          </w:tcPr>
          <w:p w14:paraId="77A27439"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2E519463" w14:textId="77777777" w:rsidR="00803507" w:rsidRPr="00884D55" w:rsidRDefault="00803507" w:rsidP="00803507">
            <w:pPr>
              <w:spacing w:after="0"/>
              <w:rPr>
                <w:lang w:val="en-GB"/>
              </w:rPr>
            </w:pPr>
            <w:r w:rsidRPr="00884D55">
              <w:rPr>
                <w:b/>
                <w:szCs w:val="20"/>
                <w:lang w:val="en-GB"/>
              </w:rPr>
              <w:t>Chart 2 Contribution of expenditure items to real GDP change</w:t>
            </w:r>
            <w:r w:rsidRPr="00884D55">
              <w:rPr>
                <w:rFonts w:cs="Arial"/>
                <w:b/>
                <w:szCs w:val="20"/>
                <w:lang w:val="en-GB" w:eastAsia="en-US"/>
              </w:rPr>
              <w:t xml:space="preserve">* </w:t>
            </w:r>
            <w:r w:rsidRPr="00884D55">
              <w:rPr>
                <w:rFonts w:cs="Arial"/>
                <w:bCs/>
                <w:szCs w:val="20"/>
                <w:lang w:val="en-GB" w:eastAsia="en-US"/>
              </w:rPr>
              <w:t xml:space="preserve">(volume indices, year-on-year growth, contributions in p.p., GDP in %) </w:t>
            </w:r>
          </w:p>
        </w:tc>
      </w:tr>
      <w:tr w:rsidR="00803507" w:rsidRPr="00884D55" w14:paraId="30045134" w14:textId="77777777" w:rsidTr="00900097">
        <w:tblPrEx>
          <w:tblCellMar>
            <w:left w:w="70" w:type="dxa"/>
            <w:right w:w="70" w:type="dxa"/>
          </w:tblCellMar>
        </w:tblPrEx>
        <w:trPr>
          <w:trHeight w:val="154"/>
        </w:trPr>
        <w:tc>
          <w:tcPr>
            <w:tcW w:w="1806" w:type="dxa"/>
            <w:vMerge/>
          </w:tcPr>
          <w:p w14:paraId="11945965" w14:textId="77777777" w:rsidR="00803507" w:rsidRPr="00884D55" w:rsidRDefault="00803507" w:rsidP="00803507">
            <w:pPr>
              <w:pStyle w:val="Marginlie"/>
              <w:rPr>
                <w:lang w:val="en-GB"/>
              </w:rPr>
            </w:pPr>
          </w:p>
        </w:tc>
        <w:tc>
          <w:tcPr>
            <w:tcW w:w="210" w:type="dxa"/>
            <w:vMerge/>
          </w:tcPr>
          <w:p w14:paraId="03363044" w14:textId="77777777" w:rsidR="00803507" w:rsidRPr="00884D55" w:rsidRDefault="00803507" w:rsidP="00803507">
            <w:pPr>
              <w:pStyle w:val="Textpoznpodarou"/>
              <w:jc w:val="both"/>
              <w:rPr>
                <w:spacing w:val="-4"/>
                <w:lang w:val="en-GB"/>
              </w:rPr>
            </w:pPr>
          </w:p>
        </w:tc>
        <w:tc>
          <w:tcPr>
            <w:tcW w:w="7623" w:type="dxa"/>
            <w:shd w:val="clear" w:color="auto" w:fill="auto"/>
          </w:tcPr>
          <w:p w14:paraId="50E65980" w14:textId="25EA5B71" w:rsidR="00803507" w:rsidRPr="00884D55" w:rsidRDefault="00900097" w:rsidP="00803507">
            <w:pPr>
              <w:spacing w:after="0"/>
              <w:rPr>
                <w:lang w:val="en-GB"/>
              </w:rPr>
            </w:pPr>
            <w:r>
              <w:rPr>
                <w:noProof/>
              </w:rPr>
              <w:drawing>
                <wp:inline distT="0" distB="0" distL="0" distR="0" wp14:anchorId="77C3C58F" wp14:editId="4885C6F3">
                  <wp:extent cx="4743950" cy="3457950"/>
                  <wp:effectExtent l="0" t="0" r="0" b="0"/>
                  <wp:docPr id="7" name="Graf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803507" w:rsidRPr="00884D55" w14:paraId="21453A0A" w14:textId="77777777" w:rsidTr="00803507">
        <w:trPr>
          <w:trHeight w:val="154"/>
        </w:trPr>
        <w:tc>
          <w:tcPr>
            <w:tcW w:w="1806" w:type="dxa"/>
            <w:vMerge/>
            <w:tcMar>
              <w:left w:w="0" w:type="dxa"/>
            </w:tcMar>
          </w:tcPr>
          <w:p w14:paraId="30AC103B" w14:textId="77777777" w:rsidR="00803507" w:rsidRPr="00884D55" w:rsidRDefault="00803507" w:rsidP="00803507">
            <w:pPr>
              <w:pStyle w:val="Marginlie"/>
              <w:rPr>
                <w:lang w:val="en-GB"/>
              </w:rPr>
            </w:pPr>
          </w:p>
        </w:tc>
        <w:tc>
          <w:tcPr>
            <w:tcW w:w="210" w:type="dxa"/>
            <w:vMerge/>
            <w:tcMar>
              <w:left w:w="0" w:type="dxa"/>
            </w:tcMar>
          </w:tcPr>
          <w:p w14:paraId="53F78731" w14:textId="77777777" w:rsidR="00803507" w:rsidRPr="00884D55" w:rsidRDefault="00803507" w:rsidP="00803507">
            <w:pPr>
              <w:pStyle w:val="Textpoznpodarou"/>
              <w:jc w:val="both"/>
              <w:rPr>
                <w:spacing w:val="-4"/>
                <w:lang w:val="en-GB"/>
              </w:rPr>
            </w:pPr>
          </w:p>
        </w:tc>
        <w:tc>
          <w:tcPr>
            <w:tcW w:w="7623" w:type="dxa"/>
            <w:shd w:val="clear" w:color="auto" w:fill="auto"/>
            <w:tcMar>
              <w:left w:w="0" w:type="dxa"/>
            </w:tcMar>
          </w:tcPr>
          <w:p w14:paraId="5A0A41E2" w14:textId="77777777" w:rsidR="00803507" w:rsidRPr="00884D55" w:rsidRDefault="00803507" w:rsidP="00803507">
            <w:pPr>
              <w:spacing w:after="0"/>
              <w:rPr>
                <w:sz w:val="14"/>
                <w:szCs w:val="14"/>
                <w:lang w:val="en-GB"/>
              </w:rPr>
            </w:pPr>
            <w:r w:rsidRPr="00884D55">
              <w:rPr>
                <w:sz w:val="14"/>
                <w:szCs w:val="14"/>
                <w:lang w:val="en-GB"/>
              </w:rPr>
              <w:t>Source: CZSO</w:t>
            </w:r>
          </w:p>
          <w:p w14:paraId="4C101D6A" w14:textId="1C5C9A08" w:rsidR="00803507" w:rsidRPr="00900097" w:rsidRDefault="00803507" w:rsidP="00900097">
            <w:pPr>
              <w:rPr>
                <w:sz w:val="14"/>
                <w:szCs w:val="14"/>
                <w:lang w:val="en-GB"/>
              </w:rPr>
            </w:pPr>
            <w:r w:rsidRPr="00884D55">
              <w:rPr>
                <w:sz w:val="14"/>
                <w:szCs w:val="14"/>
                <w:lang w:val="en-GB"/>
              </w:rPr>
              <w:t>* after exclusion of imports for final us</w:t>
            </w:r>
            <w:r w:rsidR="00900097">
              <w:rPr>
                <w:sz w:val="14"/>
                <w:szCs w:val="14"/>
                <w:lang w:val="en-GB"/>
              </w:rPr>
              <w:t>e</w:t>
            </w:r>
          </w:p>
        </w:tc>
      </w:tr>
      <w:tr w:rsidR="00802430" w:rsidRPr="00884D55" w14:paraId="76A31615" w14:textId="77777777" w:rsidTr="00803507">
        <w:trPr>
          <w:trHeight w:val="145"/>
        </w:trPr>
        <w:tc>
          <w:tcPr>
            <w:tcW w:w="1806" w:type="dxa"/>
            <w:shd w:val="clear" w:color="auto" w:fill="auto"/>
            <w:tcMar>
              <w:left w:w="0" w:type="dxa"/>
            </w:tcMar>
          </w:tcPr>
          <w:p w14:paraId="317E28C3" w14:textId="64BA020E" w:rsidR="00802430" w:rsidRPr="00884D55" w:rsidRDefault="00802430" w:rsidP="00802430">
            <w:pPr>
              <w:pStyle w:val="Marginlie"/>
              <w:rPr>
                <w:lang w:val="en-GB"/>
              </w:rPr>
            </w:pPr>
            <w:r w:rsidRPr="00884D55">
              <w:rPr>
                <w:lang w:val="en-GB"/>
              </w:rPr>
              <w:t xml:space="preserve">Investment activity was shrinking last year. </w:t>
            </w:r>
          </w:p>
        </w:tc>
        <w:tc>
          <w:tcPr>
            <w:tcW w:w="210" w:type="dxa"/>
            <w:shd w:val="clear" w:color="auto" w:fill="auto"/>
            <w:tcMar>
              <w:left w:w="0" w:type="dxa"/>
            </w:tcMar>
          </w:tcPr>
          <w:p w14:paraId="4FEE9788" w14:textId="77777777" w:rsidR="00802430" w:rsidRPr="00884D55" w:rsidRDefault="00802430" w:rsidP="00802430">
            <w:pPr>
              <w:pStyle w:val="Textpoznpodarou"/>
              <w:jc w:val="both"/>
              <w:rPr>
                <w:spacing w:val="-4"/>
                <w:lang w:val="en-GB"/>
              </w:rPr>
            </w:pPr>
          </w:p>
        </w:tc>
        <w:tc>
          <w:tcPr>
            <w:tcW w:w="7623" w:type="dxa"/>
            <w:shd w:val="clear" w:color="auto" w:fill="auto"/>
            <w:tcMar>
              <w:left w:w="0" w:type="dxa"/>
            </w:tcMar>
          </w:tcPr>
          <w:p w14:paraId="0F381C51" w14:textId="78B22172" w:rsidR="00802430" w:rsidRPr="00884D55" w:rsidRDefault="00802430" w:rsidP="00802430">
            <w:pPr>
              <w:rPr>
                <w:lang w:val="en-GB"/>
              </w:rPr>
            </w:pPr>
            <w:r w:rsidRPr="00884D55">
              <w:rPr>
                <w:lang w:val="en-GB"/>
              </w:rPr>
              <w:t>Expenditure on gross capital formation fell for the second time in a row last year, specifically by 4.7%. In total, this component acted by 1.1 p. p. in the direction of a GDP decline. In that, the expenditure on gross fixed capital formation (investment) fell by 1.3% and inventory creation also decreased</w:t>
            </w:r>
            <w:r w:rsidRPr="00884D55">
              <w:rPr>
                <w:rStyle w:val="Znakapoznpodarou"/>
                <w:lang w:val="en-GB"/>
              </w:rPr>
              <w:footnoteReference w:id="13"/>
            </w:r>
            <w:r w:rsidRPr="00884D55">
              <w:rPr>
                <w:lang w:val="en-GB"/>
              </w:rPr>
              <w:t xml:space="preserve">. Expenditure on dwellings (−1.7%) and ICT and other machinery and equipment (−9.7%) decreased. On the other hand, investments in transport equipment (8.5%), other buildings and structures (1.5%) and intellectual property products (1.1%) were higher. Expenditure on gross capital formation increased, year-on-year, (3.1%) for the first time since the end of 2022 in Q4. This was the result of the effect of a change in inventories, as investment itself fell for the fourth time in a row (−2.4%). The drop of investment concerned ICT and other machinery and equipment (−10.5%), dwellings (−2.0%) and intellectual property products (−0.7%). On the contrary, expenditure on transport equipment (7.3%) and other buildings and structures (1.0%) was higher, year-on-year. The expenditure on gross capital formation decreased by 0.4%, quarter-on-quarter. Investment activity fell by 1.5%. Only expenditure on ICT and other machinery and equipment was higher in the quarter-on-quarter comparison (1.7%). Investment in transport equipment (−4.0%), dwellings (−2.8%), intellectual property products (−2.2%) and other buildings and structures (−1.8%) dropped the most. </w:t>
            </w:r>
          </w:p>
        </w:tc>
      </w:tr>
      <w:tr w:rsidR="00802430" w:rsidRPr="00884D55" w14:paraId="6410C0C2" w14:textId="77777777" w:rsidTr="00803507">
        <w:trPr>
          <w:trHeight w:val="145"/>
        </w:trPr>
        <w:tc>
          <w:tcPr>
            <w:tcW w:w="1806" w:type="dxa"/>
            <w:shd w:val="clear" w:color="auto" w:fill="auto"/>
            <w:tcMar>
              <w:left w:w="0" w:type="dxa"/>
            </w:tcMar>
          </w:tcPr>
          <w:p w14:paraId="77D04388" w14:textId="77777777" w:rsidR="00802430" w:rsidRPr="00884D55" w:rsidRDefault="00802430" w:rsidP="00802430">
            <w:pPr>
              <w:pStyle w:val="Marginlie"/>
              <w:rPr>
                <w:lang w:val="en-GB"/>
              </w:rPr>
            </w:pPr>
            <w:bookmarkStart w:id="3" w:name="_Hlk193653493"/>
            <w:r w:rsidRPr="00884D55">
              <w:rPr>
                <w:lang w:val="en-GB"/>
              </w:rPr>
              <w:t xml:space="preserve">External demand slowed GDP growth at the end of the year. </w:t>
            </w:r>
            <w:bookmarkEnd w:id="3"/>
          </w:p>
        </w:tc>
        <w:tc>
          <w:tcPr>
            <w:tcW w:w="210" w:type="dxa"/>
            <w:shd w:val="clear" w:color="auto" w:fill="auto"/>
            <w:tcMar>
              <w:left w:w="0" w:type="dxa"/>
            </w:tcMar>
          </w:tcPr>
          <w:p w14:paraId="0BBBB790" w14:textId="77777777" w:rsidR="00802430" w:rsidRPr="00884D55" w:rsidRDefault="00802430" w:rsidP="00802430">
            <w:pPr>
              <w:pStyle w:val="Textpoznpodarou"/>
              <w:jc w:val="both"/>
              <w:rPr>
                <w:spacing w:val="-4"/>
                <w:lang w:val="en-GB"/>
              </w:rPr>
            </w:pPr>
          </w:p>
        </w:tc>
        <w:tc>
          <w:tcPr>
            <w:tcW w:w="7623" w:type="dxa"/>
            <w:shd w:val="clear" w:color="auto" w:fill="auto"/>
            <w:tcMar>
              <w:left w:w="0" w:type="dxa"/>
            </w:tcMar>
          </w:tcPr>
          <w:p w14:paraId="3B7DCC3B" w14:textId="77777777" w:rsidR="00802430" w:rsidRPr="00884D55" w:rsidRDefault="00802430" w:rsidP="00802430">
            <w:pPr>
              <w:rPr>
                <w:lang w:val="en-GB"/>
              </w:rPr>
            </w:pPr>
            <w:bookmarkStart w:id="4" w:name="_Hlk193653253"/>
            <w:r w:rsidRPr="00884D55">
              <w:rPr>
                <w:lang w:val="en-GB"/>
              </w:rPr>
              <w:t>The effect of external demand on GDP growth was slightly unfavourable for the whole year (−0.1 p. p.). While the external demand supported the year-on-year GDP growth in the first half of the year, the combination of a recovery of domestic consumption and a deterioration in export-oriented industries was reflected in a negative effect of external demand on GDP growt</w:t>
            </w:r>
            <w:r>
              <w:rPr>
                <w:lang w:val="en-GB"/>
              </w:rPr>
              <w:t>h</w:t>
            </w:r>
            <w:r w:rsidRPr="00884D55">
              <w:rPr>
                <w:lang w:val="en-GB"/>
              </w:rPr>
              <w:t xml:space="preserve"> towards the end of the year (−1.7 p. p. in Q4). The exports of goods and services</w:t>
            </w:r>
            <w:r w:rsidRPr="00884D55">
              <w:rPr>
                <w:rStyle w:val="Znakapoznpodarou"/>
                <w:lang w:val="en-GB"/>
              </w:rPr>
              <w:footnoteReference w:id="14"/>
            </w:r>
            <w:r w:rsidRPr="00884D55">
              <w:rPr>
                <w:lang w:val="en-GB"/>
              </w:rPr>
              <w:t xml:space="preserve"> increased by 1.5% in real terms for the whole year. Growth of goods exports weakened to 0.6%, while services maintained a solid pace (6.1%). In contrast, the imports of goods and services rose by 0.7%. While imports of goods decreased by 0.7%, imports of services were higher by 7.8%. The balance of international trade with goods and services reached a surplus of 525.6 bn CZK last year. The surplus increased by 141.2 bn CZK, mostly due to trade with goods (an increase of 121.2 bn CZK), but services also contributed (+20.0 bn). </w:t>
            </w:r>
            <w:bookmarkEnd w:id="4"/>
          </w:p>
        </w:tc>
      </w:tr>
      <w:tr w:rsidR="00802430" w:rsidRPr="00884D55" w14:paraId="1D7C4FF8" w14:textId="77777777" w:rsidTr="00803507">
        <w:trPr>
          <w:trHeight w:val="145"/>
        </w:trPr>
        <w:tc>
          <w:tcPr>
            <w:tcW w:w="1806" w:type="dxa"/>
            <w:shd w:val="clear" w:color="auto" w:fill="auto"/>
            <w:tcMar>
              <w:left w:w="0" w:type="dxa"/>
            </w:tcMar>
          </w:tcPr>
          <w:p w14:paraId="71BFBDB2" w14:textId="77777777" w:rsidR="00802430" w:rsidRPr="00884D55" w:rsidRDefault="00802430" w:rsidP="00802430">
            <w:pPr>
              <w:pStyle w:val="Marginlie"/>
              <w:rPr>
                <w:lang w:val="en-GB"/>
              </w:rPr>
            </w:pPr>
            <w:r w:rsidRPr="00884D55">
              <w:rPr>
                <w:lang w:val="en-GB"/>
              </w:rPr>
              <w:t xml:space="preserve">International trade balance attained a substantial surplus. </w:t>
            </w:r>
          </w:p>
        </w:tc>
        <w:tc>
          <w:tcPr>
            <w:tcW w:w="210" w:type="dxa"/>
            <w:shd w:val="clear" w:color="auto" w:fill="auto"/>
            <w:tcMar>
              <w:left w:w="0" w:type="dxa"/>
            </w:tcMar>
          </w:tcPr>
          <w:p w14:paraId="63DD5318" w14:textId="77777777" w:rsidR="00802430" w:rsidRPr="00884D55" w:rsidRDefault="00802430" w:rsidP="00802430">
            <w:pPr>
              <w:pStyle w:val="Textpoznpodarou"/>
              <w:jc w:val="both"/>
              <w:rPr>
                <w:spacing w:val="-4"/>
                <w:lang w:val="en-GB"/>
              </w:rPr>
            </w:pPr>
          </w:p>
        </w:tc>
        <w:tc>
          <w:tcPr>
            <w:tcW w:w="7623" w:type="dxa"/>
            <w:shd w:val="clear" w:color="auto" w:fill="auto"/>
            <w:tcMar>
              <w:left w:w="0" w:type="dxa"/>
            </w:tcMar>
          </w:tcPr>
          <w:p w14:paraId="3CC99C41" w14:textId="77777777" w:rsidR="00802430" w:rsidRPr="00884D55" w:rsidRDefault="00802430" w:rsidP="00802430">
            <w:pPr>
              <w:rPr>
                <w:lang w:val="en-GB"/>
              </w:rPr>
            </w:pPr>
            <w:bookmarkStart w:id="5" w:name="_Hlk193654364"/>
            <w:r w:rsidRPr="00884D55">
              <w:rPr>
                <w:lang w:val="en-GB"/>
              </w:rPr>
              <w:t>In Q4 alone, the exports of goods and services increased by 1.3% in real terms, year-on-year. Increase of exports of goods weakened to 0.6% and services to 4.4%. The year-on-year growth rate of imports (3.1%) significantly exceeded the increase in exports in Q4, which was also the reason for the considerably negative effect of external demand on the GDP growth. Imports of goods were higher by 2.0% and services by 8.5%. Although both sides of international trade increased, year-on-year, in Q4, the end of the year brought a decline in exports (−1.5%) as well as imports (−1.8%) from a quarter-on-quarter perspective. The balance of international trade with goods and services reached a surplus of 129.2 bn CZK in Q4, which was a year-on-year improvement of 5.1 bn CZK. The balance of trade with goods and services contributed similarly to this modest improvement.</w:t>
            </w:r>
            <w:bookmarkEnd w:id="5"/>
          </w:p>
        </w:tc>
      </w:tr>
      <w:tr w:rsidR="00802430" w:rsidRPr="00884D55" w14:paraId="0D578B07" w14:textId="77777777" w:rsidTr="00803507">
        <w:trPr>
          <w:trHeight w:val="145"/>
        </w:trPr>
        <w:tc>
          <w:tcPr>
            <w:tcW w:w="1806" w:type="dxa"/>
            <w:shd w:val="clear" w:color="auto" w:fill="auto"/>
            <w:tcMar>
              <w:left w:w="0" w:type="dxa"/>
            </w:tcMar>
          </w:tcPr>
          <w:p w14:paraId="45149537" w14:textId="77777777" w:rsidR="00802430" w:rsidRPr="00884D55" w:rsidRDefault="00802430" w:rsidP="00802430">
            <w:pPr>
              <w:pStyle w:val="Marginlie"/>
              <w:rPr>
                <w:lang w:val="en-GB"/>
              </w:rPr>
            </w:pPr>
            <w:r w:rsidRPr="00884D55">
              <w:rPr>
                <w:lang w:val="en-GB"/>
              </w:rPr>
              <w:t xml:space="preserve">Gross value added mildly increased last year. </w:t>
            </w:r>
          </w:p>
        </w:tc>
        <w:tc>
          <w:tcPr>
            <w:tcW w:w="210" w:type="dxa"/>
            <w:shd w:val="clear" w:color="auto" w:fill="auto"/>
            <w:tcMar>
              <w:left w:w="0" w:type="dxa"/>
            </w:tcMar>
          </w:tcPr>
          <w:p w14:paraId="41AD3AB1" w14:textId="77777777" w:rsidR="00802430" w:rsidRPr="00884D55" w:rsidRDefault="00802430" w:rsidP="00802430">
            <w:pPr>
              <w:pStyle w:val="Textpoznpodarou"/>
              <w:jc w:val="both"/>
              <w:rPr>
                <w:spacing w:val="-4"/>
                <w:lang w:val="en-GB"/>
              </w:rPr>
            </w:pPr>
          </w:p>
        </w:tc>
        <w:tc>
          <w:tcPr>
            <w:tcW w:w="7623" w:type="dxa"/>
            <w:shd w:val="clear" w:color="auto" w:fill="auto"/>
            <w:tcMar>
              <w:left w:w="0" w:type="dxa"/>
            </w:tcMar>
          </w:tcPr>
          <w:p w14:paraId="2DB17EBB" w14:textId="77777777" w:rsidR="00802430" w:rsidRPr="00884D55" w:rsidRDefault="00802430" w:rsidP="00802430">
            <w:pPr>
              <w:rPr>
                <w:lang w:val="en-GB"/>
              </w:rPr>
            </w:pPr>
            <w:bookmarkStart w:id="6" w:name="_Hlk193654860"/>
            <w:r w:rsidRPr="00884D55">
              <w:rPr>
                <w:lang w:val="en-GB"/>
              </w:rPr>
              <w:t>Gross value added (GVA) increased by 0.3%</w:t>
            </w:r>
            <w:r w:rsidRPr="00884D55">
              <w:rPr>
                <w:rStyle w:val="Znakapoznpodarou"/>
                <w:lang w:val="en-GB"/>
              </w:rPr>
              <w:footnoteReference w:id="15"/>
            </w:r>
            <w:r w:rsidRPr="00884D55">
              <w:rPr>
                <w:lang w:val="en-GB"/>
              </w:rPr>
              <w:t xml:space="preserve"> in total in 2024. The development for the whole year featured a weak performance in manufacturing (total GVA decline by 1.6%), which was compensated by services branches boosted by revived consumer demand. The GVA was higher particularly in financial and insurance activities (4.7%), information and communication (2.1%), other activities (1.8%) and in group of economic activities trade, transport, accommodation and food service activities (1.4%), year-on-year.  </w:t>
            </w:r>
            <w:bookmarkEnd w:id="6"/>
          </w:p>
        </w:tc>
      </w:tr>
      <w:tr w:rsidR="0079597E" w:rsidRPr="00884D55" w14:paraId="41199B0F" w14:textId="77777777" w:rsidTr="00803507">
        <w:trPr>
          <w:trHeight w:val="145"/>
        </w:trPr>
        <w:tc>
          <w:tcPr>
            <w:tcW w:w="1806" w:type="dxa"/>
            <w:shd w:val="clear" w:color="auto" w:fill="auto"/>
            <w:tcMar>
              <w:left w:w="0" w:type="dxa"/>
            </w:tcMar>
          </w:tcPr>
          <w:p w14:paraId="0B590C34" w14:textId="03B39EC0" w:rsidR="0079597E" w:rsidRDefault="0079597E" w:rsidP="0079597E">
            <w:pPr>
              <w:pStyle w:val="Marginlie"/>
              <w:rPr>
                <w:lang w:val="en-GB"/>
              </w:rPr>
            </w:pPr>
            <w:r w:rsidRPr="00884D55">
              <w:rPr>
                <w:lang w:val="en-GB"/>
              </w:rPr>
              <w:t>Services thrived more in Q4.</w:t>
            </w:r>
          </w:p>
        </w:tc>
        <w:tc>
          <w:tcPr>
            <w:tcW w:w="210" w:type="dxa"/>
            <w:shd w:val="clear" w:color="auto" w:fill="auto"/>
            <w:tcMar>
              <w:left w:w="0" w:type="dxa"/>
            </w:tcMar>
          </w:tcPr>
          <w:p w14:paraId="7235EBF9" w14:textId="77777777" w:rsidR="0079597E" w:rsidRPr="00884D55" w:rsidRDefault="0079597E" w:rsidP="0079597E">
            <w:pPr>
              <w:pStyle w:val="Textpoznpodarou"/>
              <w:jc w:val="both"/>
              <w:rPr>
                <w:spacing w:val="-4"/>
                <w:lang w:val="en-GB"/>
              </w:rPr>
            </w:pPr>
          </w:p>
        </w:tc>
        <w:tc>
          <w:tcPr>
            <w:tcW w:w="7623" w:type="dxa"/>
            <w:shd w:val="clear" w:color="auto" w:fill="auto"/>
            <w:tcMar>
              <w:left w:w="0" w:type="dxa"/>
            </w:tcMar>
          </w:tcPr>
          <w:p w14:paraId="19AA9B6E" w14:textId="7C487B6A" w:rsidR="0079597E" w:rsidRPr="00884D55" w:rsidRDefault="0079597E" w:rsidP="0079597E">
            <w:pPr>
              <w:rPr>
                <w:lang w:val="en-GB"/>
              </w:rPr>
            </w:pPr>
            <w:bookmarkStart w:id="8" w:name="_Hlk193656323"/>
            <w:r w:rsidRPr="00884D55">
              <w:rPr>
                <w:lang w:val="en-GB"/>
              </w:rPr>
              <w:t xml:space="preserve">The GVA increased by 1.1%, year-on-year, in Q4 alone. GVA growth was driven forward by services, while industry as a whole fell by 2.2% and manufacturing itself by 1.5%. GVA was higher, year-on-year, in financial and insurance activities (6.1%), in other activities (3.4%), in division trade, transport, accommodation and food service activities (3.0%), information and communication (2.7%) or real estate activities (2.1%). Gross value added also increased in construction (2.4%), year-on-year. GVA increased only slightly, year-on-year, in public administration and defence, education, health and social work activities (1.3%) and professional, scientific, technical and administrative activities (1.2%). GVA stagnated in agriculture, forestry and fishing, year-on-year. </w:t>
            </w:r>
            <w:bookmarkEnd w:id="8"/>
          </w:p>
        </w:tc>
      </w:tr>
      <w:tr w:rsidR="0079597E" w:rsidRPr="00884D55" w14:paraId="3608F89E" w14:textId="77777777" w:rsidTr="00803507">
        <w:trPr>
          <w:trHeight w:val="170"/>
        </w:trPr>
        <w:tc>
          <w:tcPr>
            <w:tcW w:w="1806" w:type="dxa"/>
            <w:vMerge w:val="restart"/>
            <w:shd w:val="clear" w:color="auto" w:fill="auto"/>
            <w:tcMar>
              <w:left w:w="0" w:type="dxa"/>
            </w:tcMar>
          </w:tcPr>
          <w:p w14:paraId="727D3CC5" w14:textId="66FFBED2" w:rsidR="0079597E" w:rsidRPr="00884D55" w:rsidRDefault="0079597E" w:rsidP="0079597E">
            <w:pPr>
              <w:pStyle w:val="Marginlie"/>
              <w:rPr>
                <w:lang w:val="en-GB"/>
              </w:rPr>
            </w:pPr>
          </w:p>
        </w:tc>
        <w:tc>
          <w:tcPr>
            <w:tcW w:w="210" w:type="dxa"/>
            <w:vMerge w:val="restart"/>
            <w:shd w:val="clear" w:color="auto" w:fill="auto"/>
            <w:tcMar>
              <w:left w:w="0" w:type="dxa"/>
            </w:tcMar>
          </w:tcPr>
          <w:p w14:paraId="4991385E" w14:textId="77777777" w:rsidR="0079597E" w:rsidRPr="00884D55" w:rsidRDefault="0079597E" w:rsidP="0079597E">
            <w:pPr>
              <w:pStyle w:val="Textpoznpodarou"/>
              <w:jc w:val="both"/>
              <w:rPr>
                <w:spacing w:val="-4"/>
                <w:lang w:val="en-GB"/>
              </w:rPr>
            </w:pPr>
          </w:p>
        </w:tc>
        <w:tc>
          <w:tcPr>
            <w:tcW w:w="7623" w:type="dxa"/>
            <w:shd w:val="clear" w:color="auto" w:fill="auto"/>
            <w:tcMar>
              <w:left w:w="0" w:type="dxa"/>
            </w:tcMar>
          </w:tcPr>
          <w:p w14:paraId="632C5014" w14:textId="2BC2B0A7" w:rsidR="0079597E" w:rsidRPr="00884D55" w:rsidRDefault="0079597E" w:rsidP="0079597E">
            <w:pPr>
              <w:spacing w:after="0"/>
              <w:rPr>
                <w:lang w:val="en-GB"/>
              </w:rPr>
            </w:pPr>
            <w:r w:rsidRPr="00884D55">
              <w:rPr>
                <w:b/>
                <w:szCs w:val="20"/>
                <w:lang w:val="en-GB"/>
              </w:rPr>
              <w:t>Chart 3 Contributions</w:t>
            </w:r>
            <w:r w:rsidRPr="00884D55">
              <w:rPr>
                <w:b/>
                <w:szCs w:val="20"/>
                <w:lang w:val="en-GB" w:eastAsia="en-US"/>
              </w:rPr>
              <w:t xml:space="preserve"> of branches to real change in GVA</w:t>
            </w:r>
            <w:r w:rsidRPr="00884D55">
              <w:rPr>
                <w:rFonts w:cs="Arial"/>
                <w:b/>
                <w:szCs w:val="20"/>
                <w:lang w:val="en-GB" w:eastAsia="en-US"/>
              </w:rPr>
              <w:t xml:space="preserve"> </w:t>
            </w:r>
            <w:r w:rsidRPr="00884D55">
              <w:rPr>
                <w:rFonts w:cs="Arial"/>
                <w:bCs/>
                <w:szCs w:val="20"/>
                <w:lang w:val="en-GB" w:eastAsia="en-US"/>
              </w:rPr>
              <w:t>(volume indices, year-on-year contributions in p.p., GVA in %)</w:t>
            </w:r>
            <w:r w:rsidRPr="00884D55">
              <w:rPr>
                <w:rFonts w:cs="Arial"/>
                <w:szCs w:val="20"/>
                <w:lang w:val="en-GB" w:eastAsia="en-US"/>
              </w:rPr>
              <w:t xml:space="preserve"> </w:t>
            </w:r>
          </w:p>
        </w:tc>
      </w:tr>
      <w:tr w:rsidR="0079597E" w:rsidRPr="00884D55" w14:paraId="6852A032" w14:textId="77777777" w:rsidTr="00900097">
        <w:tblPrEx>
          <w:tblCellMar>
            <w:left w:w="70" w:type="dxa"/>
            <w:right w:w="70" w:type="dxa"/>
          </w:tblCellMar>
        </w:tblPrEx>
        <w:trPr>
          <w:trHeight w:val="170"/>
        </w:trPr>
        <w:tc>
          <w:tcPr>
            <w:tcW w:w="1806" w:type="dxa"/>
            <w:vMerge/>
          </w:tcPr>
          <w:p w14:paraId="113687B7" w14:textId="77777777" w:rsidR="0079597E" w:rsidRPr="00884D55" w:rsidRDefault="0079597E" w:rsidP="0079597E">
            <w:pPr>
              <w:pStyle w:val="Marginlie"/>
              <w:rPr>
                <w:lang w:val="en-GB"/>
              </w:rPr>
            </w:pPr>
          </w:p>
        </w:tc>
        <w:tc>
          <w:tcPr>
            <w:tcW w:w="210" w:type="dxa"/>
            <w:vMerge/>
          </w:tcPr>
          <w:p w14:paraId="74012170" w14:textId="77777777" w:rsidR="0079597E" w:rsidRPr="00884D55" w:rsidRDefault="0079597E" w:rsidP="0079597E">
            <w:pPr>
              <w:pStyle w:val="Textpoznpodarou"/>
              <w:jc w:val="both"/>
              <w:rPr>
                <w:spacing w:val="-4"/>
                <w:lang w:val="en-GB"/>
              </w:rPr>
            </w:pPr>
          </w:p>
        </w:tc>
        <w:tc>
          <w:tcPr>
            <w:tcW w:w="7623" w:type="dxa"/>
            <w:shd w:val="clear" w:color="auto" w:fill="auto"/>
          </w:tcPr>
          <w:p w14:paraId="6A6CBB19" w14:textId="43799E82" w:rsidR="0079597E" w:rsidRPr="00884D55" w:rsidRDefault="0079597E" w:rsidP="0079597E">
            <w:pPr>
              <w:spacing w:after="0"/>
              <w:rPr>
                <w:lang w:val="en-GB"/>
              </w:rPr>
            </w:pPr>
            <w:r>
              <w:rPr>
                <w:noProof/>
              </w:rPr>
              <w:drawing>
                <wp:inline distT="0" distB="0" distL="0" distR="0" wp14:anchorId="7E11057B" wp14:editId="340315A2">
                  <wp:extent cx="4734425" cy="3486525"/>
                  <wp:effectExtent l="0" t="0" r="0" b="0"/>
                  <wp:docPr id="9" name="Graf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79597E" w:rsidRPr="00884D55" w14:paraId="34F18470" w14:textId="77777777" w:rsidTr="00803507">
        <w:trPr>
          <w:trHeight w:val="170"/>
        </w:trPr>
        <w:tc>
          <w:tcPr>
            <w:tcW w:w="1806" w:type="dxa"/>
            <w:vMerge/>
            <w:tcMar>
              <w:left w:w="0" w:type="dxa"/>
            </w:tcMar>
          </w:tcPr>
          <w:p w14:paraId="44D89081" w14:textId="77777777" w:rsidR="0079597E" w:rsidRPr="00884D55" w:rsidRDefault="0079597E" w:rsidP="0079597E">
            <w:pPr>
              <w:pStyle w:val="Marginlie"/>
              <w:rPr>
                <w:lang w:val="en-GB"/>
              </w:rPr>
            </w:pPr>
          </w:p>
        </w:tc>
        <w:tc>
          <w:tcPr>
            <w:tcW w:w="210" w:type="dxa"/>
            <w:vMerge/>
            <w:tcMar>
              <w:left w:w="0" w:type="dxa"/>
            </w:tcMar>
          </w:tcPr>
          <w:p w14:paraId="432C85BF" w14:textId="77777777" w:rsidR="0079597E" w:rsidRPr="00884D55" w:rsidRDefault="0079597E" w:rsidP="0079597E">
            <w:pPr>
              <w:pStyle w:val="Textpoznpodarou"/>
              <w:jc w:val="both"/>
              <w:rPr>
                <w:spacing w:val="-4"/>
                <w:lang w:val="en-GB"/>
              </w:rPr>
            </w:pPr>
          </w:p>
        </w:tc>
        <w:tc>
          <w:tcPr>
            <w:tcW w:w="7623" w:type="dxa"/>
            <w:shd w:val="clear" w:color="auto" w:fill="auto"/>
            <w:tcMar>
              <w:left w:w="0" w:type="dxa"/>
            </w:tcMar>
          </w:tcPr>
          <w:p w14:paraId="132CB391" w14:textId="3DF384F6" w:rsidR="0079597E" w:rsidRPr="00884D55" w:rsidRDefault="0079597E" w:rsidP="0079597E">
            <w:pPr>
              <w:rPr>
                <w:b/>
                <w:bCs/>
                <w:sz w:val="16"/>
                <w:szCs w:val="16"/>
                <w:lang w:val="en-GB"/>
              </w:rPr>
            </w:pPr>
            <w:r w:rsidRPr="00884D55">
              <w:rPr>
                <w:sz w:val="14"/>
                <w:szCs w:val="14"/>
                <w:lang w:val="en-GB"/>
              </w:rPr>
              <w:t>Source: CZSO</w:t>
            </w:r>
          </w:p>
        </w:tc>
      </w:tr>
      <w:tr w:rsidR="0079597E" w:rsidRPr="00884D55" w14:paraId="52575894" w14:textId="77777777" w:rsidTr="00803507">
        <w:trPr>
          <w:trHeight w:val="145"/>
        </w:trPr>
        <w:tc>
          <w:tcPr>
            <w:tcW w:w="1806" w:type="dxa"/>
            <w:shd w:val="clear" w:color="auto" w:fill="auto"/>
            <w:tcMar>
              <w:left w:w="0" w:type="dxa"/>
            </w:tcMar>
          </w:tcPr>
          <w:p w14:paraId="6BED5F06" w14:textId="7F95300B" w:rsidR="0079597E" w:rsidRPr="00884D55" w:rsidRDefault="0079597E" w:rsidP="0079597E">
            <w:pPr>
              <w:pStyle w:val="Marginlie"/>
              <w:rPr>
                <w:lang w:val="en-GB"/>
              </w:rPr>
            </w:pPr>
            <w:r w:rsidRPr="00884D55">
              <w:rPr>
                <w:lang w:val="en-GB"/>
              </w:rPr>
              <w:t xml:space="preserve">GVA grew, quarter-on-quarter, in manufacturing as well as several services. </w:t>
            </w:r>
          </w:p>
        </w:tc>
        <w:tc>
          <w:tcPr>
            <w:tcW w:w="210" w:type="dxa"/>
            <w:shd w:val="clear" w:color="auto" w:fill="auto"/>
            <w:tcMar>
              <w:left w:w="0" w:type="dxa"/>
            </w:tcMar>
          </w:tcPr>
          <w:p w14:paraId="0C634891" w14:textId="77777777" w:rsidR="0079597E" w:rsidRPr="00884D55" w:rsidRDefault="0079597E" w:rsidP="0079597E">
            <w:pPr>
              <w:pStyle w:val="Textpoznpodarou"/>
              <w:jc w:val="both"/>
              <w:rPr>
                <w:spacing w:val="-4"/>
                <w:lang w:val="en-GB"/>
              </w:rPr>
            </w:pPr>
          </w:p>
        </w:tc>
        <w:tc>
          <w:tcPr>
            <w:tcW w:w="7623" w:type="dxa"/>
            <w:shd w:val="clear" w:color="auto" w:fill="auto"/>
            <w:tcMar>
              <w:left w:w="0" w:type="dxa"/>
            </w:tcMar>
          </w:tcPr>
          <w:p w14:paraId="57E39EFE" w14:textId="2DD5D690" w:rsidR="0079597E" w:rsidRPr="00884D55" w:rsidRDefault="0079597E" w:rsidP="0079597E">
            <w:pPr>
              <w:spacing w:after="0"/>
              <w:rPr>
                <w:lang w:val="en-GB"/>
              </w:rPr>
            </w:pPr>
            <w:bookmarkStart w:id="9" w:name="_Hlk193657879"/>
            <w:r w:rsidRPr="00884D55">
              <w:rPr>
                <w:lang w:val="en-GB"/>
              </w:rPr>
              <w:t xml:space="preserve">Compared to the previous quarter, GVA did not change in real terms in Q4. The decline was mainly due to the development in industry as a whole (GVA decreased by −1.1% here – while manufacturing grew by 1.0%). GVA also decreased in financial and insurance activities (−1.8%), professional, scientific, technical and administrative activities (−0.3%), and information and communication (−0.1%). On the contrary, there was a significant recovery in real estate activities (2.2%) at the end of the year, GVA grew in other activities (1.1%), in agriculture, forestry and fishing (0.8%), in division trade, transport, accommodation and food service activities (0.4%) and in construction (0.2%). GVA stagnated, quarter-on-quarter, in public administration and defence, education, health and social care. </w:t>
            </w:r>
            <w:bookmarkEnd w:id="9"/>
          </w:p>
        </w:tc>
      </w:tr>
    </w:tbl>
    <w:p w14:paraId="7BEE0B97" w14:textId="77777777" w:rsidR="00803507" w:rsidRPr="00884D55" w:rsidRDefault="00803507" w:rsidP="00803507">
      <w:pPr>
        <w:rPr>
          <w:lang w:val="en-GB"/>
        </w:rPr>
      </w:pPr>
    </w:p>
    <w:p w14:paraId="763F9A49" w14:textId="77777777" w:rsidR="00803507" w:rsidRPr="00884D55" w:rsidRDefault="00803507" w:rsidP="00803507">
      <w:pPr>
        <w:spacing w:after="0" w:line="240" w:lineRule="auto"/>
        <w:jc w:val="left"/>
        <w:rPr>
          <w:rFonts w:eastAsia="MS Gothic"/>
          <w:b/>
          <w:bCs/>
          <w:color w:val="86BF5E"/>
          <w:sz w:val="32"/>
          <w:szCs w:val="32"/>
          <w:highlight w:val="yellow"/>
          <w:lang w:val="en-GB"/>
        </w:rPr>
      </w:pPr>
      <w:r w:rsidRPr="00884D55">
        <w:rPr>
          <w:szCs w:val="32"/>
          <w:highlight w:val="yellow"/>
          <w:lang w:val="en-GB"/>
        </w:rPr>
        <w:br w:type="page"/>
      </w:r>
    </w:p>
    <w:p w14:paraId="010EDB3C" w14:textId="77777777" w:rsidR="00803507" w:rsidRPr="00884D55" w:rsidRDefault="00803507" w:rsidP="00803507">
      <w:pPr>
        <w:pStyle w:val="Nadpis1"/>
        <w:rPr>
          <w:lang w:val="en-GB"/>
        </w:rPr>
      </w:pPr>
      <w:bookmarkStart w:id="10" w:name="_Toc196386139"/>
      <w:r w:rsidRPr="00884D55">
        <w:rPr>
          <w:lang w:val="en-GB"/>
        </w:rPr>
        <w:t>3. Branches Performance</w:t>
      </w:r>
      <w:bookmarkEnd w:id="10"/>
    </w:p>
    <w:tbl>
      <w:tblPr>
        <w:tblW w:w="9639" w:type="dxa"/>
        <w:tblInd w:w="-20" w:type="dxa"/>
        <w:tblLayout w:type="fixed"/>
        <w:tblCellMar>
          <w:left w:w="0" w:type="dxa"/>
          <w:right w:w="0" w:type="dxa"/>
        </w:tblCellMar>
        <w:tblLook w:val="00A0" w:firstRow="1" w:lastRow="0" w:firstColumn="1" w:lastColumn="0" w:noHBand="0" w:noVBand="0"/>
      </w:tblPr>
      <w:tblGrid>
        <w:gridCol w:w="1814"/>
        <w:gridCol w:w="229"/>
        <w:gridCol w:w="7596"/>
      </w:tblGrid>
      <w:tr w:rsidR="00C30314" w:rsidRPr="00884D55" w14:paraId="74854238" w14:textId="77777777" w:rsidTr="00803507">
        <w:trPr>
          <w:trHeight w:val="145"/>
        </w:trPr>
        <w:tc>
          <w:tcPr>
            <w:tcW w:w="1814" w:type="dxa"/>
            <w:shd w:val="clear" w:color="auto" w:fill="auto"/>
            <w:tcMar>
              <w:left w:w="0" w:type="dxa"/>
            </w:tcMar>
          </w:tcPr>
          <w:p w14:paraId="31FD31E3" w14:textId="259C82DA" w:rsidR="00C30314" w:rsidRPr="00884D55" w:rsidRDefault="00C30314" w:rsidP="00C30314">
            <w:pPr>
              <w:pStyle w:val="Marginlie"/>
              <w:rPr>
                <w:lang w:val="en-GB"/>
              </w:rPr>
            </w:pPr>
            <w:r w:rsidRPr="00884D55">
              <w:rPr>
                <w:lang w:val="en-GB"/>
              </w:rPr>
              <w:t>The quarter-on-quarter growth of GVA gradually increased slightly during the last year and it permeated almost all key branches in Q3</w:t>
            </w:r>
            <w:r>
              <w:rPr>
                <w:lang w:val="en-GB"/>
              </w:rPr>
              <w:t xml:space="preserve"> 2024</w:t>
            </w:r>
            <w:r w:rsidRPr="00884D55">
              <w:rPr>
                <w:lang w:val="en-GB"/>
              </w:rPr>
              <w:t xml:space="preserve">. </w:t>
            </w:r>
          </w:p>
        </w:tc>
        <w:tc>
          <w:tcPr>
            <w:tcW w:w="229" w:type="dxa"/>
            <w:shd w:val="clear" w:color="auto" w:fill="auto"/>
            <w:tcMar>
              <w:left w:w="0" w:type="dxa"/>
            </w:tcMar>
          </w:tcPr>
          <w:p w14:paraId="596FA7EF" w14:textId="77777777" w:rsidR="00C30314" w:rsidRPr="00884D55" w:rsidRDefault="00C30314" w:rsidP="00C30314">
            <w:pPr>
              <w:pStyle w:val="Textpoznpodarou"/>
              <w:jc w:val="both"/>
              <w:rPr>
                <w:spacing w:val="-4"/>
                <w:lang w:val="en-GB"/>
              </w:rPr>
            </w:pPr>
          </w:p>
        </w:tc>
        <w:tc>
          <w:tcPr>
            <w:tcW w:w="7596" w:type="dxa"/>
            <w:shd w:val="clear" w:color="auto" w:fill="auto"/>
            <w:tcMar>
              <w:left w:w="0" w:type="dxa"/>
            </w:tcMar>
          </w:tcPr>
          <w:p w14:paraId="2B8A5255" w14:textId="0054A916" w:rsidR="00C30314" w:rsidRPr="00884D55" w:rsidRDefault="00C30314" w:rsidP="00C30314">
            <w:pPr>
              <w:spacing w:after="200"/>
              <w:rPr>
                <w:lang w:val="en-GB"/>
              </w:rPr>
            </w:pPr>
            <w:r w:rsidRPr="00884D55">
              <w:rPr>
                <w:lang w:val="en-GB"/>
              </w:rPr>
              <w:t>The economy gradually recovered from the previous mild recession in the course of the last year. While the performance of all branches of the national economy captured by the gross value added (GVA)</w:t>
            </w:r>
            <w:r w:rsidRPr="00884D55">
              <w:rPr>
                <w:rStyle w:val="Znakapoznpodarou"/>
                <w:color w:val="0D0D0D" w:themeColor="text1" w:themeTint="F2"/>
                <w:spacing w:val="-5"/>
                <w:lang w:val="en-GB"/>
              </w:rPr>
              <w:footnoteReference w:id="16"/>
            </w:r>
            <w:r w:rsidRPr="00884D55">
              <w:rPr>
                <w:lang w:val="en-GB"/>
              </w:rPr>
              <w:t xml:space="preserve"> indicator decreased still more slightly, quarter-on-quarter (−0.1%), in Q1 2024, a slight growth was evident in the following part of the year, driven by most of the main branches of services. The total performance of the branch was less than 2% above the same period of the expansion year 2019 in Q4, however exclusively due to services (especially ICT and finance)</w:t>
            </w:r>
            <w:r w:rsidRPr="00884D55">
              <w:rPr>
                <w:rStyle w:val="Znakapoznpodarou"/>
                <w:lang w:val="en-GB"/>
              </w:rPr>
              <w:footnoteReference w:id="17"/>
            </w:r>
            <w:r w:rsidRPr="00884D55">
              <w:rPr>
                <w:lang w:val="en-GB"/>
              </w:rPr>
              <w:t xml:space="preserve">. </w:t>
            </w:r>
          </w:p>
        </w:tc>
      </w:tr>
      <w:tr w:rsidR="00C30314" w:rsidRPr="00884D55" w14:paraId="02B24FA1" w14:textId="77777777" w:rsidTr="00803507">
        <w:trPr>
          <w:trHeight w:val="145"/>
        </w:trPr>
        <w:tc>
          <w:tcPr>
            <w:tcW w:w="1814" w:type="dxa"/>
            <w:shd w:val="clear" w:color="auto" w:fill="auto"/>
            <w:tcMar>
              <w:left w:w="0" w:type="dxa"/>
            </w:tcMar>
          </w:tcPr>
          <w:p w14:paraId="374A5927" w14:textId="272741C1" w:rsidR="00C30314" w:rsidRPr="00884D55" w:rsidRDefault="00C30314" w:rsidP="00C30314">
            <w:pPr>
              <w:pStyle w:val="Marginlie"/>
              <w:rPr>
                <w:lang w:val="en-GB"/>
              </w:rPr>
            </w:pPr>
            <w:r w:rsidRPr="00884D55">
              <w:rPr>
                <w:lang w:val="en-GB"/>
              </w:rPr>
              <w:t>The year-on-year GVA growth narrowed to 0.3% last year. The recession continued in industry. The construction industry has revived slightly. Services – especially finance, trade and tourism-related activities – fared well.</w:t>
            </w:r>
          </w:p>
        </w:tc>
        <w:tc>
          <w:tcPr>
            <w:tcW w:w="229" w:type="dxa"/>
            <w:shd w:val="clear" w:color="auto" w:fill="auto"/>
            <w:tcMar>
              <w:left w:w="0" w:type="dxa"/>
            </w:tcMar>
          </w:tcPr>
          <w:p w14:paraId="3A4AFBEB" w14:textId="77777777" w:rsidR="00C30314" w:rsidRPr="00884D55" w:rsidRDefault="00C30314" w:rsidP="00C30314">
            <w:pPr>
              <w:pStyle w:val="Textpoznpodarou"/>
              <w:jc w:val="both"/>
              <w:rPr>
                <w:spacing w:val="-4"/>
                <w:lang w:val="en-GB"/>
              </w:rPr>
            </w:pPr>
          </w:p>
        </w:tc>
        <w:tc>
          <w:tcPr>
            <w:tcW w:w="7596" w:type="dxa"/>
            <w:shd w:val="clear" w:color="auto" w:fill="auto"/>
            <w:tcMar>
              <w:left w:w="0" w:type="dxa"/>
            </w:tcMar>
          </w:tcPr>
          <w:p w14:paraId="69AF3C89" w14:textId="28124C1A" w:rsidR="00C30314" w:rsidRPr="00884D55" w:rsidRDefault="00C30314" w:rsidP="00C30314">
            <w:pPr>
              <w:spacing w:after="200"/>
              <w:rPr>
                <w:lang w:val="en-GB"/>
              </w:rPr>
            </w:pPr>
            <w:r w:rsidRPr="00884D55">
              <w:rPr>
                <w:lang w:val="en-GB"/>
              </w:rPr>
              <w:t>In total for the whole year 2024, GVA increased only by 0.3%</w:t>
            </w:r>
            <w:r w:rsidRPr="00884D55">
              <w:rPr>
                <w:rStyle w:val="Znakapoznpodarou"/>
                <w:lang w:val="en-GB"/>
              </w:rPr>
              <w:footnoteReference w:id="18"/>
            </w:r>
            <w:r w:rsidRPr="00884D55">
              <w:rPr>
                <w:lang w:val="en-GB"/>
              </w:rPr>
              <w:t xml:space="preserve"> (the least in the last four years). The recession in industry, which thus significantly counteracted economic growth last year (−0.5 p. p.), continued for the second year in a row. Weaker external demand dampened the output of manufacturing, which fell by 1.3%. Apart from the pandemic year of 2020, it represented the worst result since 2012. Other parts of industr</w:t>
            </w:r>
            <w:r>
              <w:rPr>
                <w:lang w:val="en-GB"/>
              </w:rPr>
              <w:t>y (i.e.</w:t>
            </w:r>
            <w:r w:rsidRPr="00884D55">
              <w:rPr>
                <w:lang w:val="en-GB"/>
              </w:rPr>
              <w:t xml:space="preserve"> mainly mining and energy) did not fare well either, the GVA decreased for the third year in a row (by more than 4% last year) there. The primary sector of the economy was also in a slight downturn, reflecting last year's weaker harvest of key crops</w:t>
            </w:r>
            <w:r w:rsidRPr="00884D55">
              <w:rPr>
                <w:rStyle w:val="Znakapoznpodarou"/>
                <w:lang w:val="en-GB"/>
              </w:rPr>
              <w:footnoteReference w:id="19"/>
            </w:r>
            <w:r w:rsidRPr="00884D55">
              <w:rPr>
                <w:lang w:val="en-GB"/>
              </w:rPr>
              <w:t xml:space="preserve"> as well as the lingering decline of wood logging. Animal production faced price fluctuations, nevertheless the situation in terms of production was stabilized here last year</w:t>
            </w:r>
            <w:r w:rsidRPr="00884D55">
              <w:rPr>
                <w:rStyle w:val="Znakapoznpodarou"/>
                <w:lang w:val="en-GB"/>
              </w:rPr>
              <w:footnoteReference w:id="20"/>
            </w:r>
            <w:r w:rsidRPr="00884D55">
              <w:rPr>
                <w:lang w:val="en-GB"/>
              </w:rPr>
              <w:t>. The GVA thanks to favourable weather conditions and solid demand from public contracting authorities increased for the first time after 2018 (+0.4%) in construction. The output in</w:t>
            </w:r>
            <w:r>
              <w:rPr>
                <w:lang w:val="en-GB"/>
              </w:rPr>
              <w:t xml:space="preserve">creased by 1.2% in the tertiary sector (i.e. services) </w:t>
            </w:r>
            <w:r w:rsidRPr="00884D55">
              <w:rPr>
                <w:lang w:val="en-GB"/>
              </w:rPr>
              <w:t>last year and contributed 0.8 p. p. to the GVA growth in the economy as a whole. Although almost all</w:t>
            </w:r>
            <w:r>
              <w:rPr>
                <w:lang w:val="en-GB"/>
              </w:rPr>
              <w:t xml:space="preserve"> major tertiary</w:t>
            </w:r>
            <w:r w:rsidRPr="00884D55">
              <w:rPr>
                <w:lang w:val="en-GB"/>
              </w:rPr>
              <w:t xml:space="preserve"> activities benefited from the growth of demand, the performance hiked up significantly only in financial and insurance activities (+4.7%).  </w:t>
            </w:r>
          </w:p>
        </w:tc>
      </w:tr>
      <w:tr w:rsidR="00C30314" w:rsidRPr="00884D55" w14:paraId="6A55B8E0" w14:textId="77777777" w:rsidTr="00803507">
        <w:trPr>
          <w:trHeight w:val="145"/>
        </w:trPr>
        <w:tc>
          <w:tcPr>
            <w:tcW w:w="1814" w:type="dxa"/>
            <w:shd w:val="clear" w:color="auto" w:fill="auto"/>
            <w:tcMar>
              <w:left w:w="0" w:type="dxa"/>
            </w:tcMar>
          </w:tcPr>
          <w:p w14:paraId="0DA590A2" w14:textId="77777777" w:rsidR="00C30314" w:rsidRPr="00884D55" w:rsidRDefault="00C30314" w:rsidP="00C30314">
            <w:pPr>
              <w:pStyle w:val="Marginlie"/>
              <w:spacing w:after="240"/>
              <w:rPr>
                <w:color w:val="0D0D0D" w:themeColor="text1" w:themeTint="F2"/>
                <w:spacing w:val="-4"/>
                <w:lang w:val="en-GB"/>
              </w:rPr>
            </w:pPr>
            <w:r w:rsidRPr="00884D55">
              <w:rPr>
                <w:color w:val="0D0D0D" w:themeColor="text1" w:themeTint="F2"/>
                <w:spacing w:val="-4"/>
                <w:lang w:val="en-GB"/>
              </w:rPr>
              <w:t xml:space="preserve">The industry went through a recession last year. Weak external demand and the fading effect of heightened production costs from the energy crisis were reflected. </w:t>
            </w:r>
          </w:p>
        </w:tc>
        <w:tc>
          <w:tcPr>
            <w:tcW w:w="229" w:type="dxa"/>
            <w:shd w:val="clear" w:color="auto" w:fill="auto"/>
            <w:tcMar>
              <w:left w:w="0" w:type="dxa"/>
            </w:tcMar>
          </w:tcPr>
          <w:p w14:paraId="23AA52B9" w14:textId="77777777" w:rsidR="00C30314" w:rsidRPr="00884D55" w:rsidRDefault="00C30314" w:rsidP="00C30314">
            <w:pPr>
              <w:pStyle w:val="Textpoznpodarou"/>
              <w:spacing w:after="240"/>
              <w:jc w:val="both"/>
              <w:rPr>
                <w:spacing w:val="-4"/>
                <w:lang w:val="en-GB"/>
              </w:rPr>
            </w:pPr>
          </w:p>
        </w:tc>
        <w:tc>
          <w:tcPr>
            <w:tcW w:w="7596" w:type="dxa"/>
            <w:shd w:val="clear" w:color="auto" w:fill="auto"/>
            <w:tcMar>
              <w:left w:w="0" w:type="dxa"/>
            </w:tcMar>
          </w:tcPr>
          <w:p w14:paraId="583452B4" w14:textId="17D49463" w:rsidR="00C30314" w:rsidRPr="00884D55" w:rsidRDefault="00C30314" w:rsidP="00C30314">
            <w:pPr>
              <w:spacing w:after="200"/>
              <w:rPr>
                <w:color w:val="0D0D0D" w:themeColor="text1" w:themeTint="F2"/>
                <w:spacing w:val="-5"/>
                <w:lang w:val="en-GB"/>
              </w:rPr>
            </w:pPr>
            <w:r w:rsidRPr="00884D55">
              <w:rPr>
                <w:color w:val="0D0D0D" w:themeColor="text1" w:themeTint="F2"/>
                <w:spacing w:val="-5"/>
                <w:lang w:val="en-GB"/>
              </w:rPr>
              <w:t xml:space="preserve">The domestic industry has been hit by recession since the beginning of the last year, which stemmed primarily from persisting weak external demand. Not only Germany, but also several other key trading partners of the Czech Republic in the euro area have been struggling with current cyclical or longer-term structural problems. Their traces are also evident in the Czech Republic. Particularly the energy-intensive industries still had difficulty coping with the effects of raised input prices. In addition, the development of a number of other key export </w:t>
            </w:r>
            <w:r w:rsidRPr="00185C90">
              <w:rPr>
                <w:color w:val="0D0D0D" w:themeColor="text1" w:themeTint="F2"/>
                <w:spacing w:val="-5"/>
                <w:lang w:val="en-GB"/>
              </w:rPr>
              <w:t xml:space="preserve">sectors was </w:t>
            </w:r>
            <w:r w:rsidRPr="00884D55">
              <w:rPr>
                <w:color w:val="0D0D0D" w:themeColor="text1" w:themeTint="F2"/>
                <w:spacing w:val="-5"/>
                <w:lang w:val="en-GB"/>
              </w:rPr>
              <w:t xml:space="preserve">limited by continued weaker investment activity in the economy related to subdued business as well as consumer confidence, exacerbated by persisting difficulties in the possibilities of credit financing of investments. After a short-term recovery at the end of 2023, which was mainly driven by manufacturers of transport equipment (including their subcontractors), the </w:t>
            </w:r>
            <w:r w:rsidR="00185C90">
              <w:rPr>
                <w:color w:val="0D0D0D" w:themeColor="text1" w:themeTint="F2"/>
                <w:spacing w:val="-5"/>
                <w:lang w:val="en-GB"/>
              </w:rPr>
              <w:t xml:space="preserve">total </w:t>
            </w:r>
            <w:r w:rsidRPr="00884D55">
              <w:rPr>
                <w:color w:val="0D0D0D" w:themeColor="text1" w:themeTint="F2"/>
                <w:spacing w:val="-5"/>
                <w:lang w:val="en-GB"/>
              </w:rPr>
              <w:t>industrial production</w:t>
            </w:r>
            <w:r w:rsidRPr="00884D55">
              <w:rPr>
                <w:rStyle w:val="Znakapoznpodarou"/>
                <w:color w:val="0D0D0D" w:themeColor="text1" w:themeTint="F2"/>
                <w:spacing w:val="-5"/>
                <w:lang w:val="en-GB"/>
              </w:rPr>
              <w:footnoteReference w:id="21"/>
            </w:r>
            <w:r w:rsidRPr="00884D55">
              <w:rPr>
                <w:color w:val="0D0D0D" w:themeColor="text1" w:themeTint="F2"/>
                <w:spacing w:val="-5"/>
                <w:lang w:val="en-GB"/>
              </w:rPr>
              <w:t xml:space="preserve"> in Czechia decreased again, quarter-on-quarter, in Q1 2024 (−0.5%) and continued in similar tendencies throughout </w:t>
            </w:r>
            <w:r w:rsidR="00185C90">
              <w:rPr>
                <w:color w:val="0D0D0D" w:themeColor="text1" w:themeTint="F2"/>
                <w:spacing w:val="-5"/>
                <w:lang w:val="en-GB"/>
              </w:rPr>
              <w:t>the following part of the last year, as k</w:t>
            </w:r>
            <w:r w:rsidRPr="00884D55">
              <w:rPr>
                <w:color w:val="0D0D0D" w:themeColor="text1" w:themeTint="F2"/>
                <w:spacing w:val="-5"/>
                <w:lang w:val="en-GB"/>
              </w:rPr>
              <w:t>ey investment-oriented sectors (especially manufacturing of motor vehicles and engineering) did not provide the necessary growth impulse to industry. Thus the total industrial production lagged slightly behind its peak from the pre-pandemic expansion period (Q2 2019) at the end of the last year (by 2.9%)</w:t>
            </w:r>
            <w:r w:rsidRPr="00884D55">
              <w:rPr>
                <w:rStyle w:val="Znakapoznpodarou"/>
                <w:color w:val="0D0D0D" w:themeColor="text1" w:themeTint="F2"/>
                <w:spacing w:val="-5"/>
                <w:lang w:val="en-GB"/>
              </w:rPr>
              <w:footnoteReference w:id="22"/>
            </w:r>
            <w:r w:rsidRPr="00884D55">
              <w:rPr>
                <w:color w:val="0D0D0D" w:themeColor="text1" w:themeTint="F2"/>
                <w:spacing w:val="-5"/>
                <w:lang w:val="en-GB"/>
              </w:rPr>
              <w:t xml:space="preserve">.  </w:t>
            </w:r>
          </w:p>
        </w:tc>
      </w:tr>
      <w:tr w:rsidR="00C30314" w:rsidRPr="00884D55" w14:paraId="3D3897D8" w14:textId="77777777" w:rsidTr="00803507">
        <w:trPr>
          <w:trHeight w:val="145"/>
        </w:trPr>
        <w:tc>
          <w:tcPr>
            <w:tcW w:w="1814" w:type="dxa"/>
            <w:shd w:val="clear" w:color="auto" w:fill="auto"/>
            <w:tcMar>
              <w:left w:w="0" w:type="dxa"/>
            </w:tcMar>
          </w:tcPr>
          <w:p w14:paraId="75A26262" w14:textId="77777777" w:rsidR="00C30314" w:rsidRPr="00884D55" w:rsidRDefault="00C30314" w:rsidP="00C30314">
            <w:pPr>
              <w:pStyle w:val="Marginlie"/>
              <w:spacing w:after="240"/>
              <w:rPr>
                <w:color w:val="0D0D0D" w:themeColor="text1" w:themeTint="F2"/>
                <w:spacing w:val="-4"/>
                <w:lang w:val="en-GB"/>
              </w:rPr>
            </w:pPr>
            <w:bookmarkStart w:id="11" w:name="_Hlk193910942"/>
            <w:r w:rsidRPr="00884D55">
              <w:rPr>
                <w:color w:val="0D0D0D" w:themeColor="text1" w:themeTint="F2"/>
                <w:spacing w:val="-4"/>
                <w:lang w:val="en-GB"/>
              </w:rPr>
              <w:t xml:space="preserve">The year-on-year decline of industrial production deepened slightly last year. The entire industry was dragged down the most by engineering, whose output fell by almost a tenth. </w:t>
            </w:r>
            <w:bookmarkEnd w:id="11"/>
          </w:p>
        </w:tc>
        <w:tc>
          <w:tcPr>
            <w:tcW w:w="229" w:type="dxa"/>
            <w:shd w:val="clear" w:color="auto" w:fill="auto"/>
            <w:tcMar>
              <w:left w:w="0" w:type="dxa"/>
            </w:tcMar>
          </w:tcPr>
          <w:p w14:paraId="71A530DA" w14:textId="77777777" w:rsidR="00C30314" w:rsidRPr="00884D55" w:rsidRDefault="00C30314" w:rsidP="00C30314">
            <w:pPr>
              <w:pStyle w:val="Textpoznpodarou"/>
              <w:spacing w:after="240"/>
              <w:jc w:val="both"/>
              <w:rPr>
                <w:spacing w:val="-4"/>
                <w:lang w:val="en-GB"/>
              </w:rPr>
            </w:pPr>
          </w:p>
        </w:tc>
        <w:tc>
          <w:tcPr>
            <w:tcW w:w="7596" w:type="dxa"/>
            <w:shd w:val="clear" w:color="auto" w:fill="auto"/>
            <w:tcMar>
              <w:left w:w="0" w:type="dxa"/>
            </w:tcMar>
          </w:tcPr>
          <w:p w14:paraId="695000B9" w14:textId="46081EA6" w:rsidR="00C30314" w:rsidRPr="00884D55" w:rsidRDefault="00C30314" w:rsidP="00326FE1">
            <w:pPr>
              <w:spacing w:after="200"/>
              <w:rPr>
                <w:color w:val="0D0D0D" w:themeColor="text1" w:themeTint="F2"/>
                <w:spacing w:val="-4"/>
                <w:lang w:val="en-GB"/>
              </w:rPr>
            </w:pPr>
            <w:bookmarkStart w:id="12" w:name="_Hlk193910995"/>
            <w:r w:rsidRPr="00884D55">
              <w:rPr>
                <w:color w:val="0D0D0D" w:themeColor="text1" w:themeTint="F2"/>
                <w:spacing w:val="-4"/>
                <w:lang w:val="en-GB"/>
              </w:rPr>
              <w:t xml:space="preserve">The industrial production decreased by 2.2%, year-on-year, in Q4 2024, primarily due to the downturn in sectors focused on capital production. The output of industry decreased by 0.9% for the whole last year and the recession commenced in </w:t>
            </w:r>
            <w:r w:rsidR="00326FE1">
              <w:rPr>
                <w:color w:val="0D0D0D" w:themeColor="text1" w:themeTint="F2"/>
                <w:spacing w:val="-4"/>
                <w:lang w:val="en-GB"/>
              </w:rPr>
              <w:t>2023</w:t>
            </w:r>
            <w:r w:rsidRPr="00884D55">
              <w:rPr>
                <w:color w:val="0D0D0D" w:themeColor="text1" w:themeTint="F2"/>
                <w:spacing w:val="-4"/>
                <w:lang w:val="en-GB"/>
              </w:rPr>
              <w:t xml:space="preserve"> thus slightly deepened. The decrease occurred despite the fact that production increased at least mildly in little more than h</w:t>
            </w:r>
            <w:r w:rsidR="00326FE1">
              <w:rPr>
                <w:color w:val="0D0D0D" w:themeColor="text1" w:themeTint="F2"/>
                <w:spacing w:val="-4"/>
                <w:lang w:val="en-GB"/>
              </w:rPr>
              <w:t>alf of all industrial fields (sectors)</w:t>
            </w:r>
            <w:r w:rsidRPr="00884D55">
              <w:rPr>
                <w:color w:val="0D0D0D" w:themeColor="text1" w:themeTint="F2"/>
                <w:spacing w:val="-4"/>
                <w:lang w:val="en-GB"/>
              </w:rPr>
              <w:t xml:space="preserve">. However, a deeper slump in some export sectors important by weight played a dominant role. This was mainly the case of engineering, whose output fell by 8.4% last year, the most of all manufacturing sectors, and </w:t>
            </w:r>
            <w:r w:rsidR="00326FE1">
              <w:rPr>
                <w:color w:val="0D0D0D" w:themeColor="text1" w:themeTint="F2"/>
                <w:spacing w:val="-4"/>
                <w:lang w:val="en-GB"/>
              </w:rPr>
              <w:t xml:space="preserve">it </w:t>
            </w:r>
            <w:r w:rsidRPr="00884D55">
              <w:rPr>
                <w:color w:val="0D0D0D" w:themeColor="text1" w:themeTint="F2"/>
                <w:spacing w:val="-4"/>
                <w:lang w:val="en-GB"/>
              </w:rPr>
              <w:t>contributed 0.7 p. p. to the decline of the total industry</w:t>
            </w:r>
            <w:r w:rsidRPr="00884D55">
              <w:rPr>
                <w:rStyle w:val="Znakapoznpodarou"/>
                <w:color w:val="0D0D0D" w:themeColor="text1" w:themeTint="F2"/>
                <w:spacing w:val="-4"/>
                <w:lang w:val="en-GB"/>
              </w:rPr>
              <w:footnoteReference w:id="23"/>
            </w:r>
            <w:r w:rsidRPr="00884D55">
              <w:rPr>
                <w:color w:val="0D0D0D" w:themeColor="text1" w:themeTint="F2"/>
                <w:spacing w:val="-4"/>
                <w:lang w:val="en-GB"/>
              </w:rPr>
              <w:t xml:space="preserve">. Weak demand, especially domestic, manifested here. The slump concerned, for example, the production of pumps, agricultural or metalworking machinery, however lower production in this otherwise quite diversified field could be traced basically across its entire spectrum during the year.  </w:t>
            </w:r>
            <w:bookmarkEnd w:id="12"/>
          </w:p>
        </w:tc>
      </w:tr>
      <w:tr w:rsidR="00C30314" w:rsidRPr="00884D55" w14:paraId="5C623F26" w14:textId="77777777" w:rsidTr="00803507">
        <w:trPr>
          <w:trHeight w:val="145"/>
        </w:trPr>
        <w:tc>
          <w:tcPr>
            <w:tcW w:w="1814" w:type="dxa"/>
            <w:shd w:val="clear" w:color="auto" w:fill="auto"/>
            <w:tcMar>
              <w:left w:w="0" w:type="dxa"/>
            </w:tcMar>
          </w:tcPr>
          <w:p w14:paraId="3F25FCC1" w14:textId="77777777" w:rsidR="00C30314" w:rsidRPr="00884D55" w:rsidRDefault="00C30314" w:rsidP="00C30314">
            <w:pPr>
              <w:pStyle w:val="Marginlie"/>
              <w:rPr>
                <w:color w:val="0D0D0D" w:themeColor="text1" w:themeTint="F2"/>
                <w:spacing w:val="-4"/>
                <w:lang w:val="en-GB"/>
              </w:rPr>
            </w:pPr>
            <w:r w:rsidRPr="00884D55">
              <w:rPr>
                <w:color w:val="0D0D0D" w:themeColor="text1" w:themeTint="F2"/>
                <w:spacing w:val="-4"/>
                <w:lang w:val="en-GB"/>
              </w:rPr>
              <w:t>The dynamic development of motor vehicle manufacturing halted last year. Weaker domestic as well as external demand contributed to a downturn of output of its direct subcontractors in the automotive sector.</w:t>
            </w:r>
          </w:p>
          <w:p w14:paraId="2F5E564D" w14:textId="77777777" w:rsidR="00C30314" w:rsidRPr="00884D55" w:rsidRDefault="00C30314" w:rsidP="00C30314">
            <w:pPr>
              <w:pStyle w:val="Marginlie"/>
              <w:rPr>
                <w:color w:val="0D0D0D" w:themeColor="text1" w:themeTint="F2"/>
                <w:spacing w:val="-4"/>
                <w:lang w:val="en-GB"/>
              </w:rPr>
            </w:pPr>
          </w:p>
          <w:p w14:paraId="512187D0" w14:textId="77777777" w:rsidR="00C30314" w:rsidRPr="00884D55" w:rsidRDefault="00C30314" w:rsidP="00C30314">
            <w:pPr>
              <w:pStyle w:val="Marginlie"/>
              <w:rPr>
                <w:color w:val="0D0D0D" w:themeColor="text1" w:themeTint="F2"/>
                <w:spacing w:val="-4"/>
                <w:lang w:val="en-GB"/>
              </w:rPr>
            </w:pPr>
          </w:p>
          <w:p w14:paraId="0E64071D" w14:textId="77777777" w:rsidR="00C30314" w:rsidRPr="00884D55" w:rsidRDefault="00C30314" w:rsidP="00C30314">
            <w:pPr>
              <w:pStyle w:val="Marginlie"/>
              <w:rPr>
                <w:color w:val="0D0D0D" w:themeColor="text1" w:themeTint="F2"/>
                <w:spacing w:val="-4"/>
                <w:lang w:val="en-GB"/>
              </w:rPr>
            </w:pPr>
          </w:p>
          <w:p w14:paraId="2E71A121" w14:textId="77777777" w:rsidR="00C30314" w:rsidRPr="00884D55" w:rsidRDefault="00C30314" w:rsidP="00C30314">
            <w:pPr>
              <w:pStyle w:val="Marginlie"/>
              <w:rPr>
                <w:color w:val="0D0D0D" w:themeColor="text1" w:themeTint="F2"/>
                <w:spacing w:val="-4"/>
                <w:lang w:val="en-GB"/>
              </w:rPr>
            </w:pPr>
          </w:p>
          <w:p w14:paraId="583F2E4D" w14:textId="77777777" w:rsidR="00C30314" w:rsidRPr="00884D55" w:rsidRDefault="00C30314" w:rsidP="00C30314">
            <w:pPr>
              <w:pStyle w:val="Marginlie"/>
              <w:rPr>
                <w:color w:val="0D0D0D" w:themeColor="text1" w:themeTint="F2"/>
                <w:spacing w:val="-4"/>
                <w:lang w:val="en-GB"/>
              </w:rPr>
            </w:pPr>
            <w:r w:rsidRPr="00884D55">
              <w:rPr>
                <w:color w:val="0D0D0D" w:themeColor="text1" w:themeTint="F2"/>
                <w:spacing w:val="-4"/>
                <w:lang w:val="en-GB"/>
              </w:rPr>
              <w:t xml:space="preserve">The weakening of demand from motor vehicle manufacturers was also felt by some related industries, especially electrical engineering. </w:t>
            </w:r>
          </w:p>
          <w:p w14:paraId="0AE02C79" w14:textId="77777777" w:rsidR="00C30314" w:rsidRPr="00884D55" w:rsidRDefault="00C30314" w:rsidP="00C30314">
            <w:pPr>
              <w:pStyle w:val="Marginlie"/>
              <w:spacing w:after="240"/>
              <w:rPr>
                <w:color w:val="0D0D0D" w:themeColor="text1" w:themeTint="F2"/>
                <w:spacing w:val="-4"/>
                <w:lang w:val="en-GB"/>
              </w:rPr>
            </w:pPr>
          </w:p>
        </w:tc>
        <w:tc>
          <w:tcPr>
            <w:tcW w:w="229" w:type="dxa"/>
            <w:shd w:val="clear" w:color="auto" w:fill="auto"/>
            <w:tcMar>
              <w:left w:w="0" w:type="dxa"/>
            </w:tcMar>
          </w:tcPr>
          <w:p w14:paraId="5516D208" w14:textId="77777777" w:rsidR="00C30314" w:rsidRPr="00884D55" w:rsidRDefault="00C30314" w:rsidP="00C30314">
            <w:pPr>
              <w:pStyle w:val="Textpoznpodarou"/>
              <w:spacing w:after="240"/>
              <w:jc w:val="both"/>
              <w:rPr>
                <w:spacing w:val="-4"/>
                <w:lang w:val="en-GB"/>
              </w:rPr>
            </w:pPr>
          </w:p>
        </w:tc>
        <w:tc>
          <w:tcPr>
            <w:tcW w:w="7596" w:type="dxa"/>
            <w:shd w:val="clear" w:color="auto" w:fill="auto"/>
            <w:tcMar>
              <w:left w:w="0" w:type="dxa"/>
            </w:tcMar>
          </w:tcPr>
          <w:p w14:paraId="67845FF6" w14:textId="34C6AF2E" w:rsidR="00C30314" w:rsidRPr="00884D55" w:rsidRDefault="00C30314" w:rsidP="00073ED1">
            <w:pPr>
              <w:rPr>
                <w:color w:val="0D0D0D" w:themeColor="text1" w:themeTint="F2"/>
                <w:spacing w:val="-4"/>
                <w:lang w:val="en-GB"/>
              </w:rPr>
            </w:pPr>
            <w:r w:rsidRPr="00884D55">
              <w:rPr>
                <w:color w:val="0D0D0D" w:themeColor="text1" w:themeTint="F2"/>
                <w:spacing w:val="-4"/>
                <w:lang w:val="en-GB"/>
              </w:rPr>
              <w:t>The key branch manufacturing of motor vehicles, whose production decreased by 1.3% after double-digit growth in 2022 and 2023, also contributed to last year's industry downturn (−0.3 p.p.). This result was likely influenced by the deteriorated position of some direct domestic subcontractors (within the automotive industry), as the final physical production of vehicles itself grew</w:t>
            </w:r>
            <w:r w:rsidRPr="00884D55">
              <w:rPr>
                <w:rStyle w:val="Znakapoznpodarou"/>
                <w:color w:val="0D0D0D" w:themeColor="text1" w:themeTint="F2"/>
                <w:spacing w:val="-4"/>
                <w:lang w:val="en-GB"/>
              </w:rPr>
              <w:footnoteReference w:id="24"/>
            </w:r>
            <w:r w:rsidRPr="00884D55">
              <w:rPr>
                <w:color w:val="0D0D0D" w:themeColor="text1" w:themeTint="F2"/>
                <w:spacing w:val="-4"/>
                <w:lang w:val="en-GB"/>
              </w:rPr>
              <w:t>. The</w:t>
            </w:r>
            <w:r w:rsidR="00AF606D">
              <w:rPr>
                <w:color w:val="0D0D0D" w:themeColor="text1" w:themeTint="F2"/>
                <w:spacing w:val="-4"/>
                <w:lang w:val="en-GB"/>
              </w:rPr>
              <w:t xml:space="preserve"> current dynamics of this branch</w:t>
            </w:r>
            <w:r w:rsidRPr="00884D55">
              <w:rPr>
                <w:color w:val="0D0D0D" w:themeColor="text1" w:themeTint="F2"/>
                <w:spacing w:val="-4"/>
                <w:lang w:val="en-GB"/>
              </w:rPr>
              <w:t xml:space="preserve"> in the Czech Republic, as in most of the newer </w:t>
            </w:r>
            <w:r w:rsidR="00AF606D">
              <w:rPr>
                <w:color w:val="0D0D0D" w:themeColor="text1" w:themeTint="F2"/>
                <w:spacing w:val="-4"/>
                <w:lang w:val="en-GB"/>
              </w:rPr>
              <w:t xml:space="preserve">EU </w:t>
            </w:r>
            <w:r w:rsidRPr="00884D55">
              <w:rPr>
                <w:color w:val="0D0D0D" w:themeColor="text1" w:themeTint="F2"/>
                <w:spacing w:val="-4"/>
                <w:lang w:val="en-GB"/>
              </w:rPr>
              <w:t>Member States, is relatively more favourable</w:t>
            </w:r>
            <w:r w:rsidRPr="00884D55">
              <w:rPr>
                <w:rStyle w:val="Znakapoznpodarou"/>
                <w:color w:val="0D0D0D" w:themeColor="text1" w:themeTint="F2"/>
                <w:spacing w:val="-4"/>
                <w:lang w:val="en-GB"/>
              </w:rPr>
              <w:footnoteReference w:id="25"/>
            </w:r>
            <w:r w:rsidRPr="00884D55">
              <w:rPr>
                <w:color w:val="0D0D0D" w:themeColor="text1" w:themeTint="F2"/>
                <w:spacing w:val="-4"/>
                <w:lang w:val="en-GB"/>
              </w:rPr>
              <w:t xml:space="preserve"> compared to the core EU countries. In addition to lower labour costs, the still lower proport</w:t>
            </w:r>
            <w:r w:rsidR="00073ED1">
              <w:rPr>
                <w:color w:val="0D0D0D" w:themeColor="text1" w:themeTint="F2"/>
                <w:spacing w:val="-4"/>
                <w:lang w:val="en-GB"/>
              </w:rPr>
              <w:t>ion of electric and hybrid cars</w:t>
            </w:r>
            <w:r w:rsidR="00AF606D">
              <w:rPr>
                <w:color w:val="0D0D0D" w:themeColor="text1" w:themeTint="F2"/>
                <w:spacing w:val="-4"/>
                <w:lang w:val="en-GB"/>
              </w:rPr>
              <w:t xml:space="preserve"> </w:t>
            </w:r>
            <w:r w:rsidRPr="00884D55">
              <w:rPr>
                <w:color w:val="0D0D0D" w:themeColor="text1" w:themeTint="F2"/>
                <w:spacing w:val="-4"/>
                <w:lang w:val="en-GB"/>
              </w:rPr>
              <w:t xml:space="preserve">(their sales are facing difficulties caused by growing Asian competition as well as lower subsidy support in the EU countries) </w:t>
            </w:r>
            <w:r w:rsidR="00073ED1" w:rsidRPr="00884D55">
              <w:rPr>
                <w:color w:val="0D0D0D" w:themeColor="text1" w:themeTint="F2"/>
                <w:spacing w:val="-4"/>
                <w:lang w:val="en-GB"/>
              </w:rPr>
              <w:t xml:space="preserve">in </w:t>
            </w:r>
            <w:r w:rsidR="00073ED1">
              <w:rPr>
                <w:color w:val="0D0D0D" w:themeColor="text1" w:themeTint="F2"/>
                <w:spacing w:val="-4"/>
                <w:lang w:val="en-GB"/>
              </w:rPr>
              <w:t xml:space="preserve">total car </w:t>
            </w:r>
            <w:r w:rsidR="00073ED1" w:rsidRPr="00884D55">
              <w:rPr>
                <w:color w:val="0D0D0D" w:themeColor="text1" w:themeTint="F2"/>
                <w:spacing w:val="-4"/>
                <w:lang w:val="en-GB"/>
              </w:rPr>
              <w:t xml:space="preserve">production </w:t>
            </w:r>
            <w:r w:rsidR="00AF606D">
              <w:rPr>
                <w:color w:val="0D0D0D" w:themeColor="text1" w:themeTint="F2"/>
                <w:spacing w:val="-4"/>
                <w:lang w:val="en-GB"/>
              </w:rPr>
              <w:t xml:space="preserve">in newer EU </w:t>
            </w:r>
            <w:r w:rsidR="00073ED1">
              <w:rPr>
                <w:color w:val="0D0D0D" w:themeColor="text1" w:themeTint="F2"/>
                <w:spacing w:val="-4"/>
                <w:lang w:val="en-GB"/>
              </w:rPr>
              <w:t>also plays a role</w:t>
            </w:r>
            <w:r w:rsidRPr="00884D55">
              <w:rPr>
                <w:color w:val="0D0D0D" w:themeColor="text1" w:themeTint="F2"/>
                <w:spacing w:val="-4"/>
                <w:lang w:val="en-GB"/>
              </w:rPr>
              <w:t>. In addition to the automotive industry, the</w:t>
            </w:r>
            <w:r w:rsidR="00073ED1">
              <w:rPr>
                <w:color w:val="0D0D0D" w:themeColor="text1" w:themeTint="F2"/>
                <w:spacing w:val="-4"/>
                <w:lang w:val="en-GB"/>
              </w:rPr>
              <w:t xml:space="preserve"> production slump also affected </w:t>
            </w:r>
            <w:r w:rsidRPr="00884D55">
              <w:rPr>
                <w:color w:val="0D0D0D" w:themeColor="text1" w:themeTint="F2"/>
                <w:spacing w:val="-4"/>
                <w:lang w:val="en-GB"/>
              </w:rPr>
              <w:t>manufacturers of other (mainly rail) transport equipment (−4.6%) last year</w:t>
            </w:r>
            <w:r w:rsidR="00073ED1">
              <w:rPr>
                <w:color w:val="0D0D0D" w:themeColor="text1" w:themeTint="F2"/>
                <w:spacing w:val="-4"/>
                <w:lang w:val="en-GB"/>
              </w:rPr>
              <w:t xml:space="preserve"> in the Czechia</w:t>
            </w:r>
            <w:r w:rsidRPr="00884D55">
              <w:rPr>
                <w:color w:val="0D0D0D" w:themeColor="text1" w:themeTint="F2"/>
                <w:spacing w:val="-4"/>
                <w:lang w:val="en-GB"/>
              </w:rPr>
              <w:t>, mainly due to weaker performance in Q4 2024. Nevertheless, the production has traditionally been volatile in this relatively small sector. It can be assumed based on leading indicators (especially the rapid growth o</w:t>
            </w:r>
            <w:r w:rsidR="00073ED1">
              <w:rPr>
                <w:color w:val="0D0D0D" w:themeColor="text1" w:themeTint="F2"/>
                <w:spacing w:val="-4"/>
                <w:lang w:val="en-GB"/>
              </w:rPr>
              <w:t>f new domestic orders), that this</w:t>
            </w:r>
            <w:r w:rsidRPr="00884D55">
              <w:rPr>
                <w:color w:val="0D0D0D" w:themeColor="text1" w:themeTint="F2"/>
                <w:spacing w:val="-4"/>
                <w:lang w:val="en-GB"/>
              </w:rPr>
              <w:t xml:space="preserve"> sector's immediate outlooks are not unfavourable. Sales difficulties in the automotive industry also led to a decline of production in the related sector of manufacture of electrical equipment (−2.1%) last year, which was limited mainly by weaker external demand. On the contrary, the rubber and plastics industries, which are among the more energy-intensive sectors, were already affected by the downturn in years 2022 and 2023, and their performance increased slightly (+0.6%) last year thanks to a slight recovery of demand from the Czech Republic. </w:t>
            </w:r>
          </w:p>
        </w:tc>
      </w:tr>
      <w:tr w:rsidR="00C30314" w:rsidRPr="00884D55" w14:paraId="366E03E6" w14:textId="77777777" w:rsidTr="00803507">
        <w:trPr>
          <w:trHeight w:val="145"/>
        </w:trPr>
        <w:tc>
          <w:tcPr>
            <w:tcW w:w="1814" w:type="dxa"/>
            <w:shd w:val="clear" w:color="auto" w:fill="auto"/>
            <w:tcMar>
              <w:left w:w="0" w:type="dxa"/>
            </w:tcMar>
          </w:tcPr>
          <w:p w14:paraId="401D8C64" w14:textId="2CB99FE8" w:rsidR="00C30314" w:rsidRDefault="00C30314" w:rsidP="00C30314">
            <w:pPr>
              <w:pStyle w:val="Marginlie"/>
              <w:spacing w:after="240"/>
              <w:rPr>
                <w:color w:val="0D0D0D" w:themeColor="text1" w:themeTint="F2"/>
                <w:spacing w:val="-4"/>
                <w:lang w:val="en-GB"/>
              </w:rPr>
            </w:pPr>
            <w:r w:rsidRPr="00884D55">
              <w:rPr>
                <w:color w:val="0D0D0D" w:themeColor="text1" w:themeTint="F2"/>
                <w:spacing w:val="-4"/>
                <w:lang w:val="en-GB"/>
              </w:rPr>
              <w:t xml:space="preserve">The most energy-intensive sectors of metallurgy or mining and quarrying continued in deep decline last year.  </w:t>
            </w:r>
          </w:p>
          <w:p w14:paraId="683859ED" w14:textId="77777777" w:rsidR="00927267" w:rsidRPr="00884D55" w:rsidRDefault="00927267" w:rsidP="00C30314">
            <w:pPr>
              <w:pStyle w:val="Marginlie"/>
              <w:spacing w:after="240"/>
              <w:rPr>
                <w:color w:val="0D0D0D" w:themeColor="text1" w:themeTint="F2"/>
                <w:spacing w:val="-4"/>
                <w:lang w:val="en-GB"/>
              </w:rPr>
            </w:pPr>
          </w:p>
          <w:p w14:paraId="489FAE45" w14:textId="77777777" w:rsidR="00C30314" w:rsidRPr="00884D55" w:rsidRDefault="00C30314" w:rsidP="00C30314">
            <w:pPr>
              <w:pStyle w:val="Marginlie"/>
              <w:spacing w:after="240"/>
              <w:rPr>
                <w:color w:val="0D0D0D" w:themeColor="text1" w:themeTint="F2"/>
                <w:spacing w:val="-4"/>
                <w:lang w:val="en-GB"/>
              </w:rPr>
            </w:pPr>
            <w:r w:rsidRPr="00884D55">
              <w:rPr>
                <w:color w:val="0D0D0D" w:themeColor="text1" w:themeTint="F2"/>
                <w:spacing w:val="-4"/>
                <w:lang w:val="en-GB"/>
              </w:rPr>
              <w:t xml:space="preserve">The slump of energy industry performance moderated dramatically last year. The decrease of total consumption of both electricity and gas nearly ceased, in that it has even increased slightly in companies. </w:t>
            </w:r>
          </w:p>
        </w:tc>
        <w:tc>
          <w:tcPr>
            <w:tcW w:w="229" w:type="dxa"/>
            <w:shd w:val="clear" w:color="auto" w:fill="auto"/>
            <w:tcMar>
              <w:left w:w="0" w:type="dxa"/>
            </w:tcMar>
          </w:tcPr>
          <w:p w14:paraId="30ED7405" w14:textId="77777777" w:rsidR="00C30314" w:rsidRPr="00884D55" w:rsidRDefault="00C30314" w:rsidP="00C30314">
            <w:pPr>
              <w:pStyle w:val="Textpoznpodarou"/>
              <w:spacing w:after="240"/>
              <w:jc w:val="both"/>
              <w:rPr>
                <w:spacing w:val="-4"/>
                <w:lang w:val="en-GB"/>
              </w:rPr>
            </w:pPr>
          </w:p>
        </w:tc>
        <w:tc>
          <w:tcPr>
            <w:tcW w:w="7596" w:type="dxa"/>
            <w:shd w:val="clear" w:color="auto" w:fill="auto"/>
            <w:tcMar>
              <w:left w:w="0" w:type="dxa"/>
            </w:tcMar>
          </w:tcPr>
          <w:p w14:paraId="2088AD53" w14:textId="3BFF6A29" w:rsidR="00C30314" w:rsidRPr="00884D55" w:rsidRDefault="00C30314" w:rsidP="00A726EC">
            <w:pPr>
              <w:rPr>
                <w:color w:val="0D0D0D" w:themeColor="text1" w:themeTint="F2"/>
                <w:spacing w:val="-4"/>
                <w:lang w:val="en-GB"/>
              </w:rPr>
            </w:pPr>
            <w:r w:rsidRPr="00884D55">
              <w:rPr>
                <w:color w:val="0D0D0D" w:themeColor="text1" w:themeTint="F2"/>
                <w:spacing w:val="-4"/>
                <w:lang w:val="en-GB"/>
              </w:rPr>
              <w:t xml:space="preserve">The most energy-intensive industries continued to be in deep downturn. The production fell by 7.0% in metallurgy and foundry last year (even by 26.7% in the last three years). Weak </w:t>
            </w:r>
            <w:r w:rsidR="00927267">
              <w:rPr>
                <w:color w:val="0D0D0D" w:themeColor="text1" w:themeTint="F2"/>
                <w:spacing w:val="-4"/>
                <w:lang w:val="en-GB"/>
              </w:rPr>
              <w:t xml:space="preserve">both </w:t>
            </w:r>
            <w:r w:rsidRPr="00884D55">
              <w:rPr>
                <w:color w:val="0D0D0D" w:themeColor="text1" w:themeTint="F2"/>
                <w:spacing w:val="-4"/>
                <w:lang w:val="en-GB"/>
              </w:rPr>
              <w:t>domestic and external demand for steel persisted (mainly in construction, motor vehicle manufacturing or engineering) and the main leading indicators also did not yet indicate a positive turnaround. The pace of dive slowed down compared to 2023 in the long-term declining mining and quarrying last year, nevertheless it still reached 7.4%. The so far key segment of coal mining played a major role in these developments, with production falling by 11.8% (the most of all industries). On the contrary, the mining of building materials revived (+0.4%), thanks to growing demand in the domestic construction industry</w:t>
            </w:r>
            <w:r w:rsidRPr="00884D55">
              <w:rPr>
                <w:rStyle w:val="Znakapoznpodarou"/>
                <w:color w:val="0D0D0D" w:themeColor="text1" w:themeTint="F2"/>
                <w:spacing w:val="-4"/>
                <w:lang w:val="en-GB"/>
              </w:rPr>
              <w:footnoteReference w:id="26"/>
            </w:r>
            <w:r w:rsidRPr="00884D55">
              <w:rPr>
                <w:color w:val="0D0D0D" w:themeColor="text1" w:themeTint="F2"/>
                <w:spacing w:val="-4"/>
                <w:lang w:val="en-GB"/>
              </w:rPr>
              <w:t>. The decline of production moderated in the energy industry, reaching 1.5% for the whole of last year (however it was 14.5% in total for the last three years). There was a slight decrease of the electricity generation related to the ongoing decline of the use of coal in steam power plants</w:t>
            </w:r>
            <w:r w:rsidRPr="00884D55">
              <w:rPr>
                <w:rStyle w:val="Znakapoznpodarou"/>
                <w:color w:val="0D0D0D" w:themeColor="text1" w:themeTint="F2"/>
                <w:spacing w:val="-4"/>
                <w:lang w:val="en-GB"/>
              </w:rPr>
              <w:footnoteReference w:id="27"/>
            </w:r>
            <w:r w:rsidRPr="00884D55">
              <w:rPr>
                <w:color w:val="0D0D0D" w:themeColor="text1" w:themeTint="F2"/>
                <w:spacing w:val="-4"/>
                <w:lang w:val="en-GB"/>
              </w:rPr>
              <w:t>. At the same time, however, the decline of electricity</w:t>
            </w:r>
            <w:r w:rsidRPr="00884D55">
              <w:rPr>
                <w:rStyle w:val="Znakapoznpodarou"/>
                <w:color w:val="0D0D0D" w:themeColor="text1" w:themeTint="F2"/>
                <w:spacing w:val="-4"/>
                <w:lang w:val="en-GB"/>
              </w:rPr>
              <w:footnoteReference w:id="28"/>
            </w:r>
            <w:r w:rsidRPr="00884D55">
              <w:rPr>
                <w:color w:val="0D0D0D" w:themeColor="text1" w:themeTint="F2"/>
                <w:spacing w:val="-4"/>
                <w:lang w:val="en-GB"/>
              </w:rPr>
              <w:t xml:space="preserve"> and gas</w:t>
            </w:r>
            <w:r w:rsidRPr="00884D55">
              <w:rPr>
                <w:rStyle w:val="Znakapoznpodarou"/>
                <w:color w:val="0D0D0D" w:themeColor="text1" w:themeTint="F2"/>
                <w:spacing w:val="-4"/>
                <w:lang w:val="en-GB"/>
              </w:rPr>
              <w:footnoteReference w:id="29"/>
            </w:r>
            <w:r w:rsidRPr="00884D55">
              <w:rPr>
                <w:color w:val="0D0D0D" w:themeColor="text1" w:themeTint="F2"/>
                <w:spacing w:val="-4"/>
                <w:lang w:val="en-GB"/>
              </w:rPr>
              <w:t xml:space="preserve"> consumption has effectively ceased as a result of relatively colder weather in the last third of the year</w:t>
            </w:r>
            <w:r w:rsidRPr="00884D55">
              <w:rPr>
                <w:rStyle w:val="Znakapoznpodarou"/>
                <w:color w:val="0D0D0D" w:themeColor="text1" w:themeTint="F2"/>
                <w:spacing w:val="-4"/>
                <w:lang w:val="en-GB"/>
              </w:rPr>
              <w:footnoteReference w:id="30"/>
            </w:r>
            <w:r w:rsidRPr="00884D55">
              <w:rPr>
                <w:color w:val="0D0D0D" w:themeColor="text1" w:themeTint="F2"/>
                <w:spacing w:val="-4"/>
                <w:lang w:val="en-GB"/>
              </w:rPr>
              <w:t xml:space="preserve">. The effect of austerity measures on the consumption side </w:t>
            </w:r>
            <w:r w:rsidR="00A726EC">
              <w:rPr>
                <w:color w:val="0D0D0D" w:themeColor="text1" w:themeTint="F2"/>
                <w:spacing w:val="-4"/>
                <w:lang w:val="en-GB"/>
              </w:rPr>
              <w:t xml:space="preserve">both </w:t>
            </w:r>
            <w:r w:rsidRPr="00884D55">
              <w:rPr>
                <w:color w:val="0D0D0D" w:themeColor="text1" w:themeTint="F2"/>
                <w:spacing w:val="-4"/>
                <w:lang w:val="en-GB"/>
              </w:rPr>
              <w:t xml:space="preserve">in </w:t>
            </w:r>
            <w:r w:rsidR="00A726EC" w:rsidRPr="00A726EC">
              <w:rPr>
                <w:color w:val="0D0D0D" w:themeColor="text1" w:themeTint="F2"/>
                <w:spacing w:val="-4"/>
                <w:lang w:val="en-GB"/>
              </w:rPr>
              <w:t>businesses</w:t>
            </w:r>
            <w:r w:rsidRPr="00884D55">
              <w:rPr>
                <w:color w:val="0D0D0D" w:themeColor="text1" w:themeTint="F2"/>
                <w:spacing w:val="-4"/>
                <w:lang w:val="en-GB"/>
              </w:rPr>
              <w:t xml:space="preserve"> and households was also not nearly as significant as in the previous two years, which was also caused by the fact that energy prices had stabilised. </w:t>
            </w:r>
            <w:r w:rsidRPr="00884D55">
              <w:rPr>
                <w:color w:val="0D0D0D" w:themeColor="text1" w:themeTint="F2"/>
                <w:spacing w:val="-6"/>
                <w:lang w:val="en-GB"/>
              </w:rPr>
              <w:t xml:space="preserve"> </w:t>
            </w:r>
            <w:r w:rsidRPr="00884D55">
              <w:rPr>
                <w:color w:val="0D0D0D" w:themeColor="text1" w:themeTint="F2"/>
                <w:spacing w:val="-4"/>
                <w:lang w:val="en-GB"/>
              </w:rPr>
              <w:t xml:space="preserve"> </w:t>
            </w:r>
          </w:p>
        </w:tc>
      </w:tr>
      <w:tr w:rsidR="00C30314" w:rsidRPr="00884D55" w14:paraId="048A9012" w14:textId="77777777" w:rsidTr="00803507">
        <w:trPr>
          <w:trHeight w:val="145"/>
        </w:trPr>
        <w:tc>
          <w:tcPr>
            <w:tcW w:w="1814" w:type="dxa"/>
            <w:shd w:val="clear" w:color="auto" w:fill="auto"/>
            <w:tcMar>
              <w:left w:w="0" w:type="dxa"/>
            </w:tcMar>
          </w:tcPr>
          <w:p w14:paraId="3598519E" w14:textId="77777777" w:rsidR="00C30314" w:rsidRPr="00884D55" w:rsidRDefault="00C30314" w:rsidP="00C30314">
            <w:pPr>
              <w:pStyle w:val="Marginlie"/>
              <w:spacing w:after="240"/>
              <w:rPr>
                <w:color w:val="0D0D0D" w:themeColor="text1" w:themeTint="F2"/>
                <w:spacing w:val="-4"/>
                <w:lang w:val="en-GB"/>
              </w:rPr>
            </w:pPr>
            <w:r w:rsidRPr="00884D55">
              <w:rPr>
                <w:color w:val="0D0D0D" w:themeColor="text1" w:themeTint="F2"/>
                <w:spacing w:val="-4"/>
                <w:lang w:val="en-GB"/>
              </w:rPr>
              <w:t xml:space="preserve">Mainly the food industry and most other sectors producing non-durable products counteracted a deeper downturn in industry. </w:t>
            </w:r>
          </w:p>
          <w:p w14:paraId="2F7FE3AE" w14:textId="77777777" w:rsidR="00C30314" w:rsidRPr="00884D55" w:rsidRDefault="00C30314" w:rsidP="00C30314">
            <w:pPr>
              <w:pStyle w:val="Marginlie"/>
              <w:spacing w:after="240"/>
              <w:rPr>
                <w:color w:val="0D0D0D" w:themeColor="text1" w:themeTint="F2"/>
                <w:spacing w:val="-4"/>
                <w:lang w:val="en-GB"/>
              </w:rPr>
            </w:pPr>
          </w:p>
          <w:p w14:paraId="584E5669" w14:textId="77777777" w:rsidR="00C30314" w:rsidRPr="00884D55" w:rsidRDefault="00C30314" w:rsidP="00C30314">
            <w:pPr>
              <w:pStyle w:val="Marginlie"/>
              <w:spacing w:after="240"/>
              <w:rPr>
                <w:color w:val="0D0D0D" w:themeColor="text1" w:themeTint="F2"/>
                <w:spacing w:val="-4"/>
                <w:lang w:val="en-GB"/>
              </w:rPr>
            </w:pPr>
          </w:p>
          <w:p w14:paraId="0BE26BFC" w14:textId="5062E4E3" w:rsidR="00C30314" w:rsidRPr="00884D55" w:rsidRDefault="00C30314" w:rsidP="00C30314">
            <w:pPr>
              <w:pStyle w:val="Marginlie"/>
              <w:spacing w:after="240"/>
              <w:rPr>
                <w:color w:val="0D0D0D" w:themeColor="text1" w:themeTint="F2"/>
                <w:spacing w:val="-4"/>
                <w:lang w:val="en-GB"/>
              </w:rPr>
            </w:pPr>
            <w:r w:rsidRPr="00884D55">
              <w:rPr>
                <w:color w:val="0D0D0D" w:themeColor="text1" w:themeTint="F2"/>
                <w:spacing w:val="-4"/>
                <w:lang w:val="en-GB"/>
              </w:rPr>
              <w:t>Households rather continued to postpone purchases of some items of medium and long-term consumption. .</w:t>
            </w:r>
          </w:p>
        </w:tc>
        <w:tc>
          <w:tcPr>
            <w:tcW w:w="229" w:type="dxa"/>
            <w:shd w:val="clear" w:color="auto" w:fill="auto"/>
            <w:tcMar>
              <w:left w:w="0" w:type="dxa"/>
            </w:tcMar>
          </w:tcPr>
          <w:p w14:paraId="085552F4" w14:textId="77777777" w:rsidR="00C30314" w:rsidRPr="00884D55" w:rsidRDefault="00C30314" w:rsidP="00C30314">
            <w:pPr>
              <w:pStyle w:val="Textpoznpodarou"/>
              <w:spacing w:after="240"/>
              <w:jc w:val="both"/>
              <w:rPr>
                <w:spacing w:val="-4"/>
                <w:lang w:val="en-GB"/>
              </w:rPr>
            </w:pPr>
          </w:p>
        </w:tc>
        <w:tc>
          <w:tcPr>
            <w:tcW w:w="7596" w:type="dxa"/>
            <w:shd w:val="clear" w:color="auto" w:fill="auto"/>
            <w:tcMar>
              <w:left w:w="0" w:type="dxa"/>
            </w:tcMar>
          </w:tcPr>
          <w:p w14:paraId="4C5C1B27" w14:textId="2C6EA7D9" w:rsidR="00C30314" w:rsidRPr="00884D55" w:rsidRDefault="00C30314" w:rsidP="00963DA3">
            <w:pPr>
              <w:rPr>
                <w:color w:val="0D0D0D" w:themeColor="text1" w:themeTint="F2"/>
                <w:spacing w:val="-4"/>
                <w:lang w:val="en-GB"/>
              </w:rPr>
            </w:pPr>
            <w:r w:rsidRPr="00884D55">
              <w:rPr>
                <w:color w:val="0D0D0D" w:themeColor="text1" w:themeTint="F2"/>
                <w:spacing w:val="-4"/>
                <w:lang w:val="en-GB"/>
              </w:rPr>
              <w:t xml:space="preserve">Mainly the sectors focused on the production of non-durable goods counteracted a deeper downturn of the </w:t>
            </w:r>
            <w:r w:rsidR="00963DA3">
              <w:rPr>
                <w:color w:val="0D0D0D" w:themeColor="text1" w:themeTint="F2"/>
                <w:spacing w:val="-4"/>
                <w:lang w:val="en-GB"/>
              </w:rPr>
              <w:t xml:space="preserve">total </w:t>
            </w:r>
            <w:r w:rsidRPr="00884D55">
              <w:rPr>
                <w:color w:val="0D0D0D" w:themeColor="text1" w:themeTint="F2"/>
                <w:spacing w:val="-4"/>
                <w:lang w:val="en-GB"/>
              </w:rPr>
              <w:t>industrial performance last year. The output increased, year-on-year, in the food industry for the first time in the last three years (+4.0%, contribution to the growth of the whole industry +0.2 p.p.</w:t>
            </w:r>
            <w:r w:rsidRPr="00884D55">
              <w:rPr>
                <w:rStyle w:val="Znakapoznpodarou"/>
                <w:color w:val="0D0D0D" w:themeColor="text1" w:themeTint="F2"/>
                <w:spacing w:val="-4"/>
                <w:lang w:val="en-GB"/>
              </w:rPr>
              <w:t xml:space="preserve"> </w:t>
            </w:r>
            <w:r w:rsidRPr="00884D55">
              <w:rPr>
                <w:rStyle w:val="Znakapoznpodarou"/>
                <w:color w:val="0D0D0D" w:themeColor="text1" w:themeTint="F2"/>
                <w:spacing w:val="-4"/>
                <w:lang w:val="en-GB"/>
              </w:rPr>
              <w:footnoteReference w:id="31"/>
            </w:r>
            <w:r w:rsidRPr="00884D55">
              <w:rPr>
                <w:color w:val="0D0D0D" w:themeColor="text1" w:themeTint="F2"/>
                <w:spacing w:val="-4"/>
                <w:lang w:val="en-GB"/>
              </w:rPr>
              <w:t>). The beverages manufacturers also benefited from the renewed growth of the purchasing power of domestic households as well as the developing tourism (+4.0%), however unlike the food industry, their production has not yet surpassed the peak of the last pre-pandemic expansion. This also applies to the manufacturing</w:t>
            </w:r>
            <w:r w:rsidR="00963DA3">
              <w:rPr>
                <w:color w:val="0D0D0D" w:themeColor="text1" w:themeTint="F2"/>
                <w:spacing w:val="-4"/>
                <w:lang w:val="en-GB"/>
              </w:rPr>
              <w:t xml:space="preserve"> of wearing apparel, whose output growth</w:t>
            </w:r>
            <w:r w:rsidRPr="00884D55">
              <w:rPr>
                <w:color w:val="0D0D0D" w:themeColor="text1" w:themeTint="F2"/>
                <w:spacing w:val="-4"/>
                <w:lang w:val="en-GB"/>
              </w:rPr>
              <w:t xml:space="preserve"> narrowed due to the weakening domestic demand (especially in H2 2024) for the whole year (+0.6%). On the contrary, the smallest manufacturing sector, leatherworking and footwear industries, thrived, with their output increasing for the fourth year in a row. It increased by 8.4% last year (the most of all industries), mainly due to the recovery of domestic demand. Production increased only by 2.5% in the long-term developing and significantly pro-export pharmaceutical industry last year (the lowest </w:t>
            </w:r>
            <w:r w:rsidR="00963DA3">
              <w:rPr>
                <w:color w:val="0D0D0D" w:themeColor="text1" w:themeTint="F2"/>
                <w:spacing w:val="-4"/>
                <w:lang w:val="en-GB"/>
              </w:rPr>
              <w:t xml:space="preserve">rate </w:t>
            </w:r>
            <w:r w:rsidRPr="00884D55">
              <w:rPr>
                <w:color w:val="0D0D0D" w:themeColor="text1" w:themeTint="F2"/>
                <w:spacing w:val="-4"/>
                <w:lang w:val="en-GB"/>
              </w:rPr>
              <w:t xml:space="preserve">in the last ten years), despite solid demand. The prosperous industries, which did not decline even during the pandemic, also consist of other manufacturing activities (including also, among other things, manufacturing of sports equipment, games and toys). Its performance increased by 5.7%, year-on-year, due to higher demand both from home and abroad. In contrast, households continued to rather postpone purchases of some </w:t>
            </w:r>
            <w:r w:rsidR="00963DA3">
              <w:rPr>
                <w:color w:val="0D0D0D" w:themeColor="text1" w:themeTint="F2"/>
                <w:spacing w:val="-4"/>
                <w:lang w:val="en-GB"/>
              </w:rPr>
              <w:t>semi-</w:t>
            </w:r>
            <w:r w:rsidRPr="00884D55">
              <w:rPr>
                <w:color w:val="0D0D0D" w:themeColor="text1" w:themeTint="F2"/>
                <w:spacing w:val="-4"/>
                <w:lang w:val="en-GB"/>
              </w:rPr>
              <w:t>durable products (e.g. furniture)</w:t>
            </w:r>
            <w:r w:rsidRPr="00884D55">
              <w:rPr>
                <w:rStyle w:val="Znakapoznpodarou"/>
                <w:color w:val="0D0D0D" w:themeColor="text1" w:themeTint="F2"/>
                <w:spacing w:val="-4"/>
                <w:lang w:val="en-GB"/>
              </w:rPr>
              <w:t xml:space="preserve"> </w:t>
            </w:r>
            <w:r w:rsidRPr="00884D55">
              <w:rPr>
                <w:rStyle w:val="Znakapoznpodarou"/>
                <w:color w:val="0D0D0D" w:themeColor="text1" w:themeTint="F2"/>
                <w:spacing w:val="-4"/>
                <w:lang w:val="en-GB"/>
              </w:rPr>
              <w:footnoteReference w:id="32"/>
            </w:r>
            <w:r w:rsidRPr="00884D55">
              <w:rPr>
                <w:color w:val="0D0D0D" w:themeColor="text1" w:themeTint="F2"/>
                <w:spacing w:val="-4"/>
                <w:lang w:val="en-GB"/>
              </w:rPr>
              <w:t xml:space="preserve">.  </w:t>
            </w:r>
          </w:p>
        </w:tc>
      </w:tr>
      <w:tr w:rsidR="00C30314" w:rsidRPr="00884D55" w14:paraId="6E6FAAAE" w14:textId="77777777" w:rsidTr="00803507">
        <w:trPr>
          <w:trHeight w:val="170"/>
        </w:trPr>
        <w:tc>
          <w:tcPr>
            <w:tcW w:w="1814" w:type="dxa"/>
            <w:vMerge w:val="restart"/>
            <w:shd w:val="clear" w:color="auto" w:fill="auto"/>
            <w:tcMar>
              <w:left w:w="0" w:type="dxa"/>
            </w:tcMar>
          </w:tcPr>
          <w:p w14:paraId="0067FCE5" w14:textId="77777777" w:rsidR="00C30314" w:rsidRPr="00884D55" w:rsidRDefault="00C30314" w:rsidP="00C30314">
            <w:pPr>
              <w:pStyle w:val="Marginlie"/>
              <w:rPr>
                <w:lang w:val="en-GB"/>
              </w:rPr>
            </w:pPr>
          </w:p>
        </w:tc>
        <w:tc>
          <w:tcPr>
            <w:tcW w:w="229" w:type="dxa"/>
            <w:vMerge w:val="restart"/>
            <w:shd w:val="clear" w:color="auto" w:fill="auto"/>
            <w:tcMar>
              <w:left w:w="0" w:type="dxa"/>
            </w:tcMar>
          </w:tcPr>
          <w:p w14:paraId="305D9769" w14:textId="77777777" w:rsidR="00C30314" w:rsidRPr="00884D55" w:rsidRDefault="00C30314" w:rsidP="00C30314">
            <w:pPr>
              <w:pStyle w:val="Textpoznpodarou"/>
              <w:jc w:val="both"/>
              <w:rPr>
                <w:spacing w:val="-4"/>
                <w:lang w:val="en-GB"/>
              </w:rPr>
            </w:pPr>
          </w:p>
        </w:tc>
        <w:tc>
          <w:tcPr>
            <w:tcW w:w="7596" w:type="dxa"/>
            <w:shd w:val="clear" w:color="auto" w:fill="auto"/>
            <w:tcMar>
              <w:left w:w="0" w:type="dxa"/>
            </w:tcMar>
          </w:tcPr>
          <w:p w14:paraId="11867629" w14:textId="77777777" w:rsidR="00C30314" w:rsidRPr="00884D55" w:rsidRDefault="00C30314" w:rsidP="00C30314">
            <w:pPr>
              <w:spacing w:after="0"/>
              <w:rPr>
                <w:spacing w:val="-2"/>
                <w:lang w:val="en-GB"/>
              </w:rPr>
            </w:pPr>
            <w:r w:rsidRPr="00884D55">
              <w:rPr>
                <w:rFonts w:cs="Arial"/>
                <w:b/>
                <w:bCs/>
                <w:color w:val="000000"/>
                <w:spacing w:val="-2"/>
                <w:szCs w:val="20"/>
                <w:lang w:val="en-GB"/>
              </w:rPr>
              <w:t xml:space="preserve">Chart 4 </w:t>
            </w:r>
            <w:r w:rsidRPr="00884D55">
              <w:rPr>
                <w:b/>
                <w:spacing w:val="-2"/>
                <w:lang w:val="en-GB"/>
              </w:rPr>
              <w:t xml:space="preserve">Contributions of sub-branches to the year-on-year change of the industrial output in the CR </w:t>
            </w:r>
            <w:r w:rsidRPr="00884D55">
              <w:rPr>
                <w:spacing w:val="-2"/>
                <w:lang w:val="en-GB"/>
              </w:rPr>
              <w:t xml:space="preserve">(adjusted for calendar effects, real, in p.p.) </w:t>
            </w:r>
            <w:r w:rsidRPr="00884D55">
              <w:rPr>
                <w:b/>
                <w:bCs/>
                <w:spacing w:val="-2"/>
                <w:lang w:val="en-GB"/>
              </w:rPr>
              <w:t>and output in the entire industry in the CR, Germany and EU27</w:t>
            </w:r>
            <w:r w:rsidRPr="00884D55">
              <w:rPr>
                <w:spacing w:val="-2"/>
                <w:lang w:val="en-GB"/>
              </w:rPr>
              <w:t xml:space="preserve"> (seasonally adjusted, level of year 2021=100, right axis)</w:t>
            </w:r>
          </w:p>
        </w:tc>
      </w:tr>
      <w:tr w:rsidR="00C30314" w:rsidRPr="00884D55" w14:paraId="71D20179" w14:textId="77777777" w:rsidTr="00187B31">
        <w:tblPrEx>
          <w:tblCellMar>
            <w:left w:w="70" w:type="dxa"/>
            <w:right w:w="70" w:type="dxa"/>
          </w:tblCellMar>
        </w:tblPrEx>
        <w:trPr>
          <w:trHeight w:val="170"/>
        </w:trPr>
        <w:tc>
          <w:tcPr>
            <w:tcW w:w="1814" w:type="dxa"/>
            <w:vMerge/>
            <w:shd w:val="clear" w:color="auto" w:fill="auto"/>
          </w:tcPr>
          <w:p w14:paraId="4CF3C05C" w14:textId="77777777" w:rsidR="00C30314" w:rsidRPr="00884D55" w:rsidRDefault="00C30314" w:rsidP="00C30314">
            <w:pPr>
              <w:pStyle w:val="Marginlie"/>
              <w:rPr>
                <w:lang w:val="en-GB"/>
              </w:rPr>
            </w:pPr>
          </w:p>
        </w:tc>
        <w:tc>
          <w:tcPr>
            <w:tcW w:w="229" w:type="dxa"/>
            <w:vMerge/>
            <w:shd w:val="clear" w:color="auto" w:fill="auto"/>
          </w:tcPr>
          <w:p w14:paraId="3E2759AC" w14:textId="77777777" w:rsidR="00C30314" w:rsidRPr="00884D55" w:rsidRDefault="00C30314" w:rsidP="00C30314">
            <w:pPr>
              <w:pStyle w:val="Textpoznpodarou"/>
              <w:jc w:val="both"/>
              <w:rPr>
                <w:spacing w:val="-4"/>
                <w:lang w:val="en-GB"/>
              </w:rPr>
            </w:pPr>
          </w:p>
        </w:tc>
        <w:tc>
          <w:tcPr>
            <w:tcW w:w="7596" w:type="dxa"/>
            <w:shd w:val="clear" w:color="auto" w:fill="auto"/>
          </w:tcPr>
          <w:p w14:paraId="06A7E392" w14:textId="3F01C58C" w:rsidR="00C30314" w:rsidRPr="00884D55" w:rsidRDefault="00187B31" w:rsidP="00C30314">
            <w:pPr>
              <w:spacing w:after="0"/>
              <w:rPr>
                <w:spacing w:val="-6"/>
                <w:lang w:val="en-GB"/>
              </w:rPr>
            </w:pPr>
            <w:r>
              <w:rPr>
                <w:noProof/>
              </w:rPr>
              <w:drawing>
                <wp:inline distT="0" distB="0" distL="0" distR="0" wp14:anchorId="420454C4" wp14:editId="20FF5A78">
                  <wp:extent cx="4724400" cy="3606800"/>
                  <wp:effectExtent l="0" t="0" r="0" b="0"/>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C30314" w:rsidRPr="00884D55" w14:paraId="7941EA8F" w14:textId="77777777" w:rsidTr="00803507">
        <w:trPr>
          <w:trHeight w:val="170"/>
        </w:trPr>
        <w:tc>
          <w:tcPr>
            <w:tcW w:w="1814" w:type="dxa"/>
            <w:vMerge/>
            <w:shd w:val="clear" w:color="auto" w:fill="auto"/>
            <w:tcMar>
              <w:left w:w="0" w:type="dxa"/>
            </w:tcMar>
          </w:tcPr>
          <w:p w14:paraId="208F69F5" w14:textId="77777777" w:rsidR="00C30314" w:rsidRPr="00884D55" w:rsidRDefault="00C30314" w:rsidP="00C30314">
            <w:pPr>
              <w:pStyle w:val="Marginlie"/>
              <w:rPr>
                <w:lang w:val="en-GB"/>
              </w:rPr>
            </w:pPr>
          </w:p>
        </w:tc>
        <w:tc>
          <w:tcPr>
            <w:tcW w:w="229" w:type="dxa"/>
            <w:vMerge/>
            <w:shd w:val="clear" w:color="auto" w:fill="auto"/>
            <w:tcMar>
              <w:left w:w="0" w:type="dxa"/>
            </w:tcMar>
          </w:tcPr>
          <w:p w14:paraId="38E09E2B" w14:textId="77777777" w:rsidR="00C30314" w:rsidRPr="00884D55" w:rsidRDefault="00C30314" w:rsidP="00C30314">
            <w:pPr>
              <w:pStyle w:val="Textpoznpodarou"/>
              <w:jc w:val="both"/>
              <w:rPr>
                <w:spacing w:val="-4"/>
                <w:lang w:val="en-GB"/>
              </w:rPr>
            </w:pPr>
          </w:p>
        </w:tc>
        <w:tc>
          <w:tcPr>
            <w:tcW w:w="7596" w:type="dxa"/>
            <w:shd w:val="clear" w:color="auto" w:fill="auto"/>
            <w:tcMar>
              <w:left w:w="0" w:type="dxa"/>
            </w:tcMar>
          </w:tcPr>
          <w:p w14:paraId="1C209A03" w14:textId="77777777" w:rsidR="00C30314" w:rsidRPr="00884D55" w:rsidRDefault="00C30314" w:rsidP="00C30314">
            <w:pPr>
              <w:tabs>
                <w:tab w:val="right" w:pos="7683"/>
              </w:tabs>
              <w:spacing w:after="0" w:line="240" w:lineRule="auto"/>
              <w:rPr>
                <w:rFonts w:cs="Arial"/>
                <w:sz w:val="14"/>
                <w:szCs w:val="14"/>
                <w:lang w:val="en-GB"/>
              </w:rPr>
            </w:pPr>
            <w:r w:rsidRPr="00884D55">
              <w:rPr>
                <w:rFonts w:cs="Arial"/>
                <w:spacing w:val="-2"/>
                <w:sz w:val="14"/>
                <w:szCs w:val="14"/>
                <w:lang w:val="en-GB"/>
              </w:rPr>
              <w:t>*</w:t>
            </w:r>
            <w:bookmarkStart w:id="15" w:name="_Hlk194272779"/>
            <w:r w:rsidRPr="00884D55">
              <w:rPr>
                <w:rFonts w:cs="Arial"/>
                <w:spacing w:val="-2"/>
                <w:sz w:val="14"/>
                <w:szCs w:val="14"/>
                <w:lang w:val="en-GB"/>
              </w:rPr>
              <w:t xml:space="preserve">Contribution of the remaining manufacturing industry also includes the effect of the overall methodological discrepancy stemming from the change of weights. </w:t>
            </w:r>
            <w:bookmarkEnd w:id="15"/>
          </w:p>
          <w:p w14:paraId="0F20D2C1" w14:textId="0D3CC18C" w:rsidR="00C30314" w:rsidRPr="00187B31" w:rsidRDefault="00187B31" w:rsidP="00187B31">
            <w:pPr>
              <w:tabs>
                <w:tab w:val="right" w:pos="7683"/>
              </w:tabs>
              <w:spacing w:after="200" w:line="240" w:lineRule="auto"/>
              <w:jc w:val="left"/>
              <w:rPr>
                <w:rFonts w:cs="Arial"/>
                <w:sz w:val="14"/>
                <w:szCs w:val="14"/>
                <w:lang w:val="en-GB"/>
              </w:rPr>
            </w:pPr>
            <w:r>
              <w:rPr>
                <w:rFonts w:cs="Arial"/>
                <w:sz w:val="14"/>
                <w:szCs w:val="14"/>
                <w:lang w:val="en-GB"/>
              </w:rPr>
              <w:t>Source: CZSO, Eurostat</w:t>
            </w:r>
          </w:p>
        </w:tc>
      </w:tr>
      <w:tr w:rsidR="00315D45" w:rsidRPr="00884D55" w14:paraId="5AF5CAEE" w14:textId="77777777" w:rsidTr="00803507">
        <w:trPr>
          <w:trHeight w:val="134"/>
        </w:trPr>
        <w:tc>
          <w:tcPr>
            <w:tcW w:w="1814" w:type="dxa"/>
            <w:shd w:val="clear" w:color="auto" w:fill="auto"/>
            <w:tcMar>
              <w:left w:w="0" w:type="dxa"/>
            </w:tcMar>
          </w:tcPr>
          <w:p w14:paraId="4FDC980A" w14:textId="77777777" w:rsidR="00315D45" w:rsidRPr="00884D55" w:rsidRDefault="00315D45" w:rsidP="00315D45">
            <w:pPr>
              <w:pStyle w:val="Marginlie"/>
              <w:rPr>
                <w:color w:val="0D0D0D" w:themeColor="text1" w:themeTint="F2"/>
                <w:spacing w:val="-4"/>
                <w:lang w:val="en-GB"/>
              </w:rPr>
            </w:pPr>
            <w:r w:rsidRPr="00884D55">
              <w:rPr>
                <w:color w:val="0D0D0D" w:themeColor="text1" w:themeTint="F2"/>
                <w:spacing w:val="-4"/>
                <w:lang w:val="en-GB"/>
              </w:rPr>
              <w:t xml:space="preserve">Some more energy-intensive industries focused on the production of intermediate products revived last year. </w:t>
            </w:r>
          </w:p>
          <w:p w14:paraId="5CC191EC" w14:textId="77777777" w:rsidR="00315D45" w:rsidRPr="00884D55" w:rsidRDefault="00315D45" w:rsidP="00315D45">
            <w:pPr>
              <w:pStyle w:val="Marginlie"/>
              <w:rPr>
                <w:color w:val="0D0D0D" w:themeColor="text1" w:themeTint="F2"/>
                <w:spacing w:val="-4"/>
                <w:lang w:val="en-GB"/>
              </w:rPr>
            </w:pPr>
          </w:p>
          <w:p w14:paraId="0907DFDB" w14:textId="77777777" w:rsidR="00315D45" w:rsidRPr="00884D55" w:rsidRDefault="00315D45" w:rsidP="00315D45">
            <w:pPr>
              <w:pStyle w:val="Marginlie"/>
              <w:rPr>
                <w:color w:val="0D0D0D" w:themeColor="text1" w:themeTint="F2"/>
                <w:spacing w:val="-4"/>
                <w:lang w:val="en-GB"/>
              </w:rPr>
            </w:pPr>
          </w:p>
          <w:p w14:paraId="0E23953A" w14:textId="77777777" w:rsidR="00315D45" w:rsidRPr="00884D55" w:rsidRDefault="00315D45" w:rsidP="00315D45">
            <w:pPr>
              <w:pStyle w:val="Marginlie"/>
              <w:rPr>
                <w:color w:val="0D0D0D" w:themeColor="text1" w:themeTint="F2"/>
                <w:spacing w:val="-4"/>
                <w:lang w:val="en-GB"/>
              </w:rPr>
            </w:pPr>
          </w:p>
          <w:p w14:paraId="06207C2F" w14:textId="77777777" w:rsidR="00315D45" w:rsidRPr="00884D55" w:rsidRDefault="00315D45" w:rsidP="00315D45">
            <w:pPr>
              <w:pStyle w:val="Marginlie"/>
              <w:rPr>
                <w:color w:val="0D0D0D" w:themeColor="text1" w:themeTint="F2"/>
                <w:spacing w:val="-4"/>
                <w:lang w:val="en-GB"/>
              </w:rPr>
            </w:pPr>
          </w:p>
          <w:p w14:paraId="7DC1F62F" w14:textId="2748CDB3" w:rsidR="00315D45" w:rsidRPr="00884D55" w:rsidRDefault="00315D45" w:rsidP="00315D45">
            <w:pPr>
              <w:pStyle w:val="Marginlie"/>
              <w:rPr>
                <w:lang w:val="en-GB"/>
              </w:rPr>
            </w:pPr>
            <w:r w:rsidRPr="00884D55">
              <w:rPr>
                <w:color w:val="0D0D0D" w:themeColor="text1" w:themeTint="F2"/>
                <w:spacing w:val="-4"/>
                <w:lang w:val="en-GB"/>
              </w:rPr>
              <w:t xml:space="preserve">The modest but steady growth of the electronics industry continued thanks to both domestic and external demand. </w:t>
            </w:r>
          </w:p>
        </w:tc>
        <w:tc>
          <w:tcPr>
            <w:tcW w:w="229" w:type="dxa"/>
            <w:shd w:val="clear" w:color="auto" w:fill="auto"/>
            <w:tcMar>
              <w:left w:w="0" w:type="dxa"/>
            </w:tcMar>
          </w:tcPr>
          <w:p w14:paraId="150E7292" w14:textId="77777777" w:rsidR="00315D45" w:rsidRPr="00884D55" w:rsidRDefault="00315D45" w:rsidP="00315D45">
            <w:pPr>
              <w:pStyle w:val="Textpoznpodarou"/>
              <w:jc w:val="both"/>
              <w:rPr>
                <w:spacing w:val="-4"/>
                <w:lang w:val="en-GB"/>
              </w:rPr>
            </w:pPr>
          </w:p>
        </w:tc>
        <w:tc>
          <w:tcPr>
            <w:tcW w:w="7596" w:type="dxa"/>
            <w:shd w:val="clear" w:color="auto" w:fill="auto"/>
            <w:tcMar>
              <w:left w:w="0" w:type="dxa"/>
            </w:tcMar>
          </w:tcPr>
          <w:p w14:paraId="664E0A80" w14:textId="52A142C4" w:rsidR="00315D45" w:rsidRPr="00884D55" w:rsidRDefault="00315D45" w:rsidP="00315D45">
            <w:pPr>
              <w:spacing w:after="220"/>
              <w:rPr>
                <w:color w:val="0D0D0D" w:themeColor="text1" w:themeTint="F2"/>
                <w:spacing w:val="-4"/>
                <w:lang w:val="en-GB"/>
              </w:rPr>
            </w:pPr>
            <w:r w:rsidRPr="00884D55">
              <w:rPr>
                <w:color w:val="0D0D0D" w:themeColor="text1" w:themeTint="F2"/>
                <w:spacing w:val="-4"/>
                <w:lang w:val="en-GB"/>
              </w:rPr>
              <w:t xml:space="preserve">After a slump in 2023, some of the more energy-intensive industries focused on the manufacturing of intermediate products recovered last year. Output of the chemical industry increased for the first time in the last three years (+1.0%), solely due to the recovery of domestic demand. An even more significant shift occurred in the manufacturing of non-metal mineral products, where after a 17% drop </w:t>
            </w:r>
            <w:r>
              <w:rPr>
                <w:color w:val="0D0D0D" w:themeColor="text1" w:themeTint="F2"/>
                <w:spacing w:val="-4"/>
                <w:lang w:val="en-GB"/>
              </w:rPr>
              <w:t xml:space="preserve">in 2023 </w:t>
            </w:r>
            <w:r w:rsidRPr="00884D55">
              <w:rPr>
                <w:color w:val="0D0D0D" w:themeColor="text1" w:themeTint="F2"/>
                <w:spacing w:val="-4"/>
                <w:lang w:val="en-GB"/>
              </w:rPr>
              <w:t xml:space="preserve">(the deepest </w:t>
            </w:r>
            <w:r>
              <w:rPr>
                <w:color w:val="0D0D0D" w:themeColor="text1" w:themeTint="F2"/>
                <w:spacing w:val="-4"/>
                <w:lang w:val="en-GB"/>
              </w:rPr>
              <w:t xml:space="preserve">slump </w:t>
            </w:r>
            <w:r w:rsidRPr="00884D55">
              <w:rPr>
                <w:color w:val="0D0D0D" w:themeColor="text1" w:themeTint="F2"/>
                <w:spacing w:val="-4"/>
                <w:lang w:val="en-GB"/>
              </w:rPr>
              <w:t>after 2009), the output fell by less than 1%, year-on-year, as a result of</w:t>
            </w:r>
            <w:r>
              <w:rPr>
                <w:color w:val="0D0D0D" w:themeColor="text1" w:themeTint="F2"/>
                <w:spacing w:val="-4"/>
                <w:lang w:val="en-GB"/>
              </w:rPr>
              <w:t xml:space="preserve"> improving demand in</w:t>
            </w:r>
            <w:r w:rsidRPr="00884D55">
              <w:rPr>
                <w:color w:val="0D0D0D" w:themeColor="text1" w:themeTint="F2"/>
                <w:spacing w:val="-4"/>
                <w:lang w:val="en-GB"/>
              </w:rPr>
              <w:t xml:space="preserve"> the domestic const</w:t>
            </w:r>
            <w:r w:rsidR="000024D3">
              <w:rPr>
                <w:color w:val="0D0D0D" w:themeColor="text1" w:themeTint="F2"/>
                <w:spacing w:val="-4"/>
                <w:lang w:val="en-GB"/>
              </w:rPr>
              <w:t>ruction industry. Output</w:t>
            </w:r>
            <w:r w:rsidRPr="00884D55">
              <w:rPr>
                <w:color w:val="0D0D0D" w:themeColor="text1" w:themeTint="F2"/>
                <w:spacing w:val="-4"/>
                <w:lang w:val="en-GB"/>
              </w:rPr>
              <w:t xml:space="preserve"> of the impo</w:t>
            </w:r>
            <w:r w:rsidR="000024D3">
              <w:rPr>
                <w:color w:val="0D0D0D" w:themeColor="text1" w:themeTint="F2"/>
                <w:spacing w:val="-4"/>
                <w:lang w:val="en-GB"/>
              </w:rPr>
              <w:t>rtant sector of the fabricated metal products</w:t>
            </w:r>
            <w:r w:rsidRPr="00884D55">
              <w:rPr>
                <w:color w:val="0D0D0D" w:themeColor="text1" w:themeTint="F2"/>
                <w:spacing w:val="-4"/>
                <w:lang w:val="en-GB"/>
              </w:rPr>
              <w:t xml:space="preserve"> grew at a moderate 1% rate last year. The strengthening of external demand had a favourable effect, while the domestic demand was aided by the strengthening of arms production. S</w:t>
            </w:r>
            <w:r>
              <w:rPr>
                <w:color w:val="0D0D0D" w:themeColor="text1" w:themeTint="F2"/>
                <w:spacing w:val="-4"/>
                <w:lang w:val="en-GB"/>
              </w:rPr>
              <w:t xml:space="preserve">ectors that are relatively more dependant </w:t>
            </w:r>
            <w:r w:rsidRPr="00884D55">
              <w:rPr>
                <w:color w:val="0D0D0D" w:themeColor="text1" w:themeTint="F2"/>
                <w:spacing w:val="-4"/>
                <w:lang w:val="en-GB"/>
              </w:rPr>
              <w:t xml:space="preserve">on the domestic demand were also successful – the output of the wood processing industry went up by 3.1% (the highest </w:t>
            </w:r>
            <w:r>
              <w:rPr>
                <w:color w:val="0D0D0D" w:themeColor="text1" w:themeTint="F2"/>
                <w:spacing w:val="-4"/>
                <w:lang w:val="en-GB"/>
              </w:rPr>
              <w:t xml:space="preserve">pace </w:t>
            </w:r>
            <w:r w:rsidRPr="00884D55">
              <w:rPr>
                <w:color w:val="0D0D0D" w:themeColor="text1" w:themeTint="F2"/>
                <w:spacing w:val="-4"/>
                <w:lang w:val="en-GB"/>
              </w:rPr>
              <w:t xml:space="preserve">in the last six years), and by 4.2% in the paper industry. Among the sectors </w:t>
            </w:r>
            <w:r>
              <w:rPr>
                <w:color w:val="0D0D0D" w:themeColor="text1" w:themeTint="F2"/>
                <w:spacing w:val="-4"/>
                <w:lang w:val="en-GB"/>
              </w:rPr>
              <w:t xml:space="preserve">aimed at </w:t>
            </w:r>
            <w:r w:rsidRPr="00884D55">
              <w:rPr>
                <w:color w:val="0D0D0D" w:themeColor="text1" w:themeTint="F2"/>
                <w:spacing w:val="-4"/>
                <w:lang w:val="en-GB"/>
              </w:rPr>
              <w:t xml:space="preserve">manufacturing mostly the investment products, only manufacturing of computers, electronic and optical appliances and equipment strengthened last year (+4.7%), where a slight increase of output persisted for the fourth year in a row. This import-intensive and at the same time also strongly export-oriented high-tech sector has been supported by strengthening domestic demand associated with the development of photovoltaics in the recent years as well. </w:t>
            </w:r>
          </w:p>
        </w:tc>
      </w:tr>
      <w:tr w:rsidR="00315D45" w:rsidRPr="00884D55" w14:paraId="0EF3FD89" w14:textId="77777777" w:rsidTr="00803507">
        <w:trPr>
          <w:trHeight w:val="134"/>
        </w:trPr>
        <w:tc>
          <w:tcPr>
            <w:tcW w:w="1814" w:type="dxa"/>
            <w:shd w:val="clear" w:color="auto" w:fill="auto"/>
            <w:tcMar>
              <w:left w:w="0" w:type="dxa"/>
            </w:tcMar>
          </w:tcPr>
          <w:p w14:paraId="70D075D8" w14:textId="77777777" w:rsidR="00315D45" w:rsidRPr="00884D55" w:rsidRDefault="00315D45" w:rsidP="00315D45">
            <w:pPr>
              <w:pStyle w:val="Marginlie"/>
              <w:rPr>
                <w:lang w:val="en-GB"/>
              </w:rPr>
            </w:pPr>
            <w:r w:rsidRPr="00884D55">
              <w:rPr>
                <w:lang w:val="en-GB"/>
              </w:rPr>
              <w:t xml:space="preserve">Decrease of the industrial output deepened slightly in the EU last year. The recession thus affected two-thirds of the member states in this branch. The industrial output downturn continued in Germany for the third year in a row and it was the third deepest among member states last year.   </w:t>
            </w:r>
          </w:p>
        </w:tc>
        <w:tc>
          <w:tcPr>
            <w:tcW w:w="229" w:type="dxa"/>
            <w:shd w:val="clear" w:color="auto" w:fill="auto"/>
            <w:tcMar>
              <w:left w:w="0" w:type="dxa"/>
            </w:tcMar>
          </w:tcPr>
          <w:p w14:paraId="0845D017" w14:textId="77777777" w:rsidR="00315D45" w:rsidRPr="00884D55" w:rsidRDefault="00315D45" w:rsidP="00315D45">
            <w:pPr>
              <w:pStyle w:val="Textpoznpodarou"/>
              <w:jc w:val="both"/>
              <w:rPr>
                <w:spacing w:val="-4"/>
                <w:lang w:val="en-GB"/>
              </w:rPr>
            </w:pPr>
          </w:p>
        </w:tc>
        <w:tc>
          <w:tcPr>
            <w:tcW w:w="7596" w:type="dxa"/>
            <w:shd w:val="clear" w:color="auto" w:fill="auto"/>
            <w:tcMar>
              <w:left w:w="0" w:type="dxa"/>
            </w:tcMar>
          </w:tcPr>
          <w:p w14:paraId="794CB621" w14:textId="1BE107FC" w:rsidR="00315D45" w:rsidRPr="00884D55" w:rsidRDefault="00315D45" w:rsidP="000024D3">
            <w:pPr>
              <w:spacing w:after="220"/>
              <w:rPr>
                <w:color w:val="0D0D0D" w:themeColor="text1" w:themeTint="F2"/>
                <w:spacing w:val="-4"/>
                <w:lang w:val="en-GB"/>
              </w:rPr>
            </w:pPr>
            <w:r w:rsidRPr="00884D55">
              <w:rPr>
                <w:color w:val="0D0D0D" w:themeColor="text1" w:themeTint="F2"/>
                <w:spacing w:val="-4"/>
                <w:lang w:val="en-GB"/>
              </w:rPr>
              <w:t>The current difficulties of industry in the Czech Republic are largely related to the adverse development of this br</w:t>
            </w:r>
            <w:r w:rsidR="000024D3">
              <w:rPr>
                <w:color w:val="0D0D0D" w:themeColor="text1" w:themeTint="F2"/>
                <w:spacing w:val="-4"/>
                <w:lang w:val="en-GB"/>
              </w:rPr>
              <w:t>anch in the majority of EU</w:t>
            </w:r>
            <w:r w:rsidRPr="00884D55">
              <w:rPr>
                <w:color w:val="0D0D0D" w:themeColor="text1" w:themeTint="F2"/>
                <w:spacing w:val="-4"/>
                <w:lang w:val="en-GB"/>
              </w:rPr>
              <w:t xml:space="preserve"> countries. In the euro area alone, the industrial production fell by 0.3%, quarter-on-quarter, in Q4 2024 and fell already for the seventh consecutive quarter. The year-on-year slump in performance has persisted for the same period of time. Industrial production decreased by 2.4% in the EU for the whole last year and its volume was comparable to year 2019. The performance of investment-oriented sectors (−4.5%, mainly manufacturing of motor vehicles and engineering) stood </w:t>
            </w:r>
            <w:r w:rsidR="000024D3">
              <w:rPr>
                <w:color w:val="0D0D0D" w:themeColor="text1" w:themeTint="F2"/>
                <w:spacing w:val="-4"/>
                <w:lang w:val="en-GB"/>
              </w:rPr>
              <w:t xml:space="preserve">mainly </w:t>
            </w:r>
            <w:r w:rsidRPr="00884D55">
              <w:rPr>
                <w:color w:val="0D0D0D" w:themeColor="text1" w:themeTint="F2"/>
                <w:spacing w:val="-4"/>
                <w:lang w:val="en-GB"/>
              </w:rPr>
              <w:t>behind the lower performance last year, similarly to the Czech Republic. A noticeable downturn also afflicted the sectors manufacturing intermediate goods (−3.4%, mainly electrical engineering, textile industry and m</w:t>
            </w:r>
            <w:r w:rsidRPr="000024D3">
              <w:rPr>
                <w:color w:val="0D0D0D" w:themeColor="text1" w:themeTint="F2"/>
                <w:spacing w:val="-4"/>
                <w:lang w:val="en-GB"/>
              </w:rPr>
              <w:t>etalworking</w:t>
            </w:r>
            <w:r w:rsidRPr="00884D55">
              <w:rPr>
                <w:color w:val="0D0D0D" w:themeColor="text1" w:themeTint="F2"/>
                <w:spacing w:val="-4"/>
                <w:lang w:val="en-GB"/>
              </w:rPr>
              <w:t xml:space="preserve">) or durable goods (−3.3%, primarily the manufacturing of furniture), while the recession in contrast avoided the sectors aimed at short-term consumption (+1.8%, especially food industry, pharmaceuticals and tobacco industry), where production strengthened for the fourth year in a row and was 15% higher than the pre-pandemic peak. From the point of view of the member states, the total industrial output decreased the most in Austria (−5.1%) and Ireland (−5.0%) last year, and among the key producers then in Germany (−4.6%, by 6.7% </w:t>
            </w:r>
            <w:r w:rsidR="000024D3">
              <w:rPr>
                <w:color w:val="0D0D0D" w:themeColor="text1" w:themeTint="F2"/>
                <w:spacing w:val="-4"/>
                <w:lang w:val="en-GB"/>
              </w:rPr>
              <w:t xml:space="preserve">in totoal </w:t>
            </w:r>
            <w:r w:rsidRPr="00884D55">
              <w:rPr>
                <w:color w:val="0D0D0D" w:themeColor="text1" w:themeTint="F2"/>
                <w:spacing w:val="-4"/>
                <w:lang w:val="en-GB"/>
              </w:rPr>
              <w:t xml:space="preserve">for the last three years) and Italy (−4.0%). With the exception of Poland (+0.5%) and Slovakia (+0.3%), industrial performance declined in all Central European countries. Its growth occurred only in less than a </w:t>
            </w:r>
            <w:r w:rsidR="000024D3">
              <w:rPr>
                <w:color w:val="0D0D0D" w:themeColor="text1" w:themeTint="F2"/>
                <w:spacing w:val="-4"/>
                <w:lang w:val="en-GB"/>
              </w:rPr>
              <w:t xml:space="preserve">one </w:t>
            </w:r>
            <w:r w:rsidRPr="00884D55">
              <w:rPr>
                <w:color w:val="0D0D0D" w:themeColor="text1" w:themeTint="F2"/>
                <w:spacing w:val="-4"/>
                <w:lang w:val="en-GB"/>
              </w:rPr>
              <w:t xml:space="preserve">third of the Union member states – mainly in Denmark (+8.3%) and Greece (+5.2%), but among the key economies only in Spain (+0.5%).  </w:t>
            </w:r>
          </w:p>
        </w:tc>
      </w:tr>
      <w:tr w:rsidR="00315D45" w:rsidRPr="00884D55" w14:paraId="47E81798" w14:textId="77777777" w:rsidTr="00803507">
        <w:trPr>
          <w:trHeight w:val="134"/>
        </w:trPr>
        <w:tc>
          <w:tcPr>
            <w:tcW w:w="1814" w:type="dxa"/>
            <w:shd w:val="clear" w:color="auto" w:fill="auto"/>
            <w:tcMar>
              <w:left w:w="0" w:type="dxa"/>
            </w:tcMar>
          </w:tcPr>
          <w:p w14:paraId="415239D3" w14:textId="0E697E68" w:rsidR="00315D45" w:rsidRPr="00884D55" w:rsidRDefault="00315D45" w:rsidP="00315D45">
            <w:pPr>
              <w:pStyle w:val="Marginlie"/>
              <w:rPr>
                <w:lang w:val="en-GB"/>
              </w:rPr>
            </w:pPr>
            <w:r w:rsidRPr="00884D55">
              <w:rPr>
                <w:lang w:val="en-GB"/>
              </w:rPr>
              <w:t xml:space="preserve">The growth of the value of </w:t>
            </w:r>
            <w:r w:rsidR="000024D3">
              <w:rPr>
                <w:lang w:val="en-GB"/>
              </w:rPr>
              <w:t xml:space="preserve">new </w:t>
            </w:r>
            <w:r w:rsidRPr="00884D55">
              <w:rPr>
                <w:lang w:val="en-GB"/>
              </w:rPr>
              <w:t xml:space="preserve">orders gradually weakened in industry during last year and almost ceased in Q4. </w:t>
            </w:r>
          </w:p>
          <w:p w14:paraId="0A813151" w14:textId="77777777" w:rsidR="00315D45" w:rsidRPr="00884D55" w:rsidRDefault="00315D45" w:rsidP="00315D45">
            <w:pPr>
              <w:pStyle w:val="Marginlie"/>
              <w:rPr>
                <w:lang w:val="en-GB"/>
              </w:rPr>
            </w:pPr>
          </w:p>
          <w:p w14:paraId="194DA5DA" w14:textId="77777777" w:rsidR="00315D45" w:rsidRPr="00884D55" w:rsidRDefault="00315D45" w:rsidP="00315D45">
            <w:pPr>
              <w:pStyle w:val="Marginlie"/>
              <w:rPr>
                <w:lang w:val="en-GB"/>
              </w:rPr>
            </w:pPr>
          </w:p>
          <w:p w14:paraId="52E0633A" w14:textId="77777777" w:rsidR="00315D45" w:rsidRPr="00884D55" w:rsidRDefault="00315D45" w:rsidP="00315D45">
            <w:pPr>
              <w:pStyle w:val="Marginlie"/>
              <w:rPr>
                <w:lang w:val="en-GB"/>
              </w:rPr>
            </w:pPr>
          </w:p>
          <w:p w14:paraId="054B8968" w14:textId="77777777" w:rsidR="00315D45" w:rsidRPr="00884D55" w:rsidRDefault="00315D45" w:rsidP="00315D45">
            <w:pPr>
              <w:pStyle w:val="Marginlie"/>
              <w:rPr>
                <w:lang w:val="en-GB"/>
              </w:rPr>
            </w:pPr>
          </w:p>
          <w:p w14:paraId="3DE30C62" w14:textId="77777777" w:rsidR="00315D45" w:rsidRPr="00884D55" w:rsidRDefault="00315D45" w:rsidP="00315D45">
            <w:pPr>
              <w:pStyle w:val="Marginlie"/>
              <w:rPr>
                <w:lang w:val="en-GB"/>
              </w:rPr>
            </w:pPr>
          </w:p>
          <w:p w14:paraId="4A5EEEE2" w14:textId="77777777" w:rsidR="00315D45" w:rsidRPr="00884D55" w:rsidRDefault="00315D45" w:rsidP="00315D45">
            <w:pPr>
              <w:pStyle w:val="Marginlie"/>
              <w:rPr>
                <w:lang w:val="en-GB"/>
              </w:rPr>
            </w:pPr>
          </w:p>
          <w:p w14:paraId="36FF216E" w14:textId="77777777" w:rsidR="00315D45" w:rsidRPr="00884D55" w:rsidRDefault="00315D45" w:rsidP="00315D45">
            <w:pPr>
              <w:pStyle w:val="Marginlie"/>
              <w:rPr>
                <w:lang w:val="en-GB"/>
              </w:rPr>
            </w:pPr>
            <w:r w:rsidRPr="00884D55">
              <w:rPr>
                <w:lang w:val="en-GB"/>
              </w:rPr>
              <w:t xml:space="preserve">A slight recovery occurred in the chemical and metalworking industries. However, weak demand persisted in both metallurgy and engineering. </w:t>
            </w:r>
          </w:p>
        </w:tc>
        <w:tc>
          <w:tcPr>
            <w:tcW w:w="229" w:type="dxa"/>
            <w:shd w:val="clear" w:color="auto" w:fill="auto"/>
            <w:tcMar>
              <w:left w:w="0" w:type="dxa"/>
            </w:tcMar>
          </w:tcPr>
          <w:p w14:paraId="74B23DD1" w14:textId="77777777" w:rsidR="00315D45" w:rsidRPr="00884D55" w:rsidRDefault="00315D45" w:rsidP="00315D45">
            <w:pPr>
              <w:pStyle w:val="Textpoznpodarou"/>
              <w:jc w:val="both"/>
              <w:rPr>
                <w:spacing w:val="-4"/>
                <w:lang w:val="en-GB"/>
              </w:rPr>
            </w:pPr>
          </w:p>
        </w:tc>
        <w:tc>
          <w:tcPr>
            <w:tcW w:w="7596" w:type="dxa"/>
            <w:shd w:val="clear" w:color="auto" w:fill="auto"/>
            <w:tcMar>
              <w:left w:w="0" w:type="dxa"/>
            </w:tcMar>
          </w:tcPr>
          <w:p w14:paraId="74FA785A" w14:textId="39EC28E7" w:rsidR="00315D45" w:rsidRPr="00884D55" w:rsidRDefault="00315D45" w:rsidP="00315D45">
            <w:pPr>
              <w:spacing w:after="220"/>
              <w:rPr>
                <w:color w:val="0D0D0D" w:themeColor="text1" w:themeTint="F2"/>
                <w:spacing w:val="-4"/>
                <w:lang w:val="en-GB"/>
              </w:rPr>
            </w:pPr>
            <w:r w:rsidRPr="00884D55">
              <w:rPr>
                <w:color w:val="0D0D0D" w:themeColor="text1" w:themeTint="F2"/>
                <w:spacing w:val="-4"/>
                <w:lang w:val="en-GB"/>
              </w:rPr>
              <w:t>The dynamics of new industrial orders indicated a slight recovery at the beginning of the last year, nevertheless it gradually faded. The year-on-year growth of the nom</w:t>
            </w:r>
            <w:r w:rsidR="00BE1EB2">
              <w:rPr>
                <w:color w:val="0D0D0D" w:themeColor="text1" w:themeTint="F2"/>
                <w:spacing w:val="-4"/>
                <w:lang w:val="en-GB"/>
              </w:rPr>
              <w:t>inal value of orders almost halted in the selected</w:t>
            </w:r>
            <w:r w:rsidRPr="00884D55">
              <w:rPr>
                <w:color w:val="0D0D0D" w:themeColor="text1" w:themeTint="F2"/>
                <w:spacing w:val="-4"/>
                <w:lang w:val="en-GB"/>
              </w:rPr>
              <w:t xml:space="preserve"> industrial activities</w:t>
            </w:r>
            <w:r w:rsidRPr="00884D55">
              <w:rPr>
                <w:rStyle w:val="Znakapoznpodarou"/>
                <w:color w:val="0D0D0D" w:themeColor="text1" w:themeTint="F2"/>
                <w:spacing w:val="-4"/>
                <w:lang w:val="en-GB"/>
              </w:rPr>
              <w:footnoteReference w:id="33"/>
            </w:r>
            <w:r w:rsidRPr="00884D55">
              <w:rPr>
                <w:color w:val="0D0D0D" w:themeColor="text1" w:themeTint="F2"/>
                <w:spacing w:val="-4"/>
                <w:lang w:val="en-GB"/>
              </w:rPr>
              <w:t xml:space="preserve"> in Q4 2024 (+1.2%), which essentially applied to both domestic and external demand. Even the quarter-on-quarter rates in the second half of the last year did not suggest an imminent positive </w:t>
            </w:r>
            <w:r w:rsidR="00BE1EB2">
              <w:rPr>
                <w:color w:val="0D0D0D" w:themeColor="text1" w:themeTint="F2"/>
                <w:spacing w:val="-4"/>
                <w:lang w:val="en-GB"/>
              </w:rPr>
              <w:t>turnaround. At the level of</w:t>
            </w:r>
            <w:r w:rsidRPr="00884D55">
              <w:rPr>
                <w:color w:val="0D0D0D" w:themeColor="text1" w:themeTint="F2"/>
                <w:spacing w:val="-4"/>
                <w:lang w:val="en-GB"/>
              </w:rPr>
              <w:t xml:space="preserve"> </w:t>
            </w:r>
            <w:r w:rsidR="00BE1EB2">
              <w:rPr>
                <w:color w:val="0D0D0D" w:themeColor="text1" w:themeTint="F2"/>
                <w:spacing w:val="-4"/>
                <w:lang w:val="en-GB"/>
              </w:rPr>
              <w:t xml:space="preserve">individual </w:t>
            </w:r>
            <w:r w:rsidRPr="00884D55">
              <w:rPr>
                <w:color w:val="0D0D0D" w:themeColor="text1" w:themeTint="F2"/>
                <w:spacing w:val="-4"/>
                <w:lang w:val="en-GB"/>
              </w:rPr>
              <w:t xml:space="preserve">industries, the only exceptions were the electronics industry, where the year-on-year growth of orders reached 13.2% in Q4 (9.9% for the whole year), and the manufacturing of other transport equipment, where demand grew by a third </w:t>
            </w:r>
            <w:r w:rsidR="00BE1EB2">
              <w:rPr>
                <w:color w:val="0D0D0D" w:themeColor="text1" w:themeTint="F2"/>
                <w:spacing w:val="-4"/>
                <w:lang w:val="en-GB"/>
              </w:rPr>
              <w:t xml:space="preserve">in Q4 </w:t>
            </w:r>
            <w:r w:rsidRPr="00884D55">
              <w:rPr>
                <w:color w:val="0D0D0D" w:themeColor="text1" w:themeTint="F2"/>
                <w:spacing w:val="-4"/>
                <w:lang w:val="en-GB"/>
              </w:rPr>
              <w:t>(by a quarter for the whole year</w:t>
            </w:r>
            <w:r w:rsidR="00BE1EB2">
              <w:rPr>
                <w:color w:val="0D0D0D" w:themeColor="text1" w:themeTint="F2"/>
                <w:spacing w:val="-4"/>
                <w:lang w:val="en-GB"/>
              </w:rPr>
              <w:t xml:space="preserve"> 2024</w:t>
            </w:r>
            <w:r w:rsidRPr="00884D55">
              <w:rPr>
                <w:color w:val="0D0D0D" w:themeColor="text1" w:themeTint="F2"/>
                <w:spacing w:val="-4"/>
                <w:lang w:val="en-GB"/>
              </w:rPr>
              <w:t xml:space="preserve">). The favourable prospects are based on strong domestic demand associated with the development of transport infrastructure as well as the modernization of the army here. The manufacturing of motor vehicles also maintained a slight growth (+6.1%) in the yearly perspective, however the volume of orders decreased </w:t>
            </w:r>
            <w:r w:rsidR="00BE1EB2">
              <w:rPr>
                <w:color w:val="0D0D0D" w:themeColor="text1" w:themeTint="F2"/>
                <w:spacing w:val="-4"/>
                <w:lang w:val="en-GB"/>
              </w:rPr>
              <w:t>(</w:t>
            </w:r>
            <w:r w:rsidRPr="00884D55">
              <w:rPr>
                <w:color w:val="0D0D0D" w:themeColor="text1" w:themeTint="F2"/>
                <w:spacing w:val="-4"/>
                <w:lang w:val="en-GB"/>
              </w:rPr>
              <w:t>by 1.5%</w:t>
            </w:r>
            <w:r w:rsidR="00BE1EB2">
              <w:rPr>
                <w:color w:val="0D0D0D" w:themeColor="text1" w:themeTint="F2"/>
                <w:spacing w:val="-4"/>
                <w:lang w:val="en-GB"/>
              </w:rPr>
              <w:t>)</w:t>
            </w:r>
            <w:r w:rsidRPr="00884D55">
              <w:rPr>
                <w:color w:val="0D0D0D" w:themeColor="text1" w:themeTint="F2"/>
                <w:spacing w:val="-4"/>
                <w:lang w:val="en-GB"/>
              </w:rPr>
              <w:t xml:space="preserve">, year-on-year in Q4 (for the first time in almost </w:t>
            </w:r>
            <w:r w:rsidR="00BE1EB2">
              <w:rPr>
                <w:color w:val="0D0D0D" w:themeColor="text1" w:themeTint="F2"/>
                <w:spacing w:val="-4"/>
                <w:lang w:val="en-GB"/>
              </w:rPr>
              <w:t xml:space="preserve">last </w:t>
            </w:r>
            <w:r w:rsidRPr="00884D55">
              <w:rPr>
                <w:color w:val="0D0D0D" w:themeColor="text1" w:themeTint="F2"/>
                <w:spacing w:val="-4"/>
                <w:lang w:val="en-GB"/>
              </w:rPr>
              <w:t xml:space="preserve">three years). The related field of electrical engineering was in a similar situation. On the contrary, the decrease continued in engineering for the second year in a row, amounting to 1.3% for the whole year 2024. Similar trends prevail </w:t>
            </w:r>
            <w:r w:rsidR="00BE1EB2">
              <w:rPr>
                <w:color w:val="0D0D0D" w:themeColor="text1" w:themeTint="F2"/>
                <w:spacing w:val="-4"/>
                <w:lang w:val="en-GB"/>
              </w:rPr>
              <w:t xml:space="preserve">laso </w:t>
            </w:r>
            <w:r w:rsidRPr="00884D55">
              <w:rPr>
                <w:color w:val="0D0D0D" w:themeColor="text1" w:themeTint="F2"/>
                <w:spacing w:val="-4"/>
                <w:lang w:val="en-GB"/>
              </w:rPr>
              <w:t xml:space="preserve">in the metallurgical industry, where the demand took a deeper dive. On the positive side, the demand recovered slightly in some important sectors of the chemical as well as metalworking industries, both in Q4 and in the full-year perspective. </w:t>
            </w:r>
          </w:p>
        </w:tc>
      </w:tr>
      <w:tr w:rsidR="00B01DC6" w:rsidRPr="00884D55" w14:paraId="35904C42" w14:textId="77777777" w:rsidTr="00803507">
        <w:trPr>
          <w:trHeight w:val="134"/>
        </w:trPr>
        <w:tc>
          <w:tcPr>
            <w:tcW w:w="1814" w:type="dxa"/>
            <w:shd w:val="clear" w:color="auto" w:fill="auto"/>
            <w:tcMar>
              <w:left w:w="0" w:type="dxa"/>
            </w:tcMar>
          </w:tcPr>
          <w:p w14:paraId="343CA63A" w14:textId="77777777" w:rsidR="00B01DC6" w:rsidRPr="00884D55" w:rsidRDefault="00B01DC6" w:rsidP="00B01DC6">
            <w:pPr>
              <w:pStyle w:val="Marginlie"/>
              <w:rPr>
                <w:color w:val="0D0D0D" w:themeColor="text1" w:themeTint="F2"/>
                <w:lang w:val="en-GB"/>
              </w:rPr>
            </w:pPr>
            <w:r w:rsidRPr="00884D55">
              <w:rPr>
                <w:color w:val="0D0D0D" w:themeColor="text1" w:themeTint="F2"/>
                <w:lang w:val="en-GB"/>
              </w:rPr>
              <w:t>Business confidence in industry remained low. Around 60% of companies already suffered from insufficient demand. Current and expected employment developments stay unfavourable.</w:t>
            </w:r>
          </w:p>
          <w:p w14:paraId="15C1CE1F" w14:textId="77777777" w:rsidR="00B01DC6" w:rsidRPr="00884D55" w:rsidRDefault="00B01DC6" w:rsidP="00B01DC6">
            <w:pPr>
              <w:pStyle w:val="Marginlie"/>
              <w:rPr>
                <w:color w:val="0D0D0D" w:themeColor="text1" w:themeTint="F2"/>
                <w:lang w:val="en-GB"/>
              </w:rPr>
            </w:pPr>
          </w:p>
          <w:p w14:paraId="470D46F0" w14:textId="77777777" w:rsidR="00B01DC6" w:rsidRPr="00884D55" w:rsidRDefault="00B01DC6" w:rsidP="00B01DC6">
            <w:pPr>
              <w:pStyle w:val="Marginlie"/>
              <w:rPr>
                <w:color w:val="0D0D0D" w:themeColor="text1" w:themeTint="F2"/>
                <w:lang w:val="en-GB"/>
              </w:rPr>
            </w:pPr>
          </w:p>
          <w:p w14:paraId="6367508F" w14:textId="77777777" w:rsidR="00B01DC6" w:rsidRPr="00884D55" w:rsidRDefault="00B01DC6" w:rsidP="00B01DC6">
            <w:pPr>
              <w:pStyle w:val="Marginlie"/>
              <w:rPr>
                <w:color w:val="0D0D0D" w:themeColor="text1" w:themeTint="F2"/>
                <w:lang w:val="en-GB"/>
              </w:rPr>
            </w:pPr>
          </w:p>
          <w:p w14:paraId="21021123" w14:textId="0D8A62F5" w:rsidR="00B01DC6" w:rsidRPr="00884D55" w:rsidRDefault="00B01DC6" w:rsidP="00B01DC6">
            <w:pPr>
              <w:pStyle w:val="Marginlie"/>
              <w:rPr>
                <w:lang w:val="en-GB"/>
              </w:rPr>
            </w:pPr>
            <w:r w:rsidRPr="00884D55">
              <w:rPr>
                <w:color w:val="0D0D0D" w:themeColor="text1" w:themeTint="F2"/>
                <w:lang w:val="en-GB"/>
              </w:rPr>
              <w:t xml:space="preserve">The utilisation of industrial production capacities decreased mildly, year-on-year, and lagged slightly also behind the level of the period 2015–2019. </w:t>
            </w:r>
          </w:p>
        </w:tc>
        <w:tc>
          <w:tcPr>
            <w:tcW w:w="229" w:type="dxa"/>
            <w:shd w:val="clear" w:color="auto" w:fill="auto"/>
            <w:tcMar>
              <w:left w:w="0" w:type="dxa"/>
            </w:tcMar>
          </w:tcPr>
          <w:p w14:paraId="67582987"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3C3E1AA0" w14:textId="1102FECA" w:rsidR="00B01DC6" w:rsidRPr="00884D55" w:rsidRDefault="00B01DC6" w:rsidP="00B01DC6">
            <w:pPr>
              <w:spacing w:after="220"/>
              <w:rPr>
                <w:b/>
                <w:spacing w:val="-2"/>
                <w:lang w:val="en-GB"/>
              </w:rPr>
            </w:pPr>
            <w:r w:rsidRPr="00884D55">
              <w:rPr>
                <w:color w:val="0D0D0D" w:themeColor="text1" w:themeTint="F2"/>
                <w:spacing w:val="-3"/>
                <w:lang w:val="en-GB"/>
              </w:rPr>
              <w:t>Business confidence in industry remained slightly in the negative band. It improved mildly during H1 2024, then rather fluctuated.</w:t>
            </w:r>
            <w:r>
              <w:rPr>
                <w:color w:val="0D0D0D" w:themeColor="text1" w:themeTint="F2"/>
                <w:spacing w:val="-3"/>
                <w:lang w:val="en-GB"/>
              </w:rPr>
              <w:t xml:space="preserve"> A fifth of companies rated their </w:t>
            </w:r>
            <w:r w:rsidRPr="00884D55">
              <w:rPr>
                <w:color w:val="0D0D0D" w:themeColor="text1" w:themeTint="F2"/>
                <w:spacing w:val="-3"/>
                <w:lang w:val="en-GB"/>
              </w:rPr>
              <w:t>current demand unfavourably, and more than 60% of companies have already identified it as one of the gro</w:t>
            </w:r>
            <w:r>
              <w:rPr>
                <w:color w:val="0D0D0D" w:themeColor="text1" w:themeTint="F2"/>
                <w:spacing w:val="-3"/>
                <w:lang w:val="en-GB"/>
              </w:rPr>
              <w:t xml:space="preserve">wth barriers in February 2025 (the same share </w:t>
            </w:r>
            <w:r w:rsidRPr="007A5CBD">
              <w:rPr>
                <w:color w:val="0D0D0D" w:themeColor="text1" w:themeTint="F2"/>
                <w:spacing w:val="-3"/>
                <w:lang w:val="en-GB"/>
              </w:rPr>
              <w:t>was evident</w:t>
            </w:r>
            <w:r>
              <w:rPr>
                <w:color w:val="0D0D0D" w:themeColor="text1" w:themeTint="F2"/>
                <w:spacing w:val="-3"/>
                <w:lang w:val="en-GB"/>
              </w:rPr>
              <w:t xml:space="preserve"> also in</w:t>
            </w:r>
            <w:r w:rsidRPr="00884D55">
              <w:rPr>
                <w:color w:val="0D0D0D" w:themeColor="text1" w:themeTint="F2"/>
                <w:spacing w:val="-3"/>
                <w:lang w:val="en-GB"/>
              </w:rPr>
              <w:t xml:space="preserve"> the pandemic year of 2020 or in year 2013). In contrast, the shortage of labour</w:t>
            </w:r>
            <w:r w:rsidRPr="00884D55">
              <w:rPr>
                <w:rStyle w:val="Znakapoznpodarou"/>
                <w:color w:val="0D0D0D" w:themeColor="text1" w:themeTint="F2"/>
                <w:spacing w:val="-3"/>
                <w:lang w:val="en-GB"/>
              </w:rPr>
              <w:footnoteReference w:id="34"/>
            </w:r>
            <w:r w:rsidRPr="00884D55">
              <w:rPr>
                <w:color w:val="0D0D0D" w:themeColor="text1" w:themeTint="F2"/>
                <w:spacing w:val="-3"/>
                <w:lang w:val="en-GB"/>
              </w:rPr>
              <w:t xml:space="preserve"> or materials and equipment</w:t>
            </w:r>
            <w:r w:rsidRPr="00884D55">
              <w:rPr>
                <w:rStyle w:val="Znakapoznpodarou"/>
                <w:color w:val="0D0D0D" w:themeColor="text1" w:themeTint="F2"/>
                <w:spacing w:val="-3"/>
                <w:lang w:val="en-GB"/>
              </w:rPr>
              <w:footnoteReference w:id="35"/>
            </w:r>
            <w:r w:rsidRPr="00884D55">
              <w:rPr>
                <w:color w:val="0D0D0D" w:themeColor="text1" w:themeTint="F2"/>
                <w:spacing w:val="-3"/>
                <w:lang w:val="en-GB"/>
              </w:rPr>
              <w:t>.</w:t>
            </w:r>
            <w:r>
              <w:rPr>
                <w:color w:val="0D0D0D" w:themeColor="text1" w:themeTint="F2"/>
                <w:spacing w:val="-3"/>
                <w:lang w:val="en-GB"/>
              </w:rPr>
              <w:t xml:space="preserve"> </w:t>
            </w:r>
            <w:r w:rsidRPr="007A5CBD">
              <w:rPr>
                <w:color w:val="0D0D0D" w:themeColor="text1" w:themeTint="F2"/>
                <w:spacing w:val="-3"/>
                <w:lang w:val="en-GB"/>
              </w:rPr>
              <w:t>plagued</w:t>
            </w:r>
            <w:r w:rsidRPr="00884D55">
              <w:rPr>
                <w:color w:val="0D0D0D" w:themeColor="text1" w:themeTint="F2"/>
                <w:spacing w:val="-3"/>
                <w:lang w:val="en-GB"/>
              </w:rPr>
              <w:t xml:space="preserve"> only a tenth of companies</w:t>
            </w:r>
            <w:r>
              <w:rPr>
                <w:color w:val="0D0D0D" w:themeColor="text1" w:themeTint="F2"/>
                <w:spacing w:val="-3"/>
                <w:lang w:val="en-GB"/>
              </w:rPr>
              <w:t>.</w:t>
            </w:r>
            <w:r w:rsidRPr="00884D55">
              <w:rPr>
                <w:color w:val="0D0D0D" w:themeColor="text1" w:themeTint="F2"/>
                <w:spacing w:val="-3"/>
                <w:lang w:val="en-GB"/>
              </w:rPr>
              <w:t xml:space="preserve"> Stabilisation of cost pressures</w:t>
            </w:r>
            <w:r w:rsidRPr="00884D55">
              <w:rPr>
                <w:rStyle w:val="Znakapoznpodarou"/>
                <w:color w:val="0D0D0D" w:themeColor="text1" w:themeTint="F2"/>
                <w:spacing w:val="-3"/>
                <w:lang w:val="en-GB"/>
              </w:rPr>
              <w:footnoteReference w:id="36"/>
            </w:r>
            <w:r w:rsidRPr="00884D55">
              <w:rPr>
                <w:color w:val="0D0D0D" w:themeColor="text1" w:themeTint="F2"/>
                <w:spacing w:val="-3"/>
                <w:lang w:val="en-GB"/>
              </w:rPr>
              <w:t xml:space="preserve"> and slightly optimistic production outlooks</w:t>
            </w:r>
            <w:r w:rsidRPr="00884D55">
              <w:rPr>
                <w:rStyle w:val="Znakapoznpodarou"/>
                <w:color w:val="0D0D0D" w:themeColor="text1" w:themeTint="F2"/>
                <w:spacing w:val="-3"/>
                <w:lang w:val="en-GB"/>
              </w:rPr>
              <w:footnoteReference w:id="37"/>
            </w:r>
            <w:r w:rsidRPr="00884D55">
              <w:rPr>
                <w:color w:val="0D0D0D" w:themeColor="text1" w:themeTint="F2"/>
                <w:spacing w:val="-3"/>
                <w:lang w:val="en-GB"/>
              </w:rPr>
              <w:t xml:space="preserve"> can be described as positive. Still, the employment expectations are negative</w:t>
            </w:r>
            <w:r w:rsidRPr="00884D55">
              <w:rPr>
                <w:rStyle w:val="Znakapoznpodarou"/>
                <w:color w:val="0D0D0D" w:themeColor="text1" w:themeTint="F2"/>
                <w:spacing w:val="-3"/>
                <w:lang w:val="en-GB"/>
              </w:rPr>
              <w:footnoteReference w:id="38"/>
            </w:r>
            <w:r w:rsidRPr="00884D55">
              <w:rPr>
                <w:color w:val="0D0D0D" w:themeColor="text1" w:themeTint="F2"/>
                <w:spacing w:val="-3"/>
                <w:lang w:val="en-GB"/>
              </w:rPr>
              <w:t xml:space="preserve"> and have in addition deteriorated slightly compared to last year. This is also in line with the real development in recent months (the registered number of employees in industry decreased by 1.6%, year-on-year, in Q1 to Q3 2024, while the pace of decline was more than double in mining, electrical engineering or machinery. The utilisation of production capacities attained </w:t>
            </w:r>
            <w:r w:rsidRPr="00884D55">
              <w:rPr>
                <w:color w:val="0D0D0D" w:themeColor="text1" w:themeTint="F2"/>
                <w:spacing w:val="-4"/>
                <w:lang w:val="en-GB"/>
              </w:rPr>
              <w:t>82.7% in the whole industry (it decreased slightly, year-on-year, and was 2 p. p. lower than the average for the expansion period 2015 to 2019).  The situation was, nevertheless, quite favourable in the motor vehicle manufacturing itself (93.1%), the current utilisation even exceeded the level of the last expansion here.</w:t>
            </w:r>
          </w:p>
        </w:tc>
      </w:tr>
      <w:tr w:rsidR="00B01DC6" w:rsidRPr="00884D55" w14:paraId="46E081F5" w14:textId="77777777" w:rsidTr="00803507">
        <w:trPr>
          <w:trHeight w:val="134"/>
        </w:trPr>
        <w:tc>
          <w:tcPr>
            <w:tcW w:w="1814" w:type="dxa"/>
            <w:vMerge w:val="restart"/>
            <w:shd w:val="clear" w:color="auto" w:fill="auto"/>
            <w:tcMar>
              <w:left w:w="0" w:type="dxa"/>
            </w:tcMar>
          </w:tcPr>
          <w:p w14:paraId="2DDE08A6" w14:textId="77777777" w:rsidR="00B01DC6" w:rsidRPr="00884D55" w:rsidRDefault="00B01DC6" w:rsidP="00B01DC6">
            <w:pPr>
              <w:pStyle w:val="Marginlie"/>
              <w:rPr>
                <w:lang w:val="en-GB"/>
              </w:rPr>
            </w:pPr>
          </w:p>
        </w:tc>
        <w:tc>
          <w:tcPr>
            <w:tcW w:w="229" w:type="dxa"/>
            <w:vMerge w:val="restart"/>
            <w:shd w:val="clear" w:color="auto" w:fill="auto"/>
            <w:tcMar>
              <w:left w:w="0" w:type="dxa"/>
            </w:tcMar>
          </w:tcPr>
          <w:p w14:paraId="39FE8765"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749D0548" w14:textId="77777777" w:rsidR="00B01DC6" w:rsidRPr="00884D55" w:rsidRDefault="00B01DC6" w:rsidP="00B01DC6">
            <w:pPr>
              <w:spacing w:after="0"/>
              <w:rPr>
                <w:color w:val="0D0D0D" w:themeColor="text1" w:themeTint="F2"/>
                <w:spacing w:val="-5"/>
                <w:lang w:val="en-GB"/>
              </w:rPr>
            </w:pPr>
            <w:r w:rsidRPr="00884D55">
              <w:rPr>
                <w:b/>
                <w:spacing w:val="-2"/>
                <w:lang w:val="en-GB"/>
              </w:rPr>
              <w:t xml:space="preserve">Chart 5 </w:t>
            </w:r>
            <w:r w:rsidRPr="00884D55">
              <w:rPr>
                <w:b/>
                <w:lang w:val="en-GB"/>
              </w:rPr>
              <w:t xml:space="preserve">New orders in industry </w:t>
            </w:r>
            <w:r w:rsidRPr="00884D55">
              <w:rPr>
                <w:bCs/>
                <w:lang w:val="en-GB"/>
              </w:rPr>
              <w:t xml:space="preserve">(nominal, year-on-year change in %), </w:t>
            </w:r>
            <w:r w:rsidRPr="00884D55">
              <w:rPr>
                <w:b/>
                <w:lang w:val="en-GB"/>
              </w:rPr>
              <w:t>utilisation of production capacities in industry, selected growth barriers*</w:t>
            </w:r>
            <w:r w:rsidRPr="00884D55">
              <w:rPr>
                <w:lang w:val="en-GB"/>
              </w:rPr>
              <w:t xml:space="preserve"> (in %, right axis) </w:t>
            </w:r>
            <w:r w:rsidRPr="00884D55">
              <w:rPr>
                <w:b/>
                <w:bCs/>
                <w:lang w:val="en-GB"/>
              </w:rPr>
              <w:t>and balance of business confidence indicator in industry*</w:t>
            </w:r>
            <w:r w:rsidRPr="00884D55">
              <w:rPr>
                <w:lang w:val="en-GB"/>
              </w:rPr>
              <w:t xml:space="preserve"> (in p.p., right axis)</w:t>
            </w:r>
          </w:p>
        </w:tc>
      </w:tr>
      <w:tr w:rsidR="00B01DC6" w:rsidRPr="00884D55" w14:paraId="4EB7F6CB" w14:textId="77777777" w:rsidTr="00B01DC6">
        <w:tblPrEx>
          <w:tblCellMar>
            <w:left w:w="70" w:type="dxa"/>
            <w:right w:w="70" w:type="dxa"/>
          </w:tblCellMar>
        </w:tblPrEx>
        <w:trPr>
          <w:trHeight w:val="133"/>
        </w:trPr>
        <w:tc>
          <w:tcPr>
            <w:tcW w:w="1814" w:type="dxa"/>
            <w:vMerge/>
            <w:shd w:val="clear" w:color="auto" w:fill="auto"/>
          </w:tcPr>
          <w:p w14:paraId="2DE675F0" w14:textId="77777777" w:rsidR="00B01DC6" w:rsidRPr="00884D55" w:rsidRDefault="00B01DC6" w:rsidP="00B01DC6">
            <w:pPr>
              <w:pStyle w:val="Marginlie"/>
              <w:rPr>
                <w:lang w:val="en-GB"/>
              </w:rPr>
            </w:pPr>
          </w:p>
        </w:tc>
        <w:tc>
          <w:tcPr>
            <w:tcW w:w="229" w:type="dxa"/>
            <w:vMerge/>
            <w:shd w:val="clear" w:color="auto" w:fill="auto"/>
          </w:tcPr>
          <w:p w14:paraId="7D473B2C" w14:textId="77777777" w:rsidR="00B01DC6" w:rsidRPr="00884D55" w:rsidRDefault="00B01DC6" w:rsidP="00B01DC6">
            <w:pPr>
              <w:pStyle w:val="Textpoznpodarou"/>
              <w:jc w:val="both"/>
              <w:rPr>
                <w:spacing w:val="-4"/>
                <w:lang w:val="en-GB"/>
              </w:rPr>
            </w:pPr>
          </w:p>
        </w:tc>
        <w:tc>
          <w:tcPr>
            <w:tcW w:w="7596" w:type="dxa"/>
            <w:shd w:val="clear" w:color="auto" w:fill="auto"/>
          </w:tcPr>
          <w:p w14:paraId="30B5EFA9" w14:textId="6BF13ABB" w:rsidR="00B01DC6" w:rsidRPr="00884D55" w:rsidRDefault="00B01DC6" w:rsidP="00B01DC6">
            <w:pPr>
              <w:spacing w:after="0"/>
              <w:rPr>
                <w:color w:val="0D0D0D" w:themeColor="text1" w:themeTint="F2"/>
                <w:spacing w:val="-5"/>
                <w:lang w:val="en-GB"/>
              </w:rPr>
            </w:pPr>
            <w:r>
              <w:rPr>
                <w:noProof/>
              </w:rPr>
              <w:drawing>
                <wp:inline distT="0" distB="0" distL="0" distR="0" wp14:anchorId="206701A9" wp14:editId="5C2B1341">
                  <wp:extent cx="4730750" cy="3636645"/>
                  <wp:effectExtent l="0" t="0" r="0" b="1905"/>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B01DC6" w:rsidRPr="00884D55" w14:paraId="2C61AA3C" w14:textId="77777777" w:rsidTr="00803507">
        <w:trPr>
          <w:trHeight w:val="133"/>
        </w:trPr>
        <w:tc>
          <w:tcPr>
            <w:tcW w:w="1814" w:type="dxa"/>
            <w:vMerge/>
            <w:shd w:val="clear" w:color="auto" w:fill="auto"/>
            <w:tcMar>
              <w:left w:w="0" w:type="dxa"/>
            </w:tcMar>
          </w:tcPr>
          <w:p w14:paraId="02839FC5" w14:textId="77777777" w:rsidR="00B01DC6" w:rsidRPr="00884D55" w:rsidRDefault="00B01DC6" w:rsidP="00B01DC6">
            <w:pPr>
              <w:pStyle w:val="Marginlie"/>
              <w:rPr>
                <w:lang w:val="en-GB"/>
              </w:rPr>
            </w:pPr>
          </w:p>
        </w:tc>
        <w:tc>
          <w:tcPr>
            <w:tcW w:w="229" w:type="dxa"/>
            <w:vMerge/>
            <w:shd w:val="clear" w:color="auto" w:fill="auto"/>
            <w:tcMar>
              <w:left w:w="0" w:type="dxa"/>
            </w:tcMar>
          </w:tcPr>
          <w:p w14:paraId="0E94E9C3"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61985780" w14:textId="749D68C0" w:rsidR="00B01DC6" w:rsidRPr="00B01DC6" w:rsidRDefault="00B01DC6" w:rsidP="00B01DC6">
            <w:pPr>
              <w:spacing w:after="200" w:line="240" w:lineRule="auto"/>
              <w:rPr>
                <w:rFonts w:cs="Arial"/>
                <w:sz w:val="14"/>
                <w:szCs w:val="14"/>
                <w:lang w:val="en-GB"/>
              </w:rPr>
            </w:pPr>
            <w:r w:rsidRPr="00884D55">
              <w:rPr>
                <w:color w:val="0D0D0D" w:themeColor="text1" w:themeTint="F2"/>
                <w:spacing w:val="-5"/>
                <w:sz w:val="14"/>
                <w:szCs w:val="14"/>
                <w:lang w:val="en-GB"/>
              </w:rPr>
              <w:t>*</w:t>
            </w:r>
            <w:r w:rsidRPr="00884D55">
              <w:rPr>
                <w:rFonts w:cs="Arial"/>
                <w:sz w:val="14"/>
                <w:szCs w:val="14"/>
                <w:lang w:val="en-GB"/>
              </w:rPr>
              <w:t xml:space="preserve"> Both utilisation of production capacities and growth barriers express the level in the first month of the given quarter, business confidence balance relates to the second month in the quarter. Orders are adjusted for calendar effects; other indicators are seasonally adjusted. Businesses could have indicated more key growth barriers simultaneously.                                                 </w:t>
            </w:r>
            <w:r>
              <w:rPr>
                <w:rFonts w:cs="Arial"/>
                <w:sz w:val="14"/>
                <w:szCs w:val="14"/>
                <w:lang w:val="en-GB"/>
              </w:rPr>
              <w:t xml:space="preserve">         Source: CZSO, Eurostat</w:t>
            </w:r>
          </w:p>
        </w:tc>
      </w:tr>
      <w:tr w:rsidR="00B01DC6" w:rsidRPr="00884D55" w14:paraId="4AC10E60" w14:textId="77777777" w:rsidTr="00803507">
        <w:trPr>
          <w:trHeight w:val="170"/>
        </w:trPr>
        <w:tc>
          <w:tcPr>
            <w:tcW w:w="1814" w:type="dxa"/>
            <w:shd w:val="clear" w:color="auto" w:fill="auto"/>
            <w:tcMar>
              <w:left w:w="0" w:type="dxa"/>
            </w:tcMar>
          </w:tcPr>
          <w:p w14:paraId="1AC139E6" w14:textId="77777777" w:rsidR="00B01DC6" w:rsidRPr="00884D55" w:rsidRDefault="00B01DC6" w:rsidP="00B01DC6">
            <w:pPr>
              <w:pStyle w:val="Marginlie"/>
              <w:rPr>
                <w:color w:val="0D0D0D" w:themeColor="text1" w:themeTint="F2"/>
                <w:spacing w:val="-4"/>
                <w:lang w:val="en-GB"/>
              </w:rPr>
            </w:pPr>
            <w:r w:rsidRPr="00884D55">
              <w:rPr>
                <w:color w:val="0D0D0D" w:themeColor="text1" w:themeTint="F2"/>
                <w:spacing w:val="-4"/>
                <w:lang w:val="en-GB"/>
              </w:rPr>
              <w:t xml:space="preserve">Significant cost pressures as well as weaker investment activity in both the private and public spheres continued to affect the construction performance.  </w:t>
            </w:r>
          </w:p>
        </w:tc>
        <w:tc>
          <w:tcPr>
            <w:tcW w:w="229" w:type="dxa"/>
            <w:shd w:val="clear" w:color="auto" w:fill="auto"/>
            <w:tcMar>
              <w:left w:w="0" w:type="dxa"/>
            </w:tcMar>
          </w:tcPr>
          <w:p w14:paraId="01D6DB17" w14:textId="77777777" w:rsidR="00B01DC6" w:rsidRPr="00884D55" w:rsidRDefault="00B01DC6" w:rsidP="00B01DC6">
            <w:pPr>
              <w:pStyle w:val="Textpoznpodarou"/>
              <w:jc w:val="both"/>
              <w:rPr>
                <w:color w:val="0D0D0D" w:themeColor="text1" w:themeTint="F2"/>
                <w:spacing w:val="-4"/>
                <w:lang w:val="en-GB"/>
              </w:rPr>
            </w:pPr>
          </w:p>
        </w:tc>
        <w:tc>
          <w:tcPr>
            <w:tcW w:w="7596" w:type="dxa"/>
            <w:shd w:val="clear" w:color="auto" w:fill="auto"/>
            <w:tcMar>
              <w:left w:w="0" w:type="dxa"/>
            </w:tcMar>
          </w:tcPr>
          <w:p w14:paraId="2A9FAD1D" w14:textId="77777777" w:rsidR="00B01DC6" w:rsidRPr="00884D55" w:rsidRDefault="00B01DC6" w:rsidP="00B01DC6">
            <w:pPr>
              <w:spacing w:after="200"/>
              <w:rPr>
                <w:color w:val="0D0D0D" w:themeColor="text1" w:themeTint="F2"/>
                <w:spacing w:val="-6"/>
                <w:lang w:val="en-GB"/>
              </w:rPr>
            </w:pPr>
            <w:r w:rsidRPr="00884D55">
              <w:rPr>
                <w:color w:val="0D0D0D" w:themeColor="text1" w:themeTint="F2"/>
                <w:spacing w:val="-6"/>
                <w:lang w:val="en-GB"/>
              </w:rPr>
              <w:t>The construction industry was plagued by a continuing recession for part of last year. Persisting weak demand as well as price pressures had an adverse effect. Although prices of building materials started to fall slightly, year-on-year, from Autumn 2023 after a three-year increase, the reduction of both realized and expected prices of construction output was hindered by rapid growth of labour costs affected by a chronic shortage mainly of skilled labour. Subdued investment activity in the business sphere connected to the weaker business and consumer confidence in the economy and worsened possibilities for financing investment was also still evident. This was compounded by an anticipated decrease of public investment associated with the transition to the new EU programming period</w:t>
            </w:r>
            <w:r w:rsidRPr="00884D55">
              <w:rPr>
                <w:rStyle w:val="Znakapoznpodarou"/>
                <w:color w:val="0D0D0D" w:themeColor="text1" w:themeTint="F2"/>
                <w:spacing w:val="-6"/>
                <w:lang w:val="en-GB"/>
              </w:rPr>
              <w:footnoteReference w:id="39"/>
            </w:r>
            <w:r w:rsidRPr="00884D55">
              <w:rPr>
                <w:color w:val="0D0D0D" w:themeColor="text1" w:themeTint="F2"/>
                <w:spacing w:val="-6"/>
                <w:lang w:val="en-GB"/>
              </w:rPr>
              <w:t xml:space="preserve">. </w:t>
            </w:r>
          </w:p>
        </w:tc>
      </w:tr>
      <w:tr w:rsidR="00B01DC6" w:rsidRPr="00884D55" w14:paraId="6D280D14" w14:textId="77777777" w:rsidTr="00803507">
        <w:trPr>
          <w:trHeight w:val="170"/>
        </w:trPr>
        <w:tc>
          <w:tcPr>
            <w:tcW w:w="1814" w:type="dxa"/>
            <w:shd w:val="clear" w:color="auto" w:fill="auto"/>
            <w:tcMar>
              <w:left w:w="0" w:type="dxa"/>
            </w:tcMar>
          </w:tcPr>
          <w:p w14:paraId="6B514560" w14:textId="77777777" w:rsidR="00B01DC6" w:rsidRPr="00884D55" w:rsidRDefault="00B01DC6" w:rsidP="00B01DC6">
            <w:pPr>
              <w:pStyle w:val="Marginlie"/>
              <w:rPr>
                <w:color w:val="0D0D0D" w:themeColor="text1" w:themeTint="F2"/>
                <w:spacing w:val="-4"/>
                <w:lang w:val="en-GB"/>
              </w:rPr>
            </w:pPr>
            <w:r w:rsidRPr="00884D55">
              <w:rPr>
                <w:color w:val="0D0D0D" w:themeColor="text1" w:themeTint="F2"/>
                <w:spacing w:val="-4"/>
                <w:lang w:val="en-GB"/>
              </w:rPr>
              <w:t xml:space="preserve">The year-on-year drop of construction output continued for the second year in a row last year. However, the output increased in Q4, mainly due to a recovery in building construction. </w:t>
            </w:r>
          </w:p>
        </w:tc>
        <w:tc>
          <w:tcPr>
            <w:tcW w:w="229" w:type="dxa"/>
            <w:shd w:val="clear" w:color="auto" w:fill="auto"/>
            <w:tcMar>
              <w:left w:w="0" w:type="dxa"/>
            </w:tcMar>
          </w:tcPr>
          <w:p w14:paraId="27DF5F2D" w14:textId="77777777" w:rsidR="00B01DC6" w:rsidRPr="00884D55" w:rsidRDefault="00B01DC6" w:rsidP="00B01DC6">
            <w:pPr>
              <w:pStyle w:val="Textpoznpodarou"/>
              <w:jc w:val="both"/>
              <w:rPr>
                <w:color w:val="0D0D0D" w:themeColor="text1" w:themeTint="F2"/>
                <w:spacing w:val="-4"/>
                <w:lang w:val="en-GB"/>
              </w:rPr>
            </w:pPr>
          </w:p>
        </w:tc>
        <w:tc>
          <w:tcPr>
            <w:tcW w:w="7596" w:type="dxa"/>
            <w:shd w:val="clear" w:color="auto" w:fill="auto"/>
            <w:tcMar>
              <w:left w:w="0" w:type="dxa"/>
            </w:tcMar>
          </w:tcPr>
          <w:p w14:paraId="3F52F905" w14:textId="22BE264E" w:rsidR="00B01DC6" w:rsidRPr="00884D55" w:rsidRDefault="00B01DC6" w:rsidP="00211CD6">
            <w:pPr>
              <w:rPr>
                <w:rStyle w:val="normaltextrun"/>
                <w:color w:val="0D0D0D" w:themeColor="text1" w:themeTint="F2"/>
                <w:spacing w:val="-5"/>
                <w:lang w:val="en-GB"/>
              </w:rPr>
            </w:pPr>
            <w:r w:rsidRPr="00884D55">
              <w:rPr>
                <w:color w:val="0D0D0D" w:themeColor="text1" w:themeTint="F2"/>
                <w:spacing w:val="-5"/>
                <w:lang w:val="en-GB"/>
              </w:rPr>
              <w:t>Construction output</w:t>
            </w:r>
            <w:r w:rsidRPr="00884D55">
              <w:rPr>
                <w:rStyle w:val="Znakapoznpodarou"/>
                <w:color w:val="0D0D0D" w:themeColor="text1" w:themeTint="F2"/>
                <w:spacing w:val="-5"/>
                <w:lang w:val="en-GB"/>
              </w:rPr>
              <w:footnoteReference w:id="40"/>
            </w:r>
            <w:r w:rsidRPr="00884D55">
              <w:rPr>
                <w:color w:val="0D0D0D" w:themeColor="text1" w:themeTint="F2"/>
                <w:spacing w:val="-5"/>
                <w:lang w:val="en-GB"/>
              </w:rPr>
              <w:t xml:space="preserve"> increased by 0.6%, quarter-on-quarter, at the beginning of 2024, primarily due to favourable weather (and halted the adverse development that filled most of the year </w:t>
            </w:r>
            <w:r w:rsidR="00211CD6">
              <w:rPr>
                <w:color w:val="0D0D0D" w:themeColor="text1" w:themeTint="F2"/>
                <w:spacing w:val="-5"/>
                <w:lang w:val="en-GB"/>
              </w:rPr>
              <w:t>2023</w:t>
            </w:r>
            <w:r w:rsidRPr="00884D55">
              <w:rPr>
                <w:color w:val="0D0D0D" w:themeColor="text1" w:themeTint="F2"/>
                <w:spacing w:val="-5"/>
                <w:lang w:val="en-GB"/>
              </w:rPr>
              <w:t xml:space="preserve">), but fell </w:t>
            </w:r>
            <w:r w:rsidR="00211CD6">
              <w:rPr>
                <w:color w:val="0D0D0D" w:themeColor="text1" w:themeTint="F2"/>
                <w:spacing w:val="-5"/>
                <w:lang w:val="en-GB"/>
              </w:rPr>
              <w:t>by 1.6% during Q2, mainly due</w:t>
            </w:r>
            <w:r w:rsidRPr="00884D55">
              <w:rPr>
                <w:color w:val="0D0D0D" w:themeColor="text1" w:themeTint="F2"/>
                <w:spacing w:val="-5"/>
                <w:lang w:val="en-GB"/>
              </w:rPr>
              <w:t xml:space="preserve"> to the influence of the civil engineering construction. However, there was a recovery in the remaining part of the </w:t>
            </w:r>
            <w:r w:rsidR="00211CD6">
              <w:rPr>
                <w:color w:val="0D0D0D" w:themeColor="text1" w:themeTint="F2"/>
                <w:spacing w:val="-5"/>
                <w:lang w:val="en-GB"/>
              </w:rPr>
              <w:t xml:space="preserve">last </w:t>
            </w:r>
            <w:r w:rsidRPr="00884D55">
              <w:rPr>
                <w:color w:val="0D0D0D" w:themeColor="text1" w:themeTint="F2"/>
                <w:spacing w:val="-5"/>
                <w:lang w:val="en-GB"/>
              </w:rPr>
              <w:t xml:space="preserve">year, which was the most apparent in the last quarter (+2.8%, the most in the last eleven quarters).  The performance of construction industry decreased by 1.4%, year-on-year, for the whole last year (and slightly mitigated the downturn from year 2023). Nevertheless, the production increased in Q4 </w:t>
            </w:r>
            <w:r w:rsidR="00211CD6">
              <w:rPr>
                <w:color w:val="0D0D0D" w:themeColor="text1" w:themeTint="F2"/>
                <w:spacing w:val="-5"/>
                <w:lang w:val="en-GB"/>
              </w:rPr>
              <w:t xml:space="preserve">2024 </w:t>
            </w:r>
            <w:r w:rsidRPr="00884D55">
              <w:rPr>
                <w:color w:val="0D0D0D" w:themeColor="text1" w:themeTint="F2"/>
                <w:spacing w:val="-5"/>
                <w:lang w:val="en-GB"/>
              </w:rPr>
              <w:t>(+3.2%, partially due to a weaker comparative basis). The recovery was particularly evident in the construction of buildings (+6.6%) and, to a lesser extent, in civil engineering as well. On the contrary, there was no significant revival in the segment of specialised construction activities (a decrease of 1.6% for the whole of last year).</w:t>
            </w:r>
            <w:r w:rsidRPr="00884D55">
              <w:rPr>
                <w:rStyle w:val="Znakapoznpodarou"/>
                <w:color w:val="0D0D0D" w:themeColor="text1" w:themeTint="F2"/>
                <w:spacing w:val="-5"/>
                <w:lang w:val="en-GB"/>
              </w:rPr>
              <w:footnoteReference w:id="41"/>
            </w:r>
          </w:p>
        </w:tc>
      </w:tr>
      <w:tr w:rsidR="00B01DC6" w:rsidRPr="00884D55" w14:paraId="28029CFF" w14:textId="77777777" w:rsidTr="00803507">
        <w:trPr>
          <w:trHeight w:val="170"/>
        </w:trPr>
        <w:tc>
          <w:tcPr>
            <w:tcW w:w="1814" w:type="dxa"/>
            <w:shd w:val="clear" w:color="auto" w:fill="auto"/>
            <w:tcMar>
              <w:left w:w="0" w:type="dxa"/>
            </w:tcMar>
          </w:tcPr>
          <w:p w14:paraId="348AB76C" w14:textId="77777777" w:rsidR="00B01DC6" w:rsidRPr="00884D55" w:rsidRDefault="00B01DC6" w:rsidP="00B01DC6">
            <w:pPr>
              <w:pStyle w:val="Marginlie"/>
              <w:rPr>
                <w:color w:val="0D0D0D" w:themeColor="text1" w:themeTint="F2"/>
                <w:spacing w:val="-4"/>
                <w:lang w:val="en-GB"/>
              </w:rPr>
            </w:pPr>
            <w:r w:rsidRPr="00884D55">
              <w:rPr>
                <w:color w:val="0D0D0D" w:themeColor="text1" w:themeTint="F2"/>
                <w:spacing w:val="-4"/>
                <w:lang w:val="en-GB"/>
              </w:rPr>
              <w:t>Total residential construction was still subdued, however there was a recovery in Prague.</w:t>
            </w:r>
          </w:p>
        </w:tc>
        <w:tc>
          <w:tcPr>
            <w:tcW w:w="229" w:type="dxa"/>
            <w:shd w:val="clear" w:color="auto" w:fill="auto"/>
            <w:tcMar>
              <w:left w:w="0" w:type="dxa"/>
            </w:tcMar>
          </w:tcPr>
          <w:p w14:paraId="48AB6727" w14:textId="77777777" w:rsidR="00B01DC6" w:rsidRPr="00884D55" w:rsidRDefault="00B01DC6" w:rsidP="00B01DC6">
            <w:pPr>
              <w:pStyle w:val="Textpoznpodarou"/>
              <w:jc w:val="both"/>
              <w:rPr>
                <w:color w:val="0D0D0D" w:themeColor="text1" w:themeTint="F2"/>
                <w:spacing w:val="-4"/>
                <w:lang w:val="en-GB"/>
              </w:rPr>
            </w:pPr>
          </w:p>
        </w:tc>
        <w:tc>
          <w:tcPr>
            <w:tcW w:w="7596" w:type="dxa"/>
            <w:shd w:val="clear" w:color="auto" w:fill="auto"/>
            <w:tcMar>
              <w:left w:w="0" w:type="dxa"/>
            </w:tcMar>
          </w:tcPr>
          <w:p w14:paraId="72A1107E" w14:textId="33A5F109" w:rsidR="00B01DC6" w:rsidRPr="00884D55" w:rsidRDefault="00B01DC6" w:rsidP="00967162">
            <w:pPr>
              <w:rPr>
                <w:color w:val="0D0D0D" w:themeColor="text1" w:themeTint="F2"/>
                <w:spacing w:val="-5"/>
                <w:lang w:val="en-GB"/>
              </w:rPr>
            </w:pPr>
            <w:r w:rsidRPr="00884D55">
              <w:rPr>
                <w:color w:val="0D0D0D" w:themeColor="text1" w:themeTint="F2"/>
                <w:spacing w:val="-5"/>
                <w:lang w:val="en-GB"/>
              </w:rPr>
              <w:t>There was a partial re</w:t>
            </w:r>
            <w:r w:rsidR="00967162">
              <w:rPr>
                <w:color w:val="0D0D0D" w:themeColor="text1" w:themeTint="F2"/>
                <w:spacing w:val="-5"/>
                <w:lang w:val="en-GB"/>
              </w:rPr>
              <w:t>covery of housing construction</w:t>
            </w:r>
            <w:r w:rsidRPr="00884D55">
              <w:rPr>
                <w:color w:val="0D0D0D" w:themeColor="text1" w:themeTint="F2"/>
                <w:spacing w:val="-5"/>
                <w:lang w:val="en-GB"/>
              </w:rPr>
              <w:t xml:space="preserve"> last year, after a</w:t>
            </w:r>
            <w:r w:rsidR="00967162">
              <w:rPr>
                <w:color w:val="0D0D0D" w:themeColor="text1" w:themeTint="F2"/>
                <w:spacing w:val="-5"/>
                <w:lang w:val="en-GB"/>
              </w:rPr>
              <w:t xml:space="preserve"> two-year suspension. The number</w:t>
            </w:r>
            <w:r w:rsidRPr="00884D55">
              <w:rPr>
                <w:color w:val="0D0D0D" w:themeColor="text1" w:themeTint="F2"/>
                <w:spacing w:val="-5"/>
                <w:lang w:val="en-GB"/>
              </w:rPr>
              <w:t xml:space="preserve"> of </w:t>
            </w:r>
            <w:r w:rsidR="00967162">
              <w:rPr>
                <w:color w:val="0D0D0D" w:themeColor="text1" w:themeTint="F2"/>
                <w:spacing w:val="-5"/>
                <w:lang w:val="en-GB"/>
              </w:rPr>
              <w:t>started dwellings</w:t>
            </w:r>
            <w:r w:rsidRPr="00884D55">
              <w:rPr>
                <w:color w:val="0D0D0D" w:themeColor="text1" w:themeTint="F2"/>
                <w:spacing w:val="-5"/>
                <w:lang w:val="en-GB"/>
              </w:rPr>
              <w:t xml:space="preserve"> was 2.5% higher, year-on-year (but lagged by almost a fifth behind the 2021 peak). However, only the construction </w:t>
            </w:r>
            <w:r w:rsidR="00967162">
              <w:rPr>
                <w:color w:val="0D0D0D" w:themeColor="text1" w:themeTint="F2"/>
                <w:spacing w:val="-5"/>
                <w:lang w:val="en-GB"/>
              </w:rPr>
              <w:t xml:space="preserve">in segment </w:t>
            </w:r>
            <w:r w:rsidRPr="00884D55">
              <w:rPr>
                <w:color w:val="0D0D0D" w:themeColor="text1" w:themeTint="F2"/>
                <w:spacing w:val="-5"/>
                <w:lang w:val="en-GB"/>
              </w:rPr>
              <w:t xml:space="preserve">of </w:t>
            </w:r>
            <w:r w:rsidR="00967162">
              <w:rPr>
                <w:color w:val="0D0D0D" w:themeColor="text1" w:themeTint="F2"/>
                <w:spacing w:val="-5"/>
                <w:lang w:val="en-GB"/>
              </w:rPr>
              <w:t>multi-</w:t>
            </w:r>
            <w:r w:rsidRPr="00884D55">
              <w:rPr>
                <w:color w:val="0D0D0D" w:themeColor="text1" w:themeTint="F2"/>
                <w:spacing w:val="-5"/>
                <w:lang w:val="en-GB"/>
              </w:rPr>
              <w:t>dwe</w:t>
            </w:r>
            <w:r w:rsidR="00967162">
              <w:rPr>
                <w:color w:val="0D0D0D" w:themeColor="text1" w:themeTint="F2"/>
                <w:spacing w:val="-5"/>
                <w:lang w:val="en-GB"/>
              </w:rPr>
              <w:t>lling</w:t>
            </w:r>
            <w:r w:rsidRPr="00884D55">
              <w:rPr>
                <w:color w:val="0D0D0D" w:themeColor="text1" w:themeTint="F2"/>
                <w:spacing w:val="-5"/>
                <w:lang w:val="en-GB"/>
              </w:rPr>
              <w:t xml:space="preserve"> buildings contributed to the growth, especially in Prague (it reached 17.1</w:t>
            </w:r>
            <w:r>
              <w:rPr>
                <w:color w:val="0D0D0D" w:themeColor="text1" w:themeTint="F2"/>
                <w:spacing w:val="-5"/>
                <w:lang w:val="en-GB"/>
              </w:rPr>
              <w:t> t</w:t>
            </w:r>
            <w:r w:rsidRPr="00884D55">
              <w:rPr>
                <w:color w:val="0D0D0D" w:themeColor="text1" w:themeTint="F2"/>
                <w:spacing w:val="-5"/>
                <w:lang w:val="en-GB"/>
              </w:rPr>
              <w:t>housand dwellings nationwide, together with 2021 it was the highest in the modern history of the Czech Republic), while only 13.1</w:t>
            </w:r>
            <w:r>
              <w:rPr>
                <w:color w:val="0D0D0D" w:themeColor="text1" w:themeTint="F2"/>
                <w:spacing w:val="-5"/>
                <w:lang w:val="en-GB"/>
              </w:rPr>
              <w:t> </w:t>
            </w:r>
            <w:r w:rsidRPr="00884D55">
              <w:rPr>
                <w:color w:val="0D0D0D" w:themeColor="text1" w:themeTint="F2"/>
                <w:spacing w:val="-5"/>
                <w:lang w:val="en-GB"/>
              </w:rPr>
              <w:t>thousand dwellings in family houses were built in</w:t>
            </w:r>
            <w:r w:rsidR="00967162">
              <w:rPr>
                <w:color w:val="0D0D0D" w:themeColor="text1" w:themeTint="F2"/>
                <w:spacing w:val="-5"/>
                <w:lang w:val="en-GB"/>
              </w:rPr>
              <w:t xml:space="preserve"> the Czech Republic (10-year minimum</w:t>
            </w:r>
            <w:r w:rsidRPr="00884D55">
              <w:rPr>
                <w:color w:val="0D0D0D" w:themeColor="text1" w:themeTint="F2"/>
                <w:spacing w:val="-5"/>
                <w:lang w:val="en-GB"/>
              </w:rPr>
              <w:t xml:space="preserve">). The decrease of the number of all completed dwellings deepened last year (to −20.5%, together with year 2011 this is the most significant drop in the current millennium). Considerable downturn occurred in all forms of </w:t>
            </w:r>
            <w:r w:rsidR="00967162">
              <w:rPr>
                <w:color w:val="0D0D0D" w:themeColor="text1" w:themeTint="F2"/>
                <w:spacing w:val="-5"/>
                <w:lang w:val="en-GB"/>
              </w:rPr>
              <w:t xml:space="preserve">this </w:t>
            </w:r>
            <w:r w:rsidRPr="00884D55">
              <w:rPr>
                <w:color w:val="0D0D0D" w:themeColor="text1" w:themeTint="F2"/>
                <w:spacing w:val="-5"/>
                <w:lang w:val="en-GB"/>
              </w:rPr>
              <w:t>construction. Only 30.3</w:t>
            </w:r>
            <w:r>
              <w:rPr>
                <w:color w:val="0D0D0D" w:themeColor="text1" w:themeTint="F2"/>
                <w:spacing w:val="-5"/>
                <w:lang w:val="en-GB"/>
              </w:rPr>
              <w:t> </w:t>
            </w:r>
            <w:r w:rsidRPr="00884D55">
              <w:rPr>
                <w:color w:val="0D0D0D" w:themeColor="text1" w:themeTint="F2"/>
                <w:spacing w:val="-5"/>
                <w:lang w:val="en-GB"/>
              </w:rPr>
              <w:t>thousand dwellings were completed in total</w:t>
            </w:r>
            <w:r w:rsidR="00967162">
              <w:rPr>
                <w:color w:val="0D0D0D" w:themeColor="text1" w:themeTint="F2"/>
                <w:spacing w:val="-5"/>
                <w:lang w:val="en-GB"/>
              </w:rPr>
              <w:t xml:space="preserve"> in 2024</w:t>
            </w:r>
            <w:r w:rsidRPr="00884D55">
              <w:rPr>
                <w:color w:val="0D0D0D" w:themeColor="text1" w:themeTint="F2"/>
                <w:spacing w:val="-5"/>
                <w:lang w:val="en-GB"/>
              </w:rPr>
              <w:t xml:space="preserve">, the least in the last seven years. A decrease was recorded in all regions apart from Prague, where construction moderately increased. </w:t>
            </w:r>
          </w:p>
        </w:tc>
      </w:tr>
      <w:tr w:rsidR="00B01DC6" w:rsidRPr="00884D55" w14:paraId="7AD10B21" w14:textId="77777777" w:rsidTr="00803507">
        <w:trPr>
          <w:trHeight w:val="170"/>
        </w:trPr>
        <w:tc>
          <w:tcPr>
            <w:tcW w:w="1814" w:type="dxa"/>
            <w:shd w:val="clear" w:color="auto" w:fill="auto"/>
            <w:tcMar>
              <w:left w:w="0" w:type="dxa"/>
            </w:tcMar>
          </w:tcPr>
          <w:p w14:paraId="074DB9C8" w14:textId="77777777" w:rsidR="00B01DC6" w:rsidRPr="00884D55" w:rsidRDefault="00B01DC6" w:rsidP="00B01DC6">
            <w:pPr>
              <w:pStyle w:val="Marginlie"/>
              <w:rPr>
                <w:color w:val="0D0D0D" w:themeColor="text1" w:themeTint="F2"/>
                <w:spacing w:val="-4"/>
                <w:lang w:val="en-GB"/>
              </w:rPr>
            </w:pPr>
            <w:r w:rsidRPr="00884D55">
              <w:rPr>
                <w:color w:val="0D0D0D" w:themeColor="text1" w:themeTint="F2"/>
                <w:spacing w:val="-4"/>
                <w:lang w:val="en-GB"/>
              </w:rPr>
              <w:t>The value of newly concluded orders grew rapidly for most of last year. Due to the higher number of projects under construction, the total supply of work from both private and public clients was also maintained.</w:t>
            </w:r>
          </w:p>
          <w:p w14:paraId="4BDCEAA6" w14:textId="77777777" w:rsidR="00B01DC6" w:rsidRPr="00884D55" w:rsidRDefault="00B01DC6" w:rsidP="00B01DC6">
            <w:pPr>
              <w:pStyle w:val="Marginlie"/>
              <w:rPr>
                <w:color w:val="0D0D0D" w:themeColor="text1" w:themeTint="F2"/>
                <w:spacing w:val="-4"/>
                <w:lang w:val="en-GB"/>
              </w:rPr>
            </w:pPr>
          </w:p>
          <w:p w14:paraId="7522B699" w14:textId="77777777" w:rsidR="00B01DC6" w:rsidRPr="00884D55" w:rsidRDefault="00B01DC6" w:rsidP="00B01DC6">
            <w:pPr>
              <w:pStyle w:val="Marginlie"/>
              <w:rPr>
                <w:color w:val="0D0D0D" w:themeColor="text1" w:themeTint="F2"/>
                <w:spacing w:val="-4"/>
                <w:lang w:val="en-GB"/>
              </w:rPr>
            </w:pPr>
          </w:p>
          <w:p w14:paraId="4FC3F2AF" w14:textId="77777777" w:rsidR="00B01DC6" w:rsidRPr="00884D55" w:rsidRDefault="00B01DC6" w:rsidP="00B01DC6">
            <w:pPr>
              <w:pStyle w:val="Marginlie"/>
              <w:rPr>
                <w:color w:val="0D0D0D" w:themeColor="text1" w:themeTint="F2"/>
                <w:spacing w:val="-4"/>
                <w:lang w:val="en-GB"/>
              </w:rPr>
            </w:pPr>
          </w:p>
          <w:p w14:paraId="2B41FB04" w14:textId="77777777" w:rsidR="00B01DC6" w:rsidRPr="00884D55" w:rsidRDefault="00B01DC6" w:rsidP="00B01DC6">
            <w:pPr>
              <w:pStyle w:val="Marginlie"/>
              <w:rPr>
                <w:color w:val="0D0D0D" w:themeColor="text1" w:themeTint="F2"/>
                <w:spacing w:val="-4"/>
                <w:lang w:val="en-GB"/>
              </w:rPr>
            </w:pPr>
          </w:p>
          <w:p w14:paraId="1D47A152" w14:textId="77777777" w:rsidR="00B01DC6" w:rsidRPr="00884D55" w:rsidRDefault="00B01DC6" w:rsidP="00B01DC6">
            <w:pPr>
              <w:pStyle w:val="Marginlie"/>
              <w:rPr>
                <w:color w:val="0D0D0D" w:themeColor="text1" w:themeTint="F2"/>
                <w:spacing w:val="-4"/>
                <w:lang w:val="en-GB"/>
              </w:rPr>
            </w:pPr>
          </w:p>
          <w:p w14:paraId="60048A99" w14:textId="77777777" w:rsidR="00B01DC6" w:rsidRPr="00884D55" w:rsidRDefault="00B01DC6" w:rsidP="00B01DC6">
            <w:pPr>
              <w:pStyle w:val="Marginlie"/>
              <w:rPr>
                <w:color w:val="0D0D0D" w:themeColor="text1" w:themeTint="F2"/>
                <w:spacing w:val="-4"/>
                <w:lang w:val="en-GB"/>
              </w:rPr>
            </w:pPr>
            <w:r w:rsidRPr="00884D55">
              <w:rPr>
                <w:color w:val="0D0D0D" w:themeColor="text1" w:themeTint="F2"/>
                <w:spacing w:val="-4"/>
                <w:lang w:val="en-GB"/>
              </w:rPr>
              <w:t>The value of permitted constructions was decreasing, especially in transport infrastructure. On the contrary, there was a revival in new residential construction.</w:t>
            </w:r>
          </w:p>
        </w:tc>
        <w:tc>
          <w:tcPr>
            <w:tcW w:w="229" w:type="dxa"/>
            <w:shd w:val="clear" w:color="auto" w:fill="auto"/>
            <w:tcMar>
              <w:left w:w="0" w:type="dxa"/>
            </w:tcMar>
          </w:tcPr>
          <w:p w14:paraId="2945F82F" w14:textId="77777777" w:rsidR="00B01DC6" w:rsidRPr="00884D55" w:rsidRDefault="00B01DC6" w:rsidP="00B01DC6">
            <w:pPr>
              <w:pStyle w:val="Textpoznpodarou"/>
              <w:jc w:val="both"/>
              <w:rPr>
                <w:color w:val="0D0D0D" w:themeColor="text1" w:themeTint="F2"/>
                <w:spacing w:val="-4"/>
                <w:lang w:val="en-GB"/>
              </w:rPr>
            </w:pPr>
          </w:p>
        </w:tc>
        <w:tc>
          <w:tcPr>
            <w:tcW w:w="7596" w:type="dxa"/>
            <w:shd w:val="clear" w:color="auto" w:fill="auto"/>
            <w:tcMar>
              <w:left w:w="0" w:type="dxa"/>
            </w:tcMar>
          </w:tcPr>
          <w:p w14:paraId="7C4EEC6D" w14:textId="6FB44701" w:rsidR="00B01DC6" w:rsidRPr="00884D55" w:rsidRDefault="00B01DC6" w:rsidP="00B01DC6">
            <w:pPr>
              <w:rPr>
                <w:rFonts w:eastAsia="MS Gothic" w:cs="Arial"/>
                <w:spacing w:val="-4"/>
                <w:szCs w:val="20"/>
                <w:lang w:val="en-GB"/>
              </w:rPr>
            </w:pPr>
            <w:r w:rsidRPr="00884D55">
              <w:rPr>
                <w:rFonts w:eastAsia="MS Gothic" w:cs="Arial"/>
                <w:spacing w:val="-4"/>
                <w:szCs w:val="20"/>
                <w:lang w:val="en-GB"/>
              </w:rPr>
              <w:t xml:space="preserve">Of the various leading indicators, the new domestic orders (concluded by enterprises with more than 50 employees) currently features the best results for the construction industry. Their nominal value increased by 17.2%, year-on-year, in Q4 </w:t>
            </w:r>
            <w:r w:rsidR="00530B52">
              <w:rPr>
                <w:rFonts w:eastAsia="MS Gothic" w:cs="Arial"/>
                <w:spacing w:val="-4"/>
                <w:szCs w:val="20"/>
                <w:lang w:val="en-GB"/>
              </w:rPr>
              <w:t xml:space="preserve">2024 </w:t>
            </w:r>
            <w:r w:rsidRPr="00884D55">
              <w:rPr>
                <w:rFonts w:eastAsia="MS Gothic" w:cs="Arial"/>
                <w:spacing w:val="-4"/>
                <w:szCs w:val="20"/>
                <w:lang w:val="en-GB"/>
              </w:rPr>
              <w:t>(it similarly increased for the whole last year), exclusively thanks to civil engineering construction, in which the value of new contracts climbed up to 60 bn CZK (the highest in history within the same period of the year). The total stock</w:t>
            </w:r>
            <w:r w:rsidR="00530B52">
              <w:rPr>
                <w:rFonts w:eastAsia="MS Gothic" w:cs="Arial"/>
                <w:spacing w:val="-4"/>
                <w:szCs w:val="20"/>
                <w:lang w:val="en-GB"/>
              </w:rPr>
              <w:t xml:space="preserve"> of work, captured by the volume</w:t>
            </w:r>
            <w:r w:rsidRPr="00884D55">
              <w:rPr>
                <w:rFonts w:eastAsia="MS Gothic" w:cs="Arial"/>
                <w:spacing w:val="-4"/>
                <w:szCs w:val="20"/>
                <w:lang w:val="en-GB"/>
              </w:rPr>
              <w:t xml:space="preserve"> of all pending orders, expanded by 25.9%, year-on-year, at the end of 2024. Mostly the public procurement contributed (which have comprised for about two-thirds of the total stock of works in the last two years). However, the private domestic demand also grew throughout the last year (it was by 31.6% higher, year-on-year, at the end of the year). The volume of foreign orders in contrast decreased for the third year in a row, nevertheless they play a marginal role in the total stock of work in the construction industry. The approximate value of granted buildings indicates less favourable outlooks for the domestic construction industry. Its year-on-year growth, lasting five quarters in a row, stopped in Q2 2024, when mainly the number of large buildings shrank (over 1 bn CZK). There was no improvement in the following period either. It thus decreased by 3.5% for the whole year, primarily due to transport infrastructure (</w:t>
            </w:r>
            <w:r w:rsidR="00E60BBE">
              <w:rPr>
                <w:rFonts w:eastAsia="MS Gothic" w:cs="Arial"/>
                <w:spacing w:val="-4"/>
                <w:szCs w:val="20"/>
                <w:lang w:val="en-GB"/>
              </w:rPr>
              <w:t>both new construction and reconstruction or</w:t>
            </w:r>
            <w:r w:rsidRPr="00884D55">
              <w:rPr>
                <w:rFonts w:eastAsia="MS Gothic" w:cs="Arial"/>
                <w:spacing w:val="-4"/>
                <w:szCs w:val="20"/>
                <w:lang w:val="en-GB"/>
              </w:rPr>
              <w:t xml:space="preserve"> modernization) and as a result of decrease for non-residential buildings. On the contrary, the volume of permits for new construction of residential buildings slightly increased (+6.7%) and it accounted for a quarter of the total value of permits (580 bn CZK) last year. </w:t>
            </w:r>
          </w:p>
        </w:tc>
      </w:tr>
      <w:tr w:rsidR="00B01DC6" w:rsidRPr="00884D55" w14:paraId="02417C85" w14:textId="77777777" w:rsidTr="00803507">
        <w:trPr>
          <w:trHeight w:val="170"/>
        </w:trPr>
        <w:tc>
          <w:tcPr>
            <w:tcW w:w="1814" w:type="dxa"/>
            <w:vMerge w:val="restart"/>
            <w:shd w:val="clear" w:color="auto" w:fill="auto"/>
            <w:tcMar>
              <w:left w:w="0" w:type="dxa"/>
            </w:tcMar>
          </w:tcPr>
          <w:p w14:paraId="40A4E2CE" w14:textId="77777777" w:rsidR="00B01DC6" w:rsidRPr="00884D55" w:rsidRDefault="00B01DC6" w:rsidP="00B01DC6">
            <w:pPr>
              <w:pStyle w:val="Marginlie"/>
              <w:rPr>
                <w:lang w:val="en-GB"/>
              </w:rPr>
            </w:pPr>
          </w:p>
        </w:tc>
        <w:tc>
          <w:tcPr>
            <w:tcW w:w="229" w:type="dxa"/>
            <w:vMerge w:val="restart"/>
            <w:shd w:val="clear" w:color="auto" w:fill="auto"/>
            <w:tcMar>
              <w:left w:w="0" w:type="dxa"/>
            </w:tcMar>
          </w:tcPr>
          <w:p w14:paraId="109DCF62"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11298E37" w14:textId="77777777" w:rsidR="00B01DC6" w:rsidRPr="00884D55" w:rsidRDefault="00B01DC6" w:rsidP="00B01DC6">
            <w:pPr>
              <w:spacing w:after="20"/>
              <w:rPr>
                <w:rFonts w:cs="Arial"/>
                <w:bCs/>
                <w:lang w:val="en-GB"/>
              </w:rPr>
            </w:pPr>
            <w:r w:rsidRPr="00884D55">
              <w:rPr>
                <w:b/>
                <w:spacing w:val="-5"/>
                <w:lang w:val="en-GB"/>
              </w:rPr>
              <w:t xml:space="preserve">Chart 6 </w:t>
            </w:r>
            <w:r w:rsidRPr="00884D55">
              <w:rPr>
                <w:b/>
                <w:spacing w:val="-4"/>
                <w:lang w:val="en-GB"/>
              </w:rPr>
              <w:t xml:space="preserve">Contributions of sub-branches to year-on-year change of the total construction output </w:t>
            </w:r>
            <w:r w:rsidRPr="00884D55">
              <w:rPr>
                <w:spacing w:val="-4"/>
                <w:lang w:val="en-GB"/>
              </w:rPr>
              <w:t>(real, in p.p.)</w:t>
            </w:r>
            <w:r w:rsidRPr="00884D55">
              <w:rPr>
                <w:b/>
                <w:bCs/>
                <w:spacing w:val="-4"/>
                <w:lang w:val="en-GB"/>
              </w:rPr>
              <w:t>, new construction orders</w:t>
            </w:r>
            <w:r w:rsidRPr="00884D55">
              <w:rPr>
                <w:b/>
                <w:spacing w:val="-4"/>
                <w:lang w:val="en-GB"/>
              </w:rPr>
              <w:t xml:space="preserve"> </w:t>
            </w:r>
            <w:r w:rsidRPr="00884D55">
              <w:rPr>
                <w:bCs/>
                <w:spacing w:val="-4"/>
                <w:lang w:val="en-GB"/>
              </w:rPr>
              <w:t>(nominal, year-on-year in</w:t>
            </w:r>
            <w:r w:rsidRPr="00884D55">
              <w:rPr>
                <w:spacing w:val="-4"/>
                <w:lang w:val="en-GB"/>
              </w:rPr>
              <w:t> </w:t>
            </w:r>
            <w:r w:rsidRPr="00884D55">
              <w:rPr>
                <w:bCs/>
                <w:spacing w:val="-4"/>
                <w:lang w:val="en-GB"/>
              </w:rPr>
              <w:t>%)</w:t>
            </w:r>
            <w:r w:rsidRPr="00884D55">
              <w:rPr>
                <w:b/>
                <w:spacing w:val="-4"/>
                <w:lang w:val="en-GB"/>
              </w:rPr>
              <w:t>, balance of business confidence indicator in construction*</w:t>
            </w:r>
            <w:r w:rsidRPr="00884D55">
              <w:rPr>
                <w:spacing w:val="-4"/>
                <w:lang w:val="en-GB"/>
              </w:rPr>
              <w:t xml:space="preserve"> (in p.p., right axis) </w:t>
            </w:r>
            <w:r w:rsidRPr="00884D55">
              <w:rPr>
                <w:b/>
                <w:spacing w:val="-4"/>
                <w:lang w:val="en-GB"/>
              </w:rPr>
              <w:t>and selected barriers to growth</w:t>
            </w:r>
            <w:r w:rsidRPr="00884D55">
              <w:rPr>
                <w:spacing w:val="-4"/>
                <w:lang w:val="en-GB"/>
              </w:rPr>
              <w:t xml:space="preserve">* (in %, right axis) </w:t>
            </w:r>
          </w:p>
        </w:tc>
      </w:tr>
      <w:tr w:rsidR="00B01DC6" w:rsidRPr="00884D55" w14:paraId="322B9CB8" w14:textId="77777777" w:rsidTr="00E60BBE">
        <w:tblPrEx>
          <w:tblCellMar>
            <w:left w:w="70" w:type="dxa"/>
            <w:right w:w="70" w:type="dxa"/>
          </w:tblCellMar>
        </w:tblPrEx>
        <w:trPr>
          <w:trHeight w:val="170"/>
        </w:trPr>
        <w:tc>
          <w:tcPr>
            <w:tcW w:w="1814" w:type="dxa"/>
            <w:vMerge/>
            <w:shd w:val="clear" w:color="auto" w:fill="auto"/>
          </w:tcPr>
          <w:p w14:paraId="2552B80F" w14:textId="77777777" w:rsidR="00B01DC6" w:rsidRPr="00884D55" w:rsidRDefault="00B01DC6" w:rsidP="00B01DC6">
            <w:pPr>
              <w:pStyle w:val="Marginlie"/>
              <w:rPr>
                <w:lang w:val="en-GB"/>
              </w:rPr>
            </w:pPr>
          </w:p>
        </w:tc>
        <w:tc>
          <w:tcPr>
            <w:tcW w:w="229" w:type="dxa"/>
            <w:vMerge/>
            <w:shd w:val="clear" w:color="auto" w:fill="auto"/>
          </w:tcPr>
          <w:p w14:paraId="716BE4B3" w14:textId="77777777" w:rsidR="00B01DC6" w:rsidRPr="00884D55" w:rsidRDefault="00B01DC6" w:rsidP="00B01DC6">
            <w:pPr>
              <w:pStyle w:val="Textpoznpodarou"/>
              <w:jc w:val="both"/>
              <w:rPr>
                <w:spacing w:val="-4"/>
                <w:lang w:val="en-GB"/>
              </w:rPr>
            </w:pPr>
          </w:p>
        </w:tc>
        <w:tc>
          <w:tcPr>
            <w:tcW w:w="7596" w:type="dxa"/>
            <w:shd w:val="clear" w:color="auto" w:fill="auto"/>
          </w:tcPr>
          <w:p w14:paraId="5331A249" w14:textId="2CD4A27B" w:rsidR="00B01DC6" w:rsidRPr="00884D55" w:rsidRDefault="00E60BBE" w:rsidP="00B01DC6">
            <w:pPr>
              <w:spacing w:after="0"/>
              <w:rPr>
                <w:spacing w:val="-6"/>
                <w:lang w:val="en-GB"/>
              </w:rPr>
            </w:pPr>
            <w:r>
              <w:rPr>
                <w:noProof/>
              </w:rPr>
              <w:drawing>
                <wp:inline distT="0" distB="0" distL="0" distR="0" wp14:anchorId="746A1FAC" wp14:editId="0631F498">
                  <wp:extent cx="4740294" cy="3589020"/>
                  <wp:effectExtent l="0" t="0" r="3175" b="0"/>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B01DC6" w:rsidRPr="00884D55" w14:paraId="7A9EB814" w14:textId="77777777" w:rsidTr="00803507">
        <w:trPr>
          <w:trHeight w:val="170"/>
        </w:trPr>
        <w:tc>
          <w:tcPr>
            <w:tcW w:w="1814" w:type="dxa"/>
            <w:vMerge/>
            <w:shd w:val="clear" w:color="auto" w:fill="auto"/>
            <w:tcMar>
              <w:left w:w="0" w:type="dxa"/>
            </w:tcMar>
          </w:tcPr>
          <w:p w14:paraId="4E27FC49" w14:textId="77777777" w:rsidR="00B01DC6" w:rsidRPr="00884D55" w:rsidRDefault="00B01DC6" w:rsidP="00B01DC6">
            <w:pPr>
              <w:pStyle w:val="Marginlie"/>
              <w:rPr>
                <w:lang w:val="en-GB"/>
              </w:rPr>
            </w:pPr>
          </w:p>
        </w:tc>
        <w:tc>
          <w:tcPr>
            <w:tcW w:w="229" w:type="dxa"/>
            <w:vMerge/>
            <w:shd w:val="clear" w:color="auto" w:fill="auto"/>
            <w:tcMar>
              <w:left w:w="0" w:type="dxa"/>
            </w:tcMar>
          </w:tcPr>
          <w:p w14:paraId="6F065442"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60DB5CB7" w14:textId="77777777" w:rsidR="00B01DC6" w:rsidRPr="00E60BBE" w:rsidRDefault="00B01DC6" w:rsidP="00B01DC6">
            <w:pPr>
              <w:spacing w:after="0"/>
              <w:rPr>
                <w:rFonts w:cs="Arial"/>
                <w:sz w:val="14"/>
                <w:szCs w:val="14"/>
                <w:lang w:val="en-GB"/>
              </w:rPr>
            </w:pPr>
            <w:r w:rsidRPr="00E60BBE">
              <w:rPr>
                <w:rFonts w:cs="Arial"/>
                <w:sz w:val="14"/>
                <w:szCs w:val="14"/>
                <w:lang w:val="en-GB"/>
              </w:rPr>
              <w:t>Note: Data related to construction output are adjusted for calendar effects.</w:t>
            </w:r>
          </w:p>
          <w:p w14:paraId="09DD6792" w14:textId="77777777" w:rsidR="00E60BBE" w:rsidRDefault="00B01DC6" w:rsidP="00B01DC6">
            <w:pPr>
              <w:spacing w:after="0"/>
              <w:rPr>
                <w:rFonts w:cs="Arial"/>
                <w:sz w:val="14"/>
                <w:szCs w:val="14"/>
                <w:lang w:val="en-GB"/>
              </w:rPr>
            </w:pPr>
            <w:r w:rsidRPr="00E60BBE">
              <w:rPr>
                <w:rFonts w:cs="Arial"/>
                <w:sz w:val="14"/>
                <w:szCs w:val="14"/>
                <w:lang w:val="en-GB"/>
              </w:rPr>
              <w:t>* Balance of business confidence as well as barriers to growth are seasonally adjusted and express the level in the second month of the given quarter. Businesses could have indicated more main barriers simultaneously.</w:t>
            </w:r>
          </w:p>
          <w:p w14:paraId="5A80B251" w14:textId="03848B2F" w:rsidR="00B01DC6" w:rsidRPr="00E60BBE" w:rsidRDefault="00B01DC6" w:rsidP="00B01DC6">
            <w:pPr>
              <w:spacing w:after="0"/>
              <w:rPr>
                <w:rFonts w:cs="Arial"/>
                <w:sz w:val="14"/>
                <w:szCs w:val="14"/>
                <w:lang w:val="en-GB"/>
              </w:rPr>
            </w:pPr>
            <w:r w:rsidRPr="00E60BBE">
              <w:rPr>
                <w:rFonts w:cs="Arial"/>
                <w:sz w:val="14"/>
                <w:szCs w:val="14"/>
                <w:lang w:val="en-GB"/>
              </w:rPr>
              <w:t>Source: CZSO, Eurostat</w:t>
            </w:r>
          </w:p>
          <w:p w14:paraId="5BB645C0" w14:textId="46C369A3" w:rsidR="00B01DC6" w:rsidRPr="00884D55" w:rsidRDefault="00B01DC6" w:rsidP="00E60BBE">
            <w:pPr>
              <w:spacing w:after="0" w:line="240" w:lineRule="auto"/>
              <w:rPr>
                <w:rFonts w:cs="Arial"/>
                <w:b/>
                <w:bCs/>
                <w:sz w:val="14"/>
                <w:szCs w:val="14"/>
                <w:lang w:val="en-GB"/>
              </w:rPr>
            </w:pPr>
          </w:p>
        </w:tc>
      </w:tr>
      <w:tr w:rsidR="00B01DC6" w:rsidRPr="00884D55" w14:paraId="14C99DFC" w14:textId="77777777" w:rsidTr="00803507">
        <w:trPr>
          <w:trHeight w:val="170"/>
        </w:trPr>
        <w:tc>
          <w:tcPr>
            <w:tcW w:w="1814" w:type="dxa"/>
            <w:shd w:val="clear" w:color="auto" w:fill="auto"/>
            <w:tcMar>
              <w:left w:w="0" w:type="dxa"/>
            </w:tcMar>
          </w:tcPr>
          <w:p w14:paraId="3608D598" w14:textId="3D783BF1" w:rsidR="00B01DC6" w:rsidRPr="00884D55" w:rsidRDefault="00B01DC6" w:rsidP="00B01DC6">
            <w:pPr>
              <w:pStyle w:val="Marginlie"/>
              <w:rPr>
                <w:color w:val="0D0D0D" w:themeColor="text1" w:themeTint="F2"/>
                <w:spacing w:val="-4"/>
                <w:lang w:val="en-GB"/>
              </w:rPr>
            </w:pPr>
            <w:r w:rsidRPr="00884D55">
              <w:rPr>
                <w:color w:val="0D0D0D" w:themeColor="text1" w:themeTint="F2"/>
                <w:spacing w:val="-4"/>
                <w:lang w:val="en-GB"/>
              </w:rPr>
              <w:t xml:space="preserve">In February </w:t>
            </w:r>
            <w:r w:rsidR="00A735F5">
              <w:rPr>
                <w:color w:val="0D0D0D" w:themeColor="text1" w:themeTint="F2"/>
                <w:spacing w:val="-4"/>
                <w:lang w:val="en-GB"/>
              </w:rPr>
              <w:t>2025</w:t>
            </w:r>
            <w:r w:rsidRPr="00884D55">
              <w:rPr>
                <w:color w:val="0D0D0D" w:themeColor="text1" w:themeTint="F2"/>
                <w:spacing w:val="-4"/>
                <w:lang w:val="en-GB"/>
              </w:rPr>
              <w:t xml:space="preserve">, the business confidence in construction climbed up the highest in the last two and a half years. </w:t>
            </w:r>
          </w:p>
          <w:p w14:paraId="0BF70BA7" w14:textId="77777777" w:rsidR="00B01DC6" w:rsidRPr="00884D55" w:rsidRDefault="00B01DC6" w:rsidP="00B01DC6">
            <w:pPr>
              <w:pStyle w:val="Marginlie"/>
              <w:rPr>
                <w:color w:val="0D0D0D" w:themeColor="text1" w:themeTint="F2"/>
                <w:spacing w:val="-4"/>
                <w:lang w:val="en-GB"/>
              </w:rPr>
            </w:pPr>
          </w:p>
          <w:p w14:paraId="1F86BA92" w14:textId="77777777" w:rsidR="00B01DC6" w:rsidRPr="00884D55" w:rsidRDefault="00B01DC6" w:rsidP="00B01DC6">
            <w:pPr>
              <w:pStyle w:val="Marginlie"/>
              <w:rPr>
                <w:color w:val="0D0D0D" w:themeColor="text1" w:themeTint="F2"/>
                <w:spacing w:val="-4"/>
                <w:lang w:val="en-GB"/>
              </w:rPr>
            </w:pPr>
          </w:p>
          <w:p w14:paraId="0EB02FA9" w14:textId="77777777" w:rsidR="00B01DC6" w:rsidRPr="00884D55" w:rsidRDefault="00B01DC6" w:rsidP="00B01DC6">
            <w:pPr>
              <w:pStyle w:val="Marginlie"/>
              <w:rPr>
                <w:color w:val="0D0D0D" w:themeColor="text1" w:themeTint="F2"/>
                <w:spacing w:val="-4"/>
                <w:lang w:val="en-GB"/>
              </w:rPr>
            </w:pPr>
          </w:p>
          <w:p w14:paraId="182117DA" w14:textId="77777777" w:rsidR="00B01DC6" w:rsidRPr="00884D55" w:rsidRDefault="00B01DC6" w:rsidP="00B01DC6">
            <w:pPr>
              <w:pStyle w:val="Marginlie"/>
              <w:rPr>
                <w:color w:val="0D0D0D" w:themeColor="text1" w:themeTint="F2"/>
                <w:spacing w:val="-4"/>
                <w:lang w:val="en-GB"/>
              </w:rPr>
            </w:pPr>
          </w:p>
          <w:p w14:paraId="489CB52D" w14:textId="77777777" w:rsidR="00B01DC6" w:rsidRPr="00884D55" w:rsidRDefault="00B01DC6" w:rsidP="00B01DC6">
            <w:pPr>
              <w:pStyle w:val="Marginlie"/>
              <w:rPr>
                <w:lang w:val="en-GB"/>
              </w:rPr>
            </w:pPr>
          </w:p>
          <w:p w14:paraId="3EDF54EB" w14:textId="77777777" w:rsidR="00B01DC6" w:rsidRPr="00884D55" w:rsidRDefault="00B01DC6" w:rsidP="00B01DC6">
            <w:pPr>
              <w:pStyle w:val="Marginlie"/>
              <w:rPr>
                <w:lang w:val="en-GB"/>
              </w:rPr>
            </w:pPr>
            <w:r w:rsidRPr="00884D55">
              <w:rPr>
                <w:lang w:val="en-GB"/>
              </w:rPr>
              <w:t>The development of half of the construction companies is limited by a lack of workers.</w:t>
            </w:r>
          </w:p>
        </w:tc>
        <w:tc>
          <w:tcPr>
            <w:tcW w:w="229" w:type="dxa"/>
            <w:shd w:val="clear" w:color="auto" w:fill="auto"/>
            <w:tcMar>
              <w:left w:w="0" w:type="dxa"/>
            </w:tcMar>
          </w:tcPr>
          <w:p w14:paraId="18C97F7C"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052C6FCC" w14:textId="1F5ECDC8" w:rsidR="00B01DC6" w:rsidRPr="00884D55" w:rsidRDefault="00B01DC6" w:rsidP="00CA6CF4">
            <w:pPr>
              <w:spacing w:after="220"/>
              <w:rPr>
                <w:rFonts w:cs="Arial"/>
                <w:szCs w:val="20"/>
                <w:lang w:val="en-GB"/>
              </w:rPr>
            </w:pPr>
            <w:r w:rsidRPr="00884D55">
              <w:rPr>
                <w:color w:val="0D0D0D" w:themeColor="text1" w:themeTint="F2"/>
                <w:spacing w:val="-4"/>
                <w:lang w:val="en-GB"/>
              </w:rPr>
              <w:t>The pessimism of entrepreneurs in the construction industry has moderated since the end of last summer. Their confidence soared to the highest level in the last two and a half years in February 2025 (the confidence balance was currently -4 points). An improvement of employment expectations (fewer firms planning layoffs</w:t>
            </w:r>
            <w:r w:rsidRPr="00884D55">
              <w:rPr>
                <w:rStyle w:val="Znakapoznpodarou"/>
                <w:rFonts w:eastAsiaTheme="majorEastAsia"/>
                <w:spacing w:val="-4"/>
                <w:szCs w:val="20"/>
                <w:lang w:val="en-GB"/>
              </w:rPr>
              <w:footnoteReference w:id="42"/>
            </w:r>
            <w:r w:rsidRPr="00884D55">
              <w:rPr>
                <w:color w:val="0D0D0D" w:themeColor="text1" w:themeTint="F2"/>
                <w:spacing w:val="-4"/>
                <w:lang w:val="en-GB"/>
              </w:rPr>
              <w:t>) enabled by slightly positive expectations of demand and production (even after taking into account seasonality) stood mainly behind it. This is also reflected in the expectations of the overall economic situation of businesses, which is currently more favourable in the construction</w:t>
            </w:r>
            <w:r w:rsidRPr="00884D55">
              <w:rPr>
                <w:rStyle w:val="Znakapoznpodarou"/>
                <w:rFonts w:eastAsiaTheme="majorEastAsia"/>
                <w:szCs w:val="20"/>
                <w:lang w:val="en-GB"/>
              </w:rPr>
              <w:footnoteReference w:id="43"/>
            </w:r>
            <w:r w:rsidRPr="00884D55">
              <w:rPr>
                <w:rStyle w:val="normaltextrun"/>
                <w:rFonts w:eastAsiaTheme="majorEastAsia" w:cs="Arial"/>
                <w:szCs w:val="20"/>
                <w:lang w:val="en-GB"/>
              </w:rPr>
              <w:t xml:space="preserve"> </w:t>
            </w:r>
            <w:r w:rsidRPr="00884D55">
              <w:rPr>
                <w:color w:val="0D0D0D" w:themeColor="text1" w:themeTint="F2"/>
                <w:spacing w:val="-4"/>
                <w:lang w:val="en-GB"/>
              </w:rPr>
              <w:t xml:space="preserve">than in industry. The assessment of current demand (with regard to seasonality) was the best in the last twenty months in February </w:t>
            </w:r>
            <w:r w:rsidR="00CA6CF4">
              <w:rPr>
                <w:color w:val="0D0D0D" w:themeColor="text1" w:themeTint="F2"/>
                <w:spacing w:val="-4"/>
                <w:lang w:val="en-GB"/>
              </w:rPr>
              <w:t>2025</w:t>
            </w:r>
            <w:r w:rsidRPr="00884D55">
              <w:rPr>
                <w:color w:val="0D0D0D" w:themeColor="text1" w:themeTint="F2"/>
                <w:spacing w:val="-4"/>
                <w:lang w:val="en-GB"/>
              </w:rPr>
              <w:t>. Despite this, 23% of companies still perceived it as insufficient (on the contrary, only 11% perceived it positively, which was nevertheless more than in previous months). However, the lack of (especially qualified) workers remains a key barrier to the growth of the branch with a considerable margin (54% of businesses cited it as one of the barriers, it created difficulties mostly in the building construction segment). The role of this barrier, as well as others, has not changed substantially, year-on-year</w:t>
            </w:r>
            <w:r w:rsidRPr="00884D55">
              <w:rPr>
                <w:rStyle w:val="Znakapoznpodarou"/>
                <w:rFonts w:eastAsiaTheme="majorEastAsia"/>
                <w:szCs w:val="20"/>
                <w:lang w:val="en-GB"/>
              </w:rPr>
              <w:footnoteReference w:id="44"/>
            </w:r>
            <w:r w:rsidRPr="00884D55">
              <w:rPr>
                <w:color w:val="0D0D0D" w:themeColor="text1" w:themeTint="F2"/>
                <w:spacing w:val="-4"/>
                <w:lang w:val="en-GB"/>
              </w:rPr>
              <w:t xml:space="preserve">.   </w:t>
            </w:r>
            <w:r w:rsidRPr="00884D55">
              <w:rPr>
                <w:rStyle w:val="normaltextrun"/>
                <w:rFonts w:eastAsiaTheme="majorEastAsia" w:cs="Arial"/>
                <w:szCs w:val="20"/>
                <w:lang w:val="en-GB"/>
              </w:rPr>
              <w:t xml:space="preserve"> </w:t>
            </w:r>
          </w:p>
        </w:tc>
      </w:tr>
      <w:tr w:rsidR="00B01DC6" w:rsidRPr="00884D55" w14:paraId="004ACDBB" w14:textId="77777777" w:rsidTr="00803507">
        <w:trPr>
          <w:trHeight w:val="170"/>
        </w:trPr>
        <w:tc>
          <w:tcPr>
            <w:tcW w:w="1814" w:type="dxa"/>
            <w:shd w:val="clear" w:color="auto" w:fill="auto"/>
            <w:tcMar>
              <w:left w:w="0" w:type="dxa"/>
            </w:tcMar>
          </w:tcPr>
          <w:p w14:paraId="15BE7ADB" w14:textId="77777777" w:rsidR="00B01DC6" w:rsidRPr="00884D55" w:rsidRDefault="00B01DC6" w:rsidP="00B01DC6">
            <w:pPr>
              <w:pStyle w:val="Marginlie"/>
              <w:rPr>
                <w:color w:val="0D0D0D" w:themeColor="text1" w:themeTint="F2"/>
                <w:spacing w:val="-4"/>
                <w:lang w:val="en-GB"/>
              </w:rPr>
            </w:pPr>
            <w:r w:rsidRPr="00884D55">
              <w:rPr>
                <w:color w:val="0D0D0D" w:themeColor="text1" w:themeTint="F2"/>
                <w:spacing w:val="-4"/>
                <w:lang w:val="en-GB"/>
              </w:rPr>
              <w:t>The recession afflicted the construction industry in most EU countries last year. The year-on-year dynamics of construction output in the Czech Republic was similar to that in the Union.</w:t>
            </w:r>
          </w:p>
        </w:tc>
        <w:tc>
          <w:tcPr>
            <w:tcW w:w="229" w:type="dxa"/>
            <w:shd w:val="clear" w:color="auto" w:fill="auto"/>
            <w:tcMar>
              <w:left w:w="0" w:type="dxa"/>
            </w:tcMar>
          </w:tcPr>
          <w:p w14:paraId="477BE0C6"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766AF520" w14:textId="77777777" w:rsidR="00B01DC6" w:rsidRPr="00884D55" w:rsidRDefault="00B01DC6" w:rsidP="00B01DC6">
            <w:pPr>
              <w:spacing w:after="220"/>
              <w:rPr>
                <w:color w:val="0D0D0D" w:themeColor="text1" w:themeTint="F2"/>
                <w:spacing w:val="-5"/>
                <w:lang w:val="en-GB"/>
              </w:rPr>
            </w:pPr>
            <w:r w:rsidRPr="00884D55">
              <w:rPr>
                <w:color w:val="0D0D0D" w:themeColor="text1" w:themeTint="F2"/>
                <w:spacing w:val="-5"/>
                <w:lang w:val="en-GB"/>
              </w:rPr>
              <w:t>Construction output in the EU fell by 1.4%</w:t>
            </w:r>
            <w:r w:rsidRPr="00884D55">
              <w:rPr>
                <w:rStyle w:val="Znakapoznpodarou"/>
                <w:color w:val="0D0D0D" w:themeColor="text1" w:themeTint="F2"/>
                <w:spacing w:val="-5"/>
                <w:lang w:val="en-GB"/>
              </w:rPr>
              <w:footnoteReference w:id="45"/>
            </w:r>
            <w:r w:rsidRPr="00884D55">
              <w:rPr>
                <w:color w:val="0D0D0D" w:themeColor="text1" w:themeTint="F2"/>
                <w:spacing w:val="-5"/>
                <w:lang w:val="en-GB"/>
              </w:rPr>
              <w:t xml:space="preserve"> for the last year (after three years of growth). The construction of buildings, in which output decreased for the second time in a row (by 3.2% last year) was the main contributor to the decline, but at the same time the recovery of civil engineering construction continued (+0.4%), even though slower than in the previous three years. Last year's downturn of domestic construction was similar to that in the EU, with the Czech Republic being average in the ranking of Member States. Since the construction </w:t>
            </w:r>
            <w:r w:rsidRPr="006145FA">
              <w:rPr>
                <w:color w:val="0D0D0D" w:themeColor="text1" w:themeTint="F2"/>
                <w:spacing w:val="-7"/>
                <w:lang w:val="en-GB"/>
              </w:rPr>
              <w:t>sector was in a deeper recession in the major economies: Germany (−3.1%), France (−3.4%),</w:t>
            </w:r>
            <w:r w:rsidRPr="00884D55">
              <w:rPr>
                <w:color w:val="0D0D0D" w:themeColor="text1" w:themeTint="F2"/>
                <w:spacing w:val="-5"/>
                <w:lang w:val="en-GB"/>
              </w:rPr>
              <w:t xml:space="preserve"> Poland (−7.7%). The biggest drop afflicted Slovenia (−9.3%) and also a number of newer Member States (Romania, Slovakia, Hungary), which experienced the impact of the euro funds drawing cycle on transport infrastructure (slowdown during the transition to the </w:t>
            </w:r>
            <w:r w:rsidRPr="00CA6CF4">
              <w:rPr>
                <w:color w:val="0D0D0D" w:themeColor="text1" w:themeTint="F2"/>
                <w:spacing w:val="-6"/>
                <w:lang w:val="en-GB"/>
              </w:rPr>
              <w:t>new programming period). On the contrary, some Southern European countries experienced</w:t>
            </w:r>
            <w:r w:rsidRPr="00884D55">
              <w:rPr>
                <w:color w:val="0D0D0D" w:themeColor="text1" w:themeTint="F2"/>
                <w:spacing w:val="-5"/>
                <w:lang w:val="en-GB"/>
              </w:rPr>
              <w:t xml:space="preserve"> the </w:t>
            </w:r>
            <w:r w:rsidRPr="006145FA">
              <w:rPr>
                <w:color w:val="0D0D0D" w:themeColor="text1" w:themeTint="F2"/>
                <w:spacing w:val="-6"/>
                <w:lang w:val="en-GB"/>
              </w:rPr>
              <w:t>largest recovery, where the effect of solid growth of the entire economy was felt. Construction</w:t>
            </w:r>
            <w:r w:rsidRPr="00884D55">
              <w:rPr>
                <w:color w:val="0D0D0D" w:themeColor="text1" w:themeTint="F2"/>
                <w:spacing w:val="-5"/>
                <w:lang w:val="en-GB"/>
              </w:rPr>
              <w:t xml:space="preserve"> output thus increased by 3.9% in Italy, by 3.6% in Spain and by 3.1% in Portugal. </w:t>
            </w:r>
          </w:p>
        </w:tc>
      </w:tr>
      <w:tr w:rsidR="00B01DC6" w:rsidRPr="00884D55" w14:paraId="2F4D23A7" w14:textId="77777777" w:rsidTr="00803507">
        <w:trPr>
          <w:trHeight w:val="170"/>
        </w:trPr>
        <w:tc>
          <w:tcPr>
            <w:tcW w:w="1814" w:type="dxa"/>
            <w:shd w:val="clear" w:color="auto" w:fill="auto"/>
            <w:tcMar>
              <w:left w:w="0" w:type="dxa"/>
            </w:tcMar>
          </w:tcPr>
          <w:p w14:paraId="50C33136" w14:textId="77777777" w:rsidR="00B01DC6" w:rsidRPr="00884D55" w:rsidRDefault="00B01DC6" w:rsidP="00B01DC6">
            <w:pPr>
              <w:pStyle w:val="Marginlie"/>
              <w:rPr>
                <w:color w:val="0D0D0D" w:themeColor="text1" w:themeTint="F2"/>
                <w:spacing w:val="-4"/>
                <w:lang w:val="en-GB"/>
              </w:rPr>
            </w:pPr>
            <w:r w:rsidRPr="00884D55">
              <w:rPr>
                <w:rFonts w:cs="Arial"/>
                <w:color w:val="0D0D0D" w:themeColor="text1" w:themeTint="F2"/>
                <w:spacing w:val="-4"/>
                <w:lang w:val="en-GB"/>
              </w:rPr>
              <w:t xml:space="preserve">Demand for services recovered significantly, quarter-on-quarter, at the beginning of 2024. </w:t>
            </w:r>
          </w:p>
        </w:tc>
        <w:tc>
          <w:tcPr>
            <w:tcW w:w="229" w:type="dxa"/>
            <w:shd w:val="clear" w:color="auto" w:fill="auto"/>
            <w:tcMar>
              <w:left w:w="0" w:type="dxa"/>
            </w:tcMar>
          </w:tcPr>
          <w:p w14:paraId="6B43B9E2"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203F1674" w14:textId="2E1D5B6C" w:rsidR="00B01DC6" w:rsidRPr="00CA6CF4" w:rsidRDefault="00B01DC6" w:rsidP="00CA6CF4">
            <w:pPr>
              <w:spacing w:after="220"/>
              <w:rPr>
                <w:color w:val="0D0D0D" w:themeColor="text1" w:themeTint="F2"/>
                <w:spacing w:val="-6"/>
                <w:lang w:val="en-GB"/>
              </w:rPr>
            </w:pPr>
            <w:r w:rsidRPr="00884D55">
              <w:rPr>
                <w:color w:val="0D0D0D" w:themeColor="text1" w:themeTint="F2"/>
                <w:spacing w:val="-6"/>
                <w:lang w:val="en-GB"/>
              </w:rPr>
              <w:t>At the turn of 2023 and 2024, there was a positive turnaround in demand for services. The stabilisation of the consumer price level helped to launch the growth of employees' real wages for the first time after a longer time, which was mirrored in a more favourable financial situation of households and subsequently stimulated their consumption. Services were also positively influenced by slightly growing business demand last year, which was still rather subdued for most of the previous year. Services sales</w:t>
            </w:r>
            <w:r w:rsidRPr="002E08A1">
              <w:rPr>
                <w:color w:val="0D0D0D" w:themeColor="text1" w:themeTint="F2"/>
                <w:spacing w:val="-6"/>
                <w:vertAlign w:val="superscript"/>
                <w:lang w:val="en-GB"/>
              </w:rPr>
              <w:footnoteReference w:id="46"/>
            </w:r>
            <w:r w:rsidRPr="00CA6CF4">
              <w:rPr>
                <w:color w:val="0D0D0D" w:themeColor="text1" w:themeTint="F2"/>
                <w:spacing w:val="-6"/>
                <w:lang w:val="en-GB"/>
              </w:rPr>
              <w:t xml:space="preserve"> </w:t>
            </w:r>
            <w:r w:rsidRPr="00884D55">
              <w:rPr>
                <w:color w:val="0D0D0D" w:themeColor="text1" w:themeTint="F2"/>
                <w:spacing w:val="-6"/>
                <w:lang w:val="en-GB"/>
              </w:rPr>
              <w:t>strengthened by 2%, quarter-on-quarter, at the beginning of year 2024, marking the strongest recovery in nearly two last years, driven mainly by transportation and storage. Overall, services maintained more modest growth for most of the remainder of the year. Thus they were slightly above the level of t</w:t>
            </w:r>
            <w:r w:rsidR="002E08A1">
              <w:rPr>
                <w:color w:val="0D0D0D" w:themeColor="text1" w:themeTint="F2"/>
                <w:spacing w:val="-6"/>
                <w:lang w:val="en-GB"/>
              </w:rPr>
              <w:t>he peak of the last expansion in</w:t>
            </w:r>
            <w:r w:rsidRPr="00884D55">
              <w:rPr>
                <w:color w:val="0D0D0D" w:themeColor="text1" w:themeTint="F2"/>
                <w:spacing w:val="-6"/>
                <w:lang w:val="en-GB"/>
              </w:rPr>
              <w:t xml:space="preserve"> the pre-pandemic period at the </w:t>
            </w:r>
            <w:r w:rsidR="002E08A1">
              <w:rPr>
                <w:color w:val="0D0D0D" w:themeColor="text1" w:themeTint="F2"/>
                <w:spacing w:val="-6"/>
                <w:lang w:val="en-GB"/>
              </w:rPr>
              <w:t xml:space="preserve">last </w:t>
            </w:r>
            <w:r w:rsidRPr="00884D55">
              <w:rPr>
                <w:color w:val="0D0D0D" w:themeColor="text1" w:themeTint="F2"/>
                <w:spacing w:val="-6"/>
                <w:lang w:val="en-GB"/>
              </w:rPr>
              <w:t>year’s end (they were 2.1% higher compared to</w:t>
            </w:r>
            <w:r w:rsidR="00CA6CF4">
              <w:rPr>
                <w:color w:val="0D0D0D" w:themeColor="text1" w:themeTint="F2"/>
                <w:spacing w:val="-6"/>
                <w:lang w:val="en-GB"/>
              </w:rPr>
              <w:t xml:space="preserve"> </w:t>
            </w:r>
            <w:r w:rsidRPr="00884D55">
              <w:rPr>
                <w:color w:val="0D0D0D" w:themeColor="text1" w:themeTint="F2"/>
                <w:spacing w:val="-6"/>
                <w:lang w:val="en-GB"/>
              </w:rPr>
              <w:t>Q2 2019)</w:t>
            </w:r>
            <w:r w:rsidRPr="00884D55">
              <w:rPr>
                <w:rStyle w:val="Znakapoznpodarou"/>
                <w:color w:val="0D0D0D" w:themeColor="text1" w:themeTint="F2"/>
                <w:spacing w:val="-4"/>
                <w:lang w:val="en-GB"/>
              </w:rPr>
              <w:footnoteReference w:id="47"/>
            </w:r>
          </w:p>
        </w:tc>
      </w:tr>
      <w:tr w:rsidR="00B01DC6" w:rsidRPr="00884D55" w14:paraId="5E59EDA7" w14:textId="77777777" w:rsidTr="00803507">
        <w:trPr>
          <w:trHeight w:val="170"/>
        </w:trPr>
        <w:tc>
          <w:tcPr>
            <w:tcW w:w="1814" w:type="dxa"/>
            <w:shd w:val="clear" w:color="auto" w:fill="auto"/>
            <w:tcMar>
              <w:left w:w="0" w:type="dxa"/>
            </w:tcMar>
          </w:tcPr>
          <w:p w14:paraId="3D5D8A65" w14:textId="77777777" w:rsidR="00B01DC6" w:rsidRPr="00884D55" w:rsidRDefault="00B01DC6" w:rsidP="00B01DC6">
            <w:pPr>
              <w:pStyle w:val="Marginlie"/>
              <w:rPr>
                <w:rFonts w:cs="Arial"/>
                <w:color w:val="0D0D0D" w:themeColor="text1" w:themeTint="F2"/>
                <w:spacing w:val="-4"/>
                <w:lang w:val="en-GB"/>
              </w:rPr>
            </w:pPr>
            <w:r w:rsidRPr="00884D55">
              <w:rPr>
                <w:rFonts w:cs="Arial"/>
                <w:color w:val="0D0D0D" w:themeColor="text1" w:themeTint="F2"/>
                <w:spacing w:val="-4"/>
                <w:lang w:val="en-GB"/>
              </w:rPr>
              <w:t xml:space="preserve">A year-on-year sales increase occurred in all modes of transport last year. The rapid growth of air transport continued, with demand surpassing 2019 levels for the first time. </w:t>
            </w:r>
          </w:p>
        </w:tc>
        <w:tc>
          <w:tcPr>
            <w:tcW w:w="229" w:type="dxa"/>
            <w:shd w:val="clear" w:color="auto" w:fill="auto"/>
            <w:tcMar>
              <w:left w:w="0" w:type="dxa"/>
            </w:tcMar>
          </w:tcPr>
          <w:p w14:paraId="48931E88" w14:textId="77777777" w:rsidR="00B01DC6" w:rsidRPr="00884D55" w:rsidRDefault="00B01DC6" w:rsidP="00B01DC6">
            <w:pPr>
              <w:pStyle w:val="Textpoznpodarou"/>
              <w:jc w:val="both"/>
              <w:rPr>
                <w:rFonts w:eastAsia="Times New Roman" w:cs="Arial"/>
                <w:color w:val="0D0D0D" w:themeColor="text1" w:themeTint="F2"/>
                <w:spacing w:val="-4"/>
                <w:lang w:val="en-GB"/>
              </w:rPr>
            </w:pPr>
          </w:p>
        </w:tc>
        <w:tc>
          <w:tcPr>
            <w:tcW w:w="7596" w:type="dxa"/>
            <w:shd w:val="clear" w:color="auto" w:fill="auto"/>
            <w:tcMar>
              <w:left w:w="0" w:type="dxa"/>
            </w:tcMar>
          </w:tcPr>
          <w:p w14:paraId="4F071914" w14:textId="7340C900" w:rsidR="00B01DC6" w:rsidRPr="00884D55" w:rsidRDefault="00B01DC6" w:rsidP="00B01DC6">
            <w:pPr>
              <w:spacing w:after="220"/>
              <w:rPr>
                <w:color w:val="0D0D0D" w:themeColor="text1" w:themeTint="F2"/>
                <w:spacing w:val="-6"/>
                <w:lang w:val="en-GB"/>
              </w:rPr>
            </w:pPr>
            <w:bookmarkStart w:id="17" w:name="_Hlk194766304"/>
            <w:r w:rsidRPr="00884D55">
              <w:rPr>
                <w:color w:val="0D0D0D" w:themeColor="text1" w:themeTint="F2"/>
                <w:spacing w:val="-6"/>
                <w:lang w:val="en-GB"/>
              </w:rPr>
              <w:t xml:space="preserve">Total sales in services increased by 2.3%, year-on-yea </w:t>
            </w:r>
            <w:r w:rsidR="00B17C40">
              <w:rPr>
                <w:color w:val="0D0D0D" w:themeColor="text1" w:themeTint="F2"/>
                <w:spacing w:val="-6"/>
                <w:lang w:val="en-GB"/>
              </w:rPr>
              <w:t>in 2024</w:t>
            </w:r>
            <w:r w:rsidRPr="00884D55">
              <w:rPr>
                <w:color w:val="0D0D0D" w:themeColor="text1" w:themeTint="F2"/>
                <w:spacing w:val="-6"/>
                <w:lang w:val="en-GB"/>
              </w:rPr>
              <w:t xml:space="preserve"> and offset the weaker performance from the previous year. Almost half of this result was due to the transporting and storage activities, where the sales rose after a significantly weak year 2023 by 4.6% last year. Despite more modest growth, primarily the land transport</w:t>
            </w:r>
            <w:r w:rsidR="00B17C40">
              <w:rPr>
                <w:color w:val="0D0D0D" w:themeColor="text1" w:themeTint="F2"/>
                <w:spacing w:val="-6"/>
                <w:lang w:val="en-GB"/>
              </w:rPr>
              <w:t xml:space="preserve"> </w:t>
            </w:r>
            <w:r w:rsidRPr="00884D55">
              <w:rPr>
                <w:color w:val="0D0D0D" w:themeColor="text1" w:themeTint="F2"/>
                <w:spacing w:val="-6"/>
                <w:lang w:val="en-GB"/>
              </w:rPr>
              <w:t>(+3.1%)</w:t>
            </w:r>
            <w:r w:rsidRPr="00884D55">
              <w:rPr>
                <w:rStyle w:val="Znakapoznpodarou"/>
                <w:color w:val="0D0D0D" w:themeColor="text1" w:themeTint="F2"/>
                <w:spacing w:val="-4"/>
                <w:lang w:val="en-GB"/>
              </w:rPr>
              <w:footnoteReference w:id="48"/>
            </w:r>
            <w:r w:rsidRPr="00884D55">
              <w:rPr>
                <w:color w:val="0D0D0D" w:themeColor="text1" w:themeTint="F2"/>
                <w:spacing w:val="-6"/>
                <w:lang w:val="en-GB"/>
              </w:rPr>
              <w:t xml:space="preserve"> determined the dynamics of this sector. Road transport performance increased slightly, compensating for the ongoing decline in rail freight transport</w:t>
            </w:r>
            <w:r w:rsidRPr="00884D55">
              <w:rPr>
                <w:rStyle w:val="Znakapoznpodarou"/>
                <w:color w:val="0D0D0D" w:themeColor="text1" w:themeTint="F2"/>
                <w:spacing w:val="-4"/>
                <w:lang w:val="en-GB"/>
              </w:rPr>
              <w:footnoteReference w:id="49"/>
            </w:r>
            <w:r w:rsidRPr="00884D55">
              <w:rPr>
                <w:color w:val="0D0D0D" w:themeColor="text1" w:themeTint="F2"/>
                <w:spacing w:val="-4"/>
                <w:lang w:val="en-GB"/>
              </w:rPr>
              <w:t xml:space="preserve">. </w:t>
            </w:r>
            <w:r w:rsidRPr="00884D55">
              <w:rPr>
                <w:color w:val="0D0D0D" w:themeColor="text1" w:themeTint="F2"/>
                <w:spacing w:val="-6"/>
                <w:lang w:val="en-GB"/>
              </w:rPr>
              <w:t xml:space="preserve">Demand for warehousing and support activities in transportation increased, where sales increased by 5.2% and were higher by about a seventh compared to year 2019. Postal and courier activities were in a similar situation, their sales mildly increased (+2.6%) after a drop in both years 2022 and 2023, largely due to a recovery of sales via internet. Domestic air carriers also prospered, reporting growth of 21.9% and their sales matched the pre-covid levels for the first time. </w:t>
            </w:r>
            <w:bookmarkEnd w:id="17"/>
          </w:p>
        </w:tc>
      </w:tr>
      <w:tr w:rsidR="00B01DC6" w:rsidRPr="00884D55" w14:paraId="07A78388" w14:textId="77777777" w:rsidTr="00803507">
        <w:trPr>
          <w:trHeight w:val="170"/>
        </w:trPr>
        <w:tc>
          <w:tcPr>
            <w:tcW w:w="1814" w:type="dxa"/>
            <w:shd w:val="clear" w:color="auto" w:fill="auto"/>
            <w:tcMar>
              <w:left w:w="0" w:type="dxa"/>
            </w:tcMar>
          </w:tcPr>
          <w:p w14:paraId="3AFF1442" w14:textId="77777777" w:rsidR="00B01DC6" w:rsidRPr="00884D55" w:rsidRDefault="00B01DC6" w:rsidP="00B01DC6">
            <w:pPr>
              <w:pStyle w:val="Marginlie"/>
              <w:rPr>
                <w:rFonts w:cs="Arial"/>
                <w:color w:val="0D0D0D" w:themeColor="text1" w:themeTint="F2"/>
                <w:spacing w:val="-4"/>
                <w:lang w:val="en-GB"/>
              </w:rPr>
            </w:pPr>
            <w:bookmarkStart w:id="19" w:name="_Hlk194767360"/>
            <w:r w:rsidRPr="00884D55">
              <w:rPr>
                <w:rFonts w:cs="Arial"/>
                <w:color w:val="0D0D0D" w:themeColor="text1" w:themeTint="F2"/>
                <w:spacing w:val="-4"/>
                <w:lang w:val="en-GB"/>
              </w:rPr>
              <w:t xml:space="preserve">Growth of demand was very moderate in accommodation, food service and restaurants last year. Inbound tourism experienced a weaker summer season, nevertheless the end of the year improved its results. </w:t>
            </w:r>
            <w:bookmarkEnd w:id="19"/>
          </w:p>
        </w:tc>
        <w:tc>
          <w:tcPr>
            <w:tcW w:w="229" w:type="dxa"/>
            <w:shd w:val="clear" w:color="auto" w:fill="auto"/>
            <w:tcMar>
              <w:left w:w="0" w:type="dxa"/>
            </w:tcMar>
          </w:tcPr>
          <w:p w14:paraId="66B8F3BA" w14:textId="77777777" w:rsidR="00B01DC6" w:rsidRPr="00884D55" w:rsidRDefault="00B01DC6" w:rsidP="00B01DC6">
            <w:pPr>
              <w:pStyle w:val="Textpoznpodarou"/>
              <w:jc w:val="both"/>
              <w:rPr>
                <w:rFonts w:eastAsia="Times New Roman" w:cs="Arial"/>
                <w:color w:val="0D0D0D" w:themeColor="text1" w:themeTint="F2"/>
                <w:spacing w:val="-4"/>
                <w:lang w:val="en-GB"/>
              </w:rPr>
            </w:pPr>
          </w:p>
        </w:tc>
        <w:tc>
          <w:tcPr>
            <w:tcW w:w="7596" w:type="dxa"/>
            <w:shd w:val="clear" w:color="auto" w:fill="auto"/>
            <w:tcMar>
              <w:left w:w="0" w:type="dxa"/>
            </w:tcMar>
          </w:tcPr>
          <w:p w14:paraId="606B18E9" w14:textId="248F2F1A" w:rsidR="00B01DC6" w:rsidRPr="00884D55" w:rsidRDefault="00B01DC6" w:rsidP="00B01DC6">
            <w:pPr>
              <w:spacing w:after="220"/>
              <w:rPr>
                <w:color w:val="0D0D0D" w:themeColor="text1" w:themeTint="F2"/>
                <w:spacing w:val="-6"/>
                <w:lang w:val="en-GB"/>
              </w:rPr>
            </w:pPr>
            <w:bookmarkStart w:id="20" w:name="_Hlk194769553"/>
            <w:r w:rsidRPr="00884D55">
              <w:rPr>
                <w:rFonts w:cs="Arial"/>
                <w:color w:val="0D0D0D" w:themeColor="text1" w:themeTint="F2"/>
                <w:spacing w:val="-4"/>
                <w:lang w:val="en-GB"/>
              </w:rPr>
              <w:t>Sales increased only by 0.7%, year-on-year, in the accommodation, food service and restaurants last year, the least in the last four years. This was partly a result of the weaker summer season</w:t>
            </w:r>
            <w:r w:rsidRPr="00884D55">
              <w:rPr>
                <w:rStyle w:val="Znakapoznpodarou"/>
                <w:color w:val="0D0D0D" w:themeColor="text1" w:themeTint="F2"/>
                <w:spacing w:val="-4"/>
                <w:lang w:val="en-GB"/>
              </w:rPr>
              <w:footnoteReference w:id="50"/>
            </w:r>
            <w:r w:rsidRPr="00884D55">
              <w:rPr>
                <w:rFonts w:cs="Arial"/>
                <w:color w:val="0D0D0D" w:themeColor="text1" w:themeTint="F2"/>
                <w:spacing w:val="-4"/>
                <w:lang w:val="en-GB"/>
              </w:rPr>
              <w:t xml:space="preserve"> and especially its end, which was marked by the September floods in all segments of the branch. In addition, the effect of continued brisk price growth may have acted in this area</w:t>
            </w:r>
            <w:r w:rsidRPr="00884D55">
              <w:rPr>
                <w:rStyle w:val="Znakapoznpodarou"/>
                <w:color w:val="0D0D0D" w:themeColor="text1" w:themeTint="F2"/>
                <w:spacing w:val="-4"/>
                <w:lang w:val="en-GB"/>
              </w:rPr>
              <w:footnoteReference w:id="51"/>
            </w:r>
            <w:r w:rsidRPr="00884D55">
              <w:rPr>
                <w:rFonts w:cs="Arial"/>
                <w:color w:val="0D0D0D" w:themeColor="text1" w:themeTint="F2"/>
                <w:spacing w:val="-4"/>
                <w:lang w:val="en-GB"/>
              </w:rPr>
              <w:t xml:space="preserve"> throughout the year, which, together with the deteriorated financial situation of part of households (due to weak economic growth and a decline of real wages in previous years), could have led to a partial reduction of domestic demand. Mild growth of sales occurred only in food service and restaurants for last year (+1.5%), sales decreased with a similar intensity in accommodation. </w:t>
            </w:r>
            <w:r w:rsidR="00F8681C">
              <w:rPr>
                <w:rFonts w:cs="Arial"/>
                <w:color w:val="0D0D0D" w:themeColor="text1" w:themeTint="F2"/>
                <w:spacing w:val="-4"/>
                <w:lang w:val="en-GB"/>
              </w:rPr>
              <w:t xml:space="preserve">Detailed </w:t>
            </w:r>
            <w:r w:rsidRPr="00884D55">
              <w:rPr>
                <w:rFonts w:cs="Arial"/>
                <w:color w:val="0D0D0D" w:themeColor="text1" w:themeTint="F2"/>
                <w:spacing w:val="-4"/>
                <w:lang w:val="en-GB"/>
              </w:rPr>
              <w:t>ndicators in the area of inbound tourism provide slightly better results</w:t>
            </w:r>
            <w:r w:rsidRPr="00884D55">
              <w:rPr>
                <w:rStyle w:val="Znakapoznpodarou"/>
                <w:color w:val="0D0D0D" w:themeColor="text1" w:themeTint="F2"/>
                <w:spacing w:val="-2"/>
                <w:lang w:val="en-GB"/>
              </w:rPr>
              <w:footnoteReference w:id="52"/>
            </w:r>
            <w:r w:rsidRPr="00884D55">
              <w:rPr>
                <w:rFonts w:cs="Arial"/>
                <w:color w:val="0D0D0D" w:themeColor="text1" w:themeTint="F2"/>
                <w:spacing w:val="-4"/>
                <w:lang w:val="en-GB"/>
              </w:rPr>
              <w:t xml:space="preserve"> for the whole of last year, the weaker summer season was compensated by a relatively strong end of the year</w:t>
            </w:r>
            <w:r w:rsidRPr="00884D55">
              <w:rPr>
                <w:rStyle w:val="Znakapoznpodarou"/>
                <w:color w:val="0D0D0D" w:themeColor="text1" w:themeTint="F2"/>
                <w:spacing w:val="-2"/>
                <w:lang w:val="en-GB"/>
              </w:rPr>
              <w:footnoteReference w:id="53"/>
            </w:r>
            <w:r w:rsidRPr="00884D55">
              <w:rPr>
                <w:rFonts w:cs="Arial"/>
                <w:color w:val="0D0D0D" w:themeColor="text1" w:themeTint="F2"/>
                <w:spacing w:val="-2"/>
                <w:lang w:val="en-GB"/>
              </w:rPr>
              <w:t>.</w:t>
            </w:r>
            <w:bookmarkEnd w:id="20"/>
          </w:p>
        </w:tc>
      </w:tr>
      <w:tr w:rsidR="00B01DC6" w:rsidRPr="00884D55" w14:paraId="1FB5E89F" w14:textId="77777777" w:rsidTr="00803507">
        <w:trPr>
          <w:trHeight w:val="170"/>
        </w:trPr>
        <w:tc>
          <w:tcPr>
            <w:tcW w:w="1814" w:type="dxa"/>
            <w:shd w:val="clear" w:color="auto" w:fill="auto"/>
            <w:tcMar>
              <w:left w:w="0" w:type="dxa"/>
            </w:tcMar>
          </w:tcPr>
          <w:p w14:paraId="406DA690" w14:textId="77777777" w:rsidR="00B01DC6" w:rsidRPr="00884D55" w:rsidRDefault="00B01DC6" w:rsidP="00B01DC6">
            <w:pPr>
              <w:pStyle w:val="Marginlie"/>
              <w:rPr>
                <w:rFonts w:cs="Arial"/>
                <w:color w:val="0D0D0D" w:themeColor="text1" w:themeTint="F2"/>
                <w:spacing w:val="-4"/>
                <w:lang w:val="en-GB"/>
              </w:rPr>
            </w:pPr>
            <w:bookmarkStart w:id="24" w:name="_Hlk194775087"/>
            <w:r w:rsidRPr="00884D55">
              <w:rPr>
                <w:color w:val="0D0D0D" w:themeColor="text1" w:themeTint="F2"/>
                <w:spacing w:val="-6"/>
                <w:lang w:val="en-GB"/>
              </w:rPr>
              <w:t xml:space="preserve">Demand for IT activities grew, however it was still subdued in information activities. </w:t>
            </w:r>
            <w:bookmarkEnd w:id="24"/>
          </w:p>
        </w:tc>
        <w:tc>
          <w:tcPr>
            <w:tcW w:w="229" w:type="dxa"/>
            <w:shd w:val="clear" w:color="auto" w:fill="auto"/>
            <w:tcMar>
              <w:left w:w="0" w:type="dxa"/>
            </w:tcMar>
          </w:tcPr>
          <w:p w14:paraId="499BB7F5" w14:textId="77777777" w:rsidR="00B01DC6" w:rsidRPr="00884D55" w:rsidRDefault="00B01DC6" w:rsidP="00B01DC6">
            <w:pPr>
              <w:pStyle w:val="Textpoznpodarou"/>
              <w:jc w:val="both"/>
              <w:rPr>
                <w:rFonts w:eastAsia="Times New Roman" w:cs="Arial"/>
                <w:color w:val="0D0D0D" w:themeColor="text1" w:themeTint="F2"/>
                <w:spacing w:val="-4"/>
                <w:lang w:val="en-GB"/>
              </w:rPr>
            </w:pPr>
          </w:p>
        </w:tc>
        <w:tc>
          <w:tcPr>
            <w:tcW w:w="7596" w:type="dxa"/>
            <w:shd w:val="clear" w:color="auto" w:fill="auto"/>
            <w:tcMar>
              <w:left w:w="0" w:type="dxa"/>
            </w:tcMar>
          </w:tcPr>
          <w:p w14:paraId="75ECFD14" w14:textId="7DAB9B5C" w:rsidR="00B01DC6" w:rsidRPr="00884D55" w:rsidRDefault="00B01DC6" w:rsidP="00B01DC6">
            <w:pPr>
              <w:spacing w:after="220"/>
              <w:rPr>
                <w:rFonts w:cs="Arial"/>
                <w:color w:val="0D0D0D" w:themeColor="text1" w:themeTint="F2"/>
                <w:spacing w:val="-4"/>
                <w:lang w:val="en-GB"/>
              </w:rPr>
            </w:pPr>
            <w:bookmarkStart w:id="25" w:name="_Hlk194775112"/>
            <w:r w:rsidRPr="00884D55">
              <w:rPr>
                <w:rFonts w:cs="Arial"/>
                <w:color w:val="0D0D0D" w:themeColor="text1" w:themeTint="F2"/>
                <w:spacing w:val="-3"/>
                <w:szCs w:val="20"/>
                <w:lang w:val="en-GB"/>
              </w:rPr>
              <w:t>Sales in information and communication after a short-term downturn in 2023 returned to growth (+2.2%) last year. Higher demand was evident especially in IT activities</w:t>
            </w:r>
            <w:r w:rsidRPr="00884D55">
              <w:rPr>
                <w:rStyle w:val="Znakapoznpodarou"/>
                <w:color w:val="0D0D0D" w:themeColor="text1" w:themeTint="F2"/>
                <w:spacing w:val="-6"/>
                <w:lang w:val="en-GB"/>
              </w:rPr>
              <w:footnoteReference w:id="54"/>
            </w:r>
            <w:r w:rsidRPr="00884D55">
              <w:rPr>
                <w:rFonts w:cs="Arial"/>
                <w:color w:val="0D0D0D" w:themeColor="text1" w:themeTint="F2"/>
                <w:spacing w:val="-3"/>
                <w:szCs w:val="20"/>
                <w:lang w:val="en-GB"/>
              </w:rPr>
              <w:t xml:space="preserve"> (+4.5%), and it increased at the same pace also in the relatively small segment of radio and television programming and broadcasting. Last year's sales in information activities</w:t>
            </w:r>
            <w:r w:rsidRPr="00884D55">
              <w:rPr>
                <w:rStyle w:val="Znakapoznpodarou"/>
                <w:color w:val="0D0D0D" w:themeColor="text1" w:themeTint="F2"/>
                <w:spacing w:val="-6"/>
                <w:lang w:val="en-GB"/>
              </w:rPr>
              <w:footnoteReference w:id="55"/>
            </w:r>
            <w:r w:rsidRPr="00884D55">
              <w:rPr>
                <w:rFonts w:cs="Arial"/>
                <w:color w:val="0D0D0D" w:themeColor="text1" w:themeTint="F2"/>
                <w:spacing w:val="-6"/>
                <w:lang w:val="en-GB"/>
              </w:rPr>
              <w:t xml:space="preserve"> </w:t>
            </w:r>
            <w:r w:rsidRPr="00884D55">
              <w:rPr>
                <w:rFonts w:cs="Arial"/>
                <w:color w:val="0D0D0D" w:themeColor="text1" w:themeTint="F2"/>
                <w:spacing w:val="-3"/>
                <w:szCs w:val="20"/>
                <w:lang w:val="en-GB"/>
              </w:rPr>
              <w:t>and also in publishing activities wer</w:t>
            </w:r>
            <w:r w:rsidR="008C4976">
              <w:rPr>
                <w:rFonts w:cs="Arial"/>
                <w:color w:val="0D0D0D" w:themeColor="text1" w:themeTint="F2"/>
                <w:spacing w:val="-3"/>
                <w:szCs w:val="20"/>
                <w:lang w:val="en-GB"/>
              </w:rPr>
              <w:t>e</w:t>
            </w:r>
            <w:r w:rsidRPr="00884D55">
              <w:rPr>
                <w:rFonts w:cs="Arial"/>
                <w:color w:val="0D0D0D" w:themeColor="text1" w:themeTint="F2"/>
                <w:spacing w:val="-3"/>
                <w:szCs w:val="20"/>
                <w:lang w:val="en-GB"/>
              </w:rPr>
              <w:t xml:space="preserve"> stagnating after the slump two years ago (unique in the last ten years). The decline in the so-called motion picture and music industry continued, deepening sharply to almost </w:t>
            </w:r>
            <w:r w:rsidR="008C4976">
              <w:rPr>
                <w:rFonts w:cs="Arial"/>
                <w:color w:val="0D0D0D" w:themeColor="text1" w:themeTint="F2"/>
                <w:spacing w:val="-3"/>
                <w:szCs w:val="20"/>
                <w:lang w:val="en-GB"/>
              </w:rPr>
              <w:t>25%</w:t>
            </w:r>
            <w:r w:rsidRPr="00884D55">
              <w:rPr>
                <w:rFonts w:cs="Arial"/>
                <w:color w:val="0D0D0D" w:themeColor="text1" w:themeTint="F2"/>
                <w:spacing w:val="-3"/>
                <w:szCs w:val="20"/>
                <w:lang w:val="en-GB"/>
              </w:rPr>
              <w:t xml:space="preserve"> last year</w:t>
            </w:r>
            <w:r w:rsidRPr="00884D55">
              <w:rPr>
                <w:rStyle w:val="Znakapoznpodarou"/>
                <w:color w:val="0D0D0D" w:themeColor="text1" w:themeTint="F2"/>
                <w:spacing w:val="-8"/>
                <w:lang w:val="en-GB"/>
              </w:rPr>
              <w:footnoteReference w:id="56"/>
            </w:r>
            <w:r w:rsidRPr="00884D55">
              <w:rPr>
                <w:rFonts w:cs="Arial"/>
                <w:color w:val="0D0D0D" w:themeColor="text1" w:themeTint="F2"/>
                <w:spacing w:val="-3"/>
                <w:szCs w:val="20"/>
                <w:lang w:val="en-GB"/>
              </w:rPr>
              <w:t xml:space="preserve"> (similar to the crisis year of 2020). The current development in this small sector was related to irregular billing (it may also have been influenced by the indirect impacts of a longer strike in Hollywood at the end of </w:t>
            </w:r>
            <w:r w:rsidR="008C4976">
              <w:rPr>
                <w:rFonts w:cs="Arial"/>
                <w:color w:val="0D0D0D" w:themeColor="text1" w:themeTint="F2"/>
                <w:spacing w:val="-3"/>
                <w:szCs w:val="20"/>
                <w:lang w:val="en-GB"/>
              </w:rPr>
              <w:t>2023</w:t>
            </w:r>
            <w:r w:rsidRPr="00884D55">
              <w:rPr>
                <w:rFonts w:cs="Arial"/>
                <w:color w:val="0D0D0D" w:themeColor="text1" w:themeTint="F2"/>
                <w:spacing w:val="-3"/>
                <w:szCs w:val="20"/>
                <w:lang w:val="en-GB"/>
              </w:rPr>
              <w:t xml:space="preserve">). </w:t>
            </w:r>
            <w:bookmarkEnd w:id="25"/>
          </w:p>
        </w:tc>
      </w:tr>
      <w:tr w:rsidR="00B01DC6" w:rsidRPr="00884D55" w14:paraId="4FED5F9B" w14:textId="77777777" w:rsidTr="00803507">
        <w:trPr>
          <w:trHeight w:val="170"/>
        </w:trPr>
        <w:tc>
          <w:tcPr>
            <w:tcW w:w="1814" w:type="dxa"/>
            <w:shd w:val="clear" w:color="auto" w:fill="auto"/>
            <w:tcMar>
              <w:left w:w="0" w:type="dxa"/>
            </w:tcMar>
          </w:tcPr>
          <w:p w14:paraId="20A9D516" w14:textId="77777777" w:rsidR="00B01DC6" w:rsidRPr="00884D55" w:rsidRDefault="00B01DC6" w:rsidP="00B01DC6">
            <w:pPr>
              <w:pStyle w:val="Marginlie"/>
              <w:rPr>
                <w:color w:val="0D0D0D" w:themeColor="text1" w:themeTint="F2"/>
                <w:spacing w:val="-6"/>
                <w:lang w:val="en-GB"/>
              </w:rPr>
            </w:pPr>
            <w:bookmarkStart w:id="27" w:name="_Hlk194776149"/>
            <w:r w:rsidRPr="00884D55">
              <w:rPr>
                <w:color w:val="0D0D0D" w:themeColor="text1" w:themeTint="F2"/>
                <w:spacing w:val="-4"/>
                <w:lang w:val="en-GB"/>
              </w:rPr>
              <w:t xml:space="preserve">The rapid growth of demand for activities of head offices and management consultancy continued. On the other hand, advertising sales diminished. </w:t>
            </w:r>
          </w:p>
        </w:tc>
        <w:tc>
          <w:tcPr>
            <w:tcW w:w="229" w:type="dxa"/>
            <w:shd w:val="clear" w:color="auto" w:fill="auto"/>
            <w:tcMar>
              <w:left w:w="0" w:type="dxa"/>
            </w:tcMar>
          </w:tcPr>
          <w:p w14:paraId="2E605EBF" w14:textId="77777777" w:rsidR="00B01DC6" w:rsidRPr="00884D55" w:rsidRDefault="00B01DC6" w:rsidP="00B01DC6">
            <w:pPr>
              <w:pStyle w:val="Textpoznpodarou"/>
              <w:jc w:val="both"/>
              <w:rPr>
                <w:rFonts w:eastAsia="Times New Roman" w:cs="Arial"/>
                <w:color w:val="0D0D0D" w:themeColor="text1" w:themeTint="F2"/>
                <w:spacing w:val="-4"/>
                <w:lang w:val="en-GB"/>
              </w:rPr>
            </w:pPr>
          </w:p>
        </w:tc>
        <w:tc>
          <w:tcPr>
            <w:tcW w:w="7596" w:type="dxa"/>
            <w:shd w:val="clear" w:color="auto" w:fill="auto"/>
            <w:tcMar>
              <w:left w:w="0" w:type="dxa"/>
            </w:tcMar>
          </w:tcPr>
          <w:p w14:paraId="421F903E" w14:textId="6FCE2314" w:rsidR="00B01DC6" w:rsidRPr="00884D55" w:rsidRDefault="00B01DC6" w:rsidP="00B01DC6">
            <w:pPr>
              <w:spacing w:after="220"/>
              <w:rPr>
                <w:rFonts w:cs="Arial"/>
                <w:color w:val="0D0D0D" w:themeColor="text1" w:themeTint="F2"/>
                <w:spacing w:val="-3"/>
                <w:szCs w:val="20"/>
                <w:lang w:val="en-GB"/>
              </w:rPr>
            </w:pPr>
            <w:r w:rsidRPr="00884D55">
              <w:rPr>
                <w:rFonts w:cs="Arial"/>
                <w:color w:val="0D0D0D" w:themeColor="text1" w:themeTint="F2"/>
                <w:spacing w:val="-3"/>
                <w:szCs w:val="20"/>
                <w:lang w:val="en-GB"/>
              </w:rPr>
              <w:t xml:space="preserve">Moderate growth of demand for business services continued for the fourth year in a row. Their sales increased by 1.7%, year-on-year, in the professional, scientific and technical activities last year, however the pace weakened during the year and demand was virtually stagnating at the end of the year. Annually, the sales increased the most in </w:t>
            </w:r>
            <w:r w:rsidRPr="00884D55">
              <w:rPr>
                <w:color w:val="0D0D0D" w:themeColor="text1" w:themeTint="F2"/>
                <w:spacing w:val="-4"/>
                <w:lang w:val="en-GB"/>
              </w:rPr>
              <w:t xml:space="preserve">activities of head offices and management consultancy </w:t>
            </w:r>
            <w:r w:rsidRPr="00884D55">
              <w:rPr>
                <w:rFonts w:cs="Arial"/>
                <w:color w:val="0D0D0D" w:themeColor="text1" w:themeTint="F2"/>
                <w:spacing w:val="-3"/>
                <w:szCs w:val="20"/>
                <w:lang w:val="en-GB"/>
              </w:rPr>
              <w:t>(+4.6%), nevertheless the higher demand in the diversified segment of other professional, scientific and technical activities</w:t>
            </w:r>
            <w:r w:rsidRPr="00884D55">
              <w:rPr>
                <w:rStyle w:val="Znakapoznpodarou"/>
                <w:spacing w:val="-4"/>
                <w:lang w:val="en-GB"/>
              </w:rPr>
              <w:footnoteReference w:id="57"/>
            </w:r>
            <w:r w:rsidRPr="00884D55">
              <w:rPr>
                <w:rFonts w:cs="Arial"/>
                <w:color w:val="0D0D0D" w:themeColor="text1" w:themeTint="F2"/>
                <w:spacing w:val="-3"/>
                <w:szCs w:val="20"/>
                <w:lang w:val="en-GB"/>
              </w:rPr>
              <w:t>, which has however not yet reached the 2019 level, contributed the most to the growth of the entire sector</w:t>
            </w:r>
            <w:r w:rsidR="00D77C2A">
              <w:rPr>
                <w:rFonts w:cs="Arial"/>
                <w:color w:val="0D0D0D" w:themeColor="text1" w:themeTint="F2"/>
                <w:spacing w:val="-3"/>
                <w:szCs w:val="20"/>
                <w:lang w:val="en-GB"/>
              </w:rPr>
              <w:t xml:space="preserve"> last year</w:t>
            </w:r>
            <w:r w:rsidRPr="00884D55">
              <w:rPr>
                <w:rFonts w:cs="Arial"/>
                <w:color w:val="0D0D0D" w:themeColor="text1" w:themeTint="F2"/>
                <w:spacing w:val="-3"/>
                <w:szCs w:val="20"/>
                <w:lang w:val="en-GB"/>
              </w:rPr>
              <w:t xml:space="preserve">. Legal and accounting activities were also successful last year, where sales did not decrease significantly even during the pandemic (they thus increased by 14% in total over the last five years). The relatively high demand for architectural and engineering activities, apparent in the previous three years, gradually weakened during the last year and its growth halted in Q4 (−3.0%). Advertising and market research have struggled with weaker demand in recent years. Sales fell by almost 4% last year and </w:t>
            </w:r>
            <w:r w:rsidR="00D77C2A">
              <w:rPr>
                <w:rFonts w:cs="Arial"/>
                <w:color w:val="0D0D0D" w:themeColor="text1" w:themeTint="F2"/>
                <w:spacing w:val="-3"/>
                <w:szCs w:val="20"/>
                <w:lang w:val="en-GB"/>
              </w:rPr>
              <w:t xml:space="preserve">in comparison with year </w:t>
            </w:r>
            <w:r w:rsidRPr="00884D55">
              <w:rPr>
                <w:rFonts w:cs="Arial"/>
                <w:color w:val="0D0D0D" w:themeColor="text1" w:themeTint="F2"/>
                <w:spacing w:val="-3"/>
                <w:szCs w:val="20"/>
                <w:lang w:val="en-GB"/>
              </w:rPr>
              <w:t>2019</w:t>
            </w:r>
            <w:r w:rsidR="00D77C2A">
              <w:rPr>
                <w:rFonts w:cs="Arial"/>
                <w:color w:val="0D0D0D" w:themeColor="text1" w:themeTint="F2"/>
                <w:spacing w:val="-3"/>
                <w:szCs w:val="20"/>
                <w:lang w:val="en-GB"/>
              </w:rPr>
              <w:t xml:space="preserve"> they were weaker</w:t>
            </w:r>
            <w:r w:rsidR="003905A9">
              <w:rPr>
                <w:rFonts w:cs="Arial"/>
                <w:color w:val="0D0D0D" w:themeColor="text1" w:themeTint="F2"/>
                <w:spacing w:val="-3"/>
                <w:szCs w:val="20"/>
                <w:lang w:val="en-GB"/>
              </w:rPr>
              <w:t xml:space="preserve"> even by 12%.</w:t>
            </w:r>
            <w:r w:rsidRPr="00884D55">
              <w:rPr>
                <w:rFonts w:cs="Arial"/>
                <w:color w:val="0D0D0D" w:themeColor="text1" w:themeTint="F2"/>
                <w:spacing w:val="-3"/>
                <w:szCs w:val="20"/>
                <w:lang w:val="en-GB"/>
              </w:rPr>
              <w:t xml:space="preserve">   </w:t>
            </w:r>
            <w:bookmarkStart w:id="28" w:name="_Hlk194777297"/>
            <w:r w:rsidRPr="00884D55">
              <w:rPr>
                <w:rFonts w:cs="Arial"/>
                <w:color w:val="0D0D0D" w:themeColor="text1" w:themeTint="F2"/>
                <w:spacing w:val="-3"/>
                <w:szCs w:val="20"/>
                <w:lang w:val="en-GB"/>
              </w:rPr>
              <w:t xml:space="preserve"> </w:t>
            </w:r>
            <w:bookmarkEnd w:id="28"/>
          </w:p>
        </w:tc>
      </w:tr>
      <w:bookmarkEnd w:id="27"/>
      <w:tr w:rsidR="00B01DC6" w:rsidRPr="00884D55" w14:paraId="3118B06A" w14:textId="77777777" w:rsidTr="00803507">
        <w:trPr>
          <w:trHeight w:val="170"/>
        </w:trPr>
        <w:tc>
          <w:tcPr>
            <w:tcW w:w="1814" w:type="dxa"/>
            <w:shd w:val="clear" w:color="auto" w:fill="auto"/>
            <w:tcMar>
              <w:left w:w="0" w:type="dxa"/>
            </w:tcMar>
          </w:tcPr>
          <w:p w14:paraId="6079A947" w14:textId="77777777" w:rsidR="00B01DC6" w:rsidRPr="00884D55" w:rsidRDefault="00B01DC6" w:rsidP="00B01DC6">
            <w:pPr>
              <w:pStyle w:val="Marginlie"/>
              <w:rPr>
                <w:lang w:val="en-GB"/>
              </w:rPr>
            </w:pPr>
          </w:p>
        </w:tc>
        <w:tc>
          <w:tcPr>
            <w:tcW w:w="229" w:type="dxa"/>
            <w:shd w:val="clear" w:color="auto" w:fill="auto"/>
            <w:tcMar>
              <w:left w:w="0" w:type="dxa"/>
            </w:tcMar>
          </w:tcPr>
          <w:p w14:paraId="365FFF2E"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1BCD6141" w14:textId="77777777" w:rsidR="00B01DC6" w:rsidRPr="00884D55" w:rsidRDefault="00B01DC6" w:rsidP="00B01DC6">
            <w:pPr>
              <w:spacing w:after="40"/>
              <w:rPr>
                <w:b/>
                <w:spacing w:val="-4"/>
                <w:lang w:val="en-GB"/>
              </w:rPr>
            </w:pPr>
            <w:r w:rsidRPr="00884D55">
              <w:rPr>
                <w:b/>
                <w:spacing w:val="-4"/>
                <w:lang w:val="en-GB"/>
              </w:rPr>
              <w:t xml:space="preserve">Chart 7 </w:t>
            </w:r>
            <w:r w:rsidRPr="00884D55">
              <w:rPr>
                <w:b/>
                <w:spacing w:val="-2"/>
                <w:lang w:val="en-GB"/>
              </w:rPr>
              <w:t>Contributions of sub-branches to year-on-year change of sales in services</w:t>
            </w:r>
            <w:r w:rsidRPr="00884D55">
              <w:rPr>
                <w:b/>
                <w:bCs/>
                <w:spacing w:val="-2"/>
                <w:lang w:val="en-GB"/>
              </w:rPr>
              <w:t>*</w:t>
            </w:r>
            <w:r w:rsidRPr="00884D55">
              <w:rPr>
                <w:b/>
                <w:spacing w:val="-2"/>
                <w:lang w:val="en-GB"/>
              </w:rPr>
              <w:br/>
            </w:r>
            <w:r w:rsidRPr="00884D55">
              <w:rPr>
                <w:spacing w:val="-2"/>
                <w:lang w:val="en-GB"/>
              </w:rPr>
              <w:t>(real, in p. p),</w:t>
            </w:r>
            <w:r w:rsidRPr="00884D55">
              <w:rPr>
                <w:b/>
                <w:spacing w:val="-2"/>
                <w:lang w:val="en-GB"/>
              </w:rPr>
              <w:t xml:space="preserve"> total sales in services</w:t>
            </w:r>
            <w:r w:rsidRPr="00884D55">
              <w:rPr>
                <w:b/>
                <w:bCs/>
                <w:spacing w:val="-2"/>
                <w:lang w:val="en-GB"/>
              </w:rPr>
              <w:t xml:space="preserve">* </w:t>
            </w:r>
            <w:r w:rsidRPr="00884D55">
              <w:rPr>
                <w:spacing w:val="-2"/>
                <w:lang w:val="en-GB"/>
              </w:rPr>
              <w:t>(2021=100, right axis),</w:t>
            </w:r>
            <w:r w:rsidRPr="00884D55">
              <w:rPr>
                <w:b/>
                <w:spacing w:val="-2"/>
                <w:lang w:val="en-GB"/>
              </w:rPr>
              <w:t xml:space="preserve"> balance of business </w:t>
            </w:r>
            <w:r w:rsidRPr="00481F92">
              <w:rPr>
                <w:b/>
                <w:spacing w:val="-8"/>
                <w:lang w:val="en-GB"/>
              </w:rPr>
              <w:t>confidence indicator in services</w:t>
            </w:r>
            <w:r w:rsidRPr="00481F92">
              <w:rPr>
                <w:b/>
                <w:bCs/>
                <w:spacing w:val="-8"/>
                <w:lang w:val="en-GB"/>
              </w:rPr>
              <w:t>**</w:t>
            </w:r>
            <w:r w:rsidRPr="00481F92">
              <w:rPr>
                <w:b/>
                <w:spacing w:val="-8"/>
                <w:lang w:val="en-GB"/>
              </w:rPr>
              <w:t xml:space="preserve"> </w:t>
            </w:r>
            <w:r w:rsidRPr="00481F92">
              <w:rPr>
                <w:spacing w:val="-8"/>
                <w:lang w:val="en-GB"/>
              </w:rPr>
              <w:t>(in p. p., right axis)</w:t>
            </w:r>
            <w:r w:rsidRPr="00481F92">
              <w:rPr>
                <w:b/>
                <w:bCs/>
                <w:spacing w:val="-8"/>
                <w:lang w:val="en-GB"/>
              </w:rPr>
              <w:t xml:space="preserve">, </w:t>
            </w:r>
            <w:r w:rsidRPr="00481F92">
              <w:rPr>
                <w:b/>
                <w:spacing w:val="-8"/>
                <w:lang w:val="en-GB"/>
              </w:rPr>
              <w:t>barriers to growth</w:t>
            </w:r>
            <w:r w:rsidRPr="00481F92">
              <w:rPr>
                <w:b/>
                <w:bCs/>
                <w:spacing w:val="-8"/>
                <w:lang w:val="en-GB"/>
              </w:rPr>
              <w:t>**</w:t>
            </w:r>
            <w:r w:rsidRPr="00481F92">
              <w:rPr>
                <w:b/>
                <w:spacing w:val="-8"/>
                <w:lang w:val="en-GB"/>
              </w:rPr>
              <w:t xml:space="preserve"> </w:t>
            </w:r>
            <w:r w:rsidRPr="00481F92">
              <w:rPr>
                <w:spacing w:val="-8"/>
                <w:lang w:val="en-GB"/>
              </w:rPr>
              <w:t>(in %, right axis)</w:t>
            </w:r>
            <w:r w:rsidRPr="00884D55">
              <w:rPr>
                <w:spacing w:val="-4"/>
                <w:lang w:val="en-GB"/>
              </w:rPr>
              <w:t xml:space="preserve"> </w:t>
            </w:r>
          </w:p>
        </w:tc>
      </w:tr>
      <w:tr w:rsidR="00B01DC6" w:rsidRPr="00884D55" w14:paraId="675FC4E9" w14:textId="77777777" w:rsidTr="006E7E89">
        <w:tblPrEx>
          <w:tblCellMar>
            <w:left w:w="70" w:type="dxa"/>
            <w:right w:w="70" w:type="dxa"/>
          </w:tblCellMar>
        </w:tblPrEx>
        <w:trPr>
          <w:trHeight w:val="170"/>
        </w:trPr>
        <w:tc>
          <w:tcPr>
            <w:tcW w:w="1814" w:type="dxa"/>
            <w:shd w:val="clear" w:color="auto" w:fill="auto"/>
          </w:tcPr>
          <w:p w14:paraId="1B349605" w14:textId="77777777" w:rsidR="00B01DC6" w:rsidRPr="00884D55" w:rsidRDefault="00B01DC6" w:rsidP="00B01DC6">
            <w:pPr>
              <w:pStyle w:val="Marginlie"/>
              <w:rPr>
                <w:lang w:val="en-GB"/>
              </w:rPr>
            </w:pPr>
          </w:p>
        </w:tc>
        <w:tc>
          <w:tcPr>
            <w:tcW w:w="229" w:type="dxa"/>
            <w:shd w:val="clear" w:color="auto" w:fill="auto"/>
          </w:tcPr>
          <w:p w14:paraId="4B6C0A8B" w14:textId="77777777" w:rsidR="00B01DC6" w:rsidRPr="00884D55" w:rsidRDefault="00B01DC6" w:rsidP="00B01DC6">
            <w:pPr>
              <w:pStyle w:val="Textpoznpodarou"/>
              <w:jc w:val="both"/>
              <w:rPr>
                <w:spacing w:val="-4"/>
                <w:lang w:val="en-GB"/>
              </w:rPr>
            </w:pPr>
          </w:p>
        </w:tc>
        <w:tc>
          <w:tcPr>
            <w:tcW w:w="7596" w:type="dxa"/>
            <w:shd w:val="clear" w:color="auto" w:fill="auto"/>
          </w:tcPr>
          <w:p w14:paraId="0ADD5057" w14:textId="2786E4EE" w:rsidR="00B01DC6" w:rsidRPr="00884D55" w:rsidRDefault="006E7E89" w:rsidP="00B01DC6">
            <w:pPr>
              <w:spacing w:after="0"/>
              <w:rPr>
                <w:rFonts w:cs="Arial"/>
                <w:sz w:val="14"/>
                <w:szCs w:val="14"/>
                <w:lang w:val="en-GB"/>
              </w:rPr>
            </w:pPr>
            <w:r>
              <w:rPr>
                <w:noProof/>
              </w:rPr>
              <w:drawing>
                <wp:inline distT="0" distB="0" distL="0" distR="0" wp14:anchorId="7D0954DA" wp14:editId="758BF9FE">
                  <wp:extent cx="4660117" cy="3636780"/>
                  <wp:effectExtent l="0" t="0" r="7620" b="1905"/>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B01DC6" w:rsidRPr="00884D55" w14:paraId="46116ACE" w14:textId="77777777" w:rsidTr="00803507">
        <w:trPr>
          <w:trHeight w:val="170"/>
        </w:trPr>
        <w:tc>
          <w:tcPr>
            <w:tcW w:w="1814" w:type="dxa"/>
            <w:shd w:val="clear" w:color="auto" w:fill="auto"/>
            <w:tcMar>
              <w:left w:w="0" w:type="dxa"/>
            </w:tcMar>
          </w:tcPr>
          <w:p w14:paraId="60121E65" w14:textId="77777777" w:rsidR="00B01DC6" w:rsidRPr="00884D55" w:rsidRDefault="00B01DC6" w:rsidP="00B01DC6">
            <w:pPr>
              <w:pStyle w:val="Marginlie"/>
              <w:rPr>
                <w:lang w:val="en-GB"/>
              </w:rPr>
            </w:pPr>
          </w:p>
        </w:tc>
        <w:tc>
          <w:tcPr>
            <w:tcW w:w="229" w:type="dxa"/>
            <w:shd w:val="clear" w:color="auto" w:fill="auto"/>
            <w:tcMar>
              <w:left w:w="0" w:type="dxa"/>
            </w:tcMar>
          </w:tcPr>
          <w:p w14:paraId="3224FD48"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50157EE8" w14:textId="77777777" w:rsidR="00B01DC6" w:rsidRPr="00884D55" w:rsidRDefault="00B01DC6" w:rsidP="00B01DC6">
            <w:pPr>
              <w:spacing w:after="0" w:line="240" w:lineRule="auto"/>
              <w:rPr>
                <w:rFonts w:cs="Arial"/>
                <w:spacing w:val="-6"/>
                <w:sz w:val="14"/>
                <w:szCs w:val="14"/>
                <w:lang w:val="en-GB"/>
              </w:rPr>
            </w:pPr>
            <w:r w:rsidRPr="00884D55">
              <w:rPr>
                <w:rFonts w:cs="Arial"/>
                <w:spacing w:val="-6"/>
                <w:sz w:val="14"/>
                <w:szCs w:val="14"/>
                <w:lang w:val="en-GB"/>
              </w:rPr>
              <w:t xml:space="preserve">Note: All data are seasonally adjusted, only contributions of sub-branches to the growth of sales are adjusted solely for calendar effects. </w:t>
            </w:r>
          </w:p>
          <w:p w14:paraId="63B27C9F" w14:textId="77777777" w:rsidR="00B01DC6" w:rsidRPr="00884D55" w:rsidRDefault="00B01DC6" w:rsidP="00B01DC6">
            <w:pPr>
              <w:spacing w:after="0" w:line="240" w:lineRule="auto"/>
              <w:rPr>
                <w:rFonts w:cs="Arial"/>
                <w:sz w:val="14"/>
                <w:szCs w:val="14"/>
                <w:lang w:val="en-GB"/>
              </w:rPr>
            </w:pPr>
            <w:r w:rsidRPr="00884D55">
              <w:rPr>
                <w:rFonts w:cs="Arial"/>
                <w:sz w:val="14"/>
                <w:szCs w:val="14"/>
                <w:lang w:val="en-GB"/>
              </w:rPr>
              <w:t xml:space="preserve">*Without branches trade, </w:t>
            </w:r>
            <w:r w:rsidRPr="00884D55">
              <w:rPr>
                <w:color w:val="0D0D0D" w:themeColor="text1" w:themeTint="F2"/>
                <w:sz w:val="14"/>
                <w:szCs w:val="14"/>
                <w:lang w:val="en-GB"/>
              </w:rPr>
              <w:t xml:space="preserve">financial activities, insurance activities, science, research and public services. </w:t>
            </w:r>
          </w:p>
          <w:p w14:paraId="5163C0A5" w14:textId="618C8661" w:rsidR="00B01DC6" w:rsidRPr="00884D55" w:rsidRDefault="00B01DC6" w:rsidP="00B01DC6">
            <w:pPr>
              <w:spacing w:after="0" w:line="240" w:lineRule="auto"/>
              <w:rPr>
                <w:rFonts w:cs="Arial"/>
                <w:spacing w:val="-4"/>
                <w:sz w:val="14"/>
                <w:szCs w:val="14"/>
                <w:lang w:val="en-GB"/>
              </w:rPr>
            </w:pPr>
            <w:r w:rsidRPr="00884D55">
              <w:rPr>
                <w:rFonts w:cs="Arial"/>
                <w:sz w:val="14"/>
                <w:szCs w:val="14"/>
                <w:lang w:val="en-GB"/>
              </w:rPr>
              <w:t>**Also involves the f</w:t>
            </w:r>
            <w:r w:rsidR="006E7E89">
              <w:rPr>
                <w:rFonts w:cs="Arial"/>
                <w:sz w:val="14"/>
                <w:szCs w:val="14"/>
                <w:lang w:val="en-GB"/>
              </w:rPr>
              <w:t>inancial sector. B</w:t>
            </w:r>
            <w:r w:rsidRPr="00884D55">
              <w:rPr>
                <w:rFonts w:cs="Arial"/>
                <w:sz w:val="14"/>
                <w:szCs w:val="14"/>
                <w:lang w:val="en-GB"/>
              </w:rPr>
              <w:t xml:space="preserve">arrier to growth express the level in the first </w:t>
            </w:r>
            <w:r w:rsidR="006E7E89" w:rsidRPr="00884D55">
              <w:rPr>
                <w:rFonts w:cs="Arial"/>
                <w:sz w:val="14"/>
                <w:szCs w:val="14"/>
                <w:lang w:val="en-GB"/>
              </w:rPr>
              <w:t>month of the given quarter</w:t>
            </w:r>
            <w:r w:rsidR="006E7E89">
              <w:rPr>
                <w:rFonts w:cs="Arial"/>
                <w:sz w:val="14"/>
                <w:szCs w:val="14"/>
                <w:lang w:val="en-GB"/>
              </w:rPr>
              <w:t xml:space="preserve">, balance of confidence is related to the second month of the quarter. </w:t>
            </w:r>
            <w:r w:rsidRPr="00884D55">
              <w:rPr>
                <w:rFonts w:cs="Arial"/>
                <w:spacing w:val="-2"/>
                <w:sz w:val="14"/>
                <w:szCs w:val="14"/>
                <w:lang w:val="en-GB"/>
              </w:rPr>
              <w:t>Businesses could have indicated more key barriers simultaneously</w:t>
            </w:r>
            <w:r w:rsidRPr="00884D55">
              <w:rPr>
                <w:rFonts w:cs="Arial"/>
                <w:sz w:val="14"/>
                <w:szCs w:val="14"/>
                <w:lang w:val="en-GB"/>
              </w:rPr>
              <w:t xml:space="preserve">. </w:t>
            </w:r>
          </w:p>
          <w:p w14:paraId="6AE09DC4" w14:textId="70BB1A6D" w:rsidR="00B01DC6" w:rsidRPr="006E7E89" w:rsidRDefault="006E7E89" w:rsidP="006E7E89">
            <w:pPr>
              <w:spacing w:after="200" w:line="240" w:lineRule="auto"/>
              <w:rPr>
                <w:rFonts w:cs="Arial"/>
                <w:sz w:val="14"/>
                <w:szCs w:val="14"/>
                <w:lang w:val="en-GB"/>
              </w:rPr>
            </w:pPr>
            <w:r>
              <w:rPr>
                <w:rFonts w:cs="Arial"/>
                <w:sz w:val="14"/>
                <w:szCs w:val="14"/>
                <w:lang w:val="en-GB"/>
              </w:rPr>
              <w:t>Source: CZSO, Eurostat</w:t>
            </w:r>
          </w:p>
        </w:tc>
      </w:tr>
      <w:tr w:rsidR="00B01DC6" w:rsidRPr="00884D55" w14:paraId="2DF39F9E" w14:textId="77777777" w:rsidTr="00803507">
        <w:trPr>
          <w:trHeight w:val="170"/>
        </w:trPr>
        <w:tc>
          <w:tcPr>
            <w:tcW w:w="1814" w:type="dxa"/>
            <w:shd w:val="clear" w:color="auto" w:fill="auto"/>
            <w:tcMar>
              <w:left w:w="0" w:type="dxa"/>
            </w:tcMar>
          </w:tcPr>
          <w:p w14:paraId="253B2B64" w14:textId="77777777" w:rsidR="00B01DC6" w:rsidRPr="00884D55" w:rsidRDefault="00B01DC6" w:rsidP="00B01DC6">
            <w:pPr>
              <w:pStyle w:val="Marginlie"/>
              <w:rPr>
                <w:color w:val="0D0D0D" w:themeColor="text1" w:themeTint="F2"/>
                <w:spacing w:val="0"/>
                <w:lang w:val="en-GB"/>
              </w:rPr>
            </w:pPr>
            <w:bookmarkStart w:id="29" w:name="_Hlk194780039"/>
            <w:r w:rsidRPr="00884D55">
              <w:rPr>
                <w:color w:val="0D0D0D" w:themeColor="text1" w:themeTint="F2"/>
                <w:spacing w:val="-4"/>
                <w:lang w:val="en-GB"/>
              </w:rPr>
              <w:t xml:space="preserve">The slight increase of sales in administrative and support activities was mainly due to travel agencies and also rental and operating leasing. Mainly the weaker demand for employment placement agency services had the opposite effect. </w:t>
            </w:r>
            <w:bookmarkEnd w:id="29"/>
          </w:p>
        </w:tc>
        <w:tc>
          <w:tcPr>
            <w:tcW w:w="229" w:type="dxa"/>
            <w:shd w:val="clear" w:color="auto" w:fill="auto"/>
            <w:tcMar>
              <w:left w:w="0" w:type="dxa"/>
            </w:tcMar>
          </w:tcPr>
          <w:p w14:paraId="69FC6AE6" w14:textId="77777777" w:rsidR="00B01DC6" w:rsidRPr="00884D55" w:rsidRDefault="00B01DC6" w:rsidP="00B01DC6">
            <w:pPr>
              <w:pStyle w:val="Textpoznpodarou"/>
              <w:jc w:val="both"/>
              <w:rPr>
                <w:color w:val="0D0D0D" w:themeColor="text1" w:themeTint="F2"/>
                <w:spacing w:val="-4"/>
                <w:lang w:val="en-GB"/>
              </w:rPr>
            </w:pPr>
          </w:p>
        </w:tc>
        <w:tc>
          <w:tcPr>
            <w:tcW w:w="7596" w:type="dxa"/>
            <w:shd w:val="clear" w:color="auto" w:fill="auto"/>
            <w:tcMar>
              <w:left w:w="0" w:type="dxa"/>
            </w:tcMar>
          </w:tcPr>
          <w:p w14:paraId="139DF603" w14:textId="77777777" w:rsidR="00B01DC6" w:rsidRPr="00884D55" w:rsidRDefault="00B01DC6" w:rsidP="00B01DC6">
            <w:pPr>
              <w:rPr>
                <w:rFonts w:cs="Arial"/>
                <w:color w:val="0D0D0D" w:themeColor="text1" w:themeTint="F2"/>
                <w:spacing w:val="-4"/>
                <w:lang w:val="en-GB"/>
              </w:rPr>
            </w:pPr>
            <w:bookmarkStart w:id="30" w:name="_Hlk194780070"/>
            <w:r w:rsidRPr="00884D55">
              <w:rPr>
                <w:color w:val="0D0D0D" w:themeColor="text1" w:themeTint="F2"/>
                <w:spacing w:val="-4"/>
                <w:lang w:val="en-GB"/>
              </w:rPr>
              <w:t>Sales increased by 1.9%, year-on-year, in the administrative and support service activities last year, driven mainly by the still rapidly growing performance of travel agencies and tour operators (+5.2%), which had already surpassed the 2019 level the year before. They mainly reflect the more frequent trips abroad by domestic households. Demand for a number of other services revived last year – especially for rental and operating leasing (+5.3%, e.g. for machinery, equipment or products for personal use and mainly for households, e.g. recreational and sports equipment</w:t>
            </w:r>
            <w:r w:rsidRPr="00884D55">
              <w:rPr>
                <w:rStyle w:val="Znakapoznpodarou"/>
                <w:color w:val="0D0D0D" w:themeColor="text1" w:themeTint="F2"/>
                <w:spacing w:val="-4"/>
                <w:lang w:val="en-GB"/>
              </w:rPr>
              <w:footnoteReference w:id="58"/>
            </w:r>
            <w:r w:rsidRPr="00884D55">
              <w:rPr>
                <w:color w:val="0D0D0D" w:themeColor="text1" w:themeTint="F2"/>
                <w:spacing w:val="-4"/>
                <w:lang w:val="en-GB"/>
              </w:rPr>
              <w:t>) or for administrative and office activities. By contrast, weaker demand persisted for a number of less sophisticated business services. The noticeable decline of employment placement agencies continued, their sales decreased at a double-digit rate for the third year in a row (by 11.6% last year, they fell by almost half compared to 2019)</w:t>
            </w:r>
            <w:r w:rsidRPr="00884D55">
              <w:rPr>
                <w:rStyle w:val="Znakapoznpodarou"/>
                <w:color w:val="0D0D0D" w:themeColor="text1" w:themeTint="F2"/>
                <w:spacing w:val="-2"/>
                <w:lang w:val="en-GB"/>
              </w:rPr>
              <w:footnoteReference w:id="59"/>
            </w:r>
            <w:r w:rsidRPr="00884D55">
              <w:rPr>
                <w:color w:val="0D0D0D" w:themeColor="text1" w:themeTint="F2"/>
                <w:spacing w:val="-4"/>
                <w:lang w:val="en-GB"/>
              </w:rPr>
              <w:t xml:space="preserve">. The pressure to reduce costs associated also with the development of digitization was mirrored in a continued slight decrease of sales of security and investigation activities. </w:t>
            </w:r>
            <w:bookmarkEnd w:id="30"/>
          </w:p>
        </w:tc>
      </w:tr>
      <w:tr w:rsidR="00B01DC6" w:rsidRPr="00884D55" w14:paraId="69EF5419" w14:textId="77777777" w:rsidTr="00803507">
        <w:trPr>
          <w:trHeight w:val="170"/>
        </w:trPr>
        <w:tc>
          <w:tcPr>
            <w:tcW w:w="1814" w:type="dxa"/>
            <w:shd w:val="clear" w:color="auto" w:fill="auto"/>
            <w:tcMar>
              <w:left w:w="0" w:type="dxa"/>
            </w:tcMar>
          </w:tcPr>
          <w:p w14:paraId="763F31A8" w14:textId="77777777" w:rsidR="00B01DC6" w:rsidRPr="00884D55" w:rsidRDefault="00B01DC6" w:rsidP="00B01DC6">
            <w:pPr>
              <w:pStyle w:val="Marginlie"/>
              <w:rPr>
                <w:color w:val="0D0D0D" w:themeColor="text1" w:themeTint="F2"/>
                <w:spacing w:val="-6"/>
                <w:lang w:val="en-GB"/>
              </w:rPr>
            </w:pPr>
            <w:bookmarkStart w:id="33" w:name="_Hlk194782870"/>
            <w:r w:rsidRPr="00884D55">
              <w:rPr>
                <w:color w:val="0D0D0D" w:themeColor="text1" w:themeTint="F2"/>
                <w:spacing w:val="0"/>
                <w:lang w:val="en-GB"/>
              </w:rPr>
              <w:t xml:space="preserve">Stabilisation of prices in the economy led to a rapid improvement of consumer confidence at the beginning of last year. However, people's willingness to spend more still has its limits.  </w:t>
            </w:r>
            <w:bookmarkEnd w:id="33"/>
          </w:p>
        </w:tc>
        <w:tc>
          <w:tcPr>
            <w:tcW w:w="229" w:type="dxa"/>
            <w:shd w:val="clear" w:color="auto" w:fill="auto"/>
            <w:tcMar>
              <w:left w:w="0" w:type="dxa"/>
            </w:tcMar>
          </w:tcPr>
          <w:p w14:paraId="71610240" w14:textId="77777777" w:rsidR="00B01DC6" w:rsidRPr="00884D55" w:rsidRDefault="00B01DC6" w:rsidP="00B01DC6">
            <w:pPr>
              <w:pStyle w:val="Textpoznpodarou"/>
              <w:jc w:val="both"/>
              <w:rPr>
                <w:color w:val="0D0D0D" w:themeColor="text1" w:themeTint="F2"/>
                <w:spacing w:val="-4"/>
                <w:lang w:val="en-GB"/>
              </w:rPr>
            </w:pPr>
          </w:p>
        </w:tc>
        <w:tc>
          <w:tcPr>
            <w:tcW w:w="7596" w:type="dxa"/>
            <w:shd w:val="clear" w:color="auto" w:fill="auto"/>
            <w:tcMar>
              <w:left w:w="0" w:type="dxa"/>
            </w:tcMar>
          </w:tcPr>
          <w:p w14:paraId="31A033C8" w14:textId="3DCF474D" w:rsidR="00B01DC6" w:rsidRPr="00884D55" w:rsidRDefault="00B01DC6" w:rsidP="00B01DC6">
            <w:pPr>
              <w:spacing w:after="200"/>
              <w:rPr>
                <w:rFonts w:cs="Arial"/>
                <w:color w:val="0D0D0D" w:themeColor="text1" w:themeTint="F2"/>
                <w:spacing w:val="-4"/>
                <w:lang w:val="en-GB"/>
              </w:rPr>
            </w:pPr>
            <w:bookmarkStart w:id="34" w:name="_Hlk194782889"/>
            <w:r w:rsidRPr="00884D55">
              <w:rPr>
                <w:rFonts w:cs="Arial"/>
                <w:color w:val="0D0D0D" w:themeColor="text1" w:themeTint="F2"/>
                <w:spacing w:val="-4"/>
                <w:lang w:val="en-GB"/>
              </w:rPr>
              <w:t xml:space="preserve">Retail has also experienced a positive shift in recent quarters. Its premise was the return of consumer prices into the normal growth bands. This, together with the solid condition of the </w:t>
            </w:r>
            <w:r w:rsidR="002615E9">
              <w:rPr>
                <w:rFonts w:cs="Arial"/>
                <w:color w:val="0D0D0D" w:themeColor="text1" w:themeTint="F2"/>
                <w:spacing w:val="-4"/>
                <w:lang w:val="en-GB"/>
              </w:rPr>
              <w:t xml:space="preserve">Czech </w:t>
            </w:r>
            <w:r w:rsidRPr="00884D55">
              <w:rPr>
                <w:rFonts w:cs="Arial"/>
                <w:color w:val="0D0D0D" w:themeColor="text1" w:themeTint="F2"/>
                <w:spacing w:val="-4"/>
                <w:lang w:val="en-GB"/>
              </w:rPr>
              <w:t xml:space="preserve">labour market, quickly kick-started the growth of households' purchasing power and improved their overall confidence in the economy, which therefore rose to the highest level in the last two and a half years </w:t>
            </w:r>
            <w:r w:rsidR="002615E9">
              <w:rPr>
                <w:rFonts w:cs="Arial"/>
                <w:color w:val="0D0D0D" w:themeColor="text1" w:themeTint="F2"/>
                <w:spacing w:val="-4"/>
                <w:lang w:val="en-GB"/>
              </w:rPr>
              <w:t>in</w:t>
            </w:r>
            <w:r w:rsidRPr="00884D55">
              <w:rPr>
                <w:rFonts w:cs="Arial"/>
                <w:color w:val="0D0D0D" w:themeColor="text1" w:themeTint="F2"/>
                <w:spacing w:val="-4"/>
                <w:lang w:val="en-GB"/>
              </w:rPr>
              <w:t xml:space="preserve"> April</w:t>
            </w:r>
            <w:r w:rsidR="002615E9">
              <w:rPr>
                <w:rFonts w:cs="Arial"/>
                <w:color w:val="0D0D0D" w:themeColor="text1" w:themeTint="F2"/>
                <w:spacing w:val="-4"/>
                <w:lang w:val="en-GB"/>
              </w:rPr>
              <w:t xml:space="preserve"> 2024</w:t>
            </w:r>
            <w:r w:rsidRPr="00884D55">
              <w:rPr>
                <w:rFonts w:cs="Arial"/>
                <w:color w:val="0D0D0D" w:themeColor="text1" w:themeTint="F2"/>
                <w:spacing w:val="-4"/>
                <w:lang w:val="en-GB"/>
              </w:rPr>
              <w:t xml:space="preserve">. Although there was a slight deterioration subsequently, consumer pessimism was still lower in February </w:t>
            </w:r>
            <w:r w:rsidR="002615E9">
              <w:rPr>
                <w:rFonts w:cs="Arial"/>
                <w:color w:val="0D0D0D" w:themeColor="text1" w:themeTint="F2"/>
                <w:spacing w:val="-4"/>
                <w:lang w:val="en-GB"/>
              </w:rPr>
              <w:t>2025</w:t>
            </w:r>
            <w:r w:rsidRPr="00884D55">
              <w:rPr>
                <w:rFonts w:cs="Arial"/>
                <w:color w:val="0D0D0D" w:themeColor="text1" w:themeTint="F2"/>
                <w:spacing w:val="-4"/>
                <w:lang w:val="en-GB"/>
              </w:rPr>
              <w:t xml:space="preserve"> than in any month from 2022 to 2023. However, people still declare a higher intention to save and at the same time do not yet consider the current time to be very suitable for large purchases (investments or durable goods). In addition, people's concerns of rising prices and unemployment (currently slightly higher than their long-term average) began to grow again. This partly counteracts a faster recovery of demand for certain assortment groups of non-food goods. At the same time, however, </w:t>
            </w:r>
            <w:r w:rsidR="002615E9">
              <w:rPr>
                <w:rFonts w:cs="Arial"/>
                <w:color w:val="0D0D0D" w:themeColor="text1" w:themeTint="F2"/>
                <w:spacing w:val="-4"/>
                <w:lang w:val="en-GB"/>
              </w:rPr>
              <w:t>retaile</w:t>
            </w:r>
            <w:r w:rsidRPr="00884D55">
              <w:rPr>
                <w:rFonts w:cs="Arial"/>
                <w:color w:val="0D0D0D" w:themeColor="text1" w:themeTint="F2"/>
                <w:spacing w:val="-4"/>
                <w:lang w:val="en-GB"/>
              </w:rPr>
              <w:t xml:space="preserve">rs' optimism strengthened, with their level of confidence in the economy rising in February </w:t>
            </w:r>
            <w:r w:rsidR="002615E9">
              <w:rPr>
                <w:rFonts w:cs="Arial"/>
                <w:color w:val="0D0D0D" w:themeColor="text1" w:themeTint="F2"/>
                <w:spacing w:val="-4"/>
                <w:lang w:val="en-GB"/>
              </w:rPr>
              <w:t>2025</w:t>
            </w:r>
            <w:r w:rsidRPr="00884D55">
              <w:rPr>
                <w:rFonts w:cs="Arial"/>
                <w:color w:val="0D0D0D" w:themeColor="text1" w:themeTint="F2"/>
                <w:spacing w:val="-4"/>
                <w:lang w:val="en-GB"/>
              </w:rPr>
              <w:t xml:space="preserve"> to the highest level in almost two </w:t>
            </w:r>
            <w:r w:rsidR="002615E9">
              <w:rPr>
                <w:rFonts w:cs="Arial"/>
                <w:color w:val="0D0D0D" w:themeColor="text1" w:themeTint="F2"/>
                <w:spacing w:val="-4"/>
                <w:lang w:val="en-GB"/>
              </w:rPr>
              <w:t xml:space="preserve">last </w:t>
            </w:r>
            <w:r w:rsidRPr="00884D55">
              <w:rPr>
                <w:rFonts w:cs="Arial"/>
                <w:color w:val="0D0D0D" w:themeColor="text1" w:themeTint="F2"/>
                <w:spacing w:val="-4"/>
                <w:lang w:val="en-GB"/>
              </w:rPr>
              <w:t xml:space="preserve">years and simultaneously being comparable to the boom year of 2019. The development of inbound tourism also contributed to the recovery of retail throughout last year.   </w:t>
            </w:r>
            <w:bookmarkEnd w:id="34"/>
          </w:p>
        </w:tc>
      </w:tr>
      <w:tr w:rsidR="00B01DC6" w:rsidRPr="00884D55" w14:paraId="63E1E5D0" w14:textId="77777777" w:rsidTr="00803507">
        <w:trPr>
          <w:trHeight w:val="155"/>
        </w:trPr>
        <w:tc>
          <w:tcPr>
            <w:tcW w:w="1814" w:type="dxa"/>
            <w:vMerge w:val="restart"/>
            <w:shd w:val="clear" w:color="auto" w:fill="auto"/>
            <w:tcMar>
              <w:left w:w="0" w:type="dxa"/>
            </w:tcMar>
          </w:tcPr>
          <w:p w14:paraId="1D7A381F" w14:textId="77777777" w:rsidR="00B01DC6" w:rsidRPr="00884D55" w:rsidRDefault="00B01DC6" w:rsidP="00B01DC6">
            <w:pPr>
              <w:pStyle w:val="Marginlie"/>
              <w:rPr>
                <w:lang w:val="en-GB"/>
              </w:rPr>
            </w:pPr>
          </w:p>
        </w:tc>
        <w:tc>
          <w:tcPr>
            <w:tcW w:w="229" w:type="dxa"/>
            <w:vMerge w:val="restart"/>
            <w:shd w:val="clear" w:color="auto" w:fill="auto"/>
            <w:tcMar>
              <w:left w:w="0" w:type="dxa"/>
            </w:tcMar>
          </w:tcPr>
          <w:p w14:paraId="74C7CC75"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2FFBA47C" w14:textId="77777777" w:rsidR="00B01DC6" w:rsidRPr="00884D55" w:rsidRDefault="00B01DC6" w:rsidP="00B01DC6">
            <w:pPr>
              <w:spacing w:after="0"/>
              <w:rPr>
                <w:rFonts w:cs="Arial"/>
                <w:color w:val="0D0D0D" w:themeColor="text1" w:themeTint="F2"/>
                <w:spacing w:val="-4"/>
                <w:szCs w:val="20"/>
                <w:lang w:val="en-GB"/>
              </w:rPr>
            </w:pPr>
            <w:r w:rsidRPr="00884D55">
              <w:rPr>
                <w:b/>
                <w:lang w:val="en-GB"/>
              </w:rPr>
              <w:t xml:space="preserve">Chart 8 </w:t>
            </w:r>
            <w:r w:rsidRPr="00884D55">
              <w:rPr>
                <w:b/>
                <w:spacing w:val="-4"/>
                <w:lang w:val="en-GB"/>
              </w:rPr>
              <w:t>Contributions of sub-branches to year-on-year change of sales in retail trade</w:t>
            </w:r>
            <w:r w:rsidRPr="00884D55">
              <w:rPr>
                <w:rFonts w:cs="Arial"/>
                <w:b/>
                <w:bCs/>
                <w:color w:val="0D0D0D" w:themeColor="text1" w:themeTint="F2"/>
                <w:spacing w:val="-4"/>
                <w:lang w:val="en-GB"/>
              </w:rPr>
              <w:t xml:space="preserve">* </w:t>
            </w:r>
            <w:r w:rsidRPr="00884D55">
              <w:rPr>
                <w:rFonts w:cs="Arial"/>
                <w:color w:val="0D0D0D" w:themeColor="text1" w:themeTint="F2"/>
                <w:spacing w:val="-4"/>
                <w:lang w:val="en-GB"/>
              </w:rPr>
              <w:t xml:space="preserve">(real, in p.p.), </w:t>
            </w:r>
            <w:r w:rsidRPr="00884D55">
              <w:rPr>
                <w:rFonts w:cs="Arial"/>
                <w:b/>
                <w:bCs/>
                <w:color w:val="0D0D0D" w:themeColor="text1" w:themeTint="F2"/>
                <w:spacing w:val="-4"/>
                <w:szCs w:val="20"/>
                <w:lang w:val="en-GB"/>
              </w:rPr>
              <w:t xml:space="preserve">sales in retail trade and motorist segment of trade** </w:t>
            </w:r>
            <w:r w:rsidRPr="00884D55">
              <w:rPr>
                <w:rFonts w:cs="Arial"/>
                <w:color w:val="0D0D0D" w:themeColor="text1" w:themeTint="F2"/>
                <w:spacing w:val="-4"/>
                <w:szCs w:val="20"/>
                <w:lang w:val="en-GB"/>
              </w:rPr>
              <w:t>(real, level from year 2021=100, right axis),</w:t>
            </w:r>
            <w:r w:rsidRPr="00884D55">
              <w:rPr>
                <w:rFonts w:cs="Arial"/>
                <w:b/>
                <w:color w:val="0D0D0D" w:themeColor="text1" w:themeTint="F2"/>
                <w:spacing w:val="-4"/>
                <w:szCs w:val="20"/>
                <w:lang w:val="en-GB"/>
              </w:rPr>
              <w:t xml:space="preserve"> balance of business and consumer confidence indicator</w:t>
            </w:r>
            <w:r w:rsidRPr="00884D55">
              <w:rPr>
                <w:rFonts w:cs="Arial"/>
                <w:b/>
                <w:bCs/>
                <w:color w:val="0D0D0D" w:themeColor="text1" w:themeTint="F2"/>
                <w:spacing w:val="-4"/>
                <w:lang w:val="en-GB"/>
              </w:rPr>
              <w:t xml:space="preserve">*** </w:t>
            </w:r>
            <w:r w:rsidRPr="00884D55">
              <w:rPr>
                <w:rFonts w:cs="Arial"/>
                <w:color w:val="0D0D0D" w:themeColor="text1" w:themeTint="F2"/>
                <w:spacing w:val="-4"/>
                <w:lang w:val="en-GB"/>
              </w:rPr>
              <w:t xml:space="preserve">(in p. p, right axis.) </w:t>
            </w:r>
          </w:p>
        </w:tc>
      </w:tr>
      <w:tr w:rsidR="00B01DC6" w:rsidRPr="00884D55" w14:paraId="251E73B9" w14:textId="77777777" w:rsidTr="00364199">
        <w:tblPrEx>
          <w:tblCellMar>
            <w:left w:w="70" w:type="dxa"/>
            <w:right w:w="70" w:type="dxa"/>
          </w:tblCellMar>
        </w:tblPrEx>
        <w:trPr>
          <w:trHeight w:val="155"/>
        </w:trPr>
        <w:tc>
          <w:tcPr>
            <w:tcW w:w="1814" w:type="dxa"/>
            <w:vMerge/>
            <w:shd w:val="clear" w:color="auto" w:fill="auto"/>
          </w:tcPr>
          <w:p w14:paraId="6C3A4250" w14:textId="77777777" w:rsidR="00B01DC6" w:rsidRPr="00884D55" w:rsidRDefault="00B01DC6" w:rsidP="00B01DC6">
            <w:pPr>
              <w:pStyle w:val="Marginlie"/>
              <w:rPr>
                <w:lang w:val="en-GB"/>
              </w:rPr>
            </w:pPr>
          </w:p>
        </w:tc>
        <w:tc>
          <w:tcPr>
            <w:tcW w:w="229" w:type="dxa"/>
            <w:vMerge/>
            <w:shd w:val="clear" w:color="auto" w:fill="auto"/>
          </w:tcPr>
          <w:p w14:paraId="120EEA88" w14:textId="77777777" w:rsidR="00B01DC6" w:rsidRPr="00884D55" w:rsidRDefault="00B01DC6" w:rsidP="00B01DC6">
            <w:pPr>
              <w:pStyle w:val="Textpoznpodarou"/>
              <w:jc w:val="both"/>
              <w:rPr>
                <w:spacing w:val="-4"/>
                <w:lang w:val="en-GB"/>
              </w:rPr>
            </w:pPr>
          </w:p>
        </w:tc>
        <w:tc>
          <w:tcPr>
            <w:tcW w:w="7596" w:type="dxa"/>
            <w:shd w:val="clear" w:color="auto" w:fill="auto"/>
          </w:tcPr>
          <w:p w14:paraId="6148136F" w14:textId="4FFA3119" w:rsidR="00B01DC6" w:rsidRPr="00884D55" w:rsidRDefault="00364199" w:rsidP="00B01DC6">
            <w:pPr>
              <w:spacing w:after="0"/>
              <w:rPr>
                <w:rFonts w:cs="Arial"/>
                <w:color w:val="0D0D0D" w:themeColor="text1" w:themeTint="F2"/>
                <w:spacing w:val="-4"/>
                <w:szCs w:val="20"/>
                <w:lang w:val="en-GB"/>
              </w:rPr>
            </w:pPr>
            <w:r>
              <w:rPr>
                <w:noProof/>
              </w:rPr>
              <w:drawing>
                <wp:inline distT="0" distB="0" distL="0" distR="0" wp14:anchorId="4C3A7D86" wp14:editId="7AEE57AA">
                  <wp:extent cx="4734560" cy="3599180"/>
                  <wp:effectExtent l="0" t="0" r="8890" b="1270"/>
                  <wp:docPr id="435923176" name="Graf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B01DC6" w:rsidRPr="00884D55" w14:paraId="57367CA3" w14:textId="77777777" w:rsidTr="00803507">
        <w:trPr>
          <w:trHeight w:val="155"/>
        </w:trPr>
        <w:tc>
          <w:tcPr>
            <w:tcW w:w="1814" w:type="dxa"/>
            <w:vMerge/>
            <w:shd w:val="clear" w:color="auto" w:fill="auto"/>
            <w:tcMar>
              <w:left w:w="0" w:type="dxa"/>
            </w:tcMar>
          </w:tcPr>
          <w:p w14:paraId="1C4A575A" w14:textId="77777777" w:rsidR="00B01DC6" w:rsidRPr="00884D55" w:rsidRDefault="00B01DC6" w:rsidP="00B01DC6">
            <w:pPr>
              <w:pStyle w:val="Marginlie"/>
              <w:rPr>
                <w:lang w:val="en-GB"/>
              </w:rPr>
            </w:pPr>
          </w:p>
        </w:tc>
        <w:tc>
          <w:tcPr>
            <w:tcW w:w="229" w:type="dxa"/>
            <w:vMerge/>
            <w:shd w:val="clear" w:color="auto" w:fill="auto"/>
            <w:tcMar>
              <w:left w:w="0" w:type="dxa"/>
            </w:tcMar>
          </w:tcPr>
          <w:p w14:paraId="6B05D4AF"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59BD383B" w14:textId="77777777" w:rsidR="00B01DC6" w:rsidRPr="00884D55" w:rsidRDefault="00B01DC6" w:rsidP="00B01DC6">
            <w:pPr>
              <w:spacing w:after="0" w:line="240" w:lineRule="auto"/>
              <w:rPr>
                <w:rFonts w:cs="Arial"/>
                <w:sz w:val="14"/>
                <w:szCs w:val="14"/>
                <w:lang w:val="en-GB"/>
              </w:rPr>
            </w:pPr>
            <w:r w:rsidRPr="00884D55">
              <w:rPr>
                <w:rFonts w:cs="Arial"/>
                <w:color w:val="0D0D0D" w:themeColor="text1" w:themeTint="F2"/>
                <w:spacing w:val="-6"/>
                <w:lang w:val="en-GB"/>
              </w:rPr>
              <w:t>*</w:t>
            </w:r>
            <w:r w:rsidRPr="00884D55">
              <w:rPr>
                <w:rFonts w:cs="Arial"/>
                <w:sz w:val="14"/>
                <w:szCs w:val="14"/>
                <w:lang w:val="en-GB"/>
              </w:rPr>
              <w:t xml:space="preserve"> Sales are adjusted for calendar effects.       ** Sales are adjusted for both seasonal and calendar effects. </w:t>
            </w:r>
          </w:p>
          <w:p w14:paraId="3362251C" w14:textId="04591472" w:rsidR="00B01DC6" w:rsidRPr="00364199" w:rsidRDefault="00B01DC6" w:rsidP="006145FA">
            <w:pPr>
              <w:spacing w:after="0"/>
              <w:rPr>
                <w:rFonts w:cs="Arial"/>
                <w:color w:val="0D0D0D" w:themeColor="text1" w:themeTint="F2"/>
                <w:spacing w:val="-4"/>
                <w:sz w:val="14"/>
                <w:szCs w:val="14"/>
                <w:lang w:val="en-GB"/>
              </w:rPr>
            </w:pPr>
            <w:r w:rsidRPr="00884D55">
              <w:rPr>
                <w:rFonts w:cs="Arial"/>
                <w:color w:val="0D0D0D" w:themeColor="text1" w:themeTint="F2"/>
                <w:spacing w:val="-4"/>
                <w:sz w:val="14"/>
                <w:szCs w:val="14"/>
                <w:lang w:val="en-GB"/>
              </w:rPr>
              <w:t xml:space="preserve">*** </w:t>
            </w:r>
            <w:r w:rsidRPr="00884D55">
              <w:rPr>
                <w:rFonts w:cs="Arial"/>
                <w:color w:val="0D0D0D" w:themeColor="text1" w:themeTint="F2"/>
                <w:spacing w:val="-5"/>
                <w:sz w:val="14"/>
                <w:szCs w:val="14"/>
                <w:lang w:val="en-GB"/>
              </w:rPr>
              <w:t xml:space="preserve">Consumer confidence indicator balance is seasonally adjusted and expresses the position in the second month of the given quarter. </w:t>
            </w:r>
            <w:r w:rsidRPr="00884D55">
              <w:rPr>
                <w:rFonts w:cs="Arial"/>
                <w:color w:val="0D0D0D" w:themeColor="text1" w:themeTint="F2"/>
                <w:spacing w:val="-4"/>
                <w:sz w:val="14"/>
                <w:szCs w:val="14"/>
                <w:lang w:val="en-GB"/>
              </w:rPr>
              <w:t xml:space="preserve">                              Source: CZSO</w:t>
            </w:r>
          </w:p>
        </w:tc>
      </w:tr>
      <w:tr w:rsidR="00B01DC6" w:rsidRPr="00884D55" w14:paraId="1ADE890A" w14:textId="77777777" w:rsidTr="00803507">
        <w:trPr>
          <w:trHeight w:val="170"/>
        </w:trPr>
        <w:tc>
          <w:tcPr>
            <w:tcW w:w="1814" w:type="dxa"/>
            <w:shd w:val="clear" w:color="auto" w:fill="auto"/>
            <w:tcMar>
              <w:left w:w="0" w:type="dxa"/>
            </w:tcMar>
          </w:tcPr>
          <w:p w14:paraId="60584E68" w14:textId="0889E6E1" w:rsidR="00B01DC6" w:rsidRPr="00884D55" w:rsidRDefault="00B01DC6" w:rsidP="00B01DC6">
            <w:pPr>
              <w:pStyle w:val="Marginlie"/>
              <w:rPr>
                <w:color w:val="0D0D0D" w:themeColor="text1" w:themeTint="F2"/>
                <w:spacing w:val="0"/>
                <w:lang w:val="en-GB"/>
              </w:rPr>
            </w:pPr>
            <w:bookmarkStart w:id="35" w:name="_Hlk194782579"/>
            <w:r w:rsidRPr="006145FA">
              <w:rPr>
                <w:color w:val="0D0D0D" w:themeColor="text1" w:themeTint="F2"/>
                <w:spacing w:val="0"/>
                <w:lang w:val="en-GB"/>
              </w:rPr>
              <w:t xml:space="preserve">Year-on-year </w:t>
            </w:r>
            <w:r w:rsidRPr="00884D55">
              <w:rPr>
                <w:color w:val="0D0D0D" w:themeColor="text1" w:themeTint="F2"/>
                <w:spacing w:val="0"/>
                <w:lang w:val="en-GB"/>
              </w:rPr>
              <w:t>retail sales growth reached an almost three-year high in Q4</w:t>
            </w:r>
            <w:r w:rsidR="006145FA">
              <w:rPr>
                <w:color w:val="0D0D0D" w:themeColor="text1" w:themeTint="F2"/>
                <w:spacing w:val="0"/>
                <w:lang w:val="en-GB"/>
              </w:rPr>
              <w:t xml:space="preserve"> 2024</w:t>
            </w:r>
            <w:r w:rsidRPr="00884D55">
              <w:rPr>
                <w:color w:val="0D0D0D" w:themeColor="text1" w:themeTint="F2"/>
                <w:spacing w:val="0"/>
                <w:lang w:val="en-GB"/>
              </w:rPr>
              <w:t xml:space="preserve">. </w:t>
            </w:r>
            <w:bookmarkEnd w:id="35"/>
          </w:p>
          <w:p w14:paraId="36C4D9C7" w14:textId="77777777" w:rsidR="00B01DC6" w:rsidRPr="00884D55" w:rsidRDefault="00B01DC6" w:rsidP="00B01DC6">
            <w:pPr>
              <w:pStyle w:val="Marginlie"/>
              <w:rPr>
                <w:color w:val="0D0D0D" w:themeColor="text1" w:themeTint="F2"/>
                <w:spacing w:val="0"/>
                <w:lang w:val="en-GB"/>
              </w:rPr>
            </w:pPr>
          </w:p>
          <w:p w14:paraId="38E373A5" w14:textId="77777777" w:rsidR="00B01DC6" w:rsidRPr="00884D55" w:rsidRDefault="00B01DC6" w:rsidP="00B01DC6">
            <w:pPr>
              <w:pStyle w:val="Marginlie"/>
              <w:rPr>
                <w:color w:val="0D0D0D" w:themeColor="text1" w:themeTint="F2"/>
                <w:spacing w:val="0"/>
                <w:lang w:val="en-GB"/>
              </w:rPr>
            </w:pPr>
          </w:p>
          <w:p w14:paraId="08D85E4E" w14:textId="77777777" w:rsidR="00B01DC6" w:rsidRPr="00884D55" w:rsidRDefault="00B01DC6" w:rsidP="00B01DC6">
            <w:pPr>
              <w:pStyle w:val="Marginlie"/>
              <w:rPr>
                <w:color w:val="0D0D0D" w:themeColor="text1" w:themeTint="F2"/>
                <w:spacing w:val="0"/>
                <w:lang w:val="en-GB"/>
              </w:rPr>
            </w:pPr>
          </w:p>
          <w:p w14:paraId="6FA6963F" w14:textId="77777777" w:rsidR="00B01DC6" w:rsidRPr="00884D55" w:rsidRDefault="00B01DC6" w:rsidP="00B01DC6">
            <w:pPr>
              <w:pStyle w:val="Marginlie"/>
              <w:rPr>
                <w:color w:val="0D0D0D" w:themeColor="text1" w:themeTint="F2"/>
                <w:spacing w:val="0"/>
                <w:lang w:val="en-GB"/>
              </w:rPr>
            </w:pPr>
          </w:p>
          <w:p w14:paraId="64DEECC4" w14:textId="77777777" w:rsidR="00B01DC6" w:rsidRPr="00884D55" w:rsidRDefault="00B01DC6" w:rsidP="00B01DC6">
            <w:pPr>
              <w:pStyle w:val="Marginlie"/>
              <w:rPr>
                <w:color w:val="0D0D0D" w:themeColor="text1" w:themeTint="F2"/>
                <w:spacing w:val="0"/>
                <w:lang w:val="en-GB"/>
              </w:rPr>
            </w:pPr>
          </w:p>
          <w:p w14:paraId="572DFB09" w14:textId="77777777" w:rsidR="00B01DC6" w:rsidRPr="00884D55" w:rsidRDefault="00B01DC6" w:rsidP="00B01DC6">
            <w:pPr>
              <w:pStyle w:val="Marginlie"/>
              <w:rPr>
                <w:color w:val="0D0D0D" w:themeColor="text1" w:themeTint="F2"/>
                <w:spacing w:val="0"/>
                <w:lang w:val="en-GB"/>
              </w:rPr>
            </w:pPr>
            <w:bookmarkStart w:id="36" w:name="_Hlk194784688"/>
            <w:r w:rsidRPr="00884D55">
              <w:rPr>
                <w:color w:val="0D0D0D" w:themeColor="text1" w:themeTint="F2"/>
                <w:spacing w:val="0"/>
                <w:lang w:val="en-GB"/>
              </w:rPr>
              <w:t xml:space="preserve">Advancing digitization and modernization in logistics led to strong growth of sales via internet. However, sales continued to decline in a number of specialized stores.  </w:t>
            </w:r>
          </w:p>
          <w:bookmarkEnd w:id="36"/>
          <w:p w14:paraId="1A046E53" w14:textId="77777777" w:rsidR="00B01DC6" w:rsidRPr="00884D55" w:rsidRDefault="00B01DC6" w:rsidP="00B01DC6">
            <w:pPr>
              <w:pStyle w:val="Marginlie"/>
              <w:rPr>
                <w:color w:val="0D0D0D" w:themeColor="text1" w:themeTint="F2"/>
                <w:spacing w:val="0"/>
                <w:lang w:val="en-GB"/>
              </w:rPr>
            </w:pPr>
          </w:p>
          <w:p w14:paraId="370928C4" w14:textId="77777777" w:rsidR="00B01DC6" w:rsidRPr="00884D55" w:rsidRDefault="00B01DC6" w:rsidP="00B01DC6">
            <w:pPr>
              <w:pStyle w:val="Marginlie"/>
              <w:rPr>
                <w:color w:val="0D0D0D" w:themeColor="text1" w:themeTint="F2"/>
                <w:spacing w:val="0"/>
                <w:lang w:val="en-GB"/>
              </w:rPr>
            </w:pPr>
          </w:p>
          <w:p w14:paraId="756DAD09" w14:textId="77777777" w:rsidR="00B01DC6" w:rsidRPr="00884D55" w:rsidRDefault="00B01DC6" w:rsidP="00B01DC6">
            <w:pPr>
              <w:pStyle w:val="Marginlie"/>
              <w:rPr>
                <w:color w:val="0D0D0D" w:themeColor="text1" w:themeTint="F2"/>
                <w:spacing w:val="0"/>
                <w:lang w:val="en-GB"/>
              </w:rPr>
            </w:pPr>
          </w:p>
          <w:p w14:paraId="0B941734" w14:textId="77777777" w:rsidR="00B01DC6" w:rsidRPr="00884D55" w:rsidRDefault="00B01DC6" w:rsidP="00B01DC6">
            <w:pPr>
              <w:pStyle w:val="Marginlie"/>
              <w:rPr>
                <w:color w:val="0D0D0D" w:themeColor="text1" w:themeTint="F2"/>
                <w:spacing w:val="0"/>
                <w:lang w:val="en-GB"/>
              </w:rPr>
            </w:pPr>
          </w:p>
          <w:p w14:paraId="4B4ACCC7" w14:textId="77777777" w:rsidR="00B01DC6" w:rsidRPr="00884D55" w:rsidRDefault="00B01DC6" w:rsidP="00B01DC6">
            <w:pPr>
              <w:pStyle w:val="Marginlie"/>
              <w:rPr>
                <w:color w:val="0D0D0D" w:themeColor="text1" w:themeTint="F2"/>
                <w:spacing w:val="0"/>
                <w:lang w:val="en-GB"/>
              </w:rPr>
            </w:pPr>
          </w:p>
          <w:p w14:paraId="0F9ED28D" w14:textId="77777777" w:rsidR="00B01DC6" w:rsidRPr="00884D55" w:rsidRDefault="00B01DC6" w:rsidP="00B01DC6">
            <w:pPr>
              <w:pStyle w:val="Marginlie"/>
              <w:rPr>
                <w:color w:val="0D0D0D" w:themeColor="text1" w:themeTint="F2"/>
                <w:spacing w:val="0"/>
                <w:lang w:val="en-GB"/>
              </w:rPr>
            </w:pPr>
          </w:p>
          <w:p w14:paraId="5B00200C" w14:textId="77777777" w:rsidR="00B01DC6" w:rsidRPr="00884D55" w:rsidRDefault="00B01DC6" w:rsidP="00B01DC6">
            <w:pPr>
              <w:pStyle w:val="Marginlie"/>
              <w:rPr>
                <w:color w:val="0D0D0D" w:themeColor="text1" w:themeTint="F2"/>
                <w:spacing w:val="0"/>
                <w:lang w:val="en-GB"/>
              </w:rPr>
            </w:pPr>
            <w:bookmarkStart w:id="37" w:name="_Hlk194784962"/>
            <w:r w:rsidRPr="00884D55">
              <w:rPr>
                <w:color w:val="0D0D0D" w:themeColor="text1" w:themeTint="F2"/>
                <w:spacing w:val="0"/>
                <w:lang w:val="en-GB"/>
              </w:rPr>
              <w:t xml:space="preserve">Demand for fuel grew rapidly for the second year in a row, also thanks to the favourable development of their consumer prices. </w:t>
            </w:r>
          </w:p>
          <w:bookmarkEnd w:id="37"/>
          <w:p w14:paraId="2EDA485F" w14:textId="77777777" w:rsidR="00B01DC6" w:rsidRPr="00884D55" w:rsidRDefault="00B01DC6" w:rsidP="00B01DC6">
            <w:pPr>
              <w:pStyle w:val="Marginlie"/>
              <w:rPr>
                <w:spacing w:val="0"/>
                <w:lang w:val="en-GB"/>
              </w:rPr>
            </w:pPr>
          </w:p>
        </w:tc>
        <w:tc>
          <w:tcPr>
            <w:tcW w:w="229" w:type="dxa"/>
            <w:shd w:val="clear" w:color="auto" w:fill="auto"/>
            <w:tcMar>
              <w:left w:w="0" w:type="dxa"/>
            </w:tcMar>
          </w:tcPr>
          <w:p w14:paraId="07174074"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221050C0" w14:textId="32FA2277" w:rsidR="00B01DC6" w:rsidRPr="00884D55" w:rsidRDefault="00B01DC6" w:rsidP="00B01DC6">
            <w:pPr>
              <w:spacing w:after="0"/>
              <w:rPr>
                <w:rFonts w:cs="Arial"/>
                <w:color w:val="0D0D0D" w:themeColor="text1" w:themeTint="F2"/>
                <w:spacing w:val="-4"/>
                <w:szCs w:val="20"/>
                <w:lang w:val="en-GB"/>
              </w:rPr>
            </w:pPr>
            <w:bookmarkStart w:id="38" w:name="_Hlk194784110"/>
            <w:r w:rsidRPr="006145FA">
              <w:rPr>
                <w:rFonts w:cs="Arial"/>
                <w:color w:val="0D0D0D" w:themeColor="text1" w:themeTint="F2"/>
                <w:spacing w:val="-4"/>
                <w:szCs w:val="20"/>
                <w:lang w:val="en-GB"/>
              </w:rPr>
              <w:t>Retail sales</w:t>
            </w:r>
            <w:r w:rsidRPr="00884D55">
              <w:rPr>
                <w:rStyle w:val="Znakapoznpodarou"/>
                <w:color w:val="0D0D0D" w:themeColor="text1" w:themeTint="F2"/>
                <w:spacing w:val="-4"/>
                <w:lang w:val="en-GB"/>
              </w:rPr>
              <w:footnoteReference w:id="60"/>
            </w:r>
            <w:r w:rsidRPr="00884D55">
              <w:rPr>
                <w:rFonts w:cs="Arial"/>
                <w:color w:val="0D0D0D" w:themeColor="text1" w:themeTint="F2"/>
                <w:spacing w:val="-4"/>
                <w:szCs w:val="20"/>
                <w:lang w:val="en-GB"/>
              </w:rPr>
              <w:t xml:space="preserve"> showed a slight quarter-on-quarter growth (+0.5%) already in Q3 2023 after seven quarters of unfavourable development</w:t>
            </w:r>
            <w:r w:rsidRPr="00884D55">
              <w:rPr>
                <w:rStyle w:val="Znakapoznpodarou"/>
                <w:color w:val="0D0D0D" w:themeColor="text1" w:themeTint="F2"/>
                <w:spacing w:val="-4"/>
                <w:szCs w:val="20"/>
                <w:lang w:val="en-GB"/>
              </w:rPr>
              <w:footnoteReference w:id="61"/>
            </w:r>
            <w:r w:rsidR="006145FA">
              <w:rPr>
                <w:rFonts w:cs="Arial"/>
                <w:color w:val="0D0D0D" w:themeColor="text1" w:themeTint="F2"/>
                <w:spacing w:val="-4"/>
                <w:szCs w:val="20"/>
                <w:lang w:val="en-GB"/>
              </w:rPr>
              <w:t>. The growth</w:t>
            </w:r>
            <w:r w:rsidRPr="00884D55">
              <w:rPr>
                <w:rFonts w:cs="Arial"/>
                <w:color w:val="0D0D0D" w:themeColor="text1" w:themeTint="F2"/>
                <w:spacing w:val="-4"/>
                <w:szCs w:val="20"/>
                <w:lang w:val="en-GB"/>
              </w:rPr>
              <w:t xml:space="preserve"> subsequently strengthened and exceeded </w:t>
            </w:r>
            <w:r w:rsidR="006145FA">
              <w:rPr>
                <w:rFonts w:cs="Arial"/>
                <w:color w:val="0D0D0D" w:themeColor="text1" w:themeTint="F2"/>
                <w:spacing w:val="-4"/>
                <w:szCs w:val="20"/>
                <w:lang w:val="en-GB"/>
              </w:rPr>
              <w:t>2% at the beginning of 2024</w:t>
            </w:r>
            <w:r w:rsidRPr="00884D55">
              <w:rPr>
                <w:rFonts w:cs="Arial"/>
                <w:color w:val="0D0D0D" w:themeColor="text1" w:themeTint="F2"/>
                <w:spacing w:val="-4"/>
                <w:szCs w:val="20"/>
                <w:lang w:val="en-GB"/>
              </w:rPr>
              <w:t xml:space="preserve"> (the recovery continued in the rest of the year, albeit at a more moderate pace). Nevertheless, the current level of sales lagged 1.7% behind the pre-crisis peak (from Q4 2019)</w:t>
            </w:r>
            <w:r w:rsidRPr="00884D55">
              <w:rPr>
                <w:rStyle w:val="Znakapoznpodarou"/>
                <w:color w:val="0D0D0D" w:themeColor="text1" w:themeTint="F2"/>
                <w:spacing w:val="-4"/>
                <w:szCs w:val="20"/>
                <w:lang w:val="en-GB"/>
              </w:rPr>
              <w:t xml:space="preserve"> </w:t>
            </w:r>
            <w:r w:rsidRPr="00884D55">
              <w:rPr>
                <w:rStyle w:val="Znakapoznpodarou"/>
                <w:color w:val="0D0D0D" w:themeColor="text1" w:themeTint="F2"/>
                <w:spacing w:val="-4"/>
                <w:szCs w:val="20"/>
                <w:lang w:val="en-GB"/>
              </w:rPr>
              <w:footnoteReference w:id="62"/>
            </w:r>
            <w:r w:rsidRPr="00884D55">
              <w:rPr>
                <w:rFonts w:cs="Arial"/>
                <w:color w:val="0D0D0D" w:themeColor="text1" w:themeTint="F2"/>
                <w:spacing w:val="-4"/>
                <w:szCs w:val="20"/>
                <w:lang w:val="en-GB"/>
              </w:rPr>
              <w:t>. Year-on-year sales growth strengthened since the beginning of 2024 and rose to 5.2% in Q4 (the most in almost three years). The current growth was mainly driven by higher demand for non-food goods (+6.5%, contribution to growth +3.5 p.p.), in that sales via internet alone (+16.9%, +2.7 p.p.). The impetus for the development of this sale was the advancing digitization and modernization in the field of logistics. Within the specialised stores</w:t>
            </w:r>
            <w:r w:rsidRPr="00884D55">
              <w:rPr>
                <w:rStyle w:val="Znakapoznpodarou"/>
                <w:color w:val="0D0D0D" w:themeColor="text1" w:themeTint="F2"/>
                <w:spacing w:val="-4"/>
                <w:szCs w:val="20"/>
                <w:lang w:val="en-GB"/>
              </w:rPr>
              <w:footnoteReference w:id="63"/>
            </w:r>
            <w:r w:rsidRPr="00884D55">
              <w:rPr>
                <w:rFonts w:cs="Arial"/>
                <w:color w:val="0D0D0D" w:themeColor="text1" w:themeTint="F2"/>
                <w:spacing w:val="-4"/>
                <w:szCs w:val="20"/>
                <w:lang w:val="en-GB"/>
              </w:rPr>
              <w:t xml:space="preserve">, demand for cosmetic and toilet products increased the most (+12.2%), sales of pharmaceutical and medical goods also increased briskly (+5.4%). However, demand has not yet recovered in a number of weight-important assortment groups of stores, which can be partially explained by the fact that part of their </w:t>
            </w:r>
            <w:r w:rsidR="0067789E">
              <w:rPr>
                <w:rFonts w:cs="Arial"/>
                <w:color w:val="0D0D0D" w:themeColor="text1" w:themeTint="F2"/>
                <w:spacing w:val="-4"/>
                <w:szCs w:val="20"/>
                <w:lang w:val="en-GB"/>
              </w:rPr>
              <w:t>consumers</w:t>
            </w:r>
            <w:r w:rsidRPr="00884D55">
              <w:rPr>
                <w:rFonts w:cs="Arial"/>
                <w:color w:val="0D0D0D" w:themeColor="text1" w:themeTint="F2"/>
                <w:spacing w:val="-4"/>
                <w:szCs w:val="20"/>
                <w:lang w:val="en-GB"/>
              </w:rPr>
              <w:t xml:space="preserve"> is increasingly oriented towards sales via internet and mail order houses. Still, the fact that some purchases of "non-essential" goods were probably postponed by part of households likely plays a role. </w:t>
            </w:r>
            <w:bookmarkStart w:id="41" w:name="_Hlk194785961"/>
            <w:bookmarkEnd w:id="38"/>
            <w:r w:rsidRPr="00884D55">
              <w:rPr>
                <w:rFonts w:cs="Arial"/>
                <w:color w:val="0D0D0D" w:themeColor="text1" w:themeTint="F2"/>
                <w:spacing w:val="-4"/>
                <w:szCs w:val="20"/>
                <w:lang w:val="en-GB"/>
              </w:rPr>
              <w:t>Retail sales of information and communication equipment in stores were lower by 3.3% compared to Q4 2023, retail sales of mainly household goods</w:t>
            </w:r>
            <w:r w:rsidRPr="00884D55">
              <w:rPr>
                <w:rStyle w:val="Znakapoznpodarou"/>
                <w:color w:val="0D0D0D" w:themeColor="text1" w:themeTint="F2"/>
                <w:spacing w:val="-4"/>
                <w:szCs w:val="20"/>
                <w:lang w:val="en-GB"/>
              </w:rPr>
              <w:footnoteReference w:id="64"/>
            </w:r>
            <w:r w:rsidRPr="00884D55">
              <w:rPr>
                <w:rFonts w:cs="Arial"/>
                <w:color w:val="0D0D0D" w:themeColor="text1" w:themeTint="F2"/>
                <w:spacing w:val="-4"/>
                <w:szCs w:val="20"/>
                <w:lang w:val="en-GB"/>
              </w:rPr>
              <w:t xml:space="preserve"> by 1.6%, and retail sales of cultural and recreation goods </w:t>
            </w:r>
            <w:r w:rsidR="0067789E">
              <w:rPr>
                <w:rFonts w:cs="Arial"/>
                <w:color w:val="0D0D0D" w:themeColor="text1" w:themeTint="F2"/>
                <w:spacing w:val="-4"/>
                <w:szCs w:val="20"/>
                <w:lang w:val="en-GB"/>
              </w:rPr>
              <w:t xml:space="preserve">dropped </w:t>
            </w:r>
            <w:r w:rsidRPr="00884D55">
              <w:rPr>
                <w:rFonts w:cs="Arial"/>
                <w:color w:val="0D0D0D" w:themeColor="text1" w:themeTint="F2"/>
                <w:spacing w:val="-4"/>
                <w:szCs w:val="20"/>
                <w:lang w:val="en-GB"/>
              </w:rPr>
              <w:t>by 0.4% (similar rates were also evident in these cate</w:t>
            </w:r>
            <w:r w:rsidR="0067789E">
              <w:rPr>
                <w:rFonts w:cs="Arial"/>
                <w:color w:val="0D0D0D" w:themeColor="text1" w:themeTint="F2"/>
                <w:spacing w:val="-4"/>
                <w:szCs w:val="20"/>
                <w:lang w:val="en-GB"/>
              </w:rPr>
              <w:t>gories in whole</w:t>
            </w:r>
            <w:r w:rsidRPr="00884D55">
              <w:rPr>
                <w:rFonts w:cs="Arial"/>
                <w:color w:val="0D0D0D" w:themeColor="text1" w:themeTint="F2"/>
                <w:spacing w:val="-4"/>
                <w:szCs w:val="20"/>
                <w:lang w:val="en-GB"/>
              </w:rPr>
              <w:t xml:space="preserve"> year </w:t>
            </w:r>
            <w:r w:rsidR="0067789E">
              <w:rPr>
                <w:rFonts w:cs="Arial"/>
                <w:color w:val="0D0D0D" w:themeColor="text1" w:themeTint="F2"/>
                <w:spacing w:val="-4"/>
                <w:szCs w:val="20"/>
                <w:lang w:val="en-GB"/>
              </w:rPr>
              <w:t>2024</w:t>
            </w:r>
            <w:r w:rsidRPr="00884D55">
              <w:rPr>
                <w:rFonts w:cs="Arial"/>
                <w:color w:val="0D0D0D" w:themeColor="text1" w:themeTint="F2"/>
                <w:spacing w:val="-4"/>
                <w:szCs w:val="20"/>
                <w:lang w:val="en-GB"/>
              </w:rPr>
              <w:t>). Sales for food increased more moderately compared to non-food goods (+1.8%), in that the year-on-year decrease continued in the segment of specialised stores</w:t>
            </w:r>
            <w:r w:rsidRPr="00884D55">
              <w:rPr>
                <w:rStyle w:val="Znakapoznpodarou"/>
                <w:color w:val="0D0D0D" w:themeColor="text1" w:themeTint="F2"/>
                <w:spacing w:val="-4"/>
                <w:szCs w:val="20"/>
                <w:lang w:val="en-GB"/>
              </w:rPr>
              <w:footnoteReference w:id="65"/>
            </w:r>
            <w:r w:rsidRPr="00884D55">
              <w:rPr>
                <w:rFonts w:cs="Arial"/>
                <w:color w:val="0D0D0D" w:themeColor="text1" w:themeTint="F2"/>
                <w:spacing w:val="-4"/>
                <w:szCs w:val="20"/>
                <w:lang w:val="en-GB"/>
              </w:rPr>
              <w:t xml:space="preserve"> for the eleventh quarter in a row (most recently by 2.4%). On the contrary, demand for fuels increased very dynamically, mainly due to their favourable price development</w:t>
            </w:r>
            <w:r w:rsidRPr="00884D55">
              <w:rPr>
                <w:rStyle w:val="Znakapoznpodarou"/>
                <w:color w:val="0D0D0D" w:themeColor="text1" w:themeTint="F2"/>
                <w:spacing w:val="-4"/>
                <w:szCs w:val="20"/>
                <w:lang w:val="en-GB"/>
              </w:rPr>
              <w:footnoteReference w:id="66"/>
            </w:r>
            <w:r w:rsidRPr="00884D55">
              <w:rPr>
                <w:rFonts w:cs="Arial"/>
                <w:color w:val="0D0D0D" w:themeColor="text1" w:themeTint="F2"/>
                <w:spacing w:val="-4"/>
                <w:szCs w:val="20"/>
                <w:lang w:val="en-GB"/>
              </w:rPr>
              <w:t>. The year-on-year growth for their sales accelerated last year and amounted to 10.2%</w:t>
            </w:r>
            <w:r w:rsidRPr="00884D55">
              <w:rPr>
                <w:rStyle w:val="Znakapoznpodarou"/>
                <w:color w:val="0D0D0D" w:themeColor="text1" w:themeTint="F2"/>
                <w:spacing w:val="-4"/>
                <w:szCs w:val="20"/>
                <w:lang w:val="en-GB"/>
              </w:rPr>
              <w:footnoteReference w:id="67"/>
            </w:r>
            <w:r w:rsidRPr="00884D55">
              <w:rPr>
                <w:rFonts w:cs="Arial"/>
                <w:color w:val="0D0D0D" w:themeColor="text1" w:themeTint="F2"/>
                <w:spacing w:val="-4"/>
                <w:szCs w:val="20"/>
                <w:lang w:val="en-GB"/>
              </w:rPr>
              <w:t xml:space="preserve"> in Q4 and contributed 1.1 p. p. to the growth of the total retail trade (i.e. almost twice as much as total food sales). Sales at petrol stations increased by almost 5% for the whole las</w:t>
            </w:r>
            <w:r w:rsidR="009556EB">
              <w:rPr>
                <w:rFonts w:cs="Arial"/>
                <w:color w:val="0D0D0D" w:themeColor="text1" w:themeTint="F2"/>
                <w:spacing w:val="-4"/>
                <w:szCs w:val="20"/>
                <w:lang w:val="en-GB"/>
              </w:rPr>
              <w:t>t year and approached the pace</w:t>
            </w:r>
            <w:r w:rsidRPr="00884D55">
              <w:rPr>
                <w:rFonts w:cs="Arial"/>
                <w:color w:val="0D0D0D" w:themeColor="text1" w:themeTint="F2"/>
                <w:spacing w:val="-4"/>
                <w:szCs w:val="20"/>
                <w:lang w:val="en-GB"/>
              </w:rPr>
              <w:t xml:space="preserve"> of 2023, when they were</w:t>
            </w:r>
            <w:r w:rsidR="009556EB">
              <w:rPr>
                <w:rFonts w:cs="Arial"/>
                <w:color w:val="0D0D0D" w:themeColor="text1" w:themeTint="F2"/>
                <w:spacing w:val="-4"/>
                <w:szCs w:val="20"/>
                <w:lang w:val="en-GB"/>
              </w:rPr>
              <w:t xml:space="preserve"> among the fastest growing </w:t>
            </w:r>
            <w:r w:rsidR="009556EB" w:rsidRPr="009556EB">
              <w:rPr>
                <w:rFonts w:cs="Arial"/>
                <w:color w:val="0D0D0D" w:themeColor="text1" w:themeTint="F2"/>
                <w:spacing w:val="-4"/>
                <w:szCs w:val="20"/>
                <w:lang w:val="en-GB"/>
              </w:rPr>
              <w:t>segment</w:t>
            </w:r>
            <w:r w:rsidR="009556EB">
              <w:rPr>
                <w:rFonts w:cs="Arial"/>
                <w:color w:val="0D0D0D" w:themeColor="text1" w:themeTint="F2"/>
                <w:spacing w:val="-4"/>
                <w:szCs w:val="20"/>
                <w:lang w:val="en-GB"/>
              </w:rPr>
              <w:t>s</w:t>
            </w:r>
            <w:r w:rsidRPr="00884D55">
              <w:rPr>
                <w:rFonts w:cs="Arial"/>
                <w:color w:val="0D0D0D" w:themeColor="text1" w:themeTint="F2"/>
                <w:spacing w:val="-4"/>
                <w:szCs w:val="20"/>
                <w:lang w:val="en-GB"/>
              </w:rPr>
              <w:t xml:space="preserve"> of the entire retail sector.</w:t>
            </w:r>
          </w:p>
          <w:bookmarkEnd w:id="41"/>
          <w:p w14:paraId="66F68879" w14:textId="77777777" w:rsidR="00B01DC6" w:rsidRPr="00884D55" w:rsidRDefault="00B01DC6" w:rsidP="00B01DC6">
            <w:pPr>
              <w:spacing w:after="0"/>
              <w:rPr>
                <w:rFonts w:cs="Arial"/>
                <w:color w:val="0D0D0D" w:themeColor="text1" w:themeTint="F2"/>
                <w:spacing w:val="-4"/>
                <w:szCs w:val="20"/>
                <w:lang w:val="en-GB"/>
              </w:rPr>
            </w:pPr>
          </w:p>
        </w:tc>
      </w:tr>
      <w:tr w:rsidR="00B01DC6" w:rsidRPr="00884D55" w14:paraId="67CCFAA2" w14:textId="77777777" w:rsidTr="00803507">
        <w:trPr>
          <w:trHeight w:val="170"/>
        </w:trPr>
        <w:tc>
          <w:tcPr>
            <w:tcW w:w="1814" w:type="dxa"/>
            <w:shd w:val="clear" w:color="auto" w:fill="auto"/>
            <w:tcMar>
              <w:left w:w="0" w:type="dxa"/>
            </w:tcMar>
          </w:tcPr>
          <w:p w14:paraId="663BFA81" w14:textId="0876006B" w:rsidR="00B01DC6" w:rsidRPr="009556EB" w:rsidRDefault="00B01DC6" w:rsidP="009556EB">
            <w:pPr>
              <w:pStyle w:val="Marginlie"/>
              <w:rPr>
                <w:spacing w:val="-5"/>
                <w:lang w:val="en-GB"/>
              </w:rPr>
            </w:pPr>
            <w:r w:rsidRPr="009556EB">
              <w:rPr>
                <w:spacing w:val="-5"/>
                <w:lang w:val="en-GB"/>
              </w:rPr>
              <w:t>Demand in the retail sales of automotive segment increased only very slightly last year after</w:t>
            </w:r>
            <w:r w:rsidR="009556EB">
              <w:rPr>
                <w:spacing w:val="-5"/>
                <w:lang w:val="en-GB"/>
              </w:rPr>
              <w:t xml:space="preserve"> a more </w:t>
            </w:r>
            <w:r w:rsidR="009556EB" w:rsidRPr="009556EB">
              <w:rPr>
                <w:spacing w:val="-6"/>
                <w:lang w:val="en-GB"/>
              </w:rPr>
              <w:t xml:space="preserve">significant recovery in </w:t>
            </w:r>
            <w:r w:rsidRPr="009556EB">
              <w:rPr>
                <w:spacing w:val="-6"/>
                <w:lang w:val="en-GB"/>
              </w:rPr>
              <w:t>2023.</w:t>
            </w:r>
            <w:r w:rsidRPr="009556EB">
              <w:rPr>
                <w:spacing w:val="-5"/>
                <w:lang w:val="en-GB"/>
              </w:rPr>
              <w:t xml:space="preserve"> </w:t>
            </w:r>
          </w:p>
        </w:tc>
        <w:tc>
          <w:tcPr>
            <w:tcW w:w="229" w:type="dxa"/>
            <w:shd w:val="clear" w:color="auto" w:fill="auto"/>
            <w:tcMar>
              <w:left w:w="0" w:type="dxa"/>
            </w:tcMar>
          </w:tcPr>
          <w:p w14:paraId="260617B5" w14:textId="77777777" w:rsidR="00B01DC6" w:rsidRPr="00884D55" w:rsidRDefault="00B01DC6" w:rsidP="00B01DC6">
            <w:pPr>
              <w:pStyle w:val="Textpoznpodarou"/>
              <w:jc w:val="both"/>
              <w:rPr>
                <w:color w:val="0D0D0D" w:themeColor="text1" w:themeTint="F2"/>
                <w:spacing w:val="-4"/>
                <w:lang w:val="en-GB"/>
              </w:rPr>
            </w:pPr>
          </w:p>
        </w:tc>
        <w:tc>
          <w:tcPr>
            <w:tcW w:w="7596" w:type="dxa"/>
            <w:shd w:val="clear" w:color="auto" w:fill="auto"/>
            <w:tcMar>
              <w:left w:w="0" w:type="dxa"/>
            </w:tcMar>
          </w:tcPr>
          <w:p w14:paraId="52C8435C" w14:textId="6BA0DE49" w:rsidR="00B01DC6" w:rsidRPr="00884D55" w:rsidRDefault="00B01DC6" w:rsidP="00B01DC6">
            <w:pPr>
              <w:spacing w:after="0"/>
              <w:rPr>
                <w:rFonts w:cs="Arial"/>
                <w:color w:val="0D0D0D" w:themeColor="text1" w:themeTint="F2"/>
                <w:szCs w:val="20"/>
                <w:lang w:val="en-GB"/>
              </w:rPr>
            </w:pPr>
            <w:bookmarkStart w:id="45" w:name="_Hlk194787235"/>
            <w:r w:rsidRPr="00884D55">
              <w:rPr>
                <w:rFonts w:cs="Arial"/>
                <w:color w:val="0D0D0D" w:themeColor="text1" w:themeTint="F2"/>
                <w:szCs w:val="20"/>
                <w:lang w:val="en-GB"/>
              </w:rPr>
              <w:t xml:space="preserve">Retail sales in the automotive segment increased only slightly (+0.6%) for the whole of last year </w:t>
            </w:r>
            <w:r w:rsidR="009556EB">
              <w:rPr>
                <w:rFonts w:cs="Arial"/>
                <w:color w:val="0D0D0D" w:themeColor="text1" w:themeTint="F2"/>
                <w:szCs w:val="20"/>
                <w:lang w:val="en-GB"/>
              </w:rPr>
              <w:t>(</w:t>
            </w:r>
            <w:r w:rsidRPr="00884D55">
              <w:rPr>
                <w:rFonts w:cs="Arial"/>
                <w:color w:val="0D0D0D" w:themeColor="text1" w:themeTint="F2"/>
                <w:szCs w:val="20"/>
                <w:lang w:val="en-GB"/>
              </w:rPr>
              <w:t>after a more significant recovery in 2023</w:t>
            </w:r>
            <w:r w:rsidR="009556EB">
              <w:rPr>
                <w:rFonts w:cs="Arial"/>
                <w:color w:val="0D0D0D" w:themeColor="text1" w:themeTint="F2"/>
                <w:szCs w:val="20"/>
                <w:lang w:val="en-GB"/>
              </w:rPr>
              <w:t>)</w:t>
            </w:r>
            <w:r w:rsidRPr="00884D55">
              <w:rPr>
                <w:rFonts w:cs="Arial"/>
                <w:color w:val="0D0D0D" w:themeColor="text1" w:themeTint="F2"/>
                <w:szCs w:val="20"/>
                <w:lang w:val="en-GB"/>
              </w:rPr>
              <w:t>. Sales increased by 1.3% (</w:t>
            </w:r>
            <w:r w:rsidR="009556EB">
              <w:rPr>
                <w:rFonts w:cs="Arial"/>
                <w:color w:val="0D0D0D" w:themeColor="text1" w:themeTint="F2"/>
                <w:szCs w:val="20"/>
                <w:lang w:val="en-GB"/>
              </w:rPr>
              <w:t xml:space="preserve">their volume was still </w:t>
            </w:r>
            <w:r w:rsidRPr="00884D55">
              <w:rPr>
                <w:rFonts w:cs="Arial"/>
                <w:color w:val="0D0D0D" w:themeColor="text1" w:themeTint="F2"/>
                <w:szCs w:val="20"/>
                <w:lang w:val="en-GB"/>
              </w:rPr>
              <w:t>more than 8% behind the pre-crisis peak in 2017) in the key segment of motor vehicle sales, the result of which depended mainly on corporate demand. Sales fell by 2.7% in the trade of parts and accessories last year and fell for the third time in a row.</w:t>
            </w:r>
            <w:bookmarkEnd w:id="45"/>
          </w:p>
        </w:tc>
      </w:tr>
    </w:tbl>
    <w:p w14:paraId="3DB80D5E" w14:textId="77777777" w:rsidR="00803507" w:rsidRPr="00884D55" w:rsidRDefault="00803507" w:rsidP="00803507">
      <w:pPr>
        <w:rPr>
          <w:rFonts w:eastAsia="MS Gothic"/>
          <w:highlight w:val="yellow"/>
          <w:lang w:val="en-GB"/>
        </w:rPr>
      </w:pPr>
    </w:p>
    <w:p w14:paraId="58E593EE" w14:textId="77777777" w:rsidR="00803507" w:rsidRPr="00884D55" w:rsidRDefault="00803507" w:rsidP="00803507">
      <w:pPr>
        <w:spacing w:after="0" w:line="240" w:lineRule="auto"/>
        <w:jc w:val="left"/>
        <w:rPr>
          <w:rFonts w:eastAsia="MS Gothic"/>
          <w:b/>
          <w:bCs/>
          <w:color w:val="86BF5E"/>
          <w:sz w:val="32"/>
          <w:szCs w:val="28"/>
          <w:highlight w:val="yellow"/>
          <w:lang w:val="en-GB"/>
        </w:rPr>
      </w:pPr>
      <w:r w:rsidRPr="00884D55">
        <w:rPr>
          <w:highlight w:val="yellow"/>
          <w:lang w:val="en-GB"/>
        </w:rPr>
        <w:br w:type="page"/>
      </w:r>
    </w:p>
    <w:p w14:paraId="7A6907EB" w14:textId="77777777" w:rsidR="00803507" w:rsidRPr="00884D55" w:rsidRDefault="00803507" w:rsidP="00803507">
      <w:pPr>
        <w:pStyle w:val="Nadpis1"/>
        <w:rPr>
          <w:lang w:val="en-GB"/>
        </w:rPr>
      </w:pPr>
      <w:bookmarkStart w:id="46" w:name="_Toc176767109"/>
      <w:bookmarkStart w:id="47" w:name="_Toc196386140"/>
      <w:bookmarkEnd w:id="1"/>
      <w:r w:rsidRPr="00884D55">
        <w:rPr>
          <w:lang w:val="en-GB"/>
        </w:rPr>
        <w:t>4. External Relations</w:t>
      </w:r>
      <w:bookmarkEnd w:id="47"/>
    </w:p>
    <w:tbl>
      <w:tblPr>
        <w:tblW w:w="9677" w:type="dxa"/>
        <w:tblInd w:w="-15" w:type="dxa"/>
        <w:tblLayout w:type="fixed"/>
        <w:tblCellMar>
          <w:left w:w="0" w:type="dxa"/>
          <w:right w:w="0" w:type="dxa"/>
        </w:tblCellMar>
        <w:tblLook w:val="00A0" w:firstRow="1" w:lastRow="0" w:firstColumn="1" w:lastColumn="0" w:noHBand="0" w:noVBand="0"/>
      </w:tblPr>
      <w:tblGrid>
        <w:gridCol w:w="1748"/>
        <w:gridCol w:w="252"/>
        <w:gridCol w:w="2811"/>
        <w:gridCol w:w="57"/>
        <w:gridCol w:w="4809"/>
      </w:tblGrid>
      <w:tr w:rsidR="00803507" w:rsidRPr="00884D55" w14:paraId="72C9C284" w14:textId="77777777" w:rsidTr="00803507">
        <w:trPr>
          <w:trHeight w:val="145"/>
        </w:trPr>
        <w:tc>
          <w:tcPr>
            <w:tcW w:w="1748" w:type="dxa"/>
            <w:hideMark/>
          </w:tcPr>
          <w:p w14:paraId="2A61C93E" w14:textId="77777777" w:rsidR="00803507" w:rsidRPr="00884D55" w:rsidRDefault="00803507" w:rsidP="00803507">
            <w:pPr>
              <w:pStyle w:val="Marginlie"/>
              <w:rPr>
                <w:lang w:val="en-GB" w:eastAsia="en-US"/>
              </w:rPr>
            </w:pPr>
            <w:r w:rsidRPr="00884D55">
              <w:rPr>
                <w:lang w:val="en-GB" w:eastAsia="en-US"/>
              </w:rPr>
              <w:t>Export grew last year.</w:t>
            </w:r>
          </w:p>
        </w:tc>
        <w:tc>
          <w:tcPr>
            <w:tcW w:w="252" w:type="dxa"/>
          </w:tcPr>
          <w:p w14:paraId="04722791" w14:textId="77777777" w:rsidR="00803507" w:rsidRPr="00884D55" w:rsidRDefault="00803507" w:rsidP="00803507">
            <w:pPr>
              <w:pStyle w:val="Textpoznpodarou"/>
              <w:jc w:val="both"/>
              <w:rPr>
                <w:spacing w:val="-4"/>
                <w:lang w:val="en-GB" w:eastAsia="en-US"/>
              </w:rPr>
            </w:pPr>
          </w:p>
        </w:tc>
        <w:tc>
          <w:tcPr>
            <w:tcW w:w="7677" w:type="dxa"/>
            <w:gridSpan w:val="3"/>
            <w:hideMark/>
          </w:tcPr>
          <w:p w14:paraId="2A64A990" w14:textId="77777777" w:rsidR="00803507" w:rsidRPr="00884D55" w:rsidRDefault="00803507" w:rsidP="00803507">
            <w:pPr>
              <w:spacing w:after="180"/>
              <w:rPr>
                <w:spacing w:val="-4"/>
                <w:lang w:val="en-GB" w:eastAsia="en-US"/>
              </w:rPr>
            </w:pPr>
            <w:bookmarkStart w:id="48" w:name="_Hlk194788733"/>
            <w:r w:rsidRPr="00884D55">
              <w:rPr>
                <w:spacing w:val="-4"/>
                <w:lang w:val="en-GB" w:eastAsia="en-US"/>
              </w:rPr>
              <w:t>The total value of exports of goods</w:t>
            </w:r>
            <w:r w:rsidRPr="00884D55">
              <w:rPr>
                <w:rStyle w:val="Znakapoznpodarou"/>
                <w:spacing w:val="-4"/>
                <w:lang w:val="en-GB" w:eastAsia="en-US"/>
              </w:rPr>
              <w:footnoteReference w:id="68"/>
            </w:r>
            <w:r w:rsidRPr="00884D55">
              <w:rPr>
                <w:spacing w:val="-4"/>
                <w:lang w:val="en-GB" w:eastAsia="en-US"/>
              </w:rPr>
              <w:t xml:space="preserve"> at current prices reached 4,649.1 bn CZK in 2024 and was higher by 206.7 bn CZK (4.7%), year-on-year. International trade prices followed up on the previous turbulent development last year with an increase</w:t>
            </w:r>
            <w:r w:rsidRPr="00884D55">
              <w:rPr>
                <w:rStyle w:val="Znakapoznpodarou"/>
                <w:spacing w:val="-4"/>
                <w:lang w:val="en-GB" w:eastAsia="en-US"/>
              </w:rPr>
              <w:footnoteReference w:id="69"/>
            </w:r>
            <w:r w:rsidRPr="00884D55">
              <w:rPr>
                <w:spacing w:val="-4"/>
                <w:lang w:val="en-GB" w:eastAsia="en-US"/>
              </w:rPr>
              <w:t xml:space="preserve">, so a large part of the solid export growth can be attributed to price shifts. The year-on-year dynamics of exports varied considerably during the year (−0.2%, 4.4% and 10.5% in Q1 through to Q3). The increase of exports of goods then weakened again to 4.5% in Q4 alone and exports reached a total of 1,184.2 bn CZK (+51.2 bn). According to seasonally adjusted data, exports of goods fell by 0.6%, quarter-on-quarter, in Q4. It represented the first decrease since Q3 2023.   </w:t>
            </w:r>
            <w:bookmarkEnd w:id="48"/>
          </w:p>
        </w:tc>
      </w:tr>
      <w:tr w:rsidR="00803507" w:rsidRPr="00884D55" w14:paraId="6BF39E9E" w14:textId="77777777" w:rsidTr="00803507">
        <w:trPr>
          <w:trHeight w:val="150"/>
        </w:trPr>
        <w:tc>
          <w:tcPr>
            <w:tcW w:w="1748" w:type="dxa"/>
            <w:vMerge w:val="restart"/>
          </w:tcPr>
          <w:p w14:paraId="41382D8D" w14:textId="77777777" w:rsidR="00803507" w:rsidRPr="00884D55" w:rsidRDefault="00803507" w:rsidP="00803507">
            <w:pPr>
              <w:pStyle w:val="Marginlie"/>
              <w:rPr>
                <w:lang w:val="en-GB" w:eastAsia="en-US"/>
              </w:rPr>
            </w:pPr>
          </w:p>
        </w:tc>
        <w:tc>
          <w:tcPr>
            <w:tcW w:w="252" w:type="dxa"/>
            <w:vMerge w:val="restart"/>
          </w:tcPr>
          <w:p w14:paraId="23384DC5" w14:textId="77777777" w:rsidR="00803507" w:rsidRPr="00884D55" w:rsidRDefault="00803507" w:rsidP="00803507">
            <w:pPr>
              <w:pStyle w:val="Textpoznpodarou"/>
              <w:jc w:val="both"/>
              <w:rPr>
                <w:spacing w:val="-4"/>
                <w:lang w:val="en-GB" w:eastAsia="en-US"/>
              </w:rPr>
            </w:pPr>
          </w:p>
        </w:tc>
        <w:tc>
          <w:tcPr>
            <w:tcW w:w="7677" w:type="dxa"/>
            <w:gridSpan w:val="3"/>
          </w:tcPr>
          <w:p w14:paraId="420C4659" w14:textId="77777777" w:rsidR="00803507" w:rsidRPr="00884D55" w:rsidRDefault="00803507" w:rsidP="00803507">
            <w:pPr>
              <w:spacing w:after="0"/>
              <w:rPr>
                <w:spacing w:val="-4"/>
                <w:lang w:val="en-GB" w:eastAsia="en-US"/>
              </w:rPr>
            </w:pPr>
            <w:r w:rsidRPr="00884D55">
              <w:rPr>
                <w:rFonts w:cs="Arial"/>
                <w:b/>
                <w:bCs/>
                <w:color w:val="000000"/>
                <w:szCs w:val="20"/>
                <w:lang w:val="en-GB" w:eastAsia="en-US"/>
              </w:rPr>
              <w:t xml:space="preserve">Chart 9 </w:t>
            </w:r>
            <w:r w:rsidRPr="00884D55">
              <w:rPr>
                <w:b/>
                <w:bCs/>
                <w:spacing w:val="-4"/>
                <w:lang w:val="en-GB" w:eastAsia="en-US"/>
              </w:rPr>
              <w:t xml:space="preserve">Export and import of goods </w:t>
            </w:r>
            <w:r w:rsidRPr="00884D55">
              <w:rPr>
                <w:spacing w:val="-4"/>
                <w:lang w:val="en-GB" w:eastAsia="en-US"/>
              </w:rPr>
              <w:t>(y-o-y change, in %)</w:t>
            </w:r>
            <w:r w:rsidRPr="00884D55">
              <w:rPr>
                <w:b/>
                <w:bCs/>
                <w:spacing w:val="-4"/>
                <w:lang w:val="en-GB" w:eastAsia="en-US"/>
              </w:rPr>
              <w:t xml:space="preserve"> and balance of international trade with goods </w:t>
            </w:r>
            <w:r w:rsidRPr="00884D55">
              <w:rPr>
                <w:spacing w:val="-4"/>
                <w:lang w:val="en-GB" w:eastAsia="en-US"/>
              </w:rPr>
              <w:t xml:space="preserve">(in bn CZK, right axis) </w:t>
            </w:r>
            <w:r w:rsidRPr="00884D55">
              <w:rPr>
                <w:rFonts w:cs="Arial"/>
                <w:b/>
                <w:bCs/>
                <w:color w:val="000000"/>
                <w:szCs w:val="20"/>
                <w:lang w:val="en-GB" w:eastAsia="en-US"/>
              </w:rPr>
              <w:t xml:space="preserve"> </w:t>
            </w:r>
          </w:p>
        </w:tc>
      </w:tr>
      <w:tr w:rsidR="00803507" w:rsidRPr="00884D55" w14:paraId="6A2410B4" w14:textId="77777777" w:rsidTr="00900097">
        <w:tblPrEx>
          <w:tblCellMar>
            <w:left w:w="70" w:type="dxa"/>
            <w:right w:w="70" w:type="dxa"/>
          </w:tblCellMar>
        </w:tblPrEx>
        <w:trPr>
          <w:trHeight w:val="150"/>
        </w:trPr>
        <w:tc>
          <w:tcPr>
            <w:tcW w:w="1748" w:type="dxa"/>
            <w:vMerge/>
          </w:tcPr>
          <w:p w14:paraId="7C190EE0" w14:textId="77777777" w:rsidR="00803507" w:rsidRPr="00884D55" w:rsidRDefault="00803507" w:rsidP="00803507">
            <w:pPr>
              <w:pStyle w:val="Marginlie"/>
              <w:rPr>
                <w:lang w:val="en-GB" w:eastAsia="en-US"/>
              </w:rPr>
            </w:pPr>
          </w:p>
        </w:tc>
        <w:tc>
          <w:tcPr>
            <w:tcW w:w="252" w:type="dxa"/>
            <w:vMerge/>
          </w:tcPr>
          <w:p w14:paraId="685CB4C3" w14:textId="77777777" w:rsidR="00803507" w:rsidRPr="00884D55" w:rsidRDefault="00803507" w:rsidP="00803507">
            <w:pPr>
              <w:pStyle w:val="Textpoznpodarou"/>
              <w:jc w:val="both"/>
              <w:rPr>
                <w:spacing w:val="-4"/>
                <w:lang w:val="en-GB" w:eastAsia="en-US"/>
              </w:rPr>
            </w:pPr>
          </w:p>
        </w:tc>
        <w:tc>
          <w:tcPr>
            <w:tcW w:w="7677" w:type="dxa"/>
            <w:gridSpan w:val="3"/>
          </w:tcPr>
          <w:p w14:paraId="478F93C0" w14:textId="504C6327" w:rsidR="00803507" w:rsidRPr="00884D55" w:rsidRDefault="00900097" w:rsidP="00803507">
            <w:pPr>
              <w:spacing w:after="0"/>
              <w:rPr>
                <w:spacing w:val="-4"/>
                <w:lang w:val="en-GB" w:eastAsia="en-US"/>
              </w:rPr>
            </w:pPr>
            <w:r>
              <w:rPr>
                <w:noProof/>
              </w:rPr>
              <w:drawing>
                <wp:inline distT="0" distB="0" distL="0" distR="0" wp14:anchorId="1D84B346" wp14:editId="4C8859F2">
                  <wp:extent cx="4752000" cy="3492000"/>
                  <wp:effectExtent l="0" t="0" r="0" b="0"/>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803507" w:rsidRPr="00884D55" w14:paraId="2747E876" w14:textId="77777777" w:rsidTr="00803507">
        <w:trPr>
          <w:trHeight w:val="150"/>
        </w:trPr>
        <w:tc>
          <w:tcPr>
            <w:tcW w:w="1748" w:type="dxa"/>
            <w:vMerge/>
          </w:tcPr>
          <w:p w14:paraId="04A1AF12" w14:textId="77777777" w:rsidR="00803507" w:rsidRPr="00884D55" w:rsidRDefault="00803507" w:rsidP="00803507">
            <w:pPr>
              <w:pStyle w:val="Marginlie"/>
              <w:rPr>
                <w:lang w:val="en-GB" w:eastAsia="en-US"/>
              </w:rPr>
            </w:pPr>
          </w:p>
        </w:tc>
        <w:tc>
          <w:tcPr>
            <w:tcW w:w="252" w:type="dxa"/>
            <w:vMerge/>
          </w:tcPr>
          <w:p w14:paraId="49C60BAC" w14:textId="77777777" w:rsidR="00803507" w:rsidRPr="00884D55" w:rsidRDefault="00803507" w:rsidP="00803507">
            <w:pPr>
              <w:pStyle w:val="Textpoznpodarou"/>
              <w:jc w:val="both"/>
              <w:rPr>
                <w:spacing w:val="-4"/>
                <w:lang w:val="en-GB" w:eastAsia="en-US"/>
              </w:rPr>
            </w:pPr>
          </w:p>
        </w:tc>
        <w:tc>
          <w:tcPr>
            <w:tcW w:w="7677" w:type="dxa"/>
            <w:gridSpan w:val="3"/>
          </w:tcPr>
          <w:p w14:paraId="00BE802D" w14:textId="1F07D08F" w:rsidR="00803507" w:rsidRPr="00900097" w:rsidRDefault="00803507" w:rsidP="00900097">
            <w:pPr>
              <w:spacing w:after="180"/>
              <w:jc w:val="left"/>
              <w:rPr>
                <w:sz w:val="16"/>
                <w:szCs w:val="16"/>
                <w:lang w:val="en-GB" w:eastAsia="en-US"/>
              </w:rPr>
            </w:pPr>
            <w:r w:rsidRPr="00884D55">
              <w:rPr>
                <w:sz w:val="16"/>
                <w:szCs w:val="16"/>
                <w:lang w:val="en-GB" w:eastAsia="en-US"/>
              </w:rPr>
              <w:t>Source: CZSO</w:t>
            </w:r>
          </w:p>
        </w:tc>
      </w:tr>
      <w:tr w:rsidR="00803507" w:rsidRPr="00884D55" w14:paraId="72EBF629" w14:textId="77777777" w:rsidTr="00803507">
        <w:trPr>
          <w:trHeight w:val="145"/>
        </w:trPr>
        <w:tc>
          <w:tcPr>
            <w:tcW w:w="1748" w:type="dxa"/>
          </w:tcPr>
          <w:p w14:paraId="0CADAD7F" w14:textId="77777777" w:rsidR="00803507" w:rsidRPr="00884D55" w:rsidRDefault="00803507" w:rsidP="00803507">
            <w:pPr>
              <w:pStyle w:val="Marginlie"/>
              <w:rPr>
                <w:lang w:val="en-GB" w:eastAsia="en-US"/>
              </w:rPr>
            </w:pPr>
            <w:r w:rsidRPr="00884D55">
              <w:rPr>
                <w:lang w:val="en-GB" w:eastAsia="en-US"/>
              </w:rPr>
              <w:t xml:space="preserve">Exports outside of the EU grew more substantially. </w:t>
            </w:r>
          </w:p>
        </w:tc>
        <w:tc>
          <w:tcPr>
            <w:tcW w:w="252" w:type="dxa"/>
          </w:tcPr>
          <w:p w14:paraId="7DE589B5" w14:textId="77777777" w:rsidR="00803507" w:rsidRPr="00884D55" w:rsidRDefault="00803507" w:rsidP="00803507">
            <w:pPr>
              <w:pStyle w:val="Textpoznpodarou"/>
              <w:jc w:val="both"/>
              <w:rPr>
                <w:spacing w:val="-4"/>
                <w:lang w:val="en-GB" w:eastAsia="en-US"/>
              </w:rPr>
            </w:pPr>
          </w:p>
        </w:tc>
        <w:tc>
          <w:tcPr>
            <w:tcW w:w="7677" w:type="dxa"/>
            <w:gridSpan w:val="3"/>
          </w:tcPr>
          <w:p w14:paraId="69E0DF86" w14:textId="77777777" w:rsidR="00803507" w:rsidRPr="00884D55" w:rsidRDefault="00803507" w:rsidP="00803507">
            <w:pPr>
              <w:spacing w:after="220"/>
              <w:rPr>
                <w:spacing w:val="-4"/>
                <w:lang w:val="en-GB" w:eastAsia="en-US"/>
              </w:rPr>
            </w:pPr>
            <w:bookmarkStart w:id="50" w:name="_Hlk194844955"/>
            <w:r w:rsidRPr="00884D55">
              <w:rPr>
                <w:spacing w:val="-4"/>
                <w:lang w:val="en-GB" w:eastAsia="en-US"/>
              </w:rPr>
              <w:t>Exports to non-EU countries increased significantly in cumulation for the whole year 2024 (+141.9 bn CZK, 16.2%). On the contrary, exports to EU increased only slightly (+64.6 bn CZK, 1.8%). Among the destinations where the value of exports increased the most last year, Great Britain held the first place (+39.3 bn CZK, 22.0%)</w:t>
            </w:r>
            <w:r w:rsidRPr="00884D55">
              <w:rPr>
                <w:rStyle w:val="Znakapoznpodarou"/>
                <w:spacing w:val="-4"/>
                <w:lang w:val="en-GB" w:eastAsia="en-US"/>
              </w:rPr>
              <w:footnoteReference w:id="70"/>
            </w:r>
            <w:r w:rsidRPr="00884D55">
              <w:rPr>
                <w:spacing w:val="-4"/>
                <w:lang w:val="en-GB" w:eastAsia="en-US"/>
              </w:rPr>
              <w:t xml:space="preserve"> and the United States of America (+21.1 billion, 18.8%) also ranked high. Exports to Poland (+24.6 bn CZK, 7.7%) and Germany (+19.1 bn, 1.4%) were also significant in absolute numbers, but export dynamics remain relatively low, especially for Germany. </w:t>
            </w:r>
            <w:bookmarkEnd w:id="50"/>
            <w:r w:rsidRPr="00884D55">
              <w:rPr>
                <w:spacing w:val="-4"/>
                <w:lang w:val="en-GB" w:eastAsia="en-US"/>
              </w:rPr>
              <w:t>Exports to Turkey (+11.1 bn, 16.9%), China (+9.9 bn, 23.0%), Singapore (+9.5 bn, 129.5%) and Ukraine (+9.2 bn, 25.7%) were around 10 bn CZK. Smaller export destinations, which recorded a significant percentage increase of exports last year, included Japan (+5.9 bn, 49.6%)</w:t>
            </w:r>
            <w:r w:rsidRPr="00884D55">
              <w:rPr>
                <w:rStyle w:val="Znakapoznpodarou"/>
                <w:spacing w:val="-4"/>
                <w:lang w:val="en-GB" w:eastAsia="en-US"/>
              </w:rPr>
              <w:footnoteReference w:id="71"/>
            </w:r>
            <w:r w:rsidRPr="00884D55">
              <w:rPr>
                <w:spacing w:val="-4"/>
                <w:lang w:val="en-GB" w:eastAsia="en-US"/>
              </w:rPr>
              <w:t>, the United Arab Emirates (+4.4 bn, 29.5%), Azerbaijan (+2.0 bn, 46.7%)</w:t>
            </w:r>
            <w:r w:rsidRPr="00884D55">
              <w:rPr>
                <w:rStyle w:val="Znakapoznpodarou"/>
                <w:spacing w:val="-4"/>
                <w:lang w:val="en-GB" w:eastAsia="en-US"/>
              </w:rPr>
              <w:footnoteReference w:id="72"/>
            </w:r>
            <w:r w:rsidRPr="00884D55">
              <w:rPr>
                <w:spacing w:val="-4"/>
                <w:lang w:val="en-GB" w:eastAsia="en-US"/>
              </w:rPr>
              <w:t xml:space="preserve"> and Malaysia (+1.9 bn, 57.1%)</w:t>
            </w:r>
            <w:r w:rsidRPr="00884D55">
              <w:rPr>
                <w:rStyle w:val="Znakapoznpodarou"/>
                <w:spacing w:val="-4"/>
                <w:lang w:val="en-GB" w:eastAsia="en-US"/>
              </w:rPr>
              <w:footnoteReference w:id="73"/>
            </w:r>
            <w:r w:rsidRPr="00884D55">
              <w:rPr>
                <w:spacing w:val="-4"/>
                <w:lang w:val="en-GB" w:eastAsia="en-US"/>
              </w:rPr>
              <w:t xml:space="preserve">. There were not many decreases of exports recorded last year, and the most significant were in case of exports to Sweden (−3.6 bn CZK, −4.9%), Finland (−3.1 bn, −13.4%), Austria (−2.9 bn, −1.6%) and the Netherlands (−2.6 bn, −1.7%).     </w:t>
            </w:r>
          </w:p>
        </w:tc>
      </w:tr>
      <w:tr w:rsidR="00803507" w:rsidRPr="00884D55" w14:paraId="67352828" w14:textId="77777777" w:rsidTr="00803507">
        <w:trPr>
          <w:trHeight w:val="145"/>
        </w:trPr>
        <w:tc>
          <w:tcPr>
            <w:tcW w:w="1748" w:type="dxa"/>
          </w:tcPr>
          <w:p w14:paraId="614F84F8" w14:textId="65804C91" w:rsidR="00803507" w:rsidRPr="00884D55" w:rsidRDefault="00803507" w:rsidP="00803507">
            <w:pPr>
              <w:pStyle w:val="Marginlie"/>
              <w:rPr>
                <w:lang w:val="en-GB" w:eastAsia="en-US"/>
              </w:rPr>
            </w:pPr>
            <w:bookmarkStart w:id="54" w:name="_Hlk194846770"/>
            <w:r w:rsidRPr="00884D55">
              <w:rPr>
                <w:lang w:val="en-GB" w:eastAsia="en-US"/>
              </w:rPr>
              <w:t xml:space="preserve">Higher growth of exports outside the EU persisted at the end of the year. </w:t>
            </w:r>
            <w:bookmarkEnd w:id="54"/>
          </w:p>
        </w:tc>
        <w:tc>
          <w:tcPr>
            <w:tcW w:w="252" w:type="dxa"/>
          </w:tcPr>
          <w:p w14:paraId="42AD0485" w14:textId="77777777" w:rsidR="00803507" w:rsidRPr="00884D55" w:rsidRDefault="00803507" w:rsidP="00803507">
            <w:pPr>
              <w:pStyle w:val="Textpoznpodarou"/>
              <w:jc w:val="both"/>
              <w:rPr>
                <w:spacing w:val="-4"/>
                <w:lang w:val="en-GB" w:eastAsia="en-US"/>
              </w:rPr>
            </w:pPr>
          </w:p>
        </w:tc>
        <w:tc>
          <w:tcPr>
            <w:tcW w:w="7677" w:type="dxa"/>
            <w:gridSpan w:val="3"/>
          </w:tcPr>
          <w:p w14:paraId="029347C6" w14:textId="77777777" w:rsidR="00803507" w:rsidRPr="00884D55" w:rsidRDefault="00803507" w:rsidP="00803507">
            <w:pPr>
              <w:spacing w:after="220"/>
              <w:rPr>
                <w:spacing w:val="-4"/>
                <w:lang w:val="en-GB" w:eastAsia="en-US"/>
              </w:rPr>
            </w:pPr>
            <w:bookmarkStart w:id="55" w:name="_Hlk194846785"/>
            <w:r w:rsidRPr="00884D55">
              <w:rPr>
                <w:spacing w:val="-4"/>
                <w:lang w:val="en-GB" w:eastAsia="en-US"/>
              </w:rPr>
              <w:t xml:space="preserve">The increase of exports into the EU (+13.4 bn CZK, 1.5%) lagged behind exports to non-EU countries (+37.9 bn, 16.3%) also in Q4 2024 alone. Exports to Germany grew the most (see Table 2) and the increase of exports to Great Britain and Poland stayed high. Non-EU destinations – the United States, Ukraine, Israel, Belgium or Turkey – contributed significantly to the growth of exports. Among the minority of countries where exports of goods fell, year-on-year, France and Italy stood out.     </w:t>
            </w:r>
            <w:bookmarkEnd w:id="55"/>
          </w:p>
        </w:tc>
      </w:tr>
      <w:tr w:rsidR="00803507" w:rsidRPr="00884D55" w14:paraId="7F6944B5" w14:textId="77777777" w:rsidTr="00803507">
        <w:trPr>
          <w:trHeight w:val="145"/>
        </w:trPr>
        <w:tc>
          <w:tcPr>
            <w:tcW w:w="1748" w:type="dxa"/>
          </w:tcPr>
          <w:p w14:paraId="7D526D55" w14:textId="2EE5CCEE" w:rsidR="00803507" w:rsidRPr="00884D55" w:rsidRDefault="00803507" w:rsidP="00803507">
            <w:pPr>
              <w:pStyle w:val="Marginlie"/>
              <w:rPr>
                <w:lang w:val="en-GB" w:eastAsia="en-US"/>
              </w:rPr>
            </w:pPr>
            <w:bookmarkStart w:id="56" w:name="_Hlk194847378"/>
            <w:r w:rsidRPr="00884D55">
              <w:rPr>
                <w:lang w:val="en-GB" w:eastAsia="en-US"/>
              </w:rPr>
              <w:t xml:space="preserve">Motor vehicles contributed the most to the growth of exports in 2024… </w:t>
            </w:r>
            <w:bookmarkEnd w:id="56"/>
          </w:p>
        </w:tc>
        <w:tc>
          <w:tcPr>
            <w:tcW w:w="252" w:type="dxa"/>
          </w:tcPr>
          <w:p w14:paraId="5E394ED0" w14:textId="77777777" w:rsidR="00803507" w:rsidRPr="00884D55" w:rsidRDefault="00803507" w:rsidP="00803507">
            <w:pPr>
              <w:pStyle w:val="Textpoznpodarou"/>
              <w:jc w:val="both"/>
              <w:rPr>
                <w:spacing w:val="-4"/>
                <w:lang w:val="en-GB" w:eastAsia="en-US"/>
              </w:rPr>
            </w:pPr>
          </w:p>
        </w:tc>
        <w:tc>
          <w:tcPr>
            <w:tcW w:w="7677" w:type="dxa"/>
            <w:gridSpan w:val="3"/>
          </w:tcPr>
          <w:p w14:paraId="579161FE" w14:textId="77777777" w:rsidR="00803507" w:rsidRPr="00884D55" w:rsidRDefault="00803507" w:rsidP="00803507">
            <w:pPr>
              <w:spacing w:after="180"/>
              <w:rPr>
                <w:spacing w:val="-4"/>
                <w:lang w:val="en-GB" w:eastAsia="en-US"/>
              </w:rPr>
            </w:pPr>
            <w:bookmarkStart w:id="57" w:name="_Hlk194847404"/>
            <w:r w:rsidRPr="00884D55">
              <w:rPr>
                <w:spacing w:val="-4"/>
                <w:lang w:val="en-GB" w:eastAsia="en-US"/>
              </w:rPr>
              <w:t xml:space="preserve">The value of exports of motor vehicles increased the most last year (+74.6 bn CZK, 6.1%), nevertheless the growth weakened compared to the previous two years. Exports of computers, electronic and optical appliances (+56.1 bn CZK, 15.2%), food products (+21.5 bn, 12.8%), electrical equipment (+15.9 bn, 3.5%), chemicals and chemical products (+14.3 bn, 6.9%) and rubber and plastic products (+11.5 bn, 5.4%) also grew strongly. Exports of other products of manufacturing (+9.1 bn CZK, 9.3%), activities of waste collection, treatment and disposal (+7.5 bn, 19.1%), basic pharmaceutical products (+7.2 bn, 10.7%), fabricated metal products (+6.8 bn, 2.5%) or paper and paper products (+5.3 bn, 6.7%) also expanded. Engineering did not thrive last year, which also led to a decrease of exports of machinery and equipment by 12.3 bn CZK (−2.4%), and the value of exports of basic metals (−9.4 bn, −5.9%) and coke and refined petroleum products (−8.8 bn, −17.2%) also decreased. </w:t>
            </w:r>
            <w:bookmarkEnd w:id="57"/>
          </w:p>
        </w:tc>
      </w:tr>
      <w:tr w:rsidR="00803507" w:rsidRPr="00884D55" w14:paraId="76AD27F5" w14:textId="77777777" w:rsidTr="00803507">
        <w:trPr>
          <w:trHeight w:val="170"/>
        </w:trPr>
        <w:tc>
          <w:tcPr>
            <w:tcW w:w="4811" w:type="dxa"/>
            <w:gridSpan w:val="3"/>
            <w:hideMark/>
          </w:tcPr>
          <w:p w14:paraId="363A031A" w14:textId="77777777" w:rsidR="00803507" w:rsidRPr="00884D55" w:rsidRDefault="00803507" w:rsidP="00803507">
            <w:pPr>
              <w:spacing w:after="0"/>
              <w:rPr>
                <w:spacing w:val="-4"/>
                <w:lang w:val="en-GB" w:eastAsia="en-US"/>
              </w:rPr>
            </w:pPr>
            <w:r w:rsidRPr="00884D55">
              <w:rPr>
                <w:rFonts w:cs="Arial"/>
                <w:b/>
                <w:bCs/>
                <w:color w:val="000000"/>
                <w:sz w:val="18"/>
                <w:szCs w:val="18"/>
                <w:lang w:val="en-GB" w:eastAsia="en-US"/>
              </w:rPr>
              <w:t xml:space="preserve">Table 1 Sections of CPA classification with highest impact on goods exports development in Q4 2024 </w:t>
            </w:r>
            <w:r w:rsidRPr="00884D55">
              <w:rPr>
                <w:rFonts w:cs="Arial"/>
                <w:color w:val="000000"/>
                <w:sz w:val="18"/>
                <w:szCs w:val="18"/>
                <w:lang w:val="en-GB" w:eastAsia="en-US"/>
              </w:rPr>
              <w:t>(year-on-year)</w:t>
            </w:r>
            <w:r w:rsidRPr="00884D55">
              <w:rPr>
                <w:rFonts w:cs="Arial"/>
                <w:b/>
                <w:bCs/>
                <w:color w:val="000000"/>
                <w:sz w:val="18"/>
                <w:szCs w:val="18"/>
                <w:lang w:val="en-GB" w:eastAsia="en-US"/>
              </w:rPr>
              <w:t xml:space="preserve"> </w:t>
            </w:r>
          </w:p>
        </w:tc>
        <w:tc>
          <w:tcPr>
            <w:tcW w:w="57" w:type="dxa"/>
          </w:tcPr>
          <w:p w14:paraId="6A95BE74" w14:textId="77777777" w:rsidR="00803507" w:rsidRPr="00884D55" w:rsidRDefault="00803507" w:rsidP="00803507">
            <w:pPr>
              <w:spacing w:after="0"/>
              <w:rPr>
                <w:spacing w:val="-4"/>
                <w:lang w:val="en-GB" w:eastAsia="en-US"/>
              </w:rPr>
            </w:pPr>
          </w:p>
        </w:tc>
        <w:tc>
          <w:tcPr>
            <w:tcW w:w="4809" w:type="dxa"/>
            <w:hideMark/>
          </w:tcPr>
          <w:p w14:paraId="0DB86952" w14:textId="77777777" w:rsidR="00803507" w:rsidRPr="00884D55" w:rsidRDefault="00803507" w:rsidP="00803507">
            <w:pPr>
              <w:spacing w:after="0"/>
              <w:jc w:val="left"/>
              <w:rPr>
                <w:spacing w:val="-4"/>
                <w:sz w:val="18"/>
                <w:szCs w:val="18"/>
                <w:lang w:val="en-GB" w:eastAsia="en-US"/>
              </w:rPr>
            </w:pPr>
            <w:r w:rsidRPr="00884D55">
              <w:rPr>
                <w:rFonts w:cs="Arial"/>
                <w:b/>
                <w:bCs/>
                <w:color w:val="000000"/>
                <w:sz w:val="18"/>
                <w:szCs w:val="18"/>
                <w:lang w:val="en-GB" w:eastAsia="en-US"/>
              </w:rPr>
              <w:t xml:space="preserve">Table 2 Countries with largest impact on exports of goods in Q4 2024 </w:t>
            </w:r>
            <w:r w:rsidRPr="00884D55">
              <w:rPr>
                <w:rFonts w:cs="Arial"/>
                <w:color w:val="000000"/>
                <w:sz w:val="18"/>
                <w:szCs w:val="18"/>
                <w:lang w:val="en-GB" w:eastAsia="en-US"/>
              </w:rPr>
              <w:t>(year-on-year)</w:t>
            </w:r>
          </w:p>
        </w:tc>
      </w:tr>
      <w:tr w:rsidR="00803507" w:rsidRPr="00884D55" w14:paraId="26EAB239" w14:textId="77777777" w:rsidTr="00803507">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803507" w:rsidRPr="00884D55" w14:paraId="4B4647FC" w14:textId="77777777" w:rsidTr="00803507">
              <w:trPr>
                <w:trHeight w:val="255"/>
              </w:trPr>
              <w:tc>
                <w:tcPr>
                  <w:tcW w:w="3417" w:type="dxa"/>
                  <w:tcBorders>
                    <w:top w:val="nil"/>
                    <w:left w:val="nil"/>
                    <w:bottom w:val="nil"/>
                    <w:right w:val="nil"/>
                  </w:tcBorders>
                  <w:shd w:val="clear" w:color="auto" w:fill="auto"/>
                  <w:noWrap/>
                  <w:vAlign w:val="bottom"/>
                  <w:hideMark/>
                </w:tcPr>
                <w:p w14:paraId="6BE2D28B" w14:textId="77777777" w:rsidR="00803507" w:rsidRPr="00884D55" w:rsidRDefault="00803507" w:rsidP="00803507">
                  <w:pPr>
                    <w:spacing w:after="0" w:line="240" w:lineRule="auto"/>
                    <w:jc w:val="left"/>
                    <w:rPr>
                      <w:rFonts w:ascii="Times New Roman" w:hAnsi="Times New Roman"/>
                      <w:sz w:val="24"/>
                      <w:szCs w:val="20"/>
                      <w:lang w:val="en-GB"/>
                    </w:rPr>
                  </w:pPr>
                </w:p>
              </w:tc>
              <w:tc>
                <w:tcPr>
                  <w:tcW w:w="700" w:type="dxa"/>
                  <w:tcBorders>
                    <w:top w:val="nil"/>
                    <w:left w:val="nil"/>
                    <w:bottom w:val="nil"/>
                    <w:right w:val="nil"/>
                  </w:tcBorders>
                  <w:shd w:val="clear" w:color="auto" w:fill="auto"/>
                  <w:noWrap/>
                  <w:vAlign w:val="bottom"/>
                  <w:hideMark/>
                </w:tcPr>
                <w:p w14:paraId="77B4181A"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bn CZK</w:t>
                  </w:r>
                </w:p>
              </w:tc>
              <w:tc>
                <w:tcPr>
                  <w:tcW w:w="700" w:type="dxa"/>
                  <w:tcBorders>
                    <w:top w:val="nil"/>
                    <w:left w:val="nil"/>
                    <w:bottom w:val="nil"/>
                    <w:right w:val="nil"/>
                  </w:tcBorders>
                  <w:shd w:val="clear" w:color="auto" w:fill="auto"/>
                  <w:noWrap/>
                  <w:vAlign w:val="bottom"/>
                  <w:hideMark/>
                </w:tcPr>
                <w:p w14:paraId="530D962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w:t>
                  </w:r>
                </w:p>
              </w:tc>
            </w:tr>
            <w:tr w:rsidR="00803507" w:rsidRPr="00884D55" w14:paraId="4C3F8469" w14:textId="77777777" w:rsidTr="00803507">
              <w:trPr>
                <w:trHeight w:val="255"/>
              </w:trPr>
              <w:tc>
                <w:tcPr>
                  <w:tcW w:w="3417" w:type="dxa"/>
                  <w:tcBorders>
                    <w:top w:val="single" w:sz="4" w:space="0" w:color="auto"/>
                    <w:left w:val="nil"/>
                    <w:bottom w:val="nil"/>
                    <w:right w:val="nil"/>
                  </w:tcBorders>
                  <w:shd w:val="clear" w:color="auto" w:fill="auto"/>
                  <w:noWrap/>
                  <w:vAlign w:val="bottom"/>
                  <w:hideMark/>
                </w:tcPr>
                <w:p w14:paraId="62446503"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 xml:space="preserve">Computer, electr. and opt. appliances and equipment </w:t>
                  </w:r>
                </w:p>
              </w:tc>
              <w:tc>
                <w:tcPr>
                  <w:tcW w:w="700" w:type="dxa"/>
                  <w:tcBorders>
                    <w:top w:val="single" w:sz="4" w:space="0" w:color="auto"/>
                    <w:left w:val="nil"/>
                    <w:bottom w:val="nil"/>
                    <w:right w:val="nil"/>
                  </w:tcBorders>
                  <w:shd w:val="clear" w:color="auto" w:fill="auto"/>
                  <w:noWrap/>
                  <w:vAlign w:val="bottom"/>
                  <w:hideMark/>
                </w:tcPr>
                <w:p w14:paraId="74E41574"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+12.8</w:t>
                  </w:r>
                </w:p>
              </w:tc>
              <w:tc>
                <w:tcPr>
                  <w:tcW w:w="700" w:type="dxa"/>
                  <w:tcBorders>
                    <w:top w:val="single" w:sz="4" w:space="0" w:color="auto"/>
                    <w:left w:val="nil"/>
                    <w:bottom w:val="nil"/>
                    <w:right w:val="nil"/>
                  </w:tcBorders>
                  <w:shd w:val="clear" w:color="auto" w:fill="auto"/>
                  <w:noWrap/>
                  <w:vAlign w:val="bottom"/>
                  <w:hideMark/>
                </w:tcPr>
                <w:p w14:paraId="6D17FC86"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+12.8</w:t>
                  </w:r>
                </w:p>
              </w:tc>
            </w:tr>
            <w:tr w:rsidR="00803507" w:rsidRPr="00884D55" w14:paraId="63CE3543" w14:textId="77777777" w:rsidTr="00803507">
              <w:trPr>
                <w:trHeight w:val="255"/>
              </w:trPr>
              <w:tc>
                <w:tcPr>
                  <w:tcW w:w="3417" w:type="dxa"/>
                  <w:tcBorders>
                    <w:top w:val="nil"/>
                    <w:left w:val="nil"/>
                    <w:bottom w:val="nil"/>
                    <w:right w:val="nil"/>
                  </w:tcBorders>
                  <w:shd w:val="clear" w:color="auto" w:fill="auto"/>
                  <w:noWrap/>
                  <w:vAlign w:val="bottom"/>
                  <w:hideMark/>
                </w:tcPr>
                <w:p w14:paraId="3BC780FE"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Electrical equipment</w:t>
                  </w:r>
                </w:p>
              </w:tc>
              <w:tc>
                <w:tcPr>
                  <w:tcW w:w="700" w:type="dxa"/>
                  <w:tcBorders>
                    <w:top w:val="nil"/>
                    <w:left w:val="nil"/>
                    <w:bottom w:val="nil"/>
                    <w:right w:val="nil"/>
                  </w:tcBorders>
                  <w:shd w:val="clear" w:color="auto" w:fill="auto"/>
                  <w:noWrap/>
                  <w:vAlign w:val="bottom"/>
                  <w:hideMark/>
                </w:tcPr>
                <w:p w14:paraId="6FAC69BC"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+8.9</w:t>
                  </w:r>
                </w:p>
              </w:tc>
              <w:tc>
                <w:tcPr>
                  <w:tcW w:w="700" w:type="dxa"/>
                  <w:tcBorders>
                    <w:top w:val="nil"/>
                    <w:left w:val="nil"/>
                    <w:bottom w:val="nil"/>
                    <w:right w:val="nil"/>
                  </w:tcBorders>
                  <w:shd w:val="clear" w:color="auto" w:fill="auto"/>
                  <w:noWrap/>
                  <w:vAlign w:val="bottom"/>
                  <w:hideMark/>
                </w:tcPr>
                <w:p w14:paraId="44614CDB"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+8.0</w:t>
                  </w:r>
                </w:p>
              </w:tc>
            </w:tr>
            <w:tr w:rsidR="00803507" w:rsidRPr="00884D55" w14:paraId="062DEB8D" w14:textId="77777777" w:rsidTr="00803507">
              <w:trPr>
                <w:trHeight w:val="255"/>
              </w:trPr>
              <w:tc>
                <w:tcPr>
                  <w:tcW w:w="3417" w:type="dxa"/>
                  <w:tcBorders>
                    <w:top w:val="nil"/>
                    <w:left w:val="nil"/>
                    <w:bottom w:val="nil"/>
                    <w:right w:val="nil"/>
                  </w:tcBorders>
                  <w:shd w:val="clear" w:color="auto" w:fill="auto"/>
                  <w:noWrap/>
                  <w:vAlign w:val="bottom"/>
                  <w:hideMark/>
                </w:tcPr>
                <w:p w14:paraId="78DE4505"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Electricity, gas, steam and air conditioning</w:t>
                  </w:r>
                </w:p>
              </w:tc>
              <w:tc>
                <w:tcPr>
                  <w:tcW w:w="700" w:type="dxa"/>
                  <w:tcBorders>
                    <w:top w:val="nil"/>
                    <w:left w:val="nil"/>
                    <w:bottom w:val="nil"/>
                    <w:right w:val="nil"/>
                  </w:tcBorders>
                  <w:shd w:val="clear" w:color="auto" w:fill="auto"/>
                  <w:noWrap/>
                  <w:vAlign w:val="bottom"/>
                  <w:hideMark/>
                </w:tcPr>
                <w:p w14:paraId="020AD06C"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+6.7</w:t>
                  </w:r>
                </w:p>
              </w:tc>
              <w:tc>
                <w:tcPr>
                  <w:tcW w:w="700" w:type="dxa"/>
                  <w:tcBorders>
                    <w:top w:val="nil"/>
                    <w:left w:val="nil"/>
                    <w:bottom w:val="nil"/>
                    <w:right w:val="nil"/>
                  </w:tcBorders>
                  <w:shd w:val="clear" w:color="auto" w:fill="auto"/>
                  <w:noWrap/>
                  <w:vAlign w:val="bottom"/>
                  <w:hideMark/>
                </w:tcPr>
                <w:p w14:paraId="73EA7F98"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+52.7</w:t>
                  </w:r>
                </w:p>
              </w:tc>
            </w:tr>
            <w:tr w:rsidR="00803507" w:rsidRPr="00884D55" w14:paraId="23DF41DC" w14:textId="77777777" w:rsidTr="00803507">
              <w:trPr>
                <w:trHeight w:val="255"/>
              </w:trPr>
              <w:tc>
                <w:tcPr>
                  <w:tcW w:w="3417" w:type="dxa"/>
                  <w:tcBorders>
                    <w:top w:val="nil"/>
                    <w:left w:val="nil"/>
                    <w:bottom w:val="nil"/>
                    <w:right w:val="nil"/>
                  </w:tcBorders>
                  <w:shd w:val="clear" w:color="auto" w:fill="auto"/>
                  <w:noWrap/>
                  <w:vAlign w:val="bottom"/>
                  <w:hideMark/>
                </w:tcPr>
                <w:p w14:paraId="2AB2380C"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Food products</w:t>
                  </w:r>
                </w:p>
              </w:tc>
              <w:tc>
                <w:tcPr>
                  <w:tcW w:w="700" w:type="dxa"/>
                  <w:tcBorders>
                    <w:top w:val="nil"/>
                    <w:left w:val="nil"/>
                    <w:bottom w:val="nil"/>
                    <w:right w:val="nil"/>
                  </w:tcBorders>
                  <w:shd w:val="clear" w:color="auto" w:fill="auto"/>
                  <w:noWrap/>
                  <w:vAlign w:val="bottom"/>
                  <w:hideMark/>
                </w:tcPr>
                <w:p w14:paraId="121CE434"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+5.8</w:t>
                  </w:r>
                </w:p>
              </w:tc>
              <w:tc>
                <w:tcPr>
                  <w:tcW w:w="700" w:type="dxa"/>
                  <w:tcBorders>
                    <w:top w:val="nil"/>
                    <w:left w:val="nil"/>
                    <w:bottom w:val="nil"/>
                    <w:right w:val="nil"/>
                  </w:tcBorders>
                  <w:shd w:val="clear" w:color="auto" w:fill="auto"/>
                  <w:noWrap/>
                  <w:vAlign w:val="bottom"/>
                  <w:hideMark/>
                </w:tcPr>
                <w:p w14:paraId="796B4912"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+12.8</w:t>
                  </w:r>
                </w:p>
              </w:tc>
            </w:tr>
            <w:tr w:rsidR="00803507" w:rsidRPr="00884D55" w14:paraId="65287608" w14:textId="77777777" w:rsidTr="00803507">
              <w:trPr>
                <w:trHeight w:val="255"/>
              </w:trPr>
              <w:tc>
                <w:tcPr>
                  <w:tcW w:w="3417" w:type="dxa"/>
                  <w:tcBorders>
                    <w:top w:val="nil"/>
                    <w:left w:val="nil"/>
                    <w:bottom w:val="nil"/>
                    <w:right w:val="nil"/>
                  </w:tcBorders>
                  <w:shd w:val="clear" w:color="auto" w:fill="auto"/>
                  <w:noWrap/>
                  <w:vAlign w:val="bottom"/>
                  <w:hideMark/>
                </w:tcPr>
                <w:p w14:paraId="46EE5463"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Chemicals and chemical products</w:t>
                  </w:r>
                </w:p>
              </w:tc>
              <w:tc>
                <w:tcPr>
                  <w:tcW w:w="700" w:type="dxa"/>
                  <w:tcBorders>
                    <w:top w:val="nil"/>
                    <w:left w:val="nil"/>
                    <w:bottom w:val="nil"/>
                    <w:right w:val="nil"/>
                  </w:tcBorders>
                  <w:shd w:val="clear" w:color="auto" w:fill="auto"/>
                  <w:noWrap/>
                  <w:vAlign w:val="bottom"/>
                  <w:hideMark/>
                </w:tcPr>
                <w:p w14:paraId="40282E09"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+4.1</w:t>
                  </w:r>
                </w:p>
              </w:tc>
              <w:tc>
                <w:tcPr>
                  <w:tcW w:w="700" w:type="dxa"/>
                  <w:tcBorders>
                    <w:top w:val="nil"/>
                    <w:left w:val="nil"/>
                    <w:bottom w:val="nil"/>
                    <w:right w:val="nil"/>
                  </w:tcBorders>
                  <w:shd w:val="clear" w:color="auto" w:fill="auto"/>
                  <w:noWrap/>
                  <w:vAlign w:val="bottom"/>
                  <w:hideMark/>
                </w:tcPr>
                <w:p w14:paraId="607AE17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+7.6</w:t>
                  </w:r>
                </w:p>
              </w:tc>
            </w:tr>
            <w:tr w:rsidR="00803507" w:rsidRPr="00884D55" w14:paraId="269FAB79" w14:textId="77777777" w:rsidTr="00803507">
              <w:trPr>
                <w:trHeight w:val="255"/>
              </w:trPr>
              <w:tc>
                <w:tcPr>
                  <w:tcW w:w="3417" w:type="dxa"/>
                  <w:tcBorders>
                    <w:top w:val="nil"/>
                    <w:left w:val="nil"/>
                    <w:bottom w:val="nil"/>
                    <w:right w:val="nil"/>
                  </w:tcBorders>
                  <w:shd w:val="clear" w:color="auto" w:fill="auto"/>
                  <w:noWrap/>
                  <w:vAlign w:val="bottom"/>
                  <w:hideMark/>
                </w:tcPr>
                <w:p w14:paraId="5C450F02"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Rubber and plastic products</w:t>
                  </w:r>
                </w:p>
              </w:tc>
              <w:tc>
                <w:tcPr>
                  <w:tcW w:w="700" w:type="dxa"/>
                  <w:tcBorders>
                    <w:top w:val="nil"/>
                    <w:left w:val="nil"/>
                    <w:bottom w:val="nil"/>
                    <w:right w:val="nil"/>
                  </w:tcBorders>
                  <w:shd w:val="clear" w:color="auto" w:fill="auto"/>
                  <w:noWrap/>
                  <w:vAlign w:val="bottom"/>
                  <w:hideMark/>
                </w:tcPr>
                <w:p w14:paraId="605DB47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+2.7</w:t>
                  </w:r>
                </w:p>
              </w:tc>
              <w:tc>
                <w:tcPr>
                  <w:tcW w:w="700" w:type="dxa"/>
                  <w:tcBorders>
                    <w:top w:val="nil"/>
                    <w:left w:val="nil"/>
                    <w:bottom w:val="nil"/>
                    <w:right w:val="nil"/>
                  </w:tcBorders>
                  <w:shd w:val="clear" w:color="auto" w:fill="auto"/>
                  <w:noWrap/>
                  <w:vAlign w:val="bottom"/>
                  <w:hideMark/>
                </w:tcPr>
                <w:p w14:paraId="05E112EC"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+5.4</w:t>
                  </w:r>
                </w:p>
              </w:tc>
            </w:tr>
            <w:tr w:rsidR="00803507" w:rsidRPr="00884D55" w14:paraId="102B4EDC" w14:textId="77777777" w:rsidTr="00803507">
              <w:trPr>
                <w:trHeight w:val="255"/>
              </w:trPr>
              <w:tc>
                <w:tcPr>
                  <w:tcW w:w="3417" w:type="dxa"/>
                  <w:tcBorders>
                    <w:top w:val="nil"/>
                    <w:left w:val="nil"/>
                    <w:bottom w:val="nil"/>
                    <w:right w:val="nil"/>
                  </w:tcBorders>
                  <w:shd w:val="clear" w:color="auto" w:fill="auto"/>
                  <w:noWrap/>
                  <w:vAlign w:val="bottom"/>
                  <w:hideMark/>
                </w:tcPr>
                <w:p w14:paraId="5681FC39"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Other manufacturing products</w:t>
                  </w:r>
                </w:p>
              </w:tc>
              <w:tc>
                <w:tcPr>
                  <w:tcW w:w="700" w:type="dxa"/>
                  <w:tcBorders>
                    <w:top w:val="nil"/>
                    <w:left w:val="nil"/>
                    <w:bottom w:val="nil"/>
                    <w:right w:val="nil"/>
                  </w:tcBorders>
                  <w:shd w:val="clear" w:color="auto" w:fill="auto"/>
                  <w:noWrap/>
                  <w:vAlign w:val="bottom"/>
                  <w:hideMark/>
                </w:tcPr>
                <w:p w14:paraId="53B60A8C"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+2.7</w:t>
                  </w:r>
                </w:p>
              </w:tc>
              <w:tc>
                <w:tcPr>
                  <w:tcW w:w="700" w:type="dxa"/>
                  <w:tcBorders>
                    <w:top w:val="nil"/>
                    <w:left w:val="nil"/>
                    <w:bottom w:val="nil"/>
                    <w:right w:val="nil"/>
                  </w:tcBorders>
                  <w:shd w:val="clear" w:color="auto" w:fill="auto"/>
                  <w:noWrap/>
                  <w:vAlign w:val="bottom"/>
                  <w:hideMark/>
                </w:tcPr>
                <w:p w14:paraId="09BF6FA9"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+10.4</w:t>
                  </w:r>
                </w:p>
              </w:tc>
            </w:tr>
            <w:tr w:rsidR="00803507" w:rsidRPr="00884D55" w14:paraId="09E5BB85" w14:textId="77777777" w:rsidTr="00803507">
              <w:trPr>
                <w:trHeight w:val="255"/>
              </w:trPr>
              <w:tc>
                <w:tcPr>
                  <w:tcW w:w="3417" w:type="dxa"/>
                  <w:tcBorders>
                    <w:top w:val="nil"/>
                    <w:left w:val="nil"/>
                    <w:bottom w:val="nil"/>
                    <w:right w:val="nil"/>
                  </w:tcBorders>
                  <w:shd w:val="clear" w:color="auto" w:fill="auto"/>
                  <w:noWrap/>
                  <w:vAlign w:val="bottom"/>
                  <w:hideMark/>
                </w:tcPr>
                <w:p w14:paraId="687D04B1"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Motor vehicles (except for motorcycles) and parts</w:t>
                  </w:r>
                </w:p>
              </w:tc>
              <w:tc>
                <w:tcPr>
                  <w:tcW w:w="700" w:type="dxa"/>
                  <w:tcBorders>
                    <w:top w:val="nil"/>
                    <w:left w:val="nil"/>
                    <w:bottom w:val="nil"/>
                    <w:right w:val="nil"/>
                  </w:tcBorders>
                  <w:shd w:val="clear" w:color="auto" w:fill="auto"/>
                  <w:noWrap/>
                  <w:vAlign w:val="bottom"/>
                  <w:hideMark/>
                </w:tcPr>
                <w:p w14:paraId="1F29F20A"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+2.4</w:t>
                  </w:r>
                </w:p>
              </w:tc>
              <w:tc>
                <w:tcPr>
                  <w:tcW w:w="700" w:type="dxa"/>
                  <w:tcBorders>
                    <w:top w:val="nil"/>
                    <w:left w:val="nil"/>
                    <w:bottom w:val="nil"/>
                    <w:right w:val="nil"/>
                  </w:tcBorders>
                  <w:shd w:val="clear" w:color="auto" w:fill="auto"/>
                  <w:noWrap/>
                  <w:vAlign w:val="bottom"/>
                  <w:hideMark/>
                </w:tcPr>
                <w:p w14:paraId="2737272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+0.7</w:t>
                  </w:r>
                </w:p>
              </w:tc>
            </w:tr>
            <w:tr w:rsidR="00803507" w:rsidRPr="00884D55" w14:paraId="6F517D63" w14:textId="77777777" w:rsidTr="00803507">
              <w:trPr>
                <w:trHeight w:val="255"/>
              </w:trPr>
              <w:tc>
                <w:tcPr>
                  <w:tcW w:w="3417" w:type="dxa"/>
                  <w:tcBorders>
                    <w:top w:val="nil"/>
                    <w:left w:val="nil"/>
                    <w:bottom w:val="nil"/>
                    <w:right w:val="nil"/>
                  </w:tcBorders>
                  <w:shd w:val="clear" w:color="auto" w:fill="auto"/>
                  <w:noWrap/>
                  <w:vAlign w:val="bottom"/>
                  <w:hideMark/>
                </w:tcPr>
                <w:p w14:paraId="4D578135"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Metalworking products</w:t>
                  </w:r>
                </w:p>
              </w:tc>
              <w:tc>
                <w:tcPr>
                  <w:tcW w:w="700" w:type="dxa"/>
                  <w:tcBorders>
                    <w:top w:val="nil"/>
                    <w:left w:val="nil"/>
                    <w:bottom w:val="nil"/>
                    <w:right w:val="nil"/>
                  </w:tcBorders>
                  <w:shd w:val="clear" w:color="auto" w:fill="auto"/>
                  <w:noWrap/>
                  <w:vAlign w:val="bottom"/>
                  <w:hideMark/>
                </w:tcPr>
                <w:p w14:paraId="3104A852"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+1.9</w:t>
                  </w:r>
                </w:p>
              </w:tc>
              <w:tc>
                <w:tcPr>
                  <w:tcW w:w="700" w:type="dxa"/>
                  <w:tcBorders>
                    <w:top w:val="nil"/>
                    <w:left w:val="nil"/>
                    <w:bottom w:val="nil"/>
                    <w:right w:val="nil"/>
                  </w:tcBorders>
                  <w:shd w:val="clear" w:color="auto" w:fill="auto"/>
                  <w:noWrap/>
                  <w:vAlign w:val="bottom"/>
                  <w:hideMark/>
                </w:tcPr>
                <w:p w14:paraId="1ABA1201"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+2.8</w:t>
                  </w:r>
                </w:p>
              </w:tc>
            </w:tr>
            <w:tr w:rsidR="00803507" w:rsidRPr="00884D55" w14:paraId="11D79CF2" w14:textId="77777777" w:rsidTr="00803507">
              <w:trPr>
                <w:trHeight w:val="255"/>
              </w:trPr>
              <w:tc>
                <w:tcPr>
                  <w:tcW w:w="3417" w:type="dxa"/>
                  <w:tcBorders>
                    <w:top w:val="nil"/>
                    <w:left w:val="nil"/>
                    <w:bottom w:val="nil"/>
                    <w:right w:val="nil"/>
                  </w:tcBorders>
                  <w:shd w:val="clear" w:color="auto" w:fill="auto"/>
                  <w:noWrap/>
                  <w:vAlign w:val="bottom"/>
                  <w:hideMark/>
                </w:tcPr>
                <w:p w14:paraId="244434AE"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Other transportation equipment</w:t>
                  </w:r>
                </w:p>
              </w:tc>
              <w:tc>
                <w:tcPr>
                  <w:tcW w:w="700" w:type="dxa"/>
                  <w:tcBorders>
                    <w:top w:val="nil"/>
                    <w:left w:val="nil"/>
                    <w:bottom w:val="nil"/>
                    <w:right w:val="nil"/>
                  </w:tcBorders>
                  <w:shd w:val="clear" w:color="auto" w:fill="auto"/>
                  <w:noWrap/>
                  <w:vAlign w:val="bottom"/>
                  <w:hideMark/>
                </w:tcPr>
                <w:p w14:paraId="67A5B879"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+1.6</w:t>
                  </w:r>
                </w:p>
              </w:tc>
              <w:tc>
                <w:tcPr>
                  <w:tcW w:w="700" w:type="dxa"/>
                  <w:tcBorders>
                    <w:top w:val="nil"/>
                    <w:left w:val="nil"/>
                    <w:bottom w:val="nil"/>
                    <w:right w:val="nil"/>
                  </w:tcBorders>
                  <w:shd w:val="clear" w:color="auto" w:fill="auto"/>
                  <w:noWrap/>
                  <w:vAlign w:val="bottom"/>
                  <w:hideMark/>
                </w:tcPr>
                <w:p w14:paraId="5BA2DBD0"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+7.9</w:t>
                  </w:r>
                </w:p>
              </w:tc>
            </w:tr>
            <w:tr w:rsidR="00803507" w:rsidRPr="00884D55" w14:paraId="4A09CFDA" w14:textId="77777777" w:rsidTr="00803507">
              <w:trPr>
                <w:trHeight w:val="255"/>
              </w:trPr>
              <w:tc>
                <w:tcPr>
                  <w:tcW w:w="3417" w:type="dxa"/>
                  <w:tcBorders>
                    <w:top w:val="nil"/>
                    <w:left w:val="nil"/>
                    <w:bottom w:val="nil"/>
                    <w:right w:val="nil"/>
                  </w:tcBorders>
                  <w:shd w:val="clear" w:color="auto" w:fill="auto"/>
                  <w:noWrap/>
                  <w:vAlign w:val="bottom"/>
                  <w:hideMark/>
                </w:tcPr>
                <w:p w14:paraId="17ACB659"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Paper and paper products</w:t>
                  </w:r>
                </w:p>
              </w:tc>
              <w:tc>
                <w:tcPr>
                  <w:tcW w:w="700" w:type="dxa"/>
                  <w:tcBorders>
                    <w:top w:val="nil"/>
                    <w:left w:val="nil"/>
                    <w:bottom w:val="nil"/>
                    <w:right w:val="nil"/>
                  </w:tcBorders>
                  <w:shd w:val="clear" w:color="auto" w:fill="auto"/>
                  <w:noWrap/>
                  <w:vAlign w:val="bottom"/>
                  <w:hideMark/>
                </w:tcPr>
                <w:p w14:paraId="57DC4448"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+1.5</w:t>
                  </w:r>
                </w:p>
              </w:tc>
              <w:tc>
                <w:tcPr>
                  <w:tcW w:w="700" w:type="dxa"/>
                  <w:tcBorders>
                    <w:top w:val="nil"/>
                    <w:left w:val="nil"/>
                    <w:bottom w:val="nil"/>
                    <w:right w:val="nil"/>
                  </w:tcBorders>
                  <w:shd w:val="clear" w:color="auto" w:fill="auto"/>
                  <w:noWrap/>
                  <w:vAlign w:val="bottom"/>
                  <w:hideMark/>
                </w:tcPr>
                <w:p w14:paraId="383450BA"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+7.7</w:t>
                  </w:r>
                </w:p>
              </w:tc>
            </w:tr>
            <w:tr w:rsidR="00803507" w:rsidRPr="00884D55" w14:paraId="76063606" w14:textId="77777777" w:rsidTr="00803507">
              <w:trPr>
                <w:trHeight w:val="255"/>
              </w:trPr>
              <w:tc>
                <w:tcPr>
                  <w:tcW w:w="3417" w:type="dxa"/>
                  <w:tcBorders>
                    <w:top w:val="nil"/>
                    <w:left w:val="nil"/>
                    <w:bottom w:val="nil"/>
                    <w:right w:val="nil"/>
                  </w:tcBorders>
                  <w:shd w:val="clear" w:color="auto" w:fill="auto"/>
                  <w:noWrap/>
                  <w:vAlign w:val="bottom"/>
                  <w:hideMark/>
                </w:tcPr>
                <w:p w14:paraId="7577C7B1"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Wearing apparel</w:t>
                  </w:r>
                </w:p>
              </w:tc>
              <w:tc>
                <w:tcPr>
                  <w:tcW w:w="700" w:type="dxa"/>
                  <w:tcBorders>
                    <w:top w:val="nil"/>
                    <w:left w:val="nil"/>
                    <w:bottom w:val="nil"/>
                    <w:right w:val="nil"/>
                  </w:tcBorders>
                  <w:shd w:val="clear" w:color="auto" w:fill="auto"/>
                  <w:noWrap/>
                  <w:vAlign w:val="bottom"/>
                  <w:hideMark/>
                </w:tcPr>
                <w:p w14:paraId="0F34C7EA"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+0.8</w:t>
                  </w:r>
                </w:p>
              </w:tc>
              <w:tc>
                <w:tcPr>
                  <w:tcW w:w="700" w:type="dxa"/>
                  <w:tcBorders>
                    <w:top w:val="nil"/>
                    <w:left w:val="nil"/>
                    <w:bottom w:val="nil"/>
                    <w:right w:val="nil"/>
                  </w:tcBorders>
                  <w:shd w:val="clear" w:color="auto" w:fill="auto"/>
                  <w:noWrap/>
                  <w:vAlign w:val="bottom"/>
                  <w:hideMark/>
                </w:tcPr>
                <w:p w14:paraId="76E62429"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+12.2</w:t>
                  </w:r>
                </w:p>
              </w:tc>
            </w:tr>
            <w:tr w:rsidR="00803507" w:rsidRPr="00884D55" w14:paraId="691E8746" w14:textId="77777777" w:rsidTr="00803507">
              <w:trPr>
                <w:trHeight w:val="255"/>
              </w:trPr>
              <w:tc>
                <w:tcPr>
                  <w:tcW w:w="3417" w:type="dxa"/>
                  <w:tcBorders>
                    <w:top w:val="nil"/>
                    <w:left w:val="nil"/>
                    <w:bottom w:val="nil"/>
                    <w:right w:val="nil"/>
                  </w:tcBorders>
                  <w:shd w:val="clear" w:color="auto" w:fill="auto"/>
                  <w:noWrap/>
                  <w:vAlign w:val="bottom"/>
                  <w:hideMark/>
                </w:tcPr>
                <w:p w14:paraId="67536B34"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Leather and related products</w:t>
                  </w:r>
                </w:p>
              </w:tc>
              <w:tc>
                <w:tcPr>
                  <w:tcW w:w="700" w:type="dxa"/>
                  <w:tcBorders>
                    <w:top w:val="nil"/>
                    <w:left w:val="nil"/>
                    <w:bottom w:val="nil"/>
                    <w:right w:val="nil"/>
                  </w:tcBorders>
                  <w:shd w:val="clear" w:color="auto" w:fill="auto"/>
                  <w:noWrap/>
                  <w:vAlign w:val="bottom"/>
                  <w:hideMark/>
                </w:tcPr>
                <w:p w14:paraId="0644A0CE"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−1.0</w:t>
                  </w:r>
                </w:p>
              </w:tc>
              <w:tc>
                <w:tcPr>
                  <w:tcW w:w="700" w:type="dxa"/>
                  <w:tcBorders>
                    <w:top w:val="nil"/>
                    <w:left w:val="nil"/>
                    <w:bottom w:val="nil"/>
                    <w:right w:val="nil"/>
                  </w:tcBorders>
                  <w:shd w:val="clear" w:color="auto" w:fill="auto"/>
                  <w:noWrap/>
                  <w:vAlign w:val="bottom"/>
                  <w:hideMark/>
                </w:tcPr>
                <w:p w14:paraId="11D9BC6E"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−19.7</w:t>
                  </w:r>
                </w:p>
              </w:tc>
            </w:tr>
            <w:tr w:rsidR="00803507" w:rsidRPr="00884D55" w14:paraId="7326116F" w14:textId="77777777" w:rsidTr="00803507">
              <w:trPr>
                <w:trHeight w:val="255"/>
              </w:trPr>
              <w:tc>
                <w:tcPr>
                  <w:tcW w:w="3417" w:type="dxa"/>
                  <w:tcBorders>
                    <w:top w:val="nil"/>
                    <w:left w:val="nil"/>
                    <w:bottom w:val="nil"/>
                    <w:right w:val="nil"/>
                  </w:tcBorders>
                  <w:shd w:val="clear" w:color="auto" w:fill="auto"/>
                  <w:noWrap/>
                  <w:vAlign w:val="bottom"/>
                  <w:hideMark/>
                </w:tcPr>
                <w:p w14:paraId="533874ED"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 xml:space="preserve">Coke and refined oil products </w:t>
                  </w:r>
                </w:p>
              </w:tc>
              <w:tc>
                <w:tcPr>
                  <w:tcW w:w="700" w:type="dxa"/>
                  <w:tcBorders>
                    <w:top w:val="nil"/>
                    <w:left w:val="nil"/>
                    <w:bottom w:val="nil"/>
                    <w:right w:val="nil"/>
                  </w:tcBorders>
                  <w:shd w:val="clear" w:color="auto" w:fill="auto"/>
                  <w:noWrap/>
                  <w:vAlign w:val="bottom"/>
                  <w:hideMark/>
                </w:tcPr>
                <w:p w14:paraId="37EA8289"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−1.3</w:t>
                  </w:r>
                </w:p>
              </w:tc>
              <w:tc>
                <w:tcPr>
                  <w:tcW w:w="700" w:type="dxa"/>
                  <w:tcBorders>
                    <w:top w:val="nil"/>
                    <w:left w:val="nil"/>
                    <w:bottom w:val="nil"/>
                    <w:right w:val="nil"/>
                  </w:tcBorders>
                  <w:shd w:val="clear" w:color="auto" w:fill="auto"/>
                  <w:noWrap/>
                  <w:vAlign w:val="bottom"/>
                  <w:hideMark/>
                </w:tcPr>
                <w:p w14:paraId="3A9EA4D3" w14:textId="4D33907B"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−10</w:t>
                  </w:r>
                  <w:r w:rsidR="00D8546D">
                    <w:rPr>
                      <w:rFonts w:cs="Arial"/>
                      <w:color w:val="000000"/>
                      <w:sz w:val="16"/>
                      <w:szCs w:val="16"/>
                      <w:lang w:val="en-GB"/>
                    </w:rPr>
                    <w:t>.</w:t>
                  </w:r>
                  <w:r w:rsidRPr="00884D55">
                    <w:rPr>
                      <w:rFonts w:cs="Arial"/>
                      <w:color w:val="000000"/>
                      <w:sz w:val="16"/>
                      <w:szCs w:val="16"/>
                      <w:lang w:val="en-GB"/>
                    </w:rPr>
                    <w:t>4</w:t>
                  </w:r>
                </w:p>
              </w:tc>
            </w:tr>
            <w:tr w:rsidR="00803507" w:rsidRPr="00884D55" w14:paraId="45A2B9EB" w14:textId="77777777" w:rsidTr="00803507">
              <w:trPr>
                <w:trHeight w:val="255"/>
              </w:trPr>
              <w:tc>
                <w:tcPr>
                  <w:tcW w:w="3417" w:type="dxa"/>
                  <w:tcBorders>
                    <w:top w:val="nil"/>
                    <w:left w:val="nil"/>
                    <w:bottom w:val="nil"/>
                    <w:right w:val="nil"/>
                  </w:tcBorders>
                  <w:shd w:val="clear" w:color="auto" w:fill="auto"/>
                  <w:noWrap/>
                  <w:vAlign w:val="bottom"/>
                  <w:hideMark/>
                </w:tcPr>
                <w:p w14:paraId="1677C6EA"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Machinery and equipment</w:t>
                  </w:r>
                </w:p>
              </w:tc>
              <w:tc>
                <w:tcPr>
                  <w:tcW w:w="700" w:type="dxa"/>
                  <w:tcBorders>
                    <w:top w:val="nil"/>
                    <w:left w:val="nil"/>
                    <w:bottom w:val="nil"/>
                    <w:right w:val="nil"/>
                  </w:tcBorders>
                  <w:shd w:val="clear" w:color="auto" w:fill="auto"/>
                  <w:noWrap/>
                  <w:vAlign w:val="bottom"/>
                  <w:hideMark/>
                </w:tcPr>
                <w:p w14:paraId="0C16AE9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−2.8</w:t>
                  </w:r>
                </w:p>
              </w:tc>
              <w:tc>
                <w:tcPr>
                  <w:tcW w:w="700" w:type="dxa"/>
                  <w:tcBorders>
                    <w:top w:val="nil"/>
                    <w:left w:val="nil"/>
                    <w:bottom w:val="nil"/>
                    <w:right w:val="nil"/>
                  </w:tcBorders>
                  <w:shd w:val="clear" w:color="auto" w:fill="auto"/>
                  <w:noWrap/>
                  <w:vAlign w:val="bottom"/>
                  <w:hideMark/>
                </w:tcPr>
                <w:p w14:paraId="5D349771" w14:textId="55688538"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w:t>
                  </w:r>
                  <w:r w:rsidR="00D8546D">
                    <w:rPr>
                      <w:rFonts w:cs="Arial"/>
                      <w:color w:val="000000"/>
                      <w:sz w:val="16"/>
                      <w:szCs w:val="16"/>
                      <w:lang w:val="en-GB"/>
                    </w:rPr>
                    <w:t>.</w:t>
                  </w:r>
                  <w:r w:rsidRPr="00884D55">
                    <w:rPr>
                      <w:rFonts w:cs="Arial"/>
                      <w:color w:val="000000"/>
                      <w:sz w:val="16"/>
                      <w:szCs w:val="16"/>
                      <w:lang w:val="en-GB"/>
                    </w:rPr>
                    <w:t>2</w:t>
                  </w:r>
                </w:p>
              </w:tc>
            </w:tr>
          </w:tbl>
          <w:p w14:paraId="0EC34D7B" w14:textId="77777777" w:rsidR="00803507" w:rsidRPr="00884D55" w:rsidRDefault="00803507" w:rsidP="00803507">
            <w:pPr>
              <w:spacing w:after="0"/>
              <w:rPr>
                <w:spacing w:val="-4"/>
                <w:lang w:val="en-GB" w:eastAsia="en-US"/>
              </w:rPr>
            </w:pPr>
          </w:p>
        </w:tc>
        <w:tc>
          <w:tcPr>
            <w:tcW w:w="57" w:type="dxa"/>
          </w:tcPr>
          <w:p w14:paraId="75802ABE" w14:textId="77777777" w:rsidR="00803507" w:rsidRPr="00884D55" w:rsidRDefault="00803507" w:rsidP="00803507">
            <w:pPr>
              <w:spacing w:after="0"/>
              <w:rPr>
                <w:spacing w:val="-4"/>
                <w:lang w:val="en-GB"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803507" w:rsidRPr="00884D55" w14:paraId="29B3CAB4" w14:textId="77777777" w:rsidTr="00803507">
              <w:trPr>
                <w:trHeight w:val="255"/>
              </w:trPr>
              <w:tc>
                <w:tcPr>
                  <w:tcW w:w="3362" w:type="dxa"/>
                  <w:tcBorders>
                    <w:top w:val="nil"/>
                    <w:left w:val="nil"/>
                    <w:bottom w:val="nil"/>
                    <w:right w:val="nil"/>
                  </w:tcBorders>
                  <w:shd w:val="clear" w:color="auto" w:fill="auto"/>
                  <w:noWrap/>
                  <w:vAlign w:val="bottom"/>
                  <w:hideMark/>
                </w:tcPr>
                <w:p w14:paraId="50F4AAAA" w14:textId="77777777" w:rsidR="00803507" w:rsidRPr="00884D55" w:rsidRDefault="00803507" w:rsidP="00803507">
                  <w:pPr>
                    <w:spacing w:after="0" w:line="240" w:lineRule="auto"/>
                    <w:jc w:val="left"/>
                    <w:rPr>
                      <w:rFonts w:ascii="Times New Roman" w:hAnsi="Times New Roman"/>
                      <w:sz w:val="24"/>
                      <w:szCs w:val="20"/>
                      <w:lang w:val="en-GB"/>
                    </w:rPr>
                  </w:pPr>
                </w:p>
              </w:tc>
              <w:tc>
                <w:tcPr>
                  <w:tcW w:w="700" w:type="dxa"/>
                  <w:tcBorders>
                    <w:top w:val="nil"/>
                    <w:left w:val="nil"/>
                    <w:bottom w:val="nil"/>
                    <w:right w:val="nil"/>
                  </w:tcBorders>
                  <w:shd w:val="clear" w:color="auto" w:fill="auto"/>
                  <w:noWrap/>
                  <w:vAlign w:val="bottom"/>
                  <w:hideMark/>
                </w:tcPr>
                <w:p w14:paraId="55442E79"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bn CZK</w:t>
                  </w:r>
                </w:p>
              </w:tc>
              <w:tc>
                <w:tcPr>
                  <w:tcW w:w="700" w:type="dxa"/>
                  <w:tcBorders>
                    <w:top w:val="nil"/>
                    <w:left w:val="nil"/>
                    <w:bottom w:val="nil"/>
                    <w:right w:val="nil"/>
                  </w:tcBorders>
                  <w:shd w:val="clear" w:color="auto" w:fill="auto"/>
                  <w:noWrap/>
                  <w:vAlign w:val="bottom"/>
                  <w:hideMark/>
                </w:tcPr>
                <w:p w14:paraId="33B7B552"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w:t>
                  </w:r>
                </w:p>
              </w:tc>
            </w:tr>
            <w:tr w:rsidR="00803507" w:rsidRPr="00884D55" w14:paraId="146E8757" w14:textId="77777777" w:rsidTr="00803507">
              <w:trPr>
                <w:trHeight w:val="255"/>
              </w:trPr>
              <w:tc>
                <w:tcPr>
                  <w:tcW w:w="3362" w:type="dxa"/>
                  <w:tcBorders>
                    <w:top w:val="single" w:sz="4" w:space="0" w:color="auto"/>
                    <w:left w:val="nil"/>
                    <w:bottom w:val="nil"/>
                    <w:right w:val="nil"/>
                  </w:tcBorders>
                  <w:shd w:val="clear" w:color="auto" w:fill="auto"/>
                  <w:noWrap/>
                  <w:vAlign w:val="bottom"/>
                  <w:hideMark/>
                </w:tcPr>
                <w:p w14:paraId="717432E7"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Germany</w:t>
                  </w:r>
                </w:p>
              </w:tc>
              <w:tc>
                <w:tcPr>
                  <w:tcW w:w="700" w:type="dxa"/>
                  <w:tcBorders>
                    <w:top w:val="single" w:sz="4" w:space="0" w:color="auto"/>
                    <w:left w:val="nil"/>
                    <w:bottom w:val="nil"/>
                    <w:right w:val="nil"/>
                  </w:tcBorders>
                  <w:shd w:val="clear" w:color="auto" w:fill="auto"/>
                  <w:noWrap/>
                  <w:vAlign w:val="bottom"/>
                  <w:hideMark/>
                </w:tcPr>
                <w:p w14:paraId="11D1CE1E"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+6.0</w:t>
                  </w:r>
                </w:p>
              </w:tc>
              <w:tc>
                <w:tcPr>
                  <w:tcW w:w="700" w:type="dxa"/>
                  <w:tcBorders>
                    <w:top w:val="single" w:sz="4" w:space="0" w:color="auto"/>
                    <w:left w:val="nil"/>
                    <w:bottom w:val="nil"/>
                    <w:right w:val="nil"/>
                  </w:tcBorders>
                  <w:shd w:val="clear" w:color="auto" w:fill="auto"/>
                  <w:noWrap/>
                  <w:vAlign w:val="bottom"/>
                  <w:hideMark/>
                </w:tcPr>
                <w:p w14:paraId="38DD14AA"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+1.8</w:t>
                  </w:r>
                </w:p>
              </w:tc>
            </w:tr>
            <w:tr w:rsidR="00803507" w:rsidRPr="00884D55" w14:paraId="46E61289" w14:textId="77777777" w:rsidTr="00803507">
              <w:trPr>
                <w:trHeight w:val="255"/>
              </w:trPr>
              <w:tc>
                <w:tcPr>
                  <w:tcW w:w="3362" w:type="dxa"/>
                  <w:tcBorders>
                    <w:top w:val="nil"/>
                    <w:left w:val="nil"/>
                    <w:bottom w:val="nil"/>
                    <w:right w:val="nil"/>
                  </w:tcBorders>
                  <w:shd w:val="clear" w:color="auto" w:fill="auto"/>
                  <w:noWrap/>
                  <w:vAlign w:val="bottom"/>
                  <w:hideMark/>
                </w:tcPr>
                <w:p w14:paraId="6F4AD651"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Great Britain</w:t>
                  </w:r>
                </w:p>
              </w:tc>
              <w:tc>
                <w:tcPr>
                  <w:tcW w:w="700" w:type="dxa"/>
                  <w:tcBorders>
                    <w:top w:val="nil"/>
                    <w:left w:val="nil"/>
                    <w:bottom w:val="nil"/>
                    <w:right w:val="nil"/>
                  </w:tcBorders>
                  <w:shd w:val="clear" w:color="auto" w:fill="auto"/>
                  <w:noWrap/>
                  <w:vAlign w:val="bottom"/>
                  <w:hideMark/>
                </w:tcPr>
                <w:p w14:paraId="250CC6BB"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+5.8</w:t>
                  </w:r>
                </w:p>
              </w:tc>
              <w:tc>
                <w:tcPr>
                  <w:tcW w:w="700" w:type="dxa"/>
                  <w:tcBorders>
                    <w:top w:val="nil"/>
                    <w:left w:val="nil"/>
                    <w:bottom w:val="nil"/>
                    <w:right w:val="nil"/>
                  </w:tcBorders>
                  <w:shd w:val="clear" w:color="auto" w:fill="auto"/>
                  <w:noWrap/>
                  <w:vAlign w:val="bottom"/>
                  <w:hideMark/>
                </w:tcPr>
                <w:p w14:paraId="7630BD96"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+12.7</w:t>
                  </w:r>
                </w:p>
              </w:tc>
            </w:tr>
            <w:tr w:rsidR="00803507" w:rsidRPr="00884D55" w14:paraId="328C09ED" w14:textId="77777777" w:rsidTr="00803507">
              <w:trPr>
                <w:trHeight w:val="255"/>
              </w:trPr>
              <w:tc>
                <w:tcPr>
                  <w:tcW w:w="3362" w:type="dxa"/>
                  <w:tcBorders>
                    <w:top w:val="nil"/>
                    <w:left w:val="nil"/>
                    <w:bottom w:val="nil"/>
                    <w:right w:val="nil"/>
                  </w:tcBorders>
                  <w:shd w:val="clear" w:color="auto" w:fill="auto"/>
                  <w:noWrap/>
                  <w:vAlign w:val="bottom"/>
                  <w:hideMark/>
                </w:tcPr>
                <w:p w14:paraId="0361F31B"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Poland</w:t>
                  </w:r>
                </w:p>
              </w:tc>
              <w:tc>
                <w:tcPr>
                  <w:tcW w:w="700" w:type="dxa"/>
                  <w:tcBorders>
                    <w:top w:val="nil"/>
                    <w:left w:val="nil"/>
                    <w:bottom w:val="nil"/>
                    <w:right w:val="nil"/>
                  </w:tcBorders>
                  <w:shd w:val="clear" w:color="auto" w:fill="auto"/>
                  <w:noWrap/>
                  <w:vAlign w:val="bottom"/>
                  <w:hideMark/>
                </w:tcPr>
                <w:p w14:paraId="5FB80469"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+5.7</w:t>
                  </w:r>
                </w:p>
              </w:tc>
              <w:tc>
                <w:tcPr>
                  <w:tcW w:w="700" w:type="dxa"/>
                  <w:tcBorders>
                    <w:top w:val="nil"/>
                    <w:left w:val="nil"/>
                    <w:bottom w:val="nil"/>
                    <w:right w:val="nil"/>
                  </w:tcBorders>
                  <w:shd w:val="clear" w:color="auto" w:fill="auto"/>
                  <w:noWrap/>
                  <w:vAlign w:val="bottom"/>
                  <w:hideMark/>
                </w:tcPr>
                <w:p w14:paraId="318E136D"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+6.5</w:t>
                  </w:r>
                </w:p>
              </w:tc>
            </w:tr>
            <w:tr w:rsidR="00803507" w:rsidRPr="00884D55" w14:paraId="74CD3196" w14:textId="77777777" w:rsidTr="00803507">
              <w:trPr>
                <w:trHeight w:val="255"/>
              </w:trPr>
              <w:tc>
                <w:tcPr>
                  <w:tcW w:w="3362" w:type="dxa"/>
                  <w:tcBorders>
                    <w:top w:val="nil"/>
                    <w:left w:val="nil"/>
                    <w:bottom w:val="nil"/>
                    <w:right w:val="nil"/>
                  </w:tcBorders>
                  <w:shd w:val="clear" w:color="auto" w:fill="auto"/>
                  <w:noWrap/>
                  <w:vAlign w:val="bottom"/>
                  <w:hideMark/>
                </w:tcPr>
                <w:p w14:paraId="41658DF5"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United States of America</w:t>
                  </w:r>
                </w:p>
              </w:tc>
              <w:tc>
                <w:tcPr>
                  <w:tcW w:w="700" w:type="dxa"/>
                  <w:tcBorders>
                    <w:top w:val="nil"/>
                    <w:left w:val="nil"/>
                    <w:bottom w:val="nil"/>
                    <w:right w:val="nil"/>
                  </w:tcBorders>
                  <w:shd w:val="clear" w:color="auto" w:fill="auto"/>
                  <w:noWrap/>
                  <w:vAlign w:val="bottom"/>
                  <w:hideMark/>
                </w:tcPr>
                <w:p w14:paraId="7003C711"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+5.5</w:t>
                  </w:r>
                </w:p>
              </w:tc>
              <w:tc>
                <w:tcPr>
                  <w:tcW w:w="700" w:type="dxa"/>
                  <w:tcBorders>
                    <w:top w:val="nil"/>
                    <w:left w:val="nil"/>
                    <w:bottom w:val="nil"/>
                    <w:right w:val="nil"/>
                  </w:tcBorders>
                  <w:shd w:val="clear" w:color="auto" w:fill="auto"/>
                  <w:noWrap/>
                  <w:vAlign w:val="bottom"/>
                  <w:hideMark/>
                </w:tcPr>
                <w:p w14:paraId="5BF8D9ED"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+19.3</w:t>
                  </w:r>
                </w:p>
              </w:tc>
            </w:tr>
            <w:tr w:rsidR="00803507" w:rsidRPr="00884D55" w14:paraId="6A0D2FF0" w14:textId="77777777" w:rsidTr="00803507">
              <w:trPr>
                <w:trHeight w:val="255"/>
              </w:trPr>
              <w:tc>
                <w:tcPr>
                  <w:tcW w:w="3362" w:type="dxa"/>
                  <w:tcBorders>
                    <w:top w:val="nil"/>
                    <w:left w:val="nil"/>
                    <w:bottom w:val="nil"/>
                    <w:right w:val="nil"/>
                  </w:tcBorders>
                  <w:shd w:val="clear" w:color="auto" w:fill="auto"/>
                  <w:noWrap/>
                  <w:vAlign w:val="bottom"/>
                  <w:hideMark/>
                </w:tcPr>
                <w:p w14:paraId="7EF4352F"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Israel</w:t>
                  </w:r>
                </w:p>
              </w:tc>
              <w:tc>
                <w:tcPr>
                  <w:tcW w:w="700" w:type="dxa"/>
                  <w:tcBorders>
                    <w:top w:val="nil"/>
                    <w:left w:val="nil"/>
                    <w:bottom w:val="nil"/>
                    <w:right w:val="nil"/>
                  </w:tcBorders>
                  <w:shd w:val="clear" w:color="auto" w:fill="auto"/>
                  <w:noWrap/>
                  <w:vAlign w:val="bottom"/>
                  <w:hideMark/>
                </w:tcPr>
                <w:p w14:paraId="79A9494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+4.1</w:t>
                  </w:r>
                </w:p>
              </w:tc>
              <w:tc>
                <w:tcPr>
                  <w:tcW w:w="700" w:type="dxa"/>
                  <w:tcBorders>
                    <w:top w:val="nil"/>
                    <w:left w:val="nil"/>
                    <w:bottom w:val="nil"/>
                    <w:right w:val="nil"/>
                  </w:tcBorders>
                  <w:shd w:val="clear" w:color="auto" w:fill="auto"/>
                  <w:noWrap/>
                  <w:vAlign w:val="bottom"/>
                  <w:hideMark/>
                </w:tcPr>
                <w:p w14:paraId="6E6D16B6"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+116.4</w:t>
                  </w:r>
                </w:p>
              </w:tc>
            </w:tr>
            <w:tr w:rsidR="00803507" w:rsidRPr="00884D55" w14:paraId="674D8F7A" w14:textId="77777777" w:rsidTr="00803507">
              <w:trPr>
                <w:trHeight w:val="255"/>
              </w:trPr>
              <w:tc>
                <w:tcPr>
                  <w:tcW w:w="3362" w:type="dxa"/>
                  <w:tcBorders>
                    <w:top w:val="nil"/>
                    <w:left w:val="nil"/>
                    <w:bottom w:val="nil"/>
                    <w:right w:val="nil"/>
                  </w:tcBorders>
                  <w:shd w:val="clear" w:color="auto" w:fill="auto"/>
                  <w:noWrap/>
                  <w:vAlign w:val="bottom"/>
                  <w:hideMark/>
                </w:tcPr>
                <w:p w14:paraId="16F4F2B7"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Ukraine</w:t>
                  </w:r>
                </w:p>
              </w:tc>
              <w:tc>
                <w:tcPr>
                  <w:tcW w:w="700" w:type="dxa"/>
                  <w:tcBorders>
                    <w:top w:val="nil"/>
                    <w:left w:val="nil"/>
                    <w:bottom w:val="nil"/>
                    <w:right w:val="nil"/>
                  </w:tcBorders>
                  <w:shd w:val="clear" w:color="auto" w:fill="auto"/>
                  <w:noWrap/>
                  <w:vAlign w:val="bottom"/>
                  <w:hideMark/>
                </w:tcPr>
                <w:p w14:paraId="4E1018DE"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+4.1</w:t>
                  </w:r>
                </w:p>
              </w:tc>
              <w:tc>
                <w:tcPr>
                  <w:tcW w:w="700" w:type="dxa"/>
                  <w:tcBorders>
                    <w:top w:val="nil"/>
                    <w:left w:val="nil"/>
                    <w:bottom w:val="nil"/>
                    <w:right w:val="nil"/>
                  </w:tcBorders>
                  <w:shd w:val="clear" w:color="auto" w:fill="auto"/>
                  <w:noWrap/>
                  <w:vAlign w:val="bottom"/>
                  <w:hideMark/>
                </w:tcPr>
                <w:p w14:paraId="5A96D3F0"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+37.3</w:t>
                  </w:r>
                </w:p>
              </w:tc>
            </w:tr>
            <w:tr w:rsidR="00803507" w:rsidRPr="00884D55" w14:paraId="68E56FE8" w14:textId="77777777" w:rsidTr="00803507">
              <w:trPr>
                <w:trHeight w:val="255"/>
              </w:trPr>
              <w:tc>
                <w:tcPr>
                  <w:tcW w:w="3362" w:type="dxa"/>
                  <w:tcBorders>
                    <w:top w:val="nil"/>
                    <w:left w:val="nil"/>
                    <w:bottom w:val="nil"/>
                    <w:right w:val="nil"/>
                  </w:tcBorders>
                  <w:shd w:val="clear" w:color="auto" w:fill="auto"/>
                  <w:noWrap/>
                  <w:vAlign w:val="bottom"/>
                  <w:hideMark/>
                </w:tcPr>
                <w:p w14:paraId="25862DBD"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Belgium</w:t>
                  </w:r>
                </w:p>
              </w:tc>
              <w:tc>
                <w:tcPr>
                  <w:tcW w:w="700" w:type="dxa"/>
                  <w:tcBorders>
                    <w:top w:val="nil"/>
                    <w:left w:val="nil"/>
                    <w:bottom w:val="nil"/>
                    <w:right w:val="nil"/>
                  </w:tcBorders>
                  <w:shd w:val="clear" w:color="auto" w:fill="auto"/>
                  <w:noWrap/>
                  <w:vAlign w:val="bottom"/>
                  <w:hideMark/>
                </w:tcPr>
                <w:p w14:paraId="27956D26"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+3.6</w:t>
                  </w:r>
                </w:p>
              </w:tc>
              <w:tc>
                <w:tcPr>
                  <w:tcW w:w="700" w:type="dxa"/>
                  <w:tcBorders>
                    <w:top w:val="nil"/>
                    <w:left w:val="nil"/>
                    <w:bottom w:val="nil"/>
                    <w:right w:val="nil"/>
                  </w:tcBorders>
                  <w:shd w:val="clear" w:color="auto" w:fill="auto"/>
                  <w:noWrap/>
                  <w:vAlign w:val="bottom"/>
                  <w:hideMark/>
                </w:tcPr>
                <w:p w14:paraId="2A891B34"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+14.7</w:t>
                  </w:r>
                </w:p>
              </w:tc>
            </w:tr>
            <w:tr w:rsidR="00803507" w:rsidRPr="00884D55" w14:paraId="200D1F8D" w14:textId="77777777" w:rsidTr="00803507">
              <w:trPr>
                <w:trHeight w:val="255"/>
              </w:trPr>
              <w:tc>
                <w:tcPr>
                  <w:tcW w:w="3362" w:type="dxa"/>
                  <w:tcBorders>
                    <w:top w:val="nil"/>
                    <w:left w:val="nil"/>
                    <w:bottom w:val="nil"/>
                    <w:right w:val="nil"/>
                  </w:tcBorders>
                  <w:shd w:val="clear" w:color="auto" w:fill="auto"/>
                  <w:noWrap/>
                  <w:vAlign w:val="bottom"/>
                  <w:hideMark/>
                </w:tcPr>
                <w:p w14:paraId="45030533"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Turkey</w:t>
                  </w:r>
                </w:p>
              </w:tc>
              <w:tc>
                <w:tcPr>
                  <w:tcW w:w="700" w:type="dxa"/>
                  <w:tcBorders>
                    <w:top w:val="nil"/>
                    <w:left w:val="nil"/>
                    <w:bottom w:val="nil"/>
                    <w:right w:val="nil"/>
                  </w:tcBorders>
                  <w:shd w:val="clear" w:color="auto" w:fill="auto"/>
                  <w:noWrap/>
                  <w:vAlign w:val="bottom"/>
                  <w:hideMark/>
                </w:tcPr>
                <w:p w14:paraId="1FEB614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+3.0</w:t>
                  </w:r>
                </w:p>
              </w:tc>
              <w:tc>
                <w:tcPr>
                  <w:tcW w:w="700" w:type="dxa"/>
                  <w:tcBorders>
                    <w:top w:val="nil"/>
                    <w:left w:val="nil"/>
                    <w:bottom w:val="nil"/>
                    <w:right w:val="nil"/>
                  </w:tcBorders>
                  <w:shd w:val="clear" w:color="auto" w:fill="auto"/>
                  <w:noWrap/>
                  <w:vAlign w:val="bottom"/>
                  <w:hideMark/>
                </w:tcPr>
                <w:p w14:paraId="23FF9BEA"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+16.0</w:t>
                  </w:r>
                </w:p>
              </w:tc>
            </w:tr>
            <w:tr w:rsidR="00803507" w:rsidRPr="00884D55" w14:paraId="067F8D6B" w14:textId="77777777" w:rsidTr="00803507">
              <w:trPr>
                <w:trHeight w:val="255"/>
              </w:trPr>
              <w:tc>
                <w:tcPr>
                  <w:tcW w:w="3362" w:type="dxa"/>
                  <w:tcBorders>
                    <w:top w:val="nil"/>
                    <w:left w:val="nil"/>
                    <w:bottom w:val="nil"/>
                    <w:right w:val="nil"/>
                  </w:tcBorders>
                  <w:shd w:val="clear" w:color="auto" w:fill="auto"/>
                  <w:noWrap/>
                  <w:vAlign w:val="bottom"/>
                  <w:hideMark/>
                </w:tcPr>
                <w:p w14:paraId="328018E6"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Austria</w:t>
                  </w:r>
                </w:p>
              </w:tc>
              <w:tc>
                <w:tcPr>
                  <w:tcW w:w="700" w:type="dxa"/>
                  <w:tcBorders>
                    <w:top w:val="nil"/>
                    <w:left w:val="nil"/>
                    <w:bottom w:val="nil"/>
                    <w:right w:val="nil"/>
                  </w:tcBorders>
                  <w:shd w:val="clear" w:color="auto" w:fill="auto"/>
                  <w:noWrap/>
                  <w:vAlign w:val="bottom"/>
                  <w:hideMark/>
                </w:tcPr>
                <w:p w14:paraId="7747FDA0"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+2.7</w:t>
                  </w:r>
                </w:p>
              </w:tc>
              <w:tc>
                <w:tcPr>
                  <w:tcW w:w="700" w:type="dxa"/>
                  <w:tcBorders>
                    <w:top w:val="nil"/>
                    <w:left w:val="nil"/>
                    <w:bottom w:val="nil"/>
                    <w:right w:val="nil"/>
                  </w:tcBorders>
                  <w:shd w:val="clear" w:color="auto" w:fill="auto"/>
                  <w:noWrap/>
                  <w:vAlign w:val="bottom"/>
                  <w:hideMark/>
                </w:tcPr>
                <w:p w14:paraId="1FD9EDAB"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+6.4</w:t>
                  </w:r>
                </w:p>
              </w:tc>
            </w:tr>
            <w:tr w:rsidR="00803507" w:rsidRPr="00884D55" w14:paraId="41DE023A" w14:textId="77777777" w:rsidTr="00803507">
              <w:trPr>
                <w:trHeight w:val="255"/>
              </w:trPr>
              <w:tc>
                <w:tcPr>
                  <w:tcW w:w="3362" w:type="dxa"/>
                  <w:tcBorders>
                    <w:top w:val="nil"/>
                    <w:left w:val="nil"/>
                    <w:bottom w:val="nil"/>
                    <w:right w:val="nil"/>
                  </w:tcBorders>
                  <w:shd w:val="clear" w:color="auto" w:fill="auto"/>
                  <w:noWrap/>
                  <w:vAlign w:val="bottom"/>
                  <w:hideMark/>
                </w:tcPr>
                <w:p w14:paraId="6661029B"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Singapore</w:t>
                  </w:r>
                </w:p>
              </w:tc>
              <w:tc>
                <w:tcPr>
                  <w:tcW w:w="700" w:type="dxa"/>
                  <w:tcBorders>
                    <w:top w:val="nil"/>
                    <w:left w:val="nil"/>
                    <w:bottom w:val="nil"/>
                    <w:right w:val="nil"/>
                  </w:tcBorders>
                  <w:shd w:val="clear" w:color="auto" w:fill="auto"/>
                  <w:noWrap/>
                  <w:vAlign w:val="bottom"/>
                  <w:hideMark/>
                </w:tcPr>
                <w:p w14:paraId="32ADF21D"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+2.0</w:t>
                  </w:r>
                </w:p>
              </w:tc>
              <w:tc>
                <w:tcPr>
                  <w:tcW w:w="700" w:type="dxa"/>
                  <w:tcBorders>
                    <w:top w:val="nil"/>
                    <w:left w:val="nil"/>
                    <w:bottom w:val="nil"/>
                    <w:right w:val="nil"/>
                  </w:tcBorders>
                  <w:shd w:val="clear" w:color="auto" w:fill="auto"/>
                  <w:noWrap/>
                  <w:vAlign w:val="bottom"/>
                  <w:hideMark/>
                </w:tcPr>
                <w:p w14:paraId="562E1B66"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+121.9</w:t>
                  </w:r>
                </w:p>
              </w:tc>
            </w:tr>
            <w:tr w:rsidR="00803507" w:rsidRPr="00884D55" w14:paraId="7EF433F7" w14:textId="77777777" w:rsidTr="00803507">
              <w:trPr>
                <w:trHeight w:val="255"/>
              </w:trPr>
              <w:tc>
                <w:tcPr>
                  <w:tcW w:w="3362" w:type="dxa"/>
                  <w:tcBorders>
                    <w:top w:val="nil"/>
                    <w:left w:val="nil"/>
                    <w:bottom w:val="nil"/>
                    <w:right w:val="nil"/>
                  </w:tcBorders>
                  <w:shd w:val="clear" w:color="auto" w:fill="auto"/>
                  <w:noWrap/>
                  <w:vAlign w:val="bottom"/>
                  <w:hideMark/>
                </w:tcPr>
                <w:p w14:paraId="7D0853AB"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China</w:t>
                  </w:r>
                </w:p>
              </w:tc>
              <w:tc>
                <w:tcPr>
                  <w:tcW w:w="700" w:type="dxa"/>
                  <w:tcBorders>
                    <w:top w:val="nil"/>
                    <w:left w:val="nil"/>
                    <w:bottom w:val="nil"/>
                    <w:right w:val="nil"/>
                  </w:tcBorders>
                  <w:shd w:val="clear" w:color="auto" w:fill="auto"/>
                  <w:noWrap/>
                  <w:vAlign w:val="bottom"/>
                  <w:hideMark/>
                </w:tcPr>
                <w:p w14:paraId="437EB6D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+1.7</w:t>
                  </w:r>
                </w:p>
              </w:tc>
              <w:tc>
                <w:tcPr>
                  <w:tcW w:w="700" w:type="dxa"/>
                  <w:tcBorders>
                    <w:top w:val="nil"/>
                    <w:left w:val="nil"/>
                    <w:bottom w:val="nil"/>
                    <w:right w:val="nil"/>
                  </w:tcBorders>
                  <w:shd w:val="clear" w:color="auto" w:fill="auto"/>
                  <w:noWrap/>
                  <w:vAlign w:val="bottom"/>
                  <w:hideMark/>
                </w:tcPr>
                <w:p w14:paraId="6F392959"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+14.1</w:t>
                  </w:r>
                </w:p>
              </w:tc>
            </w:tr>
            <w:tr w:rsidR="00803507" w:rsidRPr="00884D55" w14:paraId="6EB9FA71" w14:textId="77777777" w:rsidTr="00803507">
              <w:trPr>
                <w:trHeight w:val="255"/>
              </w:trPr>
              <w:tc>
                <w:tcPr>
                  <w:tcW w:w="3362" w:type="dxa"/>
                  <w:tcBorders>
                    <w:top w:val="nil"/>
                    <w:left w:val="nil"/>
                    <w:bottom w:val="nil"/>
                    <w:right w:val="nil"/>
                  </w:tcBorders>
                  <w:shd w:val="clear" w:color="auto" w:fill="auto"/>
                  <w:noWrap/>
                  <w:vAlign w:val="bottom"/>
                  <w:hideMark/>
                </w:tcPr>
                <w:p w14:paraId="797A75A6"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Azerbaijan</w:t>
                  </w:r>
                </w:p>
              </w:tc>
              <w:tc>
                <w:tcPr>
                  <w:tcW w:w="700" w:type="dxa"/>
                  <w:tcBorders>
                    <w:top w:val="nil"/>
                    <w:left w:val="nil"/>
                    <w:bottom w:val="nil"/>
                    <w:right w:val="nil"/>
                  </w:tcBorders>
                  <w:shd w:val="clear" w:color="auto" w:fill="auto"/>
                  <w:noWrap/>
                  <w:vAlign w:val="bottom"/>
                  <w:hideMark/>
                </w:tcPr>
                <w:p w14:paraId="6A00694C"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w:t>
                  </w:r>
                </w:p>
              </w:tc>
              <w:tc>
                <w:tcPr>
                  <w:tcW w:w="700" w:type="dxa"/>
                  <w:tcBorders>
                    <w:top w:val="nil"/>
                    <w:left w:val="nil"/>
                    <w:bottom w:val="nil"/>
                    <w:right w:val="nil"/>
                  </w:tcBorders>
                  <w:shd w:val="clear" w:color="auto" w:fill="auto"/>
                  <w:noWrap/>
                  <w:vAlign w:val="bottom"/>
                  <w:hideMark/>
                </w:tcPr>
                <w:p w14:paraId="2CD47C86"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+94.5</w:t>
                  </w:r>
                </w:p>
              </w:tc>
            </w:tr>
            <w:tr w:rsidR="00803507" w:rsidRPr="00884D55" w14:paraId="4CBDCAAC" w14:textId="77777777" w:rsidTr="00803507">
              <w:trPr>
                <w:trHeight w:val="255"/>
              </w:trPr>
              <w:tc>
                <w:tcPr>
                  <w:tcW w:w="3362" w:type="dxa"/>
                  <w:tcBorders>
                    <w:top w:val="nil"/>
                    <w:left w:val="nil"/>
                    <w:bottom w:val="nil"/>
                    <w:right w:val="nil"/>
                  </w:tcBorders>
                  <w:shd w:val="clear" w:color="auto" w:fill="auto"/>
                  <w:noWrap/>
                  <w:vAlign w:val="bottom"/>
                  <w:hideMark/>
                </w:tcPr>
                <w:p w14:paraId="6FC9B21D"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South Korea</w:t>
                  </w:r>
                </w:p>
              </w:tc>
              <w:tc>
                <w:tcPr>
                  <w:tcW w:w="700" w:type="dxa"/>
                  <w:tcBorders>
                    <w:top w:val="nil"/>
                    <w:left w:val="nil"/>
                    <w:bottom w:val="nil"/>
                    <w:right w:val="nil"/>
                  </w:tcBorders>
                  <w:shd w:val="clear" w:color="auto" w:fill="auto"/>
                  <w:noWrap/>
                  <w:vAlign w:val="bottom"/>
                  <w:hideMark/>
                </w:tcPr>
                <w:p w14:paraId="27C3067C"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w:t>
                  </w:r>
                </w:p>
              </w:tc>
              <w:tc>
                <w:tcPr>
                  <w:tcW w:w="700" w:type="dxa"/>
                  <w:tcBorders>
                    <w:top w:val="nil"/>
                    <w:left w:val="nil"/>
                    <w:bottom w:val="nil"/>
                    <w:right w:val="nil"/>
                  </w:tcBorders>
                  <w:shd w:val="clear" w:color="auto" w:fill="auto"/>
                  <w:noWrap/>
                  <w:vAlign w:val="bottom"/>
                  <w:hideMark/>
                </w:tcPr>
                <w:p w14:paraId="7FDC97F0"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+40.1</w:t>
                  </w:r>
                </w:p>
              </w:tc>
            </w:tr>
            <w:tr w:rsidR="00803507" w:rsidRPr="00884D55" w14:paraId="5ABCA755" w14:textId="77777777" w:rsidTr="00803507">
              <w:trPr>
                <w:trHeight w:val="255"/>
              </w:trPr>
              <w:tc>
                <w:tcPr>
                  <w:tcW w:w="3362" w:type="dxa"/>
                  <w:tcBorders>
                    <w:top w:val="nil"/>
                    <w:left w:val="nil"/>
                    <w:bottom w:val="nil"/>
                    <w:right w:val="nil"/>
                  </w:tcBorders>
                  <w:shd w:val="clear" w:color="auto" w:fill="auto"/>
                  <w:noWrap/>
                  <w:vAlign w:val="bottom"/>
                  <w:hideMark/>
                </w:tcPr>
                <w:p w14:paraId="28150553"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Italy</w:t>
                  </w:r>
                </w:p>
              </w:tc>
              <w:tc>
                <w:tcPr>
                  <w:tcW w:w="700" w:type="dxa"/>
                  <w:tcBorders>
                    <w:top w:val="nil"/>
                    <w:left w:val="nil"/>
                    <w:bottom w:val="nil"/>
                    <w:right w:val="nil"/>
                  </w:tcBorders>
                  <w:shd w:val="clear" w:color="auto" w:fill="auto"/>
                  <w:noWrap/>
                  <w:vAlign w:val="bottom"/>
                  <w:hideMark/>
                </w:tcPr>
                <w:p w14:paraId="4979F6A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w:t>
                  </w:r>
                </w:p>
              </w:tc>
              <w:tc>
                <w:tcPr>
                  <w:tcW w:w="700" w:type="dxa"/>
                  <w:tcBorders>
                    <w:top w:val="nil"/>
                    <w:left w:val="nil"/>
                    <w:bottom w:val="nil"/>
                    <w:right w:val="nil"/>
                  </w:tcBorders>
                  <w:shd w:val="clear" w:color="auto" w:fill="auto"/>
                  <w:noWrap/>
                  <w:vAlign w:val="bottom"/>
                  <w:hideMark/>
                </w:tcPr>
                <w:p w14:paraId="66F832AB"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−2.6</w:t>
                  </w:r>
                </w:p>
              </w:tc>
            </w:tr>
            <w:tr w:rsidR="00803507" w:rsidRPr="00884D55" w14:paraId="4E540023" w14:textId="77777777" w:rsidTr="00803507">
              <w:trPr>
                <w:trHeight w:val="255"/>
              </w:trPr>
              <w:tc>
                <w:tcPr>
                  <w:tcW w:w="3362" w:type="dxa"/>
                  <w:tcBorders>
                    <w:top w:val="nil"/>
                    <w:left w:val="nil"/>
                    <w:bottom w:val="nil"/>
                    <w:right w:val="nil"/>
                  </w:tcBorders>
                  <w:shd w:val="clear" w:color="auto" w:fill="auto"/>
                  <w:noWrap/>
                  <w:vAlign w:val="bottom"/>
                  <w:hideMark/>
                </w:tcPr>
                <w:p w14:paraId="126C4039"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France</w:t>
                  </w:r>
                </w:p>
              </w:tc>
              <w:tc>
                <w:tcPr>
                  <w:tcW w:w="700" w:type="dxa"/>
                  <w:tcBorders>
                    <w:top w:val="nil"/>
                    <w:left w:val="nil"/>
                    <w:bottom w:val="nil"/>
                    <w:right w:val="nil"/>
                  </w:tcBorders>
                  <w:shd w:val="clear" w:color="auto" w:fill="auto"/>
                  <w:noWrap/>
                  <w:vAlign w:val="bottom"/>
                  <w:hideMark/>
                </w:tcPr>
                <w:p w14:paraId="5DE8841A"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−2.7</w:t>
                  </w:r>
                </w:p>
              </w:tc>
              <w:tc>
                <w:tcPr>
                  <w:tcW w:w="700" w:type="dxa"/>
                  <w:tcBorders>
                    <w:top w:val="nil"/>
                    <w:left w:val="nil"/>
                    <w:bottom w:val="nil"/>
                    <w:right w:val="nil"/>
                  </w:tcBorders>
                  <w:shd w:val="clear" w:color="auto" w:fill="auto"/>
                  <w:noWrap/>
                  <w:vAlign w:val="bottom"/>
                  <w:hideMark/>
                </w:tcPr>
                <w:p w14:paraId="3C20B888"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−4.7</w:t>
                  </w:r>
                </w:p>
              </w:tc>
            </w:tr>
          </w:tbl>
          <w:p w14:paraId="07962A8A" w14:textId="77777777" w:rsidR="00803507" w:rsidRPr="00884D55" w:rsidRDefault="00803507" w:rsidP="00803507">
            <w:pPr>
              <w:spacing w:after="0"/>
              <w:rPr>
                <w:spacing w:val="-4"/>
                <w:lang w:val="en-GB" w:eastAsia="en-US"/>
              </w:rPr>
            </w:pPr>
          </w:p>
        </w:tc>
      </w:tr>
      <w:tr w:rsidR="00803507" w:rsidRPr="00884D55" w14:paraId="3BBBB203" w14:textId="77777777" w:rsidTr="00803507">
        <w:trPr>
          <w:trHeight w:val="170"/>
        </w:trPr>
        <w:tc>
          <w:tcPr>
            <w:tcW w:w="4811" w:type="dxa"/>
            <w:gridSpan w:val="3"/>
            <w:hideMark/>
          </w:tcPr>
          <w:p w14:paraId="14C3F021" w14:textId="77777777" w:rsidR="00803507" w:rsidRPr="00884D55" w:rsidRDefault="00803507" w:rsidP="00803507">
            <w:pPr>
              <w:jc w:val="right"/>
              <w:rPr>
                <w:spacing w:val="-4"/>
                <w:sz w:val="16"/>
                <w:szCs w:val="16"/>
                <w:lang w:val="en-GB" w:eastAsia="en-US"/>
              </w:rPr>
            </w:pPr>
            <w:r w:rsidRPr="00884D55">
              <w:rPr>
                <w:spacing w:val="-4"/>
                <w:sz w:val="16"/>
                <w:szCs w:val="16"/>
                <w:lang w:val="en-GB" w:eastAsia="en-US"/>
              </w:rPr>
              <w:t>Source: CZSO</w:t>
            </w:r>
          </w:p>
        </w:tc>
        <w:tc>
          <w:tcPr>
            <w:tcW w:w="57" w:type="dxa"/>
          </w:tcPr>
          <w:p w14:paraId="3BDFD70A" w14:textId="77777777" w:rsidR="00803507" w:rsidRPr="00884D55" w:rsidRDefault="00803507" w:rsidP="00803507">
            <w:pPr>
              <w:spacing w:after="0"/>
              <w:rPr>
                <w:spacing w:val="-4"/>
                <w:lang w:val="en-GB" w:eastAsia="en-US"/>
              </w:rPr>
            </w:pPr>
          </w:p>
        </w:tc>
        <w:tc>
          <w:tcPr>
            <w:tcW w:w="4809" w:type="dxa"/>
            <w:hideMark/>
          </w:tcPr>
          <w:p w14:paraId="15496530" w14:textId="77777777" w:rsidR="00803507" w:rsidRPr="00884D55" w:rsidRDefault="00803507" w:rsidP="00803507">
            <w:pPr>
              <w:spacing w:after="0"/>
              <w:ind w:right="21"/>
              <w:jc w:val="right"/>
              <w:rPr>
                <w:spacing w:val="-4"/>
                <w:lang w:val="en-GB" w:eastAsia="en-US"/>
              </w:rPr>
            </w:pPr>
            <w:r w:rsidRPr="00884D55">
              <w:rPr>
                <w:spacing w:val="-4"/>
                <w:sz w:val="16"/>
                <w:szCs w:val="16"/>
                <w:lang w:val="en-GB" w:eastAsia="en-US"/>
              </w:rPr>
              <w:t>Source: CZSO</w:t>
            </w:r>
          </w:p>
        </w:tc>
      </w:tr>
      <w:tr w:rsidR="00802430" w:rsidRPr="00884D55" w14:paraId="044DBB41" w14:textId="77777777" w:rsidTr="00803507">
        <w:trPr>
          <w:trHeight w:val="145"/>
        </w:trPr>
        <w:tc>
          <w:tcPr>
            <w:tcW w:w="1748" w:type="dxa"/>
          </w:tcPr>
          <w:p w14:paraId="4B269E27" w14:textId="516258C6" w:rsidR="00802430" w:rsidRPr="00884D55" w:rsidRDefault="00802430" w:rsidP="00802430">
            <w:pPr>
              <w:pStyle w:val="Marginlie"/>
              <w:rPr>
                <w:lang w:val="en-GB" w:eastAsia="en-US"/>
              </w:rPr>
            </w:pPr>
            <w:r w:rsidRPr="00884D55">
              <w:rPr>
                <w:lang w:val="en-GB" w:eastAsia="en-US"/>
              </w:rPr>
              <w:t xml:space="preserve">…however, their exports increased only slightly in Q4 itself. </w:t>
            </w:r>
          </w:p>
        </w:tc>
        <w:tc>
          <w:tcPr>
            <w:tcW w:w="252" w:type="dxa"/>
          </w:tcPr>
          <w:p w14:paraId="238E0B1F" w14:textId="77777777" w:rsidR="00802430" w:rsidRPr="00884D55" w:rsidRDefault="00802430" w:rsidP="00802430">
            <w:pPr>
              <w:pStyle w:val="Textpoznpodarou"/>
              <w:jc w:val="both"/>
              <w:rPr>
                <w:spacing w:val="-4"/>
                <w:lang w:val="en-GB" w:eastAsia="en-US"/>
              </w:rPr>
            </w:pPr>
          </w:p>
        </w:tc>
        <w:tc>
          <w:tcPr>
            <w:tcW w:w="7677" w:type="dxa"/>
            <w:gridSpan w:val="3"/>
          </w:tcPr>
          <w:p w14:paraId="1B4D6CA5" w14:textId="504064A8" w:rsidR="00802430" w:rsidRPr="00884D55" w:rsidRDefault="00802430" w:rsidP="00802430">
            <w:pPr>
              <w:spacing w:after="180"/>
              <w:rPr>
                <w:spacing w:val="-4"/>
                <w:lang w:val="en-GB" w:eastAsia="en-US"/>
              </w:rPr>
            </w:pPr>
            <w:r w:rsidRPr="00884D55">
              <w:rPr>
                <w:spacing w:val="-4"/>
                <w:lang w:val="en-GB" w:eastAsia="en-US"/>
              </w:rPr>
              <w:t xml:space="preserve">The growth of exports of motor vehicles, which contributed the most to the total increase of exports in the first three quarters of the year, weakened significantly in Q4. The exports of computers, electronic and optical appliances (see Table 1), electrical equipment, electricity, gas, steam and air conditioning, and food products grew the most at the end of the year. Exports of a minority of product types declined, mostly machinery and equipment, and coke and refined petroleum products. </w:t>
            </w:r>
          </w:p>
        </w:tc>
      </w:tr>
      <w:tr w:rsidR="00802430" w:rsidRPr="00884D55" w14:paraId="35A6541C" w14:textId="77777777" w:rsidTr="00803507">
        <w:trPr>
          <w:trHeight w:val="145"/>
        </w:trPr>
        <w:tc>
          <w:tcPr>
            <w:tcW w:w="1748" w:type="dxa"/>
            <w:hideMark/>
          </w:tcPr>
          <w:p w14:paraId="2AA8F32F" w14:textId="77777777" w:rsidR="00802430" w:rsidRPr="00884D55" w:rsidRDefault="00802430" w:rsidP="00802430">
            <w:pPr>
              <w:pStyle w:val="Marginlie"/>
              <w:rPr>
                <w:lang w:val="en-GB" w:eastAsia="en-US"/>
              </w:rPr>
            </w:pPr>
            <w:r w:rsidRPr="00884D55">
              <w:rPr>
                <w:lang w:val="en-GB" w:eastAsia="en-US"/>
              </w:rPr>
              <w:t xml:space="preserve">Imports increased moderately last year. </w:t>
            </w:r>
          </w:p>
        </w:tc>
        <w:tc>
          <w:tcPr>
            <w:tcW w:w="252" w:type="dxa"/>
          </w:tcPr>
          <w:p w14:paraId="2E86209A" w14:textId="77777777" w:rsidR="00802430" w:rsidRPr="00884D55" w:rsidRDefault="00802430" w:rsidP="00802430">
            <w:pPr>
              <w:pStyle w:val="Textpoznpodarou"/>
              <w:jc w:val="both"/>
              <w:rPr>
                <w:spacing w:val="-4"/>
                <w:lang w:val="en-GB" w:eastAsia="en-US"/>
              </w:rPr>
            </w:pPr>
          </w:p>
        </w:tc>
        <w:tc>
          <w:tcPr>
            <w:tcW w:w="7677" w:type="dxa"/>
            <w:gridSpan w:val="3"/>
            <w:hideMark/>
          </w:tcPr>
          <w:p w14:paraId="6A9D7535" w14:textId="77777777" w:rsidR="00802430" w:rsidRPr="00884D55" w:rsidRDefault="00802430" w:rsidP="00802430">
            <w:pPr>
              <w:spacing w:after="180"/>
              <w:rPr>
                <w:spacing w:val="-4"/>
                <w:lang w:val="en-GB" w:eastAsia="en-US"/>
              </w:rPr>
            </w:pPr>
            <w:bookmarkStart w:id="58" w:name="_Hlk194851749"/>
            <w:r w:rsidRPr="00884D55">
              <w:rPr>
                <w:spacing w:val="-4"/>
                <w:lang w:val="en-GB" w:eastAsia="en-US"/>
              </w:rPr>
              <w:t>The total value of goods imports increased by 101.2 bn CZK (2.3%) last year and reached 4,421.1 bn CZK. Import prices rose more moderately than export prices</w:t>
            </w:r>
            <w:r w:rsidRPr="00884D55">
              <w:rPr>
                <w:rStyle w:val="Znakapoznpodarou"/>
                <w:spacing w:val="-4"/>
                <w:lang w:val="en-GB" w:eastAsia="en-US"/>
              </w:rPr>
              <w:footnoteReference w:id="74"/>
            </w:r>
            <w:r w:rsidRPr="00884D55">
              <w:rPr>
                <w:spacing w:val="-4"/>
                <w:lang w:val="en-GB" w:eastAsia="en-US"/>
              </w:rPr>
              <w:t xml:space="preserve">. The year-on-year growth of imports was stronger in the second half of the year (−4.0%, 1.4%, 7.5% and 5.0% in Q1 through Q4). The value of goods imports increased by 54.2 bn CZK, year-on-year, to 1,140.4 bn CZK in Q4. The increase of imports was thus higher in nominal terms than the increase of exports at the end of the year, reflecting, among other things, the revived consumer demand amid a simultaneous downturn in export-oriented industry. According to seasonally adjusted data, imports increased by 0.7% in Q4, quarter-on-quarter.  </w:t>
            </w:r>
            <w:bookmarkEnd w:id="58"/>
          </w:p>
        </w:tc>
      </w:tr>
      <w:tr w:rsidR="00802430" w:rsidRPr="00884D55" w14:paraId="69F01AC6" w14:textId="77777777" w:rsidTr="00803507">
        <w:trPr>
          <w:trHeight w:val="145"/>
        </w:trPr>
        <w:tc>
          <w:tcPr>
            <w:tcW w:w="1748" w:type="dxa"/>
          </w:tcPr>
          <w:p w14:paraId="48F5988D" w14:textId="77777777" w:rsidR="00802430" w:rsidRPr="00884D55" w:rsidRDefault="00802430" w:rsidP="00802430">
            <w:pPr>
              <w:pStyle w:val="Marginlie"/>
              <w:rPr>
                <w:lang w:val="en-GB" w:eastAsia="en-US"/>
              </w:rPr>
            </w:pPr>
            <w:r w:rsidRPr="00884D55">
              <w:rPr>
                <w:lang w:val="en-GB" w:eastAsia="en-US"/>
              </w:rPr>
              <w:t xml:space="preserve">Import from the EU grew more. </w:t>
            </w:r>
          </w:p>
        </w:tc>
        <w:tc>
          <w:tcPr>
            <w:tcW w:w="252" w:type="dxa"/>
          </w:tcPr>
          <w:p w14:paraId="10EA4606" w14:textId="77777777" w:rsidR="00802430" w:rsidRPr="00884D55" w:rsidRDefault="00802430" w:rsidP="00802430">
            <w:pPr>
              <w:pStyle w:val="Textpoznpodarou"/>
              <w:jc w:val="both"/>
              <w:rPr>
                <w:spacing w:val="-4"/>
                <w:lang w:val="en-GB" w:eastAsia="en-US"/>
              </w:rPr>
            </w:pPr>
          </w:p>
        </w:tc>
        <w:tc>
          <w:tcPr>
            <w:tcW w:w="7677" w:type="dxa"/>
            <w:gridSpan w:val="3"/>
          </w:tcPr>
          <w:p w14:paraId="068CFDC5" w14:textId="77777777" w:rsidR="00802430" w:rsidRPr="00884D55" w:rsidRDefault="00802430" w:rsidP="00802430">
            <w:pPr>
              <w:spacing w:after="180"/>
              <w:rPr>
                <w:spacing w:val="-4"/>
                <w:lang w:val="en-GB" w:eastAsia="en-US"/>
              </w:rPr>
            </w:pPr>
            <w:bookmarkStart w:id="59" w:name="_Hlk194864327"/>
            <w:r w:rsidRPr="00884D55">
              <w:rPr>
                <w:spacing w:val="-4"/>
                <w:lang w:val="en-GB" w:eastAsia="en-US"/>
              </w:rPr>
              <w:t>The relatively modest total increase of imports was largely supported by imports from the EU last year (+74.7 bn CZK, 2.8%). Imports from non-EU countries grew slower (+26.2 bn, 1.6%). Imports from Poland (+29.1 bn CZK, 7.5%), Taiwan (+14.7 bn CZK, 50.0%)</w:t>
            </w:r>
            <w:r w:rsidRPr="00884D55">
              <w:rPr>
                <w:rStyle w:val="Znakapoznpodarou"/>
                <w:spacing w:val="-4"/>
                <w:lang w:val="en-GB" w:eastAsia="en-US"/>
              </w:rPr>
              <w:footnoteReference w:id="75"/>
            </w:r>
            <w:r w:rsidRPr="00884D55">
              <w:rPr>
                <w:spacing w:val="-4"/>
                <w:lang w:val="en-GB" w:eastAsia="en-US"/>
              </w:rPr>
              <w:t xml:space="preserve">, Germany (+13.8 bn CZK, 1.4%), China (+12.3 bn CZK, 2.3%), Slovakia (+11.7 bn, 5.2%) and Azerbaijan (+9.9 bn, 33.3%) increased the most. Norway (−30.9 bn CZK −35.9%), where the result was affected by a decrease in natural gas prices, and the United Kingdom (−10.2 bn, −13.2%) dominated among the countries from which imports were lower, year-on-year. Significant percentage changes regarding imports were also recorded in Bulgaria (+5.6 bn CZK, 25.7%), South Africa (−5.2 bn, −31.3%) and Hong Kong (+0.4 bn, 23.3%). Imports from the EU increased by 33.0 bn CZK (4.9%) in Q4 alone and from non-EU countries by 21.6 bn CZK (5.3%). Imports from China grew the most (see Table 4), followed by a significant increase for Poland and Slovakia. Germany, Russia, Bulgaria, Italy or Austria still feature the more significant additions. A large drop was recorded for imports from Norway. </w:t>
            </w:r>
            <w:bookmarkEnd w:id="59"/>
          </w:p>
        </w:tc>
      </w:tr>
      <w:tr w:rsidR="00802430" w:rsidRPr="00884D55" w14:paraId="0700EBE4" w14:textId="77777777" w:rsidTr="00803507">
        <w:trPr>
          <w:trHeight w:val="170"/>
        </w:trPr>
        <w:tc>
          <w:tcPr>
            <w:tcW w:w="4811" w:type="dxa"/>
            <w:gridSpan w:val="3"/>
            <w:hideMark/>
          </w:tcPr>
          <w:p w14:paraId="3B3FFE37" w14:textId="77777777" w:rsidR="00802430" w:rsidRPr="00884D55" w:rsidRDefault="00802430" w:rsidP="00802430">
            <w:pPr>
              <w:spacing w:after="0"/>
              <w:jc w:val="left"/>
              <w:rPr>
                <w:spacing w:val="-4"/>
                <w:lang w:val="en-GB" w:eastAsia="en-US"/>
              </w:rPr>
            </w:pPr>
            <w:r w:rsidRPr="00884D55">
              <w:rPr>
                <w:rFonts w:cs="Arial"/>
                <w:b/>
                <w:bCs/>
                <w:color w:val="000000"/>
                <w:sz w:val="18"/>
                <w:szCs w:val="18"/>
                <w:lang w:val="en-GB" w:eastAsia="en-US"/>
              </w:rPr>
              <w:t xml:space="preserve">Table 3 Sections of CPA classification with highest impact on goods imports development in Q4 2024 </w:t>
            </w:r>
            <w:r w:rsidRPr="00884D55">
              <w:rPr>
                <w:rFonts w:cs="Arial"/>
                <w:color w:val="000000"/>
                <w:sz w:val="18"/>
                <w:szCs w:val="18"/>
                <w:lang w:val="en-GB" w:eastAsia="en-US"/>
              </w:rPr>
              <w:t>(year-on-year)</w:t>
            </w:r>
          </w:p>
        </w:tc>
        <w:tc>
          <w:tcPr>
            <w:tcW w:w="57" w:type="dxa"/>
          </w:tcPr>
          <w:p w14:paraId="2108471E" w14:textId="77777777" w:rsidR="00802430" w:rsidRPr="00884D55" w:rsidRDefault="00802430" w:rsidP="00802430">
            <w:pPr>
              <w:spacing w:after="0"/>
              <w:rPr>
                <w:spacing w:val="-4"/>
                <w:lang w:val="en-GB" w:eastAsia="en-US"/>
              </w:rPr>
            </w:pPr>
          </w:p>
        </w:tc>
        <w:tc>
          <w:tcPr>
            <w:tcW w:w="4809" w:type="dxa"/>
            <w:hideMark/>
          </w:tcPr>
          <w:p w14:paraId="559D1A25" w14:textId="77777777" w:rsidR="00802430" w:rsidRPr="00884D55" w:rsidRDefault="00802430" w:rsidP="00802430">
            <w:pPr>
              <w:spacing w:after="0"/>
              <w:jc w:val="left"/>
              <w:rPr>
                <w:spacing w:val="-4"/>
                <w:sz w:val="18"/>
                <w:szCs w:val="18"/>
                <w:lang w:val="en-GB" w:eastAsia="en-US"/>
              </w:rPr>
            </w:pPr>
            <w:r w:rsidRPr="00884D55">
              <w:rPr>
                <w:rFonts w:cs="Arial"/>
                <w:b/>
                <w:bCs/>
                <w:color w:val="000000"/>
                <w:sz w:val="18"/>
                <w:szCs w:val="18"/>
                <w:lang w:val="en-GB" w:eastAsia="en-US"/>
              </w:rPr>
              <w:t xml:space="preserve">Table 4 Countries with largest impact on imports of goods in Q4 2024 </w:t>
            </w:r>
            <w:r w:rsidRPr="00884D55">
              <w:rPr>
                <w:rFonts w:cs="Arial"/>
                <w:color w:val="000000"/>
                <w:sz w:val="18"/>
                <w:szCs w:val="18"/>
                <w:lang w:val="en-GB" w:eastAsia="en-US"/>
              </w:rPr>
              <w:t>(year-on-year)</w:t>
            </w:r>
            <w:r w:rsidRPr="00884D55">
              <w:rPr>
                <w:rFonts w:cs="Arial"/>
                <w:b/>
                <w:bCs/>
                <w:color w:val="000000"/>
                <w:sz w:val="18"/>
                <w:szCs w:val="18"/>
                <w:lang w:val="en-GB" w:eastAsia="en-US"/>
              </w:rPr>
              <w:t xml:space="preserve"> </w:t>
            </w:r>
          </w:p>
        </w:tc>
      </w:tr>
      <w:tr w:rsidR="00802430" w:rsidRPr="00884D55" w14:paraId="027E9B7B" w14:textId="77777777" w:rsidTr="00803507">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802430" w:rsidRPr="00884D55" w14:paraId="1A696308" w14:textId="77777777" w:rsidTr="00803507">
              <w:trPr>
                <w:trHeight w:val="255"/>
              </w:trPr>
              <w:tc>
                <w:tcPr>
                  <w:tcW w:w="3417" w:type="dxa"/>
                  <w:tcBorders>
                    <w:top w:val="nil"/>
                    <w:left w:val="nil"/>
                    <w:bottom w:val="single" w:sz="4" w:space="0" w:color="auto"/>
                    <w:right w:val="nil"/>
                  </w:tcBorders>
                  <w:shd w:val="clear" w:color="auto" w:fill="auto"/>
                  <w:noWrap/>
                  <w:vAlign w:val="bottom"/>
                  <w:hideMark/>
                </w:tcPr>
                <w:p w14:paraId="49663343"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 </w:t>
                  </w:r>
                </w:p>
              </w:tc>
              <w:tc>
                <w:tcPr>
                  <w:tcW w:w="700" w:type="dxa"/>
                  <w:tcBorders>
                    <w:top w:val="nil"/>
                    <w:left w:val="nil"/>
                    <w:bottom w:val="single" w:sz="4" w:space="0" w:color="auto"/>
                    <w:right w:val="nil"/>
                  </w:tcBorders>
                  <w:shd w:val="clear" w:color="auto" w:fill="auto"/>
                  <w:noWrap/>
                  <w:vAlign w:val="bottom"/>
                  <w:hideMark/>
                </w:tcPr>
                <w:p w14:paraId="70C97C56"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bn CZK</w:t>
                  </w:r>
                </w:p>
              </w:tc>
              <w:tc>
                <w:tcPr>
                  <w:tcW w:w="700" w:type="dxa"/>
                  <w:tcBorders>
                    <w:top w:val="nil"/>
                    <w:left w:val="nil"/>
                    <w:bottom w:val="single" w:sz="4" w:space="0" w:color="auto"/>
                    <w:right w:val="nil"/>
                  </w:tcBorders>
                  <w:shd w:val="clear" w:color="auto" w:fill="auto"/>
                  <w:noWrap/>
                  <w:vAlign w:val="bottom"/>
                  <w:hideMark/>
                </w:tcPr>
                <w:p w14:paraId="7CB3D7C4"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w:t>
                  </w:r>
                </w:p>
              </w:tc>
            </w:tr>
            <w:tr w:rsidR="00802430" w:rsidRPr="00884D55" w14:paraId="50F6EAAE" w14:textId="77777777" w:rsidTr="00803507">
              <w:trPr>
                <w:trHeight w:val="255"/>
              </w:trPr>
              <w:tc>
                <w:tcPr>
                  <w:tcW w:w="3417" w:type="dxa"/>
                  <w:tcBorders>
                    <w:top w:val="nil"/>
                    <w:left w:val="nil"/>
                    <w:bottom w:val="nil"/>
                    <w:right w:val="nil"/>
                  </w:tcBorders>
                  <w:shd w:val="clear" w:color="auto" w:fill="auto"/>
                  <w:noWrap/>
                  <w:vAlign w:val="bottom"/>
                  <w:hideMark/>
                </w:tcPr>
                <w:p w14:paraId="5808E1E0"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Computers, electr. and opt. appliances and equipment</w:t>
                  </w:r>
                </w:p>
              </w:tc>
              <w:tc>
                <w:tcPr>
                  <w:tcW w:w="700" w:type="dxa"/>
                  <w:tcBorders>
                    <w:top w:val="nil"/>
                    <w:left w:val="nil"/>
                    <w:bottom w:val="nil"/>
                    <w:right w:val="nil"/>
                  </w:tcBorders>
                  <w:shd w:val="clear" w:color="auto" w:fill="auto"/>
                  <w:noWrap/>
                  <w:vAlign w:val="bottom"/>
                  <w:hideMark/>
                </w:tcPr>
                <w:p w14:paraId="67CE4283"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+17.9</w:t>
                  </w:r>
                </w:p>
              </w:tc>
              <w:tc>
                <w:tcPr>
                  <w:tcW w:w="700" w:type="dxa"/>
                  <w:tcBorders>
                    <w:top w:val="nil"/>
                    <w:left w:val="nil"/>
                    <w:bottom w:val="nil"/>
                    <w:right w:val="nil"/>
                  </w:tcBorders>
                  <w:shd w:val="clear" w:color="auto" w:fill="auto"/>
                  <w:noWrap/>
                  <w:vAlign w:val="bottom"/>
                  <w:hideMark/>
                </w:tcPr>
                <w:p w14:paraId="6EDA8A42"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+14.4</w:t>
                  </w:r>
                </w:p>
              </w:tc>
            </w:tr>
            <w:tr w:rsidR="00802430" w:rsidRPr="00884D55" w14:paraId="49A81BD5" w14:textId="77777777" w:rsidTr="00803507">
              <w:trPr>
                <w:trHeight w:val="255"/>
              </w:trPr>
              <w:tc>
                <w:tcPr>
                  <w:tcW w:w="3417" w:type="dxa"/>
                  <w:tcBorders>
                    <w:top w:val="nil"/>
                    <w:left w:val="nil"/>
                    <w:bottom w:val="nil"/>
                    <w:right w:val="nil"/>
                  </w:tcBorders>
                  <w:shd w:val="clear" w:color="auto" w:fill="auto"/>
                  <w:noWrap/>
                  <w:vAlign w:val="bottom"/>
                  <w:hideMark/>
                </w:tcPr>
                <w:p w14:paraId="2B95F3D9"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Metalworking products except for machinery and equipment</w:t>
                  </w:r>
                </w:p>
              </w:tc>
              <w:tc>
                <w:tcPr>
                  <w:tcW w:w="700" w:type="dxa"/>
                  <w:tcBorders>
                    <w:top w:val="nil"/>
                    <w:left w:val="nil"/>
                    <w:bottom w:val="nil"/>
                    <w:right w:val="nil"/>
                  </w:tcBorders>
                  <w:shd w:val="clear" w:color="auto" w:fill="auto"/>
                  <w:noWrap/>
                  <w:vAlign w:val="bottom"/>
                  <w:hideMark/>
                </w:tcPr>
                <w:p w14:paraId="32B88F1E"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+16.0</w:t>
                  </w:r>
                </w:p>
              </w:tc>
              <w:tc>
                <w:tcPr>
                  <w:tcW w:w="700" w:type="dxa"/>
                  <w:tcBorders>
                    <w:top w:val="nil"/>
                    <w:left w:val="nil"/>
                    <w:bottom w:val="nil"/>
                    <w:right w:val="nil"/>
                  </w:tcBorders>
                  <w:shd w:val="clear" w:color="auto" w:fill="auto"/>
                  <w:noWrap/>
                  <w:vAlign w:val="bottom"/>
                  <w:hideMark/>
                </w:tcPr>
                <w:p w14:paraId="6D575015"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+32.7</w:t>
                  </w:r>
                </w:p>
              </w:tc>
            </w:tr>
            <w:tr w:rsidR="00802430" w:rsidRPr="00884D55" w14:paraId="116D078E" w14:textId="77777777" w:rsidTr="00803507">
              <w:trPr>
                <w:trHeight w:val="255"/>
              </w:trPr>
              <w:tc>
                <w:tcPr>
                  <w:tcW w:w="3417" w:type="dxa"/>
                  <w:tcBorders>
                    <w:top w:val="nil"/>
                    <w:left w:val="nil"/>
                    <w:bottom w:val="nil"/>
                    <w:right w:val="nil"/>
                  </w:tcBorders>
                  <w:shd w:val="clear" w:color="auto" w:fill="auto"/>
                  <w:noWrap/>
                  <w:vAlign w:val="bottom"/>
                  <w:hideMark/>
                </w:tcPr>
                <w:p w14:paraId="51408AED"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Food products</w:t>
                  </w:r>
                </w:p>
              </w:tc>
              <w:tc>
                <w:tcPr>
                  <w:tcW w:w="700" w:type="dxa"/>
                  <w:tcBorders>
                    <w:top w:val="nil"/>
                    <w:left w:val="nil"/>
                    <w:bottom w:val="nil"/>
                    <w:right w:val="nil"/>
                  </w:tcBorders>
                  <w:shd w:val="clear" w:color="auto" w:fill="auto"/>
                  <w:noWrap/>
                  <w:vAlign w:val="bottom"/>
                  <w:hideMark/>
                </w:tcPr>
                <w:p w14:paraId="341E8A0E"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+7.6</w:t>
                  </w:r>
                </w:p>
              </w:tc>
              <w:tc>
                <w:tcPr>
                  <w:tcW w:w="700" w:type="dxa"/>
                  <w:tcBorders>
                    <w:top w:val="nil"/>
                    <w:left w:val="nil"/>
                    <w:bottom w:val="nil"/>
                    <w:right w:val="nil"/>
                  </w:tcBorders>
                  <w:shd w:val="clear" w:color="auto" w:fill="auto"/>
                  <w:noWrap/>
                  <w:vAlign w:val="bottom"/>
                  <w:hideMark/>
                </w:tcPr>
                <w:p w14:paraId="12A2FA6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+12.9</w:t>
                  </w:r>
                </w:p>
              </w:tc>
            </w:tr>
            <w:tr w:rsidR="00802430" w:rsidRPr="00884D55" w14:paraId="2A61DB89" w14:textId="77777777" w:rsidTr="00803507">
              <w:trPr>
                <w:trHeight w:val="255"/>
              </w:trPr>
              <w:tc>
                <w:tcPr>
                  <w:tcW w:w="3417" w:type="dxa"/>
                  <w:tcBorders>
                    <w:top w:val="nil"/>
                    <w:left w:val="nil"/>
                    <w:bottom w:val="nil"/>
                    <w:right w:val="nil"/>
                  </w:tcBorders>
                  <w:shd w:val="clear" w:color="auto" w:fill="auto"/>
                  <w:noWrap/>
                  <w:vAlign w:val="bottom"/>
                  <w:hideMark/>
                </w:tcPr>
                <w:p w14:paraId="1EC786AA"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Basic metals</w:t>
                  </w:r>
                </w:p>
              </w:tc>
              <w:tc>
                <w:tcPr>
                  <w:tcW w:w="700" w:type="dxa"/>
                  <w:tcBorders>
                    <w:top w:val="nil"/>
                    <w:left w:val="nil"/>
                    <w:bottom w:val="nil"/>
                    <w:right w:val="nil"/>
                  </w:tcBorders>
                  <w:shd w:val="clear" w:color="auto" w:fill="auto"/>
                  <w:noWrap/>
                  <w:vAlign w:val="bottom"/>
                  <w:hideMark/>
                </w:tcPr>
                <w:p w14:paraId="6785E473"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+4.9</w:t>
                  </w:r>
                </w:p>
              </w:tc>
              <w:tc>
                <w:tcPr>
                  <w:tcW w:w="700" w:type="dxa"/>
                  <w:tcBorders>
                    <w:top w:val="nil"/>
                    <w:left w:val="nil"/>
                    <w:bottom w:val="nil"/>
                    <w:right w:val="nil"/>
                  </w:tcBorders>
                  <w:shd w:val="clear" w:color="auto" w:fill="auto"/>
                  <w:noWrap/>
                  <w:vAlign w:val="bottom"/>
                  <w:hideMark/>
                </w:tcPr>
                <w:p w14:paraId="1699EE91"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+6.9</w:t>
                  </w:r>
                </w:p>
              </w:tc>
            </w:tr>
            <w:tr w:rsidR="00802430" w:rsidRPr="00884D55" w14:paraId="632A841A" w14:textId="77777777" w:rsidTr="00803507">
              <w:trPr>
                <w:trHeight w:val="255"/>
              </w:trPr>
              <w:tc>
                <w:tcPr>
                  <w:tcW w:w="3417" w:type="dxa"/>
                  <w:tcBorders>
                    <w:top w:val="nil"/>
                    <w:left w:val="nil"/>
                    <w:bottom w:val="nil"/>
                    <w:right w:val="nil"/>
                  </w:tcBorders>
                  <w:shd w:val="clear" w:color="auto" w:fill="auto"/>
                  <w:noWrap/>
                  <w:vAlign w:val="bottom"/>
                  <w:hideMark/>
                </w:tcPr>
                <w:p w14:paraId="072FECB7"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Electric equipment</w:t>
                  </w:r>
                </w:p>
              </w:tc>
              <w:tc>
                <w:tcPr>
                  <w:tcW w:w="700" w:type="dxa"/>
                  <w:tcBorders>
                    <w:top w:val="nil"/>
                    <w:left w:val="nil"/>
                    <w:bottom w:val="nil"/>
                    <w:right w:val="nil"/>
                  </w:tcBorders>
                  <w:shd w:val="clear" w:color="auto" w:fill="auto"/>
                  <w:noWrap/>
                  <w:vAlign w:val="bottom"/>
                  <w:hideMark/>
                </w:tcPr>
                <w:p w14:paraId="5498E911"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+4.7</w:t>
                  </w:r>
                </w:p>
              </w:tc>
              <w:tc>
                <w:tcPr>
                  <w:tcW w:w="700" w:type="dxa"/>
                  <w:tcBorders>
                    <w:top w:val="nil"/>
                    <w:left w:val="nil"/>
                    <w:bottom w:val="nil"/>
                    <w:right w:val="nil"/>
                  </w:tcBorders>
                  <w:shd w:val="clear" w:color="auto" w:fill="auto"/>
                  <w:noWrap/>
                  <w:vAlign w:val="bottom"/>
                  <w:hideMark/>
                </w:tcPr>
                <w:p w14:paraId="0932210C"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+4.4</w:t>
                  </w:r>
                </w:p>
              </w:tc>
            </w:tr>
            <w:tr w:rsidR="00802430" w:rsidRPr="00884D55" w14:paraId="46F5ADF1" w14:textId="77777777" w:rsidTr="00803507">
              <w:trPr>
                <w:trHeight w:val="255"/>
              </w:trPr>
              <w:tc>
                <w:tcPr>
                  <w:tcW w:w="3417" w:type="dxa"/>
                  <w:tcBorders>
                    <w:top w:val="nil"/>
                    <w:left w:val="nil"/>
                    <w:bottom w:val="nil"/>
                    <w:right w:val="nil"/>
                  </w:tcBorders>
                  <w:shd w:val="clear" w:color="auto" w:fill="auto"/>
                  <w:noWrap/>
                  <w:vAlign w:val="bottom"/>
                  <w:hideMark/>
                </w:tcPr>
                <w:p w14:paraId="711AC2DE"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Electricity, gas, steam and air conditioning</w:t>
                  </w:r>
                </w:p>
              </w:tc>
              <w:tc>
                <w:tcPr>
                  <w:tcW w:w="700" w:type="dxa"/>
                  <w:tcBorders>
                    <w:top w:val="nil"/>
                    <w:left w:val="nil"/>
                    <w:bottom w:val="nil"/>
                    <w:right w:val="nil"/>
                  </w:tcBorders>
                  <w:shd w:val="clear" w:color="auto" w:fill="auto"/>
                  <w:noWrap/>
                  <w:vAlign w:val="bottom"/>
                  <w:hideMark/>
                </w:tcPr>
                <w:p w14:paraId="2AB2AE4B"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+3.4</w:t>
                  </w:r>
                </w:p>
              </w:tc>
              <w:tc>
                <w:tcPr>
                  <w:tcW w:w="700" w:type="dxa"/>
                  <w:tcBorders>
                    <w:top w:val="nil"/>
                    <w:left w:val="nil"/>
                    <w:bottom w:val="nil"/>
                    <w:right w:val="nil"/>
                  </w:tcBorders>
                  <w:shd w:val="clear" w:color="auto" w:fill="auto"/>
                  <w:noWrap/>
                  <w:vAlign w:val="bottom"/>
                  <w:hideMark/>
                </w:tcPr>
                <w:p w14:paraId="23D53F9A"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+64.8</w:t>
                  </w:r>
                </w:p>
              </w:tc>
            </w:tr>
            <w:tr w:rsidR="00802430" w:rsidRPr="00884D55" w14:paraId="417D6F4A" w14:textId="77777777" w:rsidTr="00803507">
              <w:trPr>
                <w:trHeight w:val="255"/>
              </w:trPr>
              <w:tc>
                <w:tcPr>
                  <w:tcW w:w="3417" w:type="dxa"/>
                  <w:tcBorders>
                    <w:top w:val="nil"/>
                    <w:left w:val="nil"/>
                    <w:bottom w:val="nil"/>
                    <w:right w:val="nil"/>
                  </w:tcBorders>
                  <w:shd w:val="clear" w:color="auto" w:fill="auto"/>
                  <w:noWrap/>
                  <w:vAlign w:val="bottom"/>
                  <w:hideMark/>
                </w:tcPr>
                <w:p w14:paraId="5A1EDCD4"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Other products of manufacturing</w:t>
                  </w:r>
                </w:p>
              </w:tc>
              <w:tc>
                <w:tcPr>
                  <w:tcW w:w="700" w:type="dxa"/>
                  <w:tcBorders>
                    <w:top w:val="nil"/>
                    <w:left w:val="nil"/>
                    <w:bottom w:val="nil"/>
                    <w:right w:val="nil"/>
                  </w:tcBorders>
                  <w:shd w:val="clear" w:color="auto" w:fill="auto"/>
                  <w:noWrap/>
                  <w:vAlign w:val="bottom"/>
                  <w:hideMark/>
                </w:tcPr>
                <w:p w14:paraId="6D0A888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+2.8</w:t>
                  </w:r>
                </w:p>
              </w:tc>
              <w:tc>
                <w:tcPr>
                  <w:tcW w:w="700" w:type="dxa"/>
                  <w:tcBorders>
                    <w:top w:val="nil"/>
                    <w:left w:val="nil"/>
                    <w:bottom w:val="nil"/>
                    <w:right w:val="nil"/>
                  </w:tcBorders>
                  <w:shd w:val="clear" w:color="auto" w:fill="auto"/>
                  <w:noWrap/>
                  <w:vAlign w:val="bottom"/>
                  <w:hideMark/>
                </w:tcPr>
                <w:p w14:paraId="4824A93D"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+11.2</w:t>
                  </w:r>
                </w:p>
              </w:tc>
            </w:tr>
            <w:tr w:rsidR="00802430" w:rsidRPr="00884D55" w14:paraId="29911A37" w14:textId="77777777" w:rsidTr="00803507">
              <w:trPr>
                <w:trHeight w:val="255"/>
              </w:trPr>
              <w:tc>
                <w:tcPr>
                  <w:tcW w:w="3417" w:type="dxa"/>
                  <w:tcBorders>
                    <w:top w:val="nil"/>
                    <w:left w:val="nil"/>
                    <w:bottom w:val="nil"/>
                    <w:right w:val="nil"/>
                  </w:tcBorders>
                  <w:shd w:val="clear" w:color="auto" w:fill="auto"/>
                  <w:noWrap/>
                  <w:vAlign w:val="bottom"/>
                  <w:hideMark/>
                </w:tcPr>
                <w:p w14:paraId="04233377"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Agricultural and gamekeeping products</w:t>
                  </w:r>
                </w:p>
              </w:tc>
              <w:tc>
                <w:tcPr>
                  <w:tcW w:w="700" w:type="dxa"/>
                  <w:tcBorders>
                    <w:top w:val="nil"/>
                    <w:left w:val="nil"/>
                    <w:bottom w:val="nil"/>
                    <w:right w:val="nil"/>
                  </w:tcBorders>
                  <w:shd w:val="clear" w:color="auto" w:fill="auto"/>
                  <w:noWrap/>
                  <w:vAlign w:val="bottom"/>
                  <w:hideMark/>
                </w:tcPr>
                <w:p w14:paraId="557A1DF1"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+2.5</w:t>
                  </w:r>
                </w:p>
              </w:tc>
              <w:tc>
                <w:tcPr>
                  <w:tcW w:w="700" w:type="dxa"/>
                  <w:tcBorders>
                    <w:top w:val="nil"/>
                    <w:left w:val="nil"/>
                    <w:bottom w:val="nil"/>
                    <w:right w:val="nil"/>
                  </w:tcBorders>
                  <w:shd w:val="clear" w:color="auto" w:fill="auto"/>
                  <w:noWrap/>
                  <w:vAlign w:val="bottom"/>
                  <w:hideMark/>
                </w:tcPr>
                <w:p w14:paraId="48DB8BDB"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+15.8</w:t>
                  </w:r>
                </w:p>
              </w:tc>
            </w:tr>
            <w:tr w:rsidR="00802430" w:rsidRPr="00884D55" w14:paraId="6FF13E44" w14:textId="77777777" w:rsidTr="00803507">
              <w:trPr>
                <w:trHeight w:val="255"/>
              </w:trPr>
              <w:tc>
                <w:tcPr>
                  <w:tcW w:w="3417" w:type="dxa"/>
                  <w:tcBorders>
                    <w:top w:val="nil"/>
                    <w:left w:val="nil"/>
                    <w:bottom w:val="nil"/>
                    <w:right w:val="nil"/>
                  </w:tcBorders>
                  <w:shd w:val="clear" w:color="auto" w:fill="auto"/>
                  <w:noWrap/>
                  <w:vAlign w:val="bottom"/>
                  <w:hideMark/>
                </w:tcPr>
                <w:p w14:paraId="3EA778A9"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Tobacco products</w:t>
                  </w:r>
                </w:p>
              </w:tc>
              <w:tc>
                <w:tcPr>
                  <w:tcW w:w="700" w:type="dxa"/>
                  <w:tcBorders>
                    <w:top w:val="nil"/>
                    <w:left w:val="nil"/>
                    <w:bottom w:val="nil"/>
                    <w:right w:val="nil"/>
                  </w:tcBorders>
                  <w:shd w:val="clear" w:color="auto" w:fill="auto"/>
                  <w:noWrap/>
                  <w:vAlign w:val="bottom"/>
                  <w:hideMark/>
                </w:tcPr>
                <w:p w14:paraId="39CCCC94"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+1.7</w:t>
                  </w:r>
                </w:p>
              </w:tc>
              <w:tc>
                <w:tcPr>
                  <w:tcW w:w="700" w:type="dxa"/>
                  <w:tcBorders>
                    <w:top w:val="nil"/>
                    <w:left w:val="nil"/>
                    <w:bottom w:val="nil"/>
                    <w:right w:val="nil"/>
                  </w:tcBorders>
                  <w:shd w:val="clear" w:color="auto" w:fill="auto"/>
                  <w:noWrap/>
                  <w:vAlign w:val="bottom"/>
                  <w:hideMark/>
                </w:tcPr>
                <w:p w14:paraId="00D113CD"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+49.6</w:t>
                  </w:r>
                </w:p>
              </w:tc>
            </w:tr>
            <w:tr w:rsidR="00802430" w:rsidRPr="00884D55" w14:paraId="6D8C4D67" w14:textId="77777777" w:rsidTr="00803507">
              <w:trPr>
                <w:trHeight w:val="255"/>
              </w:trPr>
              <w:tc>
                <w:tcPr>
                  <w:tcW w:w="3417" w:type="dxa"/>
                  <w:tcBorders>
                    <w:top w:val="nil"/>
                    <w:left w:val="nil"/>
                    <w:bottom w:val="nil"/>
                    <w:right w:val="nil"/>
                  </w:tcBorders>
                  <w:shd w:val="clear" w:color="auto" w:fill="auto"/>
                  <w:noWrap/>
                  <w:vAlign w:val="bottom"/>
                  <w:hideMark/>
                </w:tcPr>
                <w:p w14:paraId="14EEA9A6"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Chemicals and chemical products</w:t>
                  </w:r>
                </w:p>
              </w:tc>
              <w:tc>
                <w:tcPr>
                  <w:tcW w:w="700" w:type="dxa"/>
                  <w:tcBorders>
                    <w:top w:val="nil"/>
                    <w:left w:val="nil"/>
                    <w:bottom w:val="nil"/>
                    <w:right w:val="nil"/>
                  </w:tcBorders>
                  <w:shd w:val="clear" w:color="auto" w:fill="auto"/>
                  <w:noWrap/>
                  <w:vAlign w:val="bottom"/>
                  <w:hideMark/>
                </w:tcPr>
                <w:p w14:paraId="22EEF663"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+1.6</w:t>
                  </w:r>
                </w:p>
              </w:tc>
              <w:tc>
                <w:tcPr>
                  <w:tcW w:w="700" w:type="dxa"/>
                  <w:tcBorders>
                    <w:top w:val="nil"/>
                    <w:left w:val="nil"/>
                    <w:bottom w:val="nil"/>
                    <w:right w:val="nil"/>
                  </w:tcBorders>
                  <w:shd w:val="clear" w:color="auto" w:fill="auto"/>
                  <w:noWrap/>
                  <w:vAlign w:val="bottom"/>
                  <w:hideMark/>
                </w:tcPr>
                <w:p w14:paraId="446EE67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+1.9</w:t>
                  </w:r>
                </w:p>
              </w:tc>
            </w:tr>
            <w:tr w:rsidR="00802430" w:rsidRPr="00884D55" w14:paraId="7C9BCED5" w14:textId="77777777" w:rsidTr="00803507">
              <w:trPr>
                <w:trHeight w:val="255"/>
              </w:trPr>
              <w:tc>
                <w:tcPr>
                  <w:tcW w:w="3417" w:type="dxa"/>
                  <w:tcBorders>
                    <w:top w:val="nil"/>
                    <w:left w:val="nil"/>
                    <w:bottom w:val="nil"/>
                    <w:right w:val="nil"/>
                  </w:tcBorders>
                  <w:shd w:val="clear" w:color="auto" w:fill="auto"/>
                  <w:noWrap/>
                  <w:vAlign w:val="bottom"/>
                  <w:hideMark/>
                </w:tcPr>
                <w:p w14:paraId="3A825105"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Wearing apparel</w:t>
                  </w:r>
                </w:p>
              </w:tc>
              <w:tc>
                <w:tcPr>
                  <w:tcW w:w="700" w:type="dxa"/>
                  <w:tcBorders>
                    <w:top w:val="nil"/>
                    <w:left w:val="nil"/>
                    <w:bottom w:val="nil"/>
                    <w:right w:val="nil"/>
                  </w:tcBorders>
                  <w:shd w:val="clear" w:color="auto" w:fill="auto"/>
                  <w:noWrap/>
                  <w:vAlign w:val="bottom"/>
                  <w:hideMark/>
                </w:tcPr>
                <w:p w14:paraId="346AF62C"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+1.2</w:t>
                  </w:r>
                </w:p>
              </w:tc>
              <w:tc>
                <w:tcPr>
                  <w:tcW w:w="700" w:type="dxa"/>
                  <w:tcBorders>
                    <w:top w:val="nil"/>
                    <w:left w:val="nil"/>
                    <w:bottom w:val="nil"/>
                    <w:right w:val="nil"/>
                  </w:tcBorders>
                  <w:shd w:val="clear" w:color="auto" w:fill="auto"/>
                  <w:noWrap/>
                  <w:vAlign w:val="bottom"/>
                  <w:hideMark/>
                </w:tcPr>
                <w:p w14:paraId="0672C929"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+7.4</w:t>
                  </w:r>
                </w:p>
              </w:tc>
            </w:tr>
            <w:tr w:rsidR="00802430" w:rsidRPr="00884D55" w14:paraId="4F221B0F" w14:textId="77777777" w:rsidTr="00803507">
              <w:trPr>
                <w:trHeight w:val="255"/>
              </w:trPr>
              <w:tc>
                <w:tcPr>
                  <w:tcW w:w="3417" w:type="dxa"/>
                  <w:tcBorders>
                    <w:top w:val="nil"/>
                    <w:left w:val="nil"/>
                    <w:bottom w:val="nil"/>
                    <w:right w:val="nil"/>
                  </w:tcBorders>
                  <w:shd w:val="clear" w:color="auto" w:fill="auto"/>
                  <w:noWrap/>
                  <w:vAlign w:val="bottom"/>
                  <w:hideMark/>
                </w:tcPr>
                <w:p w14:paraId="005AB047"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Basic pharmaceutical products</w:t>
                  </w:r>
                </w:p>
              </w:tc>
              <w:tc>
                <w:tcPr>
                  <w:tcW w:w="700" w:type="dxa"/>
                  <w:tcBorders>
                    <w:top w:val="nil"/>
                    <w:left w:val="nil"/>
                    <w:bottom w:val="nil"/>
                    <w:right w:val="nil"/>
                  </w:tcBorders>
                  <w:shd w:val="clear" w:color="auto" w:fill="auto"/>
                  <w:noWrap/>
                  <w:vAlign w:val="bottom"/>
                  <w:hideMark/>
                </w:tcPr>
                <w:p w14:paraId="322940AD"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+1.1</w:t>
                  </w:r>
                </w:p>
              </w:tc>
              <w:tc>
                <w:tcPr>
                  <w:tcW w:w="700" w:type="dxa"/>
                  <w:tcBorders>
                    <w:top w:val="nil"/>
                    <w:left w:val="nil"/>
                    <w:bottom w:val="nil"/>
                    <w:right w:val="nil"/>
                  </w:tcBorders>
                  <w:shd w:val="clear" w:color="auto" w:fill="auto"/>
                  <w:noWrap/>
                  <w:vAlign w:val="bottom"/>
                  <w:hideMark/>
                </w:tcPr>
                <w:p w14:paraId="73A2FF1E"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+3.3</w:t>
                  </w:r>
                </w:p>
              </w:tc>
            </w:tr>
            <w:tr w:rsidR="00802430" w:rsidRPr="00884D55" w14:paraId="4B67D771" w14:textId="77777777" w:rsidTr="00803507">
              <w:trPr>
                <w:trHeight w:val="255"/>
              </w:trPr>
              <w:tc>
                <w:tcPr>
                  <w:tcW w:w="3417" w:type="dxa"/>
                  <w:tcBorders>
                    <w:top w:val="nil"/>
                    <w:left w:val="nil"/>
                    <w:bottom w:val="nil"/>
                    <w:right w:val="nil"/>
                  </w:tcBorders>
                  <w:shd w:val="clear" w:color="auto" w:fill="auto"/>
                  <w:noWrap/>
                  <w:vAlign w:val="bottom"/>
                  <w:hideMark/>
                </w:tcPr>
                <w:p w14:paraId="6A74DD59"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Machinery and equipment, n.c.e.</w:t>
                  </w:r>
                </w:p>
              </w:tc>
              <w:tc>
                <w:tcPr>
                  <w:tcW w:w="700" w:type="dxa"/>
                  <w:tcBorders>
                    <w:top w:val="nil"/>
                    <w:left w:val="nil"/>
                    <w:bottom w:val="nil"/>
                    <w:right w:val="nil"/>
                  </w:tcBorders>
                  <w:shd w:val="clear" w:color="auto" w:fill="auto"/>
                  <w:noWrap/>
                  <w:vAlign w:val="bottom"/>
                  <w:hideMark/>
                </w:tcPr>
                <w:p w14:paraId="205C8370"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−2.1</w:t>
                  </w:r>
                </w:p>
              </w:tc>
              <w:tc>
                <w:tcPr>
                  <w:tcW w:w="700" w:type="dxa"/>
                  <w:tcBorders>
                    <w:top w:val="nil"/>
                    <w:left w:val="nil"/>
                    <w:bottom w:val="nil"/>
                    <w:right w:val="nil"/>
                  </w:tcBorders>
                  <w:shd w:val="clear" w:color="auto" w:fill="auto"/>
                  <w:noWrap/>
                  <w:vAlign w:val="bottom"/>
                  <w:hideMark/>
                </w:tcPr>
                <w:p w14:paraId="182B2CF1"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−2.2</w:t>
                  </w:r>
                </w:p>
              </w:tc>
            </w:tr>
            <w:tr w:rsidR="00802430" w:rsidRPr="00884D55" w14:paraId="594572B4" w14:textId="77777777" w:rsidTr="00803507">
              <w:trPr>
                <w:trHeight w:val="255"/>
              </w:trPr>
              <w:tc>
                <w:tcPr>
                  <w:tcW w:w="3417" w:type="dxa"/>
                  <w:tcBorders>
                    <w:top w:val="nil"/>
                    <w:left w:val="nil"/>
                    <w:bottom w:val="nil"/>
                    <w:right w:val="nil"/>
                  </w:tcBorders>
                  <w:shd w:val="clear" w:color="auto" w:fill="auto"/>
                  <w:noWrap/>
                  <w:vAlign w:val="bottom"/>
                  <w:hideMark/>
                </w:tcPr>
                <w:p w14:paraId="69C0E53C"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Motor vehicles (except for motorcycles) and parts</w:t>
                  </w:r>
                </w:p>
              </w:tc>
              <w:tc>
                <w:tcPr>
                  <w:tcW w:w="700" w:type="dxa"/>
                  <w:tcBorders>
                    <w:top w:val="nil"/>
                    <w:left w:val="nil"/>
                    <w:bottom w:val="nil"/>
                    <w:right w:val="nil"/>
                  </w:tcBorders>
                  <w:shd w:val="clear" w:color="auto" w:fill="auto"/>
                  <w:noWrap/>
                  <w:vAlign w:val="bottom"/>
                  <w:hideMark/>
                </w:tcPr>
                <w:p w14:paraId="2827312D"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−2.3</w:t>
                  </w:r>
                </w:p>
              </w:tc>
              <w:tc>
                <w:tcPr>
                  <w:tcW w:w="700" w:type="dxa"/>
                  <w:tcBorders>
                    <w:top w:val="nil"/>
                    <w:left w:val="nil"/>
                    <w:bottom w:val="nil"/>
                    <w:right w:val="nil"/>
                  </w:tcBorders>
                  <w:shd w:val="clear" w:color="auto" w:fill="auto"/>
                  <w:noWrap/>
                  <w:vAlign w:val="bottom"/>
                  <w:hideMark/>
                </w:tcPr>
                <w:p w14:paraId="029640ED"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−1.3</w:t>
                  </w:r>
                </w:p>
              </w:tc>
            </w:tr>
            <w:tr w:rsidR="00802430" w:rsidRPr="00884D55" w14:paraId="08A1602A" w14:textId="77777777" w:rsidTr="00803507">
              <w:trPr>
                <w:trHeight w:val="255"/>
              </w:trPr>
              <w:tc>
                <w:tcPr>
                  <w:tcW w:w="3417" w:type="dxa"/>
                  <w:tcBorders>
                    <w:top w:val="nil"/>
                    <w:left w:val="nil"/>
                    <w:bottom w:val="nil"/>
                    <w:right w:val="nil"/>
                  </w:tcBorders>
                  <w:shd w:val="clear" w:color="auto" w:fill="auto"/>
                  <w:noWrap/>
                  <w:vAlign w:val="bottom"/>
                  <w:hideMark/>
                </w:tcPr>
                <w:p w14:paraId="584E3C7B"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Oil and natural gas</w:t>
                  </w:r>
                </w:p>
              </w:tc>
              <w:tc>
                <w:tcPr>
                  <w:tcW w:w="700" w:type="dxa"/>
                  <w:tcBorders>
                    <w:top w:val="nil"/>
                    <w:left w:val="nil"/>
                    <w:bottom w:val="nil"/>
                    <w:right w:val="nil"/>
                  </w:tcBorders>
                  <w:shd w:val="clear" w:color="auto" w:fill="auto"/>
                  <w:noWrap/>
                  <w:vAlign w:val="bottom"/>
                  <w:hideMark/>
                </w:tcPr>
                <w:p w14:paraId="4C732A6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−9.6</w:t>
                  </w:r>
                </w:p>
              </w:tc>
              <w:tc>
                <w:tcPr>
                  <w:tcW w:w="700" w:type="dxa"/>
                  <w:tcBorders>
                    <w:top w:val="nil"/>
                    <w:left w:val="nil"/>
                    <w:bottom w:val="nil"/>
                    <w:right w:val="nil"/>
                  </w:tcBorders>
                  <w:shd w:val="clear" w:color="auto" w:fill="auto"/>
                  <w:noWrap/>
                  <w:vAlign w:val="bottom"/>
                  <w:hideMark/>
                </w:tcPr>
                <w:p w14:paraId="792E8496" w14:textId="3AB17A90"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−19</w:t>
                  </w:r>
                  <w:r w:rsidR="00D8546D">
                    <w:rPr>
                      <w:rFonts w:cs="Arial"/>
                      <w:color w:val="000000"/>
                      <w:sz w:val="16"/>
                      <w:szCs w:val="16"/>
                      <w:lang w:val="en-GB"/>
                    </w:rPr>
                    <w:t>.</w:t>
                  </w:r>
                  <w:r w:rsidRPr="00884D55">
                    <w:rPr>
                      <w:rFonts w:cs="Arial"/>
                      <w:color w:val="000000"/>
                      <w:sz w:val="16"/>
                      <w:szCs w:val="16"/>
                      <w:lang w:val="en-GB"/>
                    </w:rPr>
                    <w:t>0</w:t>
                  </w:r>
                </w:p>
              </w:tc>
            </w:tr>
          </w:tbl>
          <w:p w14:paraId="31F2CD80" w14:textId="77777777" w:rsidR="00802430" w:rsidRPr="00884D55" w:rsidRDefault="00802430" w:rsidP="00802430">
            <w:pPr>
              <w:spacing w:after="0"/>
              <w:rPr>
                <w:spacing w:val="-4"/>
                <w:sz w:val="16"/>
                <w:szCs w:val="16"/>
                <w:lang w:val="en-GB" w:eastAsia="en-US"/>
              </w:rPr>
            </w:pPr>
          </w:p>
        </w:tc>
        <w:tc>
          <w:tcPr>
            <w:tcW w:w="57" w:type="dxa"/>
          </w:tcPr>
          <w:p w14:paraId="4AC281B7" w14:textId="77777777" w:rsidR="00802430" w:rsidRPr="00884D55" w:rsidRDefault="00802430" w:rsidP="00802430">
            <w:pPr>
              <w:spacing w:after="0"/>
              <w:rPr>
                <w:spacing w:val="-4"/>
                <w:sz w:val="16"/>
                <w:szCs w:val="16"/>
                <w:lang w:val="en-GB"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802430" w:rsidRPr="00884D55" w14:paraId="0AAE1CA6" w14:textId="77777777" w:rsidTr="00803507">
              <w:trPr>
                <w:trHeight w:val="255"/>
              </w:trPr>
              <w:tc>
                <w:tcPr>
                  <w:tcW w:w="3362" w:type="dxa"/>
                  <w:tcBorders>
                    <w:top w:val="nil"/>
                    <w:left w:val="nil"/>
                    <w:bottom w:val="single" w:sz="4" w:space="0" w:color="auto"/>
                    <w:right w:val="nil"/>
                  </w:tcBorders>
                  <w:shd w:val="clear" w:color="auto" w:fill="auto"/>
                  <w:noWrap/>
                  <w:vAlign w:val="bottom"/>
                  <w:hideMark/>
                </w:tcPr>
                <w:p w14:paraId="22F717A2"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 </w:t>
                  </w:r>
                </w:p>
              </w:tc>
              <w:tc>
                <w:tcPr>
                  <w:tcW w:w="700" w:type="dxa"/>
                  <w:tcBorders>
                    <w:top w:val="nil"/>
                    <w:left w:val="nil"/>
                    <w:bottom w:val="single" w:sz="4" w:space="0" w:color="auto"/>
                    <w:right w:val="nil"/>
                  </w:tcBorders>
                  <w:shd w:val="clear" w:color="auto" w:fill="auto"/>
                  <w:noWrap/>
                  <w:vAlign w:val="bottom"/>
                  <w:hideMark/>
                </w:tcPr>
                <w:p w14:paraId="7C5266A2"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bn CZK</w:t>
                  </w:r>
                </w:p>
              </w:tc>
              <w:tc>
                <w:tcPr>
                  <w:tcW w:w="700" w:type="dxa"/>
                  <w:tcBorders>
                    <w:top w:val="nil"/>
                    <w:left w:val="nil"/>
                    <w:bottom w:val="single" w:sz="4" w:space="0" w:color="auto"/>
                    <w:right w:val="nil"/>
                  </w:tcBorders>
                  <w:shd w:val="clear" w:color="auto" w:fill="auto"/>
                  <w:noWrap/>
                  <w:vAlign w:val="bottom"/>
                  <w:hideMark/>
                </w:tcPr>
                <w:p w14:paraId="00384B51"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w:t>
                  </w:r>
                </w:p>
              </w:tc>
            </w:tr>
            <w:tr w:rsidR="00802430" w:rsidRPr="00884D55" w14:paraId="37356251" w14:textId="77777777" w:rsidTr="00803507">
              <w:trPr>
                <w:trHeight w:val="255"/>
              </w:trPr>
              <w:tc>
                <w:tcPr>
                  <w:tcW w:w="3362" w:type="dxa"/>
                  <w:tcBorders>
                    <w:top w:val="nil"/>
                    <w:left w:val="nil"/>
                    <w:bottom w:val="nil"/>
                    <w:right w:val="nil"/>
                  </w:tcBorders>
                  <w:shd w:val="clear" w:color="auto" w:fill="auto"/>
                  <w:noWrap/>
                  <w:vAlign w:val="bottom"/>
                  <w:hideMark/>
                </w:tcPr>
                <w:p w14:paraId="548DC4F3"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China</w:t>
                  </w:r>
                </w:p>
              </w:tc>
              <w:tc>
                <w:tcPr>
                  <w:tcW w:w="700" w:type="dxa"/>
                  <w:tcBorders>
                    <w:top w:val="nil"/>
                    <w:left w:val="nil"/>
                    <w:bottom w:val="nil"/>
                    <w:right w:val="nil"/>
                  </w:tcBorders>
                  <w:shd w:val="clear" w:color="auto" w:fill="auto"/>
                  <w:noWrap/>
                  <w:vAlign w:val="bottom"/>
                  <w:hideMark/>
                </w:tcPr>
                <w:p w14:paraId="5DC992C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+18.5</w:t>
                  </w:r>
                </w:p>
              </w:tc>
              <w:tc>
                <w:tcPr>
                  <w:tcW w:w="700" w:type="dxa"/>
                  <w:tcBorders>
                    <w:top w:val="nil"/>
                    <w:left w:val="nil"/>
                    <w:bottom w:val="nil"/>
                    <w:right w:val="nil"/>
                  </w:tcBorders>
                  <w:shd w:val="clear" w:color="auto" w:fill="auto"/>
                  <w:noWrap/>
                  <w:vAlign w:val="bottom"/>
                  <w:hideMark/>
                </w:tcPr>
                <w:p w14:paraId="1910DE85"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+14.3</w:t>
                  </w:r>
                </w:p>
              </w:tc>
            </w:tr>
            <w:tr w:rsidR="00802430" w:rsidRPr="00884D55" w14:paraId="3400690E" w14:textId="77777777" w:rsidTr="00803507">
              <w:trPr>
                <w:trHeight w:val="255"/>
              </w:trPr>
              <w:tc>
                <w:tcPr>
                  <w:tcW w:w="3362" w:type="dxa"/>
                  <w:tcBorders>
                    <w:top w:val="nil"/>
                    <w:left w:val="nil"/>
                    <w:bottom w:val="nil"/>
                    <w:right w:val="nil"/>
                  </w:tcBorders>
                  <w:shd w:val="clear" w:color="auto" w:fill="auto"/>
                  <w:noWrap/>
                  <w:vAlign w:val="bottom"/>
                  <w:hideMark/>
                </w:tcPr>
                <w:p w14:paraId="16099AA4"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Poland</w:t>
                  </w:r>
                </w:p>
              </w:tc>
              <w:tc>
                <w:tcPr>
                  <w:tcW w:w="700" w:type="dxa"/>
                  <w:tcBorders>
                    <w:top w:val="nil"/>
                    <w:left w:val="nil"/>
                    <w:bottom w:val="nil"/>
                    <w:right w:val="nil"/>
                  </w:tcBorders>
                  <w:shd w:val="clear" w:color="auto" w:fill="auto"/>
                  <w:noWrap/>
                  <w:vAlign w:val="bottom"/>
                  <w:hideMark/>
                </w:tcPr>
                <w:p w14:paraId="097E378F"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+10.4</w:t>
                  </w:r>
                </w:p>
              </w:tc>
              <w:tc>
                <w:tcPr>
                  <w:tcW w:w="700" w:type="dxa"/>
                  <w:tcBorders>
                    <w:top w:val="nil"/>
                    <w:left w:val="nil"/>
                    <w:bottom w:val="nil"/>
                    <w:right w:val="nil"/>
                  </w:tcBorders>
                  <w:shd w:val="clear" w:color="auto" w:fill="auto"/>
                  <w:noWrap/>
                  <w:vAlign w:val="bottom"/>
                  <w:hideMark/>
                </w:tcPr>
                <w:p w14:paraId="4A26225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+10.8</w:t>
                  </w:r>
                </w:p>
              </w:tc>
            </w:tr>
            <w:tr w:rsidR="00802430" w:rsidRPr="00884D55" w14:paraId="5628F786" w14:textId="77777777" w:rsidTr="00803507">
              <w:trPr>
                <w:trHeight w:val="255"/>
              </w:trPr>
              <w:tc>
                <w:tcPr>
                  <w:tcW w:w="3362" w:type="dxa"/>
                  <w:tcBorders>
                    <w:top w:val="nil"/>
                    <w:left w:val="nil"/>
                    <w:bottom w:val="nil"/>
                    <w:right w:val="nil"/>
                  </w:tcBorders>
                  <w:shd w:val="clear" w:color="auto" w:fill="auto"/>
                  <w:noWrap/>
                  <w:vAlign w:val="bottom"/>
                  <w:hideMark/>
                </w:tcPr>
                <w:p w14:paraId="0ECB04D2"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Slovakia</w:t>
                  </w:r>
                </w:p>
              </w:tc>
              <w:tc>
                <w:tcPr>
                  <w:tcW w:w="700" w:type="dxa"/>
                  <w:tcBorders>
                    <w:top w:val="nil"/>
                    <w:left w:val="nil"/>
                    <w:bottom w:val="nil"/>
                    <w:right w:val="nil"/>
                  </w:tcBorders>
                  <w:shd w:val="clear" w:color="auto" w:fill="auto"/>
                  <w:noWrap/>
                  <w:vAlign w:val="bottom"/>
                  <w:hideMark/>
                </w:tcPr>
                <w:p w14:paraId="1D84B1C0"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+9.5</w:t>
                  </w:r>
                </w:p>
              </w:tc>
              <w:tc>
                <w:tcPr>
                  <w:tcW w:w="700" w:type="dxa"/>
                  <w:tcBorders>
                    <w:top w:val="nil"/>
                    <w:left w:val="nil"/>
                    <w:bottom w:val="nil"/>
                    <w:right w:val="nil"/>
                  </w:tcBorders>
                  <w:shd w:val="clear" w:color="auto" w:fill="auto"/>
                  <w:noWrap/>
                  <w:vAlign w:val="bottom"/>
                  <w:hideMark/>
                </w:tcPr>
                <w:p w14:paraId="06A3D4D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+16.6</w:t>
                  </w:r>
                </w:p>
              </w:tc>
            </w:tr>
            <w:tr w:rsidR="00802430" w:rsidRPr="00884D55" w14:paraId="63E0E753" w14:textId="77777777" w:rsidTr="00803507">
              <w:trPr>
                <w:trHeight w:val="255"/>
              </w:trPr>
              <w:tc>
                <w:tcPr>
                  <w:tcW w:w="3362" w:type="dxa"/>
                  <w:tcBorders>
                    <w:top w:val="nil"/>
                    <w:left w:val="nil"/>
                    <w:bottom w:val="nil"/>
                    <w:right w:val="nil"/>
                  </w:tcBorders>
                  <w:shd w:val="clear" w:color="auto" w:fill="auto"/>
                  <w:noWrap/>
                  <w:vAlign w:val="bottom"/>
                  <w:hideMark/>
                </w:tcPr>
                <w:p w14:paraId="7CACAB17"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Russia</w:t>
                  </w:r>
                </w:p>
              </w:tc>
              <w:tc>
                <w:tcPr>
                  <w:tcW w:w="700" w:type="dxa"/>
                  <w:tcBorders>
                    <w:top w:val="nil"/>
                    <w:left w:val="nil"/>
                    <w:bottom w:val="nil"/>
                    <w:right w:val="nil"/>
                  </w:tcBorders>
                  <w:shd w:val="clear" w:color="auto" w:fill="auto"/>
                  <w:noWrap/>
                  <w:vAlign w:val="bottom"/>
                  <w:hideMark/>
                </w:tcPr>
                <w:p w14:paraId="072C824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+4.9</w:t>
                  </w:r>
                </w:p>
              </w:tc>
              <w:tc>
                <w:tcPr>
                  <w:tcW w:w="700" w:type="dxa"/>
                  <w:tcBorders>
                    <w:top w:val="nil"/>
                    <w:left w:val="nil"/>
                    <w:bottom w:val="nil"/>
                    <w:right w:val="nil"/>
                  </w:tcBorders>
                  <w:shd w:val="clear" w:color="auto" w:fill="auto"/>
                  <w:noWrap/>
                  <w:vAlign w:val="bottom"/>
                  <w:hideMark/>
                </w:tcPr>
                <w:p w14:paraId="518E8714"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+21.7</w:t>
                  </w:r>
                </w:p>
              </w:tc>
            </w:tr>
            <w:tr w:rsidR="00802430" w:rsidRPr="00884D55" w14:paraId="5C99929B" w14:textId="77777777" w:rsidTr="00803507">
              <w:trPr>
                <w:trHeight w:val="255"/>
              </w:trPr>
              <w:tc>
                <w:tcPr>
                  <w:tcW w:w="3362" w:type="dxa"/>
                  <w:tcBorders>
                    <w:top w:val="nil"/>
                    <w:left w:val="nil"/>
                    <w:bottom w:val="nil"/>
                    <w:right w:val="nil"/>
                  </w:tcBorders>
                  <w:shd w:val="clear" w:color="auto" w:fill="auto"/>
                  <w:noWrap/>
                  <w:vAlign w:val="bottom"/>
                  <w:hideMark/>
                </w:tcPr>
                <w:p w14:paraId="46174BEB"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Germany</w:t>
                  </w:r>
                </w:p>
              </w:tc>
              <w:tc>
                <w:tcPr>
                  <w:tcW w:w="700" w:type="dxa"/>
                  <w:tcBorders>
                    <w:top w:val="nil"/>
                    <w:left w:val="nil"/>
                    <w:bottom w:val="nil"/>
                    <w:right w:val="nil"/>
                  </w:tcBorders>
                  <w:shd w:val="clear" w:color="auto" w:fill="auto"/>
                  <w:noWrap/>
                  <w:vAlign w:val="bottom"/>
                  <w:hideMark/>
                </w:tcPr>
                <w:p w14:paraId="06C85E60"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+4.2</w:t>
                  </w:r>
                </w:p>
              </w:tc>
              <w:tc>
                <w:tcPr>
                  <w:tcW w:w="700" w:type="dxa"/>
                  <w:tcBorders>
                    <w:top w:val="nil"/>
                    <w:left w:val="nil"/>
                    <w:bottom w:val="nil"/>
                    <w:right w:val="nil"/>
                  </w:tcBorders>
                  <w:shd w:val="clear" w:color="auto" w:fill="auto"/>
                  <w:noWrap/>
                  <w:vAlign w:val="bottom"/>
                  <w:hideMark/>
                </w:tcPr>
                <w:p w14:paraId="4FD940D9"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+1.7</w:t>
                  </w:r>
                </w:p>
              </w:tc>
            </w:tr>
            <w:tr w:rsidR="00802430" w:rsidRPr="00884D55" w14:paraId="28EE9AB7" w14:textId="77777777" w:rsidTr="00803507">
              <w:trPr>
                <w:trHeight w:val="255"/>
              </w:trPr>
              <w:tc>
                <w:tcPr>
                  <w:tcW w:w="3362" w:type="dxa"/>
                  <w:tcBorders>
                    <w:top w:val="nil"/>
                    <w:left w:val="nil"/>
                    <w:bottom w:val="nil"/>
                    <w:right w:val="nil"/>
                  </w:tcBorders>
                  <w:shd w:val="clear" w:color="auto" w:fill="auto"/>
                  <w:noWrap/>
                  <w:vAlign w:val="bottom"/>
                  <w:hideMark/>
                </w:tcPr>
                <w:p w14:paraId="0A9A32FB"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Bulgaria</w:t>
                  </w:r>
                </w:p>
              </w:tc>
              <w:tc>
                <w:tcPr>
                  <w:tcW w:w="700" w:type="dxa"/>
                  <w:tcBorders>
                    <w:top w:val="nil"/>
                    <w:left w:val="nil"/>
                    <w:bottom w:val="nil"/>
                    <w:right w:val="nil"/>
                  </w:tcBorders>
                  <w:shd w:val="clear" w:color="auto" w:fill="auto"/>
                  <w:noWrap/>
                  <w:vAlign w:val="bottom"/>
                  <w:hideMark/>
                </w:tcPr>
                <w:p w14:paraId="58A28586"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+2.8</w:t>
                  </w:r>
                </w:p>
              </w:tc>
              <w:tc>
                <w:tcPr>
                  <w:tcW w:w="700" w:type="dxa"/>
                  <w:tcBorders>
                    <w:top w:val="nil"/>
                    <w:left w:val="nil"/>
                    <w:bottom w:val="nil"/>
                    <w:right w:val="nil"/>
                  </w:tcBorders>
                  <w:shd w:val="clear" w:color="auto" w:fill="auto"/>
                  <w:noWrap/>
                  <w:vAlign w:val="bottom"/>
                  <w:hideMark/>
                </w:tcPr>
                <w:p w14:paraId="6DE94450"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+47.0</w:t>
                  </w:r>
                </w:p>
              </w:tc>
            </w:tr>
            <w:tr w:rsidR="00802430" w:rsidRPr="00884D55" w14:paraId="7A80C98C" w14:textId="77777777" w:rsidTr="00803507">
              <w:trPr>
                <w:trHeight w:val="255"/>
              </w:trPr>
              <w:tc>
                <w:tcPr>
                  <w:tcW w:w="3362" w:type="dxa"/>
                  <w:tcBorders>
                    <w:top w:val="nil"/>
                    <w:left w:val="nil"/>
                    <w:bottom w:val="nil"/>
                    <w:right w:val="nil"/>
                  </w:tcBorders>
                  <w:shd w:val="clear" w:color="auto" w:fill="auto"/>
                  <w:noWrap/>
                  <w:vAlign w:val="bottom"/>
                  <w:hideMark/>
                </w:tcPr>
                <w:p w14:paraId="64B21673"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Italy</w:t>
                  </w:r>
                </w:p>
              </w:tc>
              <w:tc>
                <w:tcPr>
                  <w:tcW w:w="700" w:type="dxa"/>
                  <w:tcBorders>
                    <w:top w:val="nil"/>
                    <w:left w:val="nil"/>
                    <w:bottom w:val="nil"/>
                    <w:right w:val="nil"/>
                  </w:tcBorders>
                  <w:shd w:val="clear" w:color="auto" w:fill="auto"/>
                  <w:noWrap/>
                  <w:vAlign w:val="bottom"/>
                  <w:hideMark/>
                </w:tcPr>
                <w:p w14:paraId="1F142DEB"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+2.7</w:t>
                  </w:r>
                </w:p>
              </w:tc>
              <w:tc>
                <w:tcPr>
                  <w:tcW w:w="700" w:type="dxa"/>
                  <w:tcBorders>
                    <w:top w:val="nil"/>
                    <w:left w:val="nil"/>
                    <w:bottom w:val="nil"/>
                    <w:right w:val="nil"/>
                  </w:tcBorders>
                  <w:shd w:val="clear" w:color="auto" w:fill="auto"/>
                  <w:noWrap/>
                  <w:vAlign w:val="bottom"/>
                  <w:hideMark/>
                </w:tcPr>
                <w:p w14:paraId="643258AD"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+5.7</w:t>
                  </w:r>
                </w:p>
              </w:tc>
            </w:tr>
            <w:tr w:rsidR="00802430" w:rsidRPr="00884D55" w14:paraId="4D8932C8" w14:textId="77777777" w:rsidTr="00803507">
              <w:trPr>
                <w:trHeight w:val="255"/>
              </w:trPr>
              <w:tc>
                <w:tcPr>
                  <w:tcW w:w="3362" w:type="dxa"/>
                  <w:tcBorders>
                    <w:top w:val="nil"/>
                    <w:left w:val="nil"/>
                    <w:bottom w:val="nil"/>
                    <w:right w:val="nil"/>
                  </w:tcBorders>
                  <w:shd w:val="clear" w:color="auto" w:fill="auto"/>
                  <w:noWrap/>
                  <w:vAlign w:val="bottom"/>
                  <w:hideMark/>
                </w:tcPr>
                <w:p w14:paraId="39C104DC"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Austria</w:t>
                  </w:r>
                </w:p>
              </w:tc>
              <w:tc>
                <w:tcPr>
                  <w:tcW w:w="700" w:type="dxa"/>
                  <w:tcBorders>
                    <w:top w:val="nil"/>
                    <w:left w:val="nil"/>
                    <w:bottom w:val="nil"/>
                    <w:right w:val="nil"/>
                  </w:tcBorders>
                  <w:shd w:val="clear" w:color="auto" w:fill="auto"/>
                  <w:noWrap/>
                  <w:vAlign w:val="bottom"/>
                  <w:hideMark/>
                </w:tcPr>
                <w:p w14:paraId="3CE42F4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+2.7</w:t>
                  </w:r>
                </w:p>
              </w:tc>
              <w:tc>
                <w:tcPr>
                  <w:tcW w:w="700" w:type="dxa"/>
                  <w:tcBorders>
                    <w:top w:val="nil"/>
                    <w:left w:val="nil"/>
                    <w:bottom w:val="nil"/>
                    <w:right w:val="nil"/>
                  </w:tcBorders>
                  <w:shd w:val="clear" w:color="auto" w:fill="auto"/>
                  <w:noWrap/>
                  <w:vAlign w:val="bottom"/>
                  <w:hideMark/>
                </w:tcPr>
                <w:p w14:paraId="18F6C250"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+9.4</w:t>
                  </w:r>
                </w:p>
              </w:tc>
            </w:tr>
            <w:tr w:rsidR="00802430" w:rsidRPr="00884D55" w14:paraId="7CCA19F3" w14:textId="77777777" w:rsidTr="00803507">
              <w:trPr>
                <w:trHeight w:val="255"/>
              </w:trPr>
              <w:tc>
                <w:tcPr>
                  <w:tcW w:w="3362" w:type="dxa"/>
                  <w:tcBorders>
                    <w:top w:val="nil"/>
                    <w:left w:val="nil"/>
                    <w:bottom w:val="nil"/>
                    <w:right w:val="nil"/>
                  </w:tcBorders>
                  <w:shd w:val="clear" w:color="auto" w:fill="auto"/>
                  <w:noWrap/>
                  <w:vAlign w:val="bottom"/>
                  <w:hideMark/>
                </w:tcPr>
                <w:p w14:paraId="236DF395"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Ukraine</w:t>
                  </w:r>
                </w:p>
              </w:tc>
              <w:tc>
                <w:tcPr>
                  <w:tcW w:w="700" w:type="dxa"/>
                  <w:tcBorders>
                    <w:top w:val="nil"/>
                    <w:left w:val="nil"/>
                    <w:bottom w:val="nil"/>
                    <w:right w:val="nil"/>
                  </w:tcBorders>
                  <w:shd w:val="clear" w:color="auto" w:fill="auto"/>
                  <w:noWrap/>
                  <w:vAlign w:val="bottom"/>
                  <w:hideMark/>
                </w:tcPr>
                <w:p w14:paraId="4C265533"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+2.3</w:t>
                  </w:r>
                </w:p>
              </w:tc>
              <w:tc>
                <w:tcPr>
                  <w:tcW w:w="700" w:type="dxa"/>
                  <w:tcBorders>
                    <w:top w:val="nil"/>
                    <w:left w:val="nil"/>
                    <w:bottom w:val="nil"/>
                    <w:right w:val="nil"/>
                  </w:tcBorders>
                  <w:shd w:val="clear" w:color="auto" w:fill="auto"/>
                  <w:noWrap/>
                  <w:vAlign w:val="bottom"/>
                  <w:hideMark/>
                </w:tcPr>
                <w:p w14:paraId="759F5699"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+34.4</w:t>
                  </w:r>
                </w:p>
              </w:tc>
            </w:tr>
            <w:tr w:rsidR="00802430" w:rsidRPr="00884D55" w14:paraId="56AD4CF0" w14:textId="77777777" w:rsidTr="00803507">
              <w:trPr>
                <w:trHeight w:val="255"/>
              </w:trPr>
              <w:tc>
                <w:tcPr>
                  <w:tcW w:w="3362" w:type="dxa"/>
                  <w:tcBorders>
                    <w:top w:val="nil"/>
                    <w:left w:val="nil"/>
                    <w:bottom w:val="nil"/>
                    <w:right w:val="nil"/>
                  </w:tcBorders>
                  <w:shd w:val="clear" w:color="auto" w:fill="auto"/>
                  <w:noWrap/>
                  <w:vAlign w:val="bottom"/>
                  <w:hideMark/>
                </w:tcPr>
                <w:p w14:paraId="70526E8B"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Thailand</w:t>
                  </w:r>
                </w:p>
              </w:tc>
              <w:tc>
                <w:tcPr>
                  <w:tcW w:w="700" w:type="dxa"/>
                  <w:tcBorders>
                    <w:top w:val="nil"/>
                    <w:left w:val="nil"/>
                    <w:bottom w:val="nil"/>
                    <w:right w:val="nil"/>
                  </w:tcBorders>
                  <w:shd w:val="clear" w:color="auto" w:fill="auto"/>
                  <w:noWrap/>
                  <w:vAlign w:val="bottom"/>
                  <w:hideMark/>
                </w:tcPr>
                <w:p w14:paraId="2567C0A9"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+1.8</w:t>
                  </w:r>
                </w:p>
              </w:tc>
              <w:tc>
                <w:tcPr>
                  <w:tcW w:w="700" w:type="dxa"/>
                  <w:tcBorders>
                    <w:top w:val="nil"/>
                    <w:left w:val="nil"/>
                    <w:bottom w:val="nil"/>
                    <w:right w:val="nil"/>
                  </w:tcBorders>
                  <w:shd w:val="clear" w:color="auto" w:fill="auto"/>
                  <w:noWrap/>
                  <w:vAlign w:val="bottom"/>
                  <w:hideMark/>
                </w:tcPr>
                <w:p w14:paraId="1856D81B"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+33.1</w:t>
                  </w:r>
                </w:p>
              </w:tc>
            </w:tr>
            <w:tr w:rsidR="00802430" w:rsidRPr="00884D55" w14:paraId="762FF202" w14:textId="77777777" w:rsidTr="00803507">
              <w:trPr>
                <w:trHeight w:val="255"/>
              </w:trPr>
              <w:tc>
                <w:tcPr>
                  <w:tcW w:w="3362" w:type="dxa"/>
                  <w:tcBorders>
                    <w:top w:val="nil"/>
                    <w:left w:val="nil"/>
                    <w:bottom w:val="nil"/>
                    <w:right w:val="nil"/>
                  </w:tcBorders>
                  <w:shd w:val="clear" w:color="auto" w:fill="auto"/>
                  <w:noWrap/>
                  <w:vAlign w:val="bottom"/>
                  <w:hideMark/>
                </w:tcPr>
                <w:p w14:paraId="516D77D1"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Kazakhstan</w:t>
                  </w:r>
                </w:p>
              </w:tc>
              <w:tc>
                <w:tcPr>
                  <w:tcW w:w="700" w:type="dxa"/>
                  <w:tcBorders>
                    <w:top w:val="nil"/>
                    <w:left w:val="nil"/>
                    <w:bottom w:val="nil"/>
                    <w:right w:val="nil"/>
                  </w:tcBorders>
                  <w:shd w:val="clear" w:color="auto" w:fill="auto"/>
                  <w:noWrap/>
                  <w:vAlign w:val="bottom"/>
                  <w:hideMark/>
                </w:tcPr>
                <w:p w14:paraId="6F9A649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−2.0</w:t>
                  </w:r>
                </w:p>
              </w:tc>
              <w:tc>
                <w:tcPr>
                  <w:tcW w:w="700" w:type="dxa"/>
                  <w:tcBorders>
                    <w:top w:val="nil"/>
                    <w:left w:val="nil"/>
                    <w:bottom w:val="nil"/>
                    <w:right w:val="nil"/>
                  </w:tcBorders>
                  <w:shd w:val="clear" w:color="auto" w:fill="auto"/>
                  <w:noWrap/>
                  <w:vAlign w:val="bottom"/>
                  <w:hideMark/>
                </w:tcPr>
                <w:p w14:paraId="1111E2A1"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−30.4</w:t>
                  </w:r>
                </w:p>
              </w:tc>
            </w:tr>
            <w:tr w:rsidR="00802430" w:rsidRPr="00884D55" w14:paraId="2E816447" w14:textId="77777777" w:rsidTr="00803507">
              <w:trPr>
                <w:trHeight w:val="255"/>
              </w:trPr>
              <w:tc>
                <w:tcPr>
                  <w:tcW w:w="3362" w:type="dxa"/>
                  <w:tcBorders>
                    <w:top w:val="nil"/>
                    <w:left w:val="nil"/>
                    <w:bottom w:val="nil"/>
                    <w:right w:val="nil"/>
                  </w:tcBorders>
                  <w:shd w:val="clear" w:color="auto" w:fill="auto"/>
                  <w:noWrap/>
                  <w:vAlign w:val="bottom"/>
                  <w:hideMark/>
                </w:tcPr>
                <w:p w14:paraId="2864276C"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Hungary</w:t>
                  </w:r>
                </w:p>
              </w:tc>
              <w:tc>
                <w:tcPr>
                  <w:tcW w:w="700" w:type="dxa"/>
                  <w:tcBorders>
                    <w:top w:val="nil"/>
                    <w:left w:val="nil"/>
                    <w:bottom w:val="nil"/>
                    <w:right w:val="nil"/>
                  </w:tcBorders>
                  <w:shd w:val="clear" w:color="auto" w:fill="auto"/>
                  <w:noWrap/>
                  <w:vAlign w:val="bottom"/>
                  <w:hideMark/>
                </w:tcPr>
                <w:p w14:paraId="254914E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−2.1</w:t>
                  </w:r>
                </w:p>
              </w:tc>
              <w:tc>
                <w:tcPr>
                  <w:tcW w:w="700" w:type="dxa"/>
                  <w:tcBorders>
                    <w:top w:val="nil"/>
                    <w:left w:val="nil"/>
                    <w:bottom w:val="nil"/>
                    <w:right w:val="nil"/>
                  </w:tcBorders>
                  <w:shd w:val="clear" w:color="auto" w:fill="auto"/>
                  <w:noWrap/>
                  <w:vAlign w:val="bottom"/>
                  <w:hideMark/>
                </w:tcPr>
                <w:p w14:paraId="7FB3C45F"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−8.2</w:t>
                  </w:r>
                </w:p>
              </w:tc>
            </w:tr>
            <w:tr w:rsidR="00802430" w:rsidRPr="00884D55" w14:paraId="7DBB9E0C" w14:textId="77777777" w:rsidTr="00803507">
              <w:trPr>
                <w:trHeight w:val="255"/>
              </w:trPr>
              <w:tc>
                <w:tcPr>
                  <w:tcW w:w="3362" w:type="dxa"/>
                  <w:tcBorders>
                    <w:top w:val="nil"/>
                    <w:left w:val="nil"/>
                    <w:bottom w:val="nil"/>
                    <w:right w:val="nil"/>
                  </w:tcBorders>
                  <w:shd w:val="clear" w:color="auto" w:fill="auto"/>
                  <w:noWrap/>
                  <w:vAlign w:val="bottom"/>
                  <w:hideMark/>
                </w:tcPr>
                <w:p w14:paraId="34F0C3B2"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Great Britain</w:t>
                  </w:r>
                </w:p>
              </w:tc>
              <w:tc>
                <w:tcPr>
                  <w:tcW w:w="700" w:type="dxa"/>
                  <w:tcBorders>
                    <w:top w:val="nil"/>
                    <w:left w:val="nil"/>
                    <w:bottom w:val="nil"/>
                    <w:right w:val="nil"/>
                  </w:tcBorders>
                  <w:shd w:val="clear" w:color="auto" w:fill="auto"/>
                  <w:noWrap/>
                  <w:vAlign w:val="bottom"/>
                  <w:hideMark/>
                </w:tcPr>
                <w:p w14:paraId="13905D95"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−2.7</w:t>
                  </w:r>
                </w:p>
              </w:tc>
              <w:tc>
                <w:tcPr>
                  <w:tcW w:w="700" w:type="dxa"/>
                  <w:tcBorders>
                    <w:top w:val="nil"/>
                    <w:left w:val="nil"/>
                    <w:bottom w:val="nil"/>
                    <w:right w:val="nil"/>
                  </w:tcBorders>
                  <w:shd w:val="clear" w:color="auto" w:fill="auto"/>
                  <w:noWrap/>
                  <w:vAlign w:val="bottom"/>
                  <w:hideMark/>
                </w:tcPr>
                <w:p w14:paraId="2462CF6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−14.1</w:t>
                  </w:r>
                </w:p>
              </w:tc>
            </w:tr>
            <w:tr w:rsidR="00802430" w:rsidRPr="00884D55" w14:paraId="2A4523E4" w14:textId="77777777" w:rsidTr="00803507">
              <w:trPr>
                <w:trHeight w:val="255"/>
              </w:trPr>
              <w:tc>
                <w:tcPr>
                  <w:tcW w:w="3362" w:type="dxa"/>
                  <w:tcBorders>
                    <w:top w:val="nil"/>
                    <w:left w:val="nil"/>
                    <w:bottom w:val="nil"/>
                    <w:right w:val="nil"/>
                  </w:tcBorders>
                  <w:shd w:val="clear" w:color="auto" w:fill="auto"/>
                  <w:noWrap/>
                  <w:vAlign w:val="bottom"/>
                  <w:hideMark/>
                </w:tcPr>
                <w:p w14:paraId="21AB2753"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United States of America</w:t>
                  </w:r>
                </w:p>
              </w:tc>
              <w:tc>
                <w:tcPr>
                  <w:tcW w:w="700" w:type="dxa"/>
                  <w:tcBorders>
                    <w:top w:val="nil"/>
                    <w:left w:val="nil"/>
                    <w:bottom w:val="nil"/>
                    <w:right w:val="nil"/>
                  </w:tcBorders>
                  <w:shd w:val="clear" w:color="auto" w:fill="auto"/>
                  <w:noWrap/>
                  <w:vAlign w:val="bottom"/>
                  <w:hideMark/>
                </w:tcPr>
                <w:p w14:paraId="3E106375"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−3.1</w:t>
                  </w:r>
                </w:p>
              </w:tc>
              <w:tc>
                <w:tcPr>
                  <w:tcW w:w="700" w:type="dxa"/>
                  <w:tcBorders>
                    <w:top w:val="nil"/>
                    <w:left w:val="nil"/>
                    <w:bottom w:val="nil"/>
                    <w:right w:val="nil"/>
                  </w:tcBorders>
                  <w:shd w:val="clear" w:color="auto" w:fill="auto"/>
                  <w:noWrap/>
                  <w:vAlign w:val="bottom"/>
                  <w:hideMark/>
                </w:tcPr>
                <w:p w14:paraId="15C46436"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−9.5</w:t>
                  </w:r>
                </w:p>
              </w:tc>
            </w:tr>
            <w:tr w:rsidR="00802430" w:rsidRPr="00884D55" w14:paraId="497B30E8" w14:textId="77777777" w:rsidTr="00803507">
              <w:trPr>
                <w:trHeight w:val="255"/>
              </w:trPr>
              <w:tc>
                <w:tcPr>
                  <w:tcW w:w="3362" w:type="dxa"/>
                  <w:tcBorders>
                    <w:top w:val="nil"/>
                    <w:left w:val="nil"/>
                    <w:bottom w:val="nil"/>
                    <w:right w:val="nil"/>
                  </w:tcBorders>
                  <w:shd w:val="clear" w:color="auto" w:fill="auto"/>
                  <w:noWrap/>
                  <w:vAlign w:val="bottom"/>
                  <w:hideMark/>
                </w:tcPr>
                <w:p w14:paraId="397EA51D"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Norway</w:t>
                  </w:r>
                </w:p>
              </w:tc>
              <w:tc>
                <w:tcPr>
                  <w:tcW w:w="700" w:type="dxa"/>
                  <w:tcBorders>
                    <w:top w:val="nil"/>
                    <w:left w:val="nil"/>
                    <w:bottom w:val="nil"/>
                    <w:right w:val="nil"/>
                  </w:tcBorders>
                  <w:shd w:val="clear" w:color="auto" w:fill="auto"/>
                  <w:noWrap/>
                  <w:vAlign w:val="bottom"/>
                  <w:hideMark/>
                </w:tcPr>
                <w:p w14:paraId="4A9127B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−9.7</w:t>
                  </w:r>
                </w:p>
              </w:tc>
              <w:tc>
                <w:tcPr>
                  <w:tcW w:w="700" w:type="dxa"/>
                  <w:tcBorders>
                    <w:top w:val="nil"/>
                    <w:left w:val="nil"/>
                    <w:bottom w:val="nil"/>
                    <w:right w:val="nil"/>
                  </w:tcBorders>
                  <w:shd w:val="clear" w:color="auto" w:fill="auto"/>
                  <w:noWrap/>
                  <w:vAlign w:val="bottom"/>
                  <w:hideMark/>
                </w:tcPr>
                <w:p w14:paraId="3DADA40C"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−50.9</w:t>
                  </w:r>
                </w:p>
              </w:tc>
            </w:tr>
          </w:tbl>
          <w:p w14:paraId="1610183D" w14:textId="77777777" w:rsidR="00802430" w:rsidRPr="00884D55" w:rsidRDefault="00802430" w:rsidP="00802430">
            <w:pPr>
              <w:spacing w:after="0"/>
              <w:rPr>
                <w:spacing w:val="-4"/>
                <w:sz w:val="16"/>
                <w:szCs w:val="16"/>
                <w:lang w:val="en-GB" w:eastAsia="en-US"/>
              </w:rPr>
            </w:pPr>
          </w:p>
        </w:tc>
      </w:tr>
      <w:tr w:rsidR="00802430" w:rsidRPr="00884D55" w14:paraId="3E098C5F" w14:textId="77777777" w:rsidTr="00803507">
        <w:trPr>
          <w:trHeight w:val="170"/>
        </w:trPr>
        <w:tc>
          <w:tcPr>
            <w:tcW w:w="4811" w:type="dxa"/>
            <w:gridSpan w:val="3"/>
            <w:hideMark/>
          </w:tcPr>
          <w:p w14:paraId="4E1F5D74" w14:textId="77777777" w:rsidR="00802430" w:rsidRPr="00884D55" w:rsidRDefault="00802430" w:rsidP="00802430">
            <w:pPr>
              <w:jc w:val="right"/>
              <w:rPr>
                <w:spacing w:val="-4"/>
                <w:sz w:val="16"/>
                <w:szCs w:val="16"/>
                <w:lang w:val="en-GB" w:eastAsia="en-US"/>
              </w:rPr>
            </w:pPr>
            <w:r w:rsidRPr="00884D55">
              <w:rPr>
                <w:spacing w:val="-4"/>
                <w:sz w:val="16"/>
                <w:szCs w:val="16"/>
                <w:lang w:val="en-GB" w:eastAsia="en-US"/>
              </w:rPr>
              <w:t>Source: CZSO</w:t>
            </w:r>
          </w:p>
        </w:tc>
        <w:tc>
          <w:tcPr>
            <w:tcW w:w="57" w:type="dxa"/>
          </w:tcPr>
          <w:p w14:paraId="24510595" w14:textId="77777777" w:rsidR="00802430" w:rsidRPr="00884D55" w:rsidRDefault="00802430" w:rsidP="00802430">
            <w:pPr>
              <w:spacing w:after="0"/>
              <w:rPr>
                <w:spacing w:val="-4"/>
                <w:lang w:val="en-GB" w:eastAsia="en-US"/>
              </w:rPr>
            </w:pPr>
          </w:p>
        </w:tc>
        <w:tc>
          <w:tcPr>
            <w:tcW w:w="4809" w:type="dxa"/>
            <w:hideMark/>
          </w:tcPr>
          <w:p w14:paraId="534FF8D3" w14:textId="77777777" w:rsidR="00802430" w:rsidRPr="00884D55" w:rsidRDefault="00802430" w:rsidP="00802430">
            <w:pPr>
              <w:spacing w:after="0"/>
              <w:ind w:right="21"/>
              <w:jc w:val="right"/>
              <w:rPr>
                <w:spacing w:val="-4"/>
                <w:lang w:val="en-GB" w:eastAsia="en-US"/>
              </w:rPr>
            </w:pPr>
            <w:r w:rsidRPr="00884D55">
              <w:rPr>
                <w:spacing w:val="-4"/>
                <w:sz w:val="16"/>
                <w:szCs w:val="16"/>
                <w:lang w:val="en-GB" w:eastAsia="en-US"/>
              </w:rPr>
              <w:t>Source: CZSO</w:t>
            </w:r>
          </w:p>
        </w:tc>
      </w:tr>
      <w:tr w:rsidR="00802430" w:rsidRPr="00884D55" w14:paraId="5177B245" w14:textId="77777777" w:rsidTr="00803507">
        <w:trPr>
          <w:trHeight w:val="145"/>
        </w:trPr>
        <w:tc>
          <w:tcPr>
            <w:tcW w:w="1748" w:type="dxa"/>
          </w:tcPr>
          <w:p w14:paraId="0F5AEA90" w14:textId="77777777" w:rsidR="00802430" w:rsidRPr="00884D55" w:rsidRDefault="00802430" w:rsidP="00802430">
            <w:pPr>
              <w:pStyle w:val="Marginlie"/>
              <w:rPr>
                <w:lang w:val="en-GB" w:eastAsia="en-US"/>
              </w:rPr>
            </w:pPr>
            <w:r w:rsidRPr="00884D55">
              <w:rPr>
                <w:lang w:val="en-GB" w:eastAsia="en-US"/>
              </w:rPr>
              <w:t xml:space="preserve">The value of oil and gas imports fell. </w:t>
            </w:r>
          </w:p>
        </w:tc>
        <w:tc>
          <w:tcPr>
            <w:tcW w:w="252" w:type="dxa"/>
          </w:tcPr>
          <w:p w14:paraId="2DE545D2" w14:textId="77777777" w:rsidR="00802430" w:rsidRPr="00884D55" w:rsidRDefault="00802430" w:rsidP="00802430">
            <w:pPr>
              <w:pStyle w:val="Textpoznpodarou"/>
              <w:jc w:val="both"/>
              <w:rPr>
                <w:spacing w:val="-4"/>
                <w:lang w:val="en-GB" w:eastAsia="en-US"/>
              </w:rPr>
            </w:pPr>
          </w:p>
        </w:tc>
        <w:tc>
          <w:tcPr>
            <w:tcW w:w="7677" w:type="dxa"/>
            <w:gridSpan w:val="3"/>
          </w:tcPr>
          <w:p w14:paraId="4FB442E9" w14:textId="77777777" w:rsidR="00802430" w:rsidRPr="00884D55" w:rsidRDefault="00802430" w:rsidP="00802430">
            <w:pPr>
              <w:spacing w:after="180"/>
              <w:rPr>
                <w:spacing w:val="-4"/>
                <w:lang w:val="en-GB" w:eastAsia="en-US"/>
              </w:rPr>
            </w:pPr>
            <w:bookmarkStart w:id="60" w:name="_Hlk194865706"/>
            <w:r w:rsidRPr="00884D55">
              <w:rPr>
                <w:spacing w:val="-4"/>
                <w:lang w:val="en-GB" w:eastAsia="en-US"/>
              </w:rPr>
              <w:t>Imports of computers, electronic and optical appliances and equipment (+52.5 bn CZK, 11.4%), food products (+26.6 bn, 12.1%), fabricated metal products (+19.8 bn, 10.1%), motor vehicles and parts (+14.0 bn, 2.1%) and basic pharmaceutical products (+10.7 bn, 8.3%) increased the most last year. In contrast, the value of imports of oil and natural gas fell significantly under the influence of price developments (−24.4 bn CZK, −13.4%). Imports of electrical equipment were significantly lower (−19.1 bn, −4.2%)</w:t>
            </w:r>
            <w:r w:rsidRPr="00884D55">
              <w:rPr>
                <w:rStyle w:val="Znakapoznpodarou"/>
                <w:spacing w:val="-4"/>
                <w:lang w:val="en-GB" w:eastAsia="en-US"/>
              </w:rPr>
              <w:footnoteReference w:id="76"/>
            </w:r>
            <w:r w:rsidRPr="00884D55">
              <w:rPr>
                <w:spacing w:val="-4"/>
                <w:lang w:val="en-GB" w:eastAsia="en-US"/>
              </w:rPr>
              <w:t xml:space="preserve"> and the weakening in domestic industry and the dampening of investment activity resulted in a decrease of imports of machinery and equipment (−18.4 bn, −4.5%). Imports of computers, electronic and optical appliances (see Table 3) and fabricated metal products increased considerably in Q4 alone. Imports of food products, electrical equipment and basic metals increased more modestly. Imports of oil and natural gas, machinery and equipment, and motor vehicles decreased, year-on-year. </w:t>
            </w:r>
            <w:bookmarkEnd w:id="60"/>
          </w:p>
        </w:tc>
      </w:tr>
      <w:tr w:rsidR="00802430" w:rsidRPr="00884D55" w14:paraId="45D75487" w14:textId="77777777" w:rsidTr="00803507">
        <w:trPr>
          <w:trHeight w:val="145"/>
        </w:trPr>
        <w:tc>
          <w:tcPr>
            <w:tcW w:w="1748" w:type="dxa"/>
            <w:hideMark/>
          </w:tcPr>
          <w:p w14:paraId="77FEE1CC" w14:textId="77777777" w:rsidR="00802430" w:rsidRPr="00884D55" w:rsidRDefault="00802430" w:rsidP="00802430">
            <w:pPr>
              <w:pStyle w:val="Marginlie"/>
              <w:rPr>
                <w:lang w:val="en-GB" w:eastAsia="en-US"/>
              </w:rPr>
            </w:pPr>
            <w:r w:rsidRPr="00884D55">
              <w:rPr>
                <w:lang w:val="en-GB" w:eastAsia="en-US"/>
              </w:rPr>
              <w:t xml:space="preserve">The international trade balance of goods reached a massive surplus last year. </w:t>
            </w:r>
          </w:p>
        </w:tc>
        <w:tc>
          <w:tcPr>
            <w:tcW w:w="252" w:type="dxa"/>
          </w:tcPr>
          <w:p w14:paraId="08293C0F" w14:textId="77777777" w:rsidR="00802430" w:rsidRPr="00884D55" w:rsidRDefault="00802430" w:rsidP="00802430">
            <w:pPr>
              <w:pStyle w:val="Textpoznpodarou"/>
              <w:jc w:val="both"/>
              <w:rPr>
                <w:spacing w:val="-4"/>
                <w:lang w:val="en-GB" w:eastAsia="en-US"/>
              </w:rPr>
            </w:pPr>
          </w:p>
        </w:tc>
        <w:tc>
          <w:tcPr>
            <w:tcW w:w="7677" w:type="dxa"/>
            <w:gridSpan w:val="3"/>
            <w:hideMark/>
          </w:tcPr>
          <w:p w14:paraId="30F1C31F" w14:textId="1EDBB384" w:rsidR="00802430" w:rsidRPr="00884D55" w:rsidRDefault="00802430" w:rsidP="00D8546D">
            <w:pPr>
              <w:spacing w:after="180"/>
              <w:rPr>
                <w:spacing w:val="-4"/>
                <w:lang w:val="en-GB" w:eastAsia="en-US"/>
              </w:rPr>
            </w:pPr>
            <w:bookmarkStart w:id="61" w:name="_Hlk194866154"/>
            <w:r w:rsidRPr="00884D55">
              <w:rPr>
                <w:spacing w:val="-4"/>
                <w:lang w:val="en-GB" w:eastAsia="en-US"/>
              </w:rPr>
              <w:t>The balance of international trade with goods cumulated since the beginning of the year reached a surplus of 228.0 bn CZK, which was the highest recorded value in the available time series. The surplus improved by 105.5 bn CZK, year-on-year. The recorded increase of surplus was achieved during Q1 to Q3 (+43.0 bn CZK, +35.4 bn CZK and +30.1 bn, respectively). The total balance of international trade with goods amounted to a surplus of 43.7 bn CZK in Q4 2024, which was a worse result</w:t>
            </w:r>
            <w:r w:rsidRPr="00884D55">
              <w:rPr>
                <w:rStyle w:val="Znakapoznpodarou"/>
                <w:spacing w:val="-4"/>
                <w:lang w:val="en-GB" w:eastAsia="en-US"/>
              </w:rPr>
              <w:footnoteReference w:id="77"/>
            </w:r>
            <w:r w:rsidRPr="00884D55">
              <w:rPr>
                <w:spacing w:val="-4"/>
                <w:lang w:val="en-GB" w:eastAsia="en-US"/>
              </w:rPr>
              <w:t xml:space="preserve"> by 2.9 bn CZK, year-on-year</w:t>
            </w:r>
            <w:r w:rsidR="00D8546D">
              <w:rPr>
                <w:spacing w:val="-4"/>
                <w:lang w:val="en-GB" w:eastAsia="en-US"/>
              </w:rPr>
              <w:t>.</w:t>
            </w:r>
            <w:r w:rsidRPr="00884D55">
              <w:rPr>
                <w:spacing w:val="-4"/>
                <w:lang w:val="en-GB" w:eastAsia="en-US"/>
              </w:rPr>
              <w:t xml:space="preserve"> According to seasonally adjusted data, the international trade surplus deteriorated, quarter-on-quarter, in Q4. </w:t>
            </w:r>
            <w:bookmarkEnd w:id="61"/>
          </w:p>
        </w:tc>
      </w:tr>
      <w:tr w:rsidR="00802430" w:rsidRPr="00884D55" w14:paraId="0ECF6AEA" w14:textId="77777777" w:rsidTr="00803507">
        <w:trPr>
          <w:trHeight w:val="170"/>
        </w:trPr>
        <w:tc>
          <w:tcPr>
            <w:tcW w:w="4811" w:type="dxa"/>
            <w:gridSpan w:val="3"/>
            <w:hideMark/>
          </w:tcPr>
          <w:p w14:paraId="583A460A" w14:textId="77777777" w:rsidR="00802430" w:rsidRPr="00884D55" w:rsidRDefault="00802430" w:rsidP="00802430">
            <w:pPr>
              <w:spacing w:after="0"/>
              <w:rPr>
                <w:rFonts w:cs="Arial"/>
                <w:b/>
                <w:bCs/>
                <w:color w:val="000000"/>
                <w:sz w:val="18"/>
                <w:szCs w:val="18"/>
                <w:lang w:val="en-GB" w:eastAsia="en-US"/>
              </w:rPr>
            </w:pPr>
            <w:r w:rsidRPr="00884D55">
              <w:rPr>
                <w:rFonts w:cs="Arial"/>
                <w:b/>
                <w:bCs/>
                <w:color w:val="000000"/>
                <w:sz w:val="18"/>
                <w:szCs w:val="18"/>
                <w:lang w:val="en-GB" w:eastAsia="en-US"/>
              </w:rPr>
              <w:t xml:space="preserve">Table 5 Sections of CPA classification with highest impact on international trade with goods balance development in Q4 2024 </w:t>
            </w:r>
            <w:r w:rsidRPr="00884D55">
              <w:rPr>
                <w:rFonts w:cs="Arial"/>
                <w:bCs/>
                <w:color w:val="000000"/>
                <w:sz w:val="18"/>
                <w:szCs w:val="18"/>
                <w:lang w:val="en-GB" w:eastAsia="en-US"/>
              </w:rPr>
              <w:t>(year-on-year)</w:t>
            </w:r>
          </w:p>
        </w:tc>
        <w:tc>
          <w:tcPr>
            <w:tcW w:w="57" w:type="dxa"/>
          </w:tcPr>
          <w:p w14:paraId="4E9DCD9E" w14:textId="77777777" w:rsidR="00802430" w:rsidRPr="00884D55" w:rsidRDefault="00802430" w:rsidP="00802430">
            <w:pPr>
              <w:spacing w:after="0"/>
              <w:rPr>
                <w:spacing w:val="-4"/>
                <w:lang w:val="en-GB" w:eastAsia="en-US"/>
              </w:rPr>
            </w:pPr>
          </w:p>
        </w:tc>
        <w:tc>
          <w:tcPr>
            <w:tcW w:w="4809" w:type="dxa"/>
            <w:hideMark/>
          </w:tcPr>
          <w:p w14:paraId="16E5F407" w14:textId="77777777" w:rsidR="00802430" w:rsidRPr="00884D55" w:rsidRDefault="00802430" w:rsidP="00802430">
            <w:pPr>
              <w:spacing w:after="0"/>
              <w:jc w:val="left"/>
              <w:rPr>
                <w:spacing w:val="-4"/>
                <w:sz w:val="18"/>
                <w:szCs w:val="18"/>
                <w:lang w:val="en-GB" w:eastAsia="en-US"/>
              </w:rPr>
            </w:pPr>
            <w:r w:rsidRPr="00884D55">
              <w:rPr>
                <w:rFonts w:cs="Arial"/>
                <w:b/>
                <w:bCs/>
                <w:color w:val="000000"/>
                <w:sz w:val="18"/>
                <w:szCs w:val="18"/>
                <w:lang w:val="en-GB" w:eastAsia="en-US"/>
              </w:rPr>
              <w:t xml:space="preserve">Table 6 Countries with highest impact on international trade with goods balance development in Q4 2024 </w:t>
            </w:r>
            <w:r w:rsidRPr="00884D55">
              <w:rPr>
                <w:rFonts w:cs="Arial"/>
                <w:bCs/>
                <w:color w:val="000000"/>
                <w:sz w:val="18"/>
                <w:szCs w:val="18"/>
                <w:lang w:val="en-GB" w:eastAsia="en-US"/>
              </w:rPr>
              <w:t>(year-on-year)</w:t>
            </w:r>
          </w:p>
        </w:tc>
      </w:tr>
      <w:tr w:rsidR="00802430" w:rsidRPr="00884D55" w14:paraId="20F398F4" w14:textId="77777777" w:rsidTr="00803507">
        <w:trPr>
          <w:trHeight w:val="170"/>
        </w:trPr>
        <w:tc>
          <w:tcPr>
            <w:tcW w:w="4811" w:type="dxa"/>
            <w:gridSpan w:val="3"/>
            <w:hideMark/>
          </w:tcPr>
          <w:tbl>
            <w:tblPr>
              <w:tblW w:w="4826" w:type="dxa"/>
              <w:tblLayout w:type="fixed"/>
              <w:tblCellMar>
                <w:left w:w="70" w:type="dxa"/>
                <w:right w:w="70" w:type="dxa"/>
              </w:tblCellMar>
              <w:tblLook w:val="04A0" w:firstRow="1" w:lastRow="0" w:firstColumn="1" w:lastColumn="0" w:noHBand="0" w:noVBand="1"/>
            </w:tblPr>
            <w:tblGrid>
              <w:gridCol w:w="4126"/>
              <w:gridCol w:w="700"/>
            </w:tblGrid>
            <w:tr w:rsidR="00802430" w:rsidRPr="00884D55" w14:paraId="01E9EA5B" w14:textId="77777777" w:rsidTr="00803507">
              <w:trPr>
                <w:trHeight w:val="255"/>
              </w:trPr>
              <w:tc>
                <w:tcPr>
                  <w:tcW w:w="4126" w:type="dxa"/>
                  <w:tcBorders>
                    <w:top w:val="nil"/>
                    <w:left w:val="nil"/>
                    <w:bottom w:val="single" w:sz="4" w:space="0" w:color="auto"/>
                    <w:right w:val="nil"/>
                  </w:tcBorders>
                  <w:shd w:val="clear" w:color="auto" w:fill="auto"/>
                  <w:noWrap/>
                  <w:vAlign w:val="bottom"/>
                  <w:hideMark/>
                </w:tcPr>
                <w:p w14:paraId="46455997" w14:textId="77777777" w:rsidR="00802430" w:rsidRPr="00884D55" w:rsidRDefault="00802430" w:rsidP="00802430">
                  <w:pPr>
                    <w:spacing w:after="0" w:line="240" w:lineRule="auto"/>
                    <w:jc w:val="left"/>
                    <w:rPr>
                      <w:rFonts w:cs="Arial"/>
                      <w:color w:val="000000"/>
                      <w:sz w:val="16"/>
                      <w:szCs w:val="16"/>
                      <w:lang w:val="en-GB"/>
                    </w:rPr>
                  </w:pPr>
                </w:p>
              </w:tc>
              <w:tc>
                <w:tcPr>
                  <w:tcW w:w="700" w:type="dxa"/>
                  <w:tcBorders>
                    <w:top w:val="nil"/>
                    <w:left w:val="nil"/>
                    <w:bottom w:val="single" w:sz="4" w:space="0" w:color="auto"/>
                    <w:right w:val="nil"/>
                  </w:tcBorders>
                  <w:shd w:val="clear" w:color="auto" w:fill="auto"/>
                  <w:noWrap/>
                  <w:vAlign w:val="bottom"/>
                  <w:hideMark/>
                </w:tcPr>
                <w:p w14:paraId="6D8AD3BD"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bn CZK</w:t>
                  </w:r>
                </w:p>
              </w:tc>
            </w:tr>
            <w:tr w:rsidR="00802430" w:rsidRPr="00884D55" w14:paraId="4D6601F0" w14:textId="77777777" w:rsidTr="00803507">
              <w:trPr>
                <w:trHeight w:val="255"/>
              </w:trPr>
              <w:tc>
                <w:tcPr>
                  <w:tcW w:w="4126" w:type="dxa"/>
                  <w:tcBorders>
                    <w:top w:val="nil"/>
                    <w:left w:val="nil"/>
                    <w:bottom w:val="nil"/>
                    <w:right w:val="nil"/>
                  </w:tcBorders>
                  <w:shd w:val="clear" w:color="auto" w:fill="auto"/>
                  <w:noWrap/>
                  <w:vAlign w:val="bottom"/>
                  <w:hideMark/>
                </w:tcPr>
                <w:p w14:paraId="05D05FBB"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Oil and natural gas</w:t>
                  </w:r>
                </w:p>
              </w:tc>
              <w:tc>
                <w:tcPr>
                  <w:tcW w:w="700" w:type="dxa"/>
                  <w:tcBorders>
                    <w:top w:val="nil"/>
                    <w:left w:val="nil"/>
                    <w:bottom w:val="nil"/>
                    <w:right w:val="nil"/>
                  </w:tcBorders>
                  <w:shd w:val="clear" w:color="auto" w:fill="auto"/>
                  <w:noWrap/>
                  <w:vAlign w:val="bottom"/>
                  <w:hideMark/>
                </w:tcPr>
                <w:p w14:paraId="25F5450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+9.8</w:t>
                  </w:r>
                </w:p>
              </w:tc>
            </w:tr>
            <w:tr w:rsidR="00802430" w:rsidRPr="00884D55" w14:paraId="0E9BA062" w14:textId="77777777" w:rsidTr="00803507">
              <w:trPr>
                <w:trHeight w:val="255"/>
              </w:trPr>
              <w:tc>
                <w:tcPr>
                  <w:tcW w:w="4126" w:type="dxa"/>
                  <w:tcBorders>
                    <w:top w:val="nil"/>
                    <w:left w:val="nil"/>
                    <w:bottom w:val="nil"/>
                    <w:right w:val="nil"/>
                  </w:tcBorders>
                  <w:shd w:val="clear" w:color="auto" w:fill="auto"/>
                  <w:noWrap/>
                  <w:vAlign w:val="bottom"/>
                  <w:hideMark/>
                </w:tcPr>
                <w:p w14:paraId="5D652E10"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Motor vehicles (except for motorcycles) and parts</w:t>
                  </w:r>
                </w:p>
              </w:tc>
              <w:tc>
                <w:tcPr>
                  <w:tcW w:w="700" w:type="dxa"/>
                  <w:tcBorders>
                    <w:top w:val="nil"/>
                    <w:left w:val="nil"/>
                    <w:bottom w:val="nil"/>
                    <w:right w:val="nil"/>
                  </w:tcBorders>
                  <w:shd w:val="clear" w:color="auto" w:fill="auto"/>
                  <w:noWrap/>
                  <w:vAlign w:val="bottom"/>
                  <w:hideMark/>
                </w:tcPr>
                <w:p w14:paraId="0DA5041E"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+4.7</w:t>
                  </w:r>
                </w:p>
              </w:tc>
            </w:tr>
            <w:tr w:rsidR="00802430" w:rsidRPr="00884D55" w14:paraId="52796B41" w14:textId="77777777" w:rsidTr="00803507">
              <w:trPr>
                <w:trHeight w:val="255"/>
              </w:trPr>
              <w:tc>
                <w:tcPr>
                  <w:tcW w:w="4126" w:type="dxa"/>
                  <w:tcBorders>
                    <w:top w:val="nil"/>
                    <w:left w:val="nil"/>
                    <w:bottom w:val="nil"/>
                    <w:right w:val="nil"/>
                  </w:tcBorders>
                  <w:shd w:val="clear" w:color="auto" w:fill="auto"/>
                  <w:noWrap/>
                  <w:vAlign w:val="bottom"/>
                  <w:hideMark/>
                </w:tcPr>
                <w:p w14:paraId="03648CE6"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Electrical equipment</w:t>
                  </w:r>
                </w:p>
              </w:tc>
              <w:tc>
                <w:tcPr>
                  <w:tcW w:w="700" w:type="dxa"/>
                  <w:tcBorders>
                    <w:top w:val="nil"/>
                    <w:left w:val="nil"/>
                    <w:bottom w:val="nil"/>
                    <w:right w:val="nil"/>
                  </w:tcBorders>
                  <w:shd w:val="clear" w:color="auto" w:fill="auto"/>
                  <w:noWrap/>
                  <w:vAlign w:val="bottom"/>
                  <w:hideMark/>
                </w:tcPr>
                <w:p w14:paraId="437DF6FF"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+4.1</w:t>
                  </w:r>
                </w:p>
              </w:tc>
            </w:tr>
            <w:tr w:rsidR="00802430" w:rsidRPr="00884D55" w14:paraId="09983B45" w14:textId="77777777" w:rsidTr="00803507">
              <w:trPr>
                <w:trHeight w:val="255"/>
              </w:trPr>
              <w:tc>
                <w:tcPr>
                  <w:tcW w:w="4126" w:type="dxa"/>
                  <w:tcBorders>
                    <w:top w:val="nil"/>
                    <w:left w:val="nil"/>
                    <w:bottom w:val="nil"/>
                    <w:right w:val="nil"/>
                  </w:tcBorders>
                  <w:shd w:val="clear" w:color="auto" w:fill="auto"/>
                  <w:noWrap/>
                  <w:vAlign w:val="bottom"/>
                  <w:hideMark/>
                </w:tcPr>
                <w:p w14:paraId="1714758E"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Electricity, gas, steam and air conditioning</w:t>
                  </w:r>
                </w:p>
              </w:tc>
              <w:tc>
                <w:tcPr>
                  <w:tcW w:w="700" w:type="dxa"/>
                  <w:tcBorders>
                    <w:top w:val="nil"/>
                    <w:left w:val="nil"/>
                    <w:bottom w:val="nil"/>
                    <w:right w:val="nil"/>
                  </w:tcBorders>
                  <w:shd w:val="clear" w:color="auto" w:fill="auto"/>
                  <w:noWrap/>
                  <w:vAlign w:val="bottom"/>
                  <w:hideMark/>
                </w:tcPr>
                <w:p w14:paraId="06EE935E"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+3.3</w:t>
                  </w:r>
                </w:p>
              </w:tc>
            </w:tr>
            <w:tr w:rsidR="00802430" w:rsidRPr="00884D55" w14:paraId="5457AB84" w14:textId="77777777" w:rsidTr="00803507">
              <w:trPr>
                <w:trHeight w:val="255"/>
              </w:trPr>
              <w:tc>
                <w:tcPr>
                  <w:tcW w:w="4126" w:type="dxa"/>
                  <w:tcBorders>
                    <w:top w:val="nil"/>
                    <w:left w:val="nil"/>
                    <w:bottom w:val="nil"/>
                    <w:right w:val="nil"/>
                  </w:tcBorders>
                  <w:shd w:val="clear" w:color="auto" w:fill="auto"/>
                  <w:noWrap/>
                  <w:vAlign w:val="bottom"/>
                  <w:hideMark/>
                </w:tcPr>
                <w:p w14:paraId="3026696F"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Other transport and equipment</w:t>
                  </w:r>
                </w:p>
              </w:tc>
              <w:tc>
                <w:tcPr>
                  <w:tcW w:w="700" w:type="dxa"/>
                  <w:tcBorders>
                    <w:top w:val="nil"/>
                    <w:left w:val="nil"/>
                    <w:bottom w:val="nil"/>
                    <w:right w:val="nil"/>
                  </w:tcBorders>
                  <w:shd w:val="clear" w:color="auto" w:fill="auto"/>
                  <w:noWrap/>
                  <w:vAlign w:val="bottom"/>
                  <w:hideMark/>
                </w:tcPr>
                <w:p w14:paraId="4CA796F9"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+2.5</w:t>
                  </w:r>
                </w:p>
              </w:tc>
            </w:tr>
            <w:tr w:rsidR="00802430" w:rsidRPr="00884D55" w14:paraId="4BD45DCE" w14:textId="77777777" w:rsidTr="00803507">
              <w:trPr>
                <w:trHeight w:val="255"/>
              </w:trPr>
              <w:tc>
                <w:tcPr>
                  <w:tcW w:w="4126" w:type="dxa"/>
                  <w:tcBorders>
                    <w:top w:val="nil"/>
                    <w:left w:val="nil"/>
                    <w:bottom w:val="nil"/>
                    <w:right w:val="nil"/>
                  </w:tcBorders>
                  <w:shd w:val="clear" w:color="auto" w:fill="auto"/>
                  <w:noWrap/>
                  <w:vAlign w:val="bottom"/>
                  <w:hideMark/>
                </w:tcPr>
                <w:p w14:paraId="425BD7B8"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Chemicals and chemical products</w:t>
                  </w:r>
                </w:p>
              </w:tc>
              <w:tc>
                <w:tcPr>
                  <w:tcW w:w="700" w:type="dxa"/>
                  <w:tcBorders>
                    <w:top w:val="nil"/>
                    <w:left w:val="nil"/>
                    <w:bottom w:val="nil"/>
                    <w:right w:val="nil"/>
                  </w:tcBorders>
                  <w:shd w:val="clear" w:color="auto" w:fill="auto"/>
                  <w:noWrap/>
                  <w:vAlign w:val="bottom"/>
                  <w:hideMark/>
                </w:tcPr>
                <w:p w14:paraId="586F95D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+2.4</w:t>
                  </w:r>
                </w:p>
              </w:tc>
            </w:tr>
            <w:tr w:rsidR="00802430" w:rsidRPr="00884D55" w14:paraId="4D187E4F" w14:textId="77777777" w:rsidTr="00803507">
              <w:trPr>
                <w:trHeight w:val="255"/>
              </w:trPr>
              <w:tc>
                <w:tcPr>
                  <w:tcW w:w="4126" w:type="dxa"/>
                  <w:tcBorders>
                    <w:top w:val="nil"/>
                    <w:left w:val="nil"/>
                    <w:bottom w:val="nil"/>
                    <w:right w:val="nil"/>
                  </w:tcBorders>
                  <w:shd w:val="clear" w:color="auto" w:fill="auto"/>
                  <w:noWrap/>
                  <w:vAlign w:val="bottom"/>
                  <w:hideMark/>
                </w:tcPr>
                <w:p w14:paraId="2D1F759D"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Rubber and plastic products</w:t>
                  </w:r>
                </w:p>
              </w:tc>
              <w:tc>
                <w:tcPr>
                  <w:tcW w:w="700" w:type="dxa"/>
                  <w:tcBorders>
                    <w:top w:val="nil"/>
                    <w:left w:val="nil"/>
                    <w:bottom w:val="nil"/>
                    <w:right w:val="nil"/>
                  </w:tcBorders>
                  <w:shd w:val="clear" w:color="auto" w:fill="auto"/>
                  <w:noWrap/>
                  <w:vAlign w:val="bottom"/>
                  <w:hideMark/>
                </w:tcPr>
                <w:p w14:paraId="2AEFD05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+1.9</w:t>
                  </w:r>
                </w:p>
              </w:tc>
            </w:tr>
            <w:tr w:rsidR="00802430" w:rsidRPr="00884D55" w14:paraId="4F07FA3A" w14:textId="77777777" w:rsidTr="00803507">
              <w:trPr>
                <w:trHeight w:val="255"/>
              </w:trPr>
              <w:tc>
                <w:tcPr>
                  <w:tcW w:w="4126" w:type="dxa"/>
                  <w:tcBorders>
                    <w:top w:val="nil"/>
                    <w:left w:val="nil"/>
                    <w:bottom w:val="nil"/>
                    <w:right w:val="nil"/>
                  </w:tcBorders>
                  <w:shd w:val="clear" w:color="auto" w:fill="auto"/>
                  <w:noWrap/>
                  <w:vAlign w:val="bottom"/>
                  <w:hideMark/>
                </w:tcPr>
                <w:p w14:paraId="3FB27B56"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Black and brown coal and lignite</w:t>
                  </w:r>
                </w:p>
              </w:tc>
              <w:tc>
                <w:tcPr>
                  <w:tcW w:w="700" w:type="dxa"/>
                  <w:tcBorders>
                    <w:top w:val="nil"/>
                    <w:left w:val="nil"/>
                    <w:bottom w:val="nil"/>
                    <w:right w:val="nil"/>
                  </w:tcBorders>
                  <w:shd w:val="clear" w:color="auto" w:fill="auto"/>
                  <w:noWrap/>
                  <w:vAlign w:val="bottom"/>
                  <w:hideMark/>
                </w:tcPr>
                <w:p w14:paraId="3D32558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+1.0</w:t>
                  </w:r>
                </w:p>
              </w:tc>
            </w:tr>
            <w:tr w:rsidR="00802430" w:rsidRPr="00884D55" w14:paraId="19FDC4C7" w14:textId="77777777" w:rsidTr="00803507">
              <w:trPr>
                <w:trHeight w:val="255"/>
              </w:trPr>
              <w:tc>
                <w:tcPr>
                  <w:tcW w:w="4126" w:type="dxa"/>
                  <w:tcBorders>
                    <w:top w:val="nil"/>
                    <w:left w:val="nil"/>
                    <w:bottom w:val="nil"/>
                    <w:right w:val="nil"/>
                  </w:tcBorders>
                  <w:shd w:val="clear" w:color="auto" w:fill="auto"/>
                  <w:noWrap/>
                  <w:vAlign w:val="bottom"/>
                  <w:hideMark/>
                </w:tcPr>
                <w:p w14:paraId="00176947"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Leather and associated products</w:t>
                  </w:r>
                </w:p>
              </w:tc>
              <w:tc>
                <w:tcPr>
                  <w:tcW w:w="700" w:type="dxa"/>
                  <w:tcBorders>
                    <w:top w:val="nil"/>
                    <w:left w:val="nil"/>
                    <w:bottom w:val="nil"/>
                    <w:right w:val="nil"/>
                  </w:tcBorders>
                  <w:shd w:val="clear" w:color="auto" w:fill="auto"/>
                  <w:noWrap/>
                  <w:vAlign w:val="bottom"/>
                  <w:hideMark/>
                </w:tcPr>
                <w:p w14:paraId="1D2E72FB"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−1.2</w:t>
                  </w:r>
                </w:p>
              </w:tc>
            </w:tr>
            <w:tr w:rsidR="00802430" w:rsidRPr="00884D55" w14:paraId="7A8E7C5F" w14:textId="77777777" w:rsidTr="00803507">
              <w:trPr>
                <w:trHeight w:val="255"/>
              </w:trPr>
              <w:tc>
                <w:tcPr>
                  <w:tcW w:w="4126" w:type="dxa"/>
                  <w:tcBorders>
                    <w:top w:val="nil"/>
                    <w:left w:val="nil"/>
                    <w:bottom w:val="nil"/>
                    <w:right w:val="nil"/>
                  </w:tcBorders>
                  <w:shd w:val="clear" w:color="auto" w:fill="auto"/>
                  <w:noWrap/>
                  <w:vAlign w:val="bottom"/>
                  <w:hideMark/>
                </w:tcPr>
                <w:p w14:paraId="3772D33F"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Tobacco products</w:t>
                  </w:r>
                </w:p>
              </w:tc>
              <w:tc>
                <w:tcPr>
                  <w:tcW w:w="700" w:type="dxa"/>
                  <w:tcBorders>
                    <w:top w:val="nil"/>
                    <w:left w:val="nil"/>
                    <w:bottom w:val="nil"/>
                    <w:right w:val="nil"/>
                  </w:tcBorders>
                  <w:shd w:val="clear" w:color="auto" w:fill="auto"/>
                  <w:noWrap/>
                  <w:vAlign w:val="bottom"/>
                  <w:hideMark/>
                </w:tcPr>
                <w:p w14:paraId="4B1EE044"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−1.5</w:t>
                  </w:r>
                </w:p>
              </w:tc>
            </w:tr>
            <w:tr w:rsidR="00802430" w:rsidRPr="00884D55" w14:paraId="63B57892" w14:textId="77777777" w:rsidTr="00803507">
              <w:trPr>
                <w:trHeight w:val="255"/>
              </w:trPr>
              <w:tc>
                <w:tcPr>
                  <w:tcW w:w="4126" w:type="dxa"/>
                  <w:tcBorders>
                    <w:top w:val="nil"/>
                    <w:left w:val="nil"/>
                    <w:bottom w:val="nil"/>
                    <w:right w:val="nil"/>
                  </w:tcBorders>
                  <w:shd w:val="clear" w:color="auto" w:fill="auto"/>
                  <w:noWrap/>
                  <w:vAlign w:val="bottom"/>
                  <w:hideMark/>
                </w:tcPr>
                <w:p w14:paraId="47464963"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Food products</w:t>
                  </w:r>
                </w:p>
              </w:tc>
              <w:tc>
                <w:tcPr>
                  <w:tcW w:w="700" w:type="dxa"/>
                  <w:tcBorders>
                    <w:top w:val="nil"/>
                    <w:left w:val="nil"/>
                    <w:bottom w:val="nil"/>
                    <w:right w:val="nil"/>
                  </w:tcBorders>
                  <w:shd w:val="clear" w:color="auto" w:fill="auto"/>
                  <w:noWrap/>
                  <w:vAlign w:val="bottom"/>
                  <w:hideMark/>
                </w:tcPr>
                <w:p w14:paraId="6E7A44FC"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−1.8</w:t>
                  </w:r>
                </w:p>
              </w:tc>
            </w:tr>
            <w:tr w:rsidR="00802430" w:rsidRPr="00884D55" w14:paraId="425AD85D" w14:textId="77777777" w:rsidTr="00803507">
              <w:trPr>
                <w:trHeight w:val="255"/>
              </w:trPr>
              <w:tc>
                <w:tcPr>
                  <w:tcW w:w="4126" w:type="dxa"/>
                  <w:tcBorders>
                    <w:top w:val="nil"/>
                    <w:left w:val="nil"/>
                    <w:bottom w:val="nil"/>
                    <w:right w:val="nil"/>
                  </w:tcBorders>
                  <w:shd w:val="clear" w:color="auto" w:fill="auto"/>
                  <w:noWrap/>
                  <w:vAlign w:val="bottom"/>
                  <w:hideMark/>
                </w:tcPr>
                <w:p w14:paraId="43DF7126"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Agricultural and gamekeeping products</w:t>
                  </w:r>
                </w:p>
              </w:tc>
              <w:tc>
                <w:tcPr>
                  <w:tcW w:w="700" w:type="dxa"/>
                  <w:tcBorders>
                    <w:top w:val="nil"/>
                    <w:left w:val="nil"/>
                    <w:bottom w:val="nil"/>
                    <w:right w:val="nil"/>
                  </w:tcBorders>
                  <w:shd w:val="clear" w:color="auto" w:fill="auto"/>
                  <w:noWrap/>
                  <w:vAlign w:val="bottom"/>
                  <w:hideMark/>
                </w:tcPr>
                <w:p w14:paraId="6E049F29"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−2.0</w:t>
                  </w:r>
                </w:p>
              </w:tc>
            </w:tr>
            <w:tr w:rsidR="00802430" w:rsidRPr="00884D55" w14:paraId="598EEB66" w14:textId="77777777" w:rsidTr="00803507">
              <w:trPr>
                <w:trHeight w:val="255"/>
              </w:trPr>
              <w:tc>
                <w:tcPr>
                  <w:tcW w:w="4126" w:type="dxa"/>
                  <w:tcBorders>
                    <w:top w:val="nil"/>
                    <w:left w:val="nil"/>
                    <w:bottom w:val="nil"/>
                    <w:right w:val="nil"/>
                  </w:tcBorders>
                  <w:shd w:val="clear" w:color="auto" w:fill="auto"/>
                  <w:noWrap/>
                  <w:vAlign w:val="bottom"/>
                  <w:hideMark/>
                </w:tcPr>
                <w:p w14:paraId="322B33FD"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Computers, electr. and opt. appliances and equipment</w:t>
                  </w:r>
                </w:p>
              </w:tc>
              <w:tc>
                <w:tcPr>
                  <w:tcW w:w="700" w:type="dxa"/>
                  <w:tcBorders>
                    <w:top w:val="nil"/>
                    <w:left w:val="nil"/>
                    <w:bottom w:val="nil"/>
                    <w:right w:val="nil"/>
                  </w:tcBorders>
                  <w:shd w:val="clear" w:color="auto" w:fill="auto"/>
                  <w:noWrap/>
                  <w:vAlign w:val="bottom"/>
                  <w:hideMark/>
                </w:tcPr>
                <w:p w14:paraId="3E764056"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−5.0</w:t>
                  </w:r>
                </w:p>
              </w:tc>
            </w:tr>
            <w:tr w:rsidR="00802430" w:rsidRPr="00884D55" w14:paraId="55A5A528" w14:textId="77777777" w:rsidTr="00803507">
              <w:trPr>
                <w:trHeight w:val="255"/>
              </w:trPr>
              <w:tc>
                <w:tcPr>
                  <w:tcW w:w="4126" w:type="dxa"/>
                  <w:tcBorders>
                    <w:top w:val="nil"/>
                    <w:left w:val="nil"/>
                    <w:bottom w:val="nil"/>
                    <w:right w:val="nil"/>
                  </w:tcBorders>
                  <w:shd w:val="clear" w:color="auto" w:fill="auto"/>
                  <w:noWrap/>
                  <w:vAlign w:val="bottom"/>
                  <w:hideMark/>
                </w:tcPr>
                <w:p w14:paraId="5AE97ED2"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Basic metals</w:t>
                  </w:r>
                </w:p>
              </w:tc>
              <w:tc>
                <w:tcPr>
                  <w:tcW w:w="700" w:type="dxa"/>
                  <w:tcBorders>
                    <w:top w:val="nil"/>
                    <w:left w:val="nil"/>
                    <w:bottom w:val="nil"/>
                    <w:right w:val="nil"/>
                  </w:tcBorders>
                  <w:shd w:val="clear" w:color="auto" w:fill="auto"/>
                  <w:noWrap/>
                  <w:vAlign w:val="bottom"/>
                  <w:hideMark/>
                </w:tcPr>
                <w:p w14:paraId="4AB3252A"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−5.5</w:t>
                  </w:r>
                </w:p>
              </w:tc>
            </w:tr>
            <w:tr w:rsidR="00802430" w:rsidRPr="00884D55" w14:paraId="5932AAD8" w14:textId="77777777" w:rsidTr="00803507">
              <w:trPr>
                <w:trHeight w:val="255"/>
              </w:trPr>
              <w:tc>
                <w:tcPr>
                  <w:tcW w:w="4126" w:type="dxa"/>
                  <w:tcBorders>
                    <w:top w:val="nil"/>
                    <w:left w:val="nil"/>
                    <w:bottom w:val="nil"/>
                    <w:right w:val="nil"/>
                  </w:tcBorders>
                  <w:shd w:val="clear" w:color="auto" w:fill="auto"/>
                  <w:noWrap/>
                  <w:vAlign w:val="bottom"/>
                  <w:hideMark/>
                </w:tcPr>
                <w:p w14:paraId="4EBDD4C2"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Metalworking products except for machinery and equipment</w:t>
                  </w:r>
                </w:p>
              </w:tc>
              <w:tc>
                <w:tcPr>
                  <w:tcW w:w="700" w:type="dxa"/>
                  <w:tcBorders>
                    <w:top w:val="nil"/>
                    <w:left w:val="nil"/>
                    <w:bottom w:val="nil"/>
                    <w:right w:val="nil"/>
                  </w:tcBorders>
                  <w:shd w:val="clear" w:color="auto" w:fill="auto"/>
                  <w:noWrap/>
                  <w:vAlign w:val="bottom"/>
                  <w:hideMark/>
                </w:tcPr>
                <w:p w14:paraId="6397FF86"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−14.1</w:t>
                  </w:r>
                </w:p>
              </w:tc>
            </w:tr>
          </w:tbl>
          <w:p w14:paraId="07D10148" w14:textId="77777777" w:rsidR="00802430" w:rsidRPr="00884D55" w:rsidRDefault="00802430" w:rsidP="00802430">
            <w:pPr>
              <w:spacing w:after="0"/>
              <w:rPr>
                <w:spacing w:val="-4"/>
                <w:lang w:val="en-GB" w:eastAsia="en-US"/>
              </w:rPr>
            </w:pPr>
          </w:p>
        </w:tc>
        <w:tc>
          <w:tcPr>
            <w:tcW w:w="57" w:type="dxa"/>
          </w:tcPr>
          <w:p w14:paraId="782ACE57" w14:textId="77777777" w:rsidR="00802430" w:rsidRPr="00884D55" w:rsidRDefault="00802430" w:rsidP="00802430">
            <w:pPr>
              <w:spacing w:after="0"/>
              <w:rPr>
                <w:spacing w:val="-4"/>
                <w:lang w:val="en-GB" w:eastAsia="en-US"/>
              </w:rPr>
            </w:pPr>
          </w:p>
        </w:tc>
        <w:tc>
          <w:tcPr>
            <w:tcW w:w="4809" w:type="dxa"/>
            <w:hideMark/>
          </w:tcPr>
          <w:tbl>
            <w:tblPr>
              <w:tblW w:w="4771" w:type="dxa"/>
              <w:tblLayout w:type="fixed"/>
              <w:tblCellMar>
                <w:left w:w="70" w:type="dxa"/>
                <w:right w:w="70" w:type="dxa"/>
              </w:tblCellMar>
              <w:tblLook w:val="04A0" w:firstRow="1" w:lastRow="0" w:firstColumn="1" w:lastColumn="0" w:noHBand="0" w:noVBand="1"/>
            </w:tblPr>
            <w:tblGrid>
              <w:gridCol w:w="4071"/>
              <w:gridCol w:w="700"/>
            </w:tblGrid>
            <w:tr w:rsidR="00802430" w:rsidRPr="00884D55" w14:paraId="587A6F40" w14:textId="77777777" w:rsidTr="00803507">
              <w:trPr>
                <w:trHeight w:val="255"/>
              </w:trPr>
              <w:tc>
                <w:tcPr>
                  <w:tcW w:w="4071" w:type="dxa"/>
                  <w:tcBorders>
                    <w:top w:val="nil"/>
                    <w:left w:val="nil"/>
                    <w:bottom w:val="single" w:sz="4" w:space="0" w:color="auto"/>
                    <w:right w:val="nil"/>
                  </w:tcBorders>
                  <w:shd w:val="clear" w:color="auto" w:fill="auto"/>
                  <w:noWrap/>
                  <w:vAlign w:val="bottom"/>
                  <w:hideMark/>
                </w:tcPr>
                <w:p w14:paraId="1D3ADFBC" w14:textId="77777777" w:rsidR="00802430" w:rsidRPr="00884D55" w:rsidRDefault="00802430" w:rsidP="00802430">
                  <w:pPr>
                    <w:spacing w:after="0" w:line="240" w:lineRule="auto"/>
                    <w:jc w:val="left"/>
                    <w:rPr>
                      <w:rFonts w:cs="Arial"/>
                      <w:color w:val="000000"/>
                      <w:szCs w:val="20"/>
                      <w:lang w:val="en-GB"/>
                    </w:rPr>
                  </w:pPr>
                </w:p>
              </w:tc>
              <w:tc>
                <w:tcPr>
                  <w:tcW w:w="700" w:type="dxa"/>
                  <w:tcBorders>
                    <w:top w:val="nil"/>
                    <w:left w:val="nil"/>
                    <w:bottom w:val="single" w:sz="4" w:space="0" w:color="auto"/>
                    <w:right w:val="nil"/>
                  </w:tcBorders>
                  <w:shd w:val="clear" w:color="auto" w:fill="auto"/>
                  <w:noWrap/>
                  <w:vAlign w:val="bottom"/>
                  <w:hideMark/>
                </w:tcPr>
                <w:p w14:paraId="76A5FA26"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bn CZK</w:t>
                  </w:r>
                </w:p>
              </w:tc>
            </w:tr>
            <w:tr w:rsidR="00802430" w:rsidRPr="00884D55" w14:paraId="78536B67" w14:textId="77777777" w:rsidTr="00803507">
              <w:trPr>
                <w:trHeight w:val="255"/>
              </w:trPr>
              <w:tc>
                <w:tcPr>
                  <w:tcW w:w="4071" w:type="dxa"/>
                  <w:tcBorders>
                    <w:top w:val="nil"/>
                    <w:left w:val="nil"/>
                    <w:bottom w:val="nil"/>
                    <w:right w:val="nil"/>
                  </w:tcBorders>
                  <w:shd w:val="clear" w:color="auto" w:fill="auto"/>
                  <w:noWrap/>
                  <w:vAlign w:val="bottom"/>
                  <w:hideMark/>
                </w:tcPr>
                <w:p w14:paraId="6C0AD65F"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Norway</w:t>
                  </w:r>
                </w:p>
              </w:tc>
              <w:tc>
                <w:tcPr>
                  <w:tcW w:w="700" w:type="dxa"/>
                  <w:tcBorders>
                    <w:top w:val="nil"/>
                    <w:left w:val="nil"/>
                    <w:bottom w:val="nil"/>
                    <w:right w:val="nil"/>
                  </w:tcBorders>
                  <w:shd w:val="clear" w:color="auto" w:fill="auto"/>
                  <w:noWrap/>
                  <w:vAlign w:val="bottom"/>
                  <w:hideMark/>
                </w:tcPr>
                <w:p w14:paraId="76CED87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+9.8</w:t>
                  </w:r>
                </w:p>
              </w:tc>
            </w:tr>
            <w:tr w:rsidR="00802430" w:rsidRPr="00884D55" w14:paraId="605011A2" w14:textId="77777777" w:rsidTr="00803507">
              <w:trPr>
                <w:trHeight w:val="255"/>
              </w:trPr>
              <w:tc>
                <w:tcPr>
                  <w:tcW w:w="4071" w:type="dxa"/>
                  <w:tcBorders>
                    <w:top w:val="nil"/>
                    <w:left w:val="nil"/>
                    <w:bottom w:val="nil"/>
                    <w:right w:val="nil"/>
                  </w:tcBorders>
                  <w:shd w:val="clear" w:color="auto" w:fill="auto"/>
                  <w:noWrap/>
                  <w:vAlign w:val="bottom"/>
                  <w:hideMark/>
                </w:tcPr>
                <w:p w14:paraId="334C3957"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United States of America</w:t>
                  </w:r>
                </w:p>
              </w:tc>
              <w:tc>
                <w:tcPr>
                  <w:tcW w:w="700" w:type="dxa"/>
                  <w:tcBorders>
                    <w:top w:val="nil"/>
                    <w:left w:val="nil"/>
                    <w:bottom w:val="nil"/>
                    <w:right w:val="nil"/>
                  </w:tcBorders>
                  <w:shd w:val="clear" w:color="auto" w:fill="auto"/>
                  <w:noWrap/>
                  <w:vAlign w:val="bottom"/>
                  <w:hideMark/>
                </w:tcPr>
                <w:p w14:paraId="0E40A03E"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+8.7</w:t>
                  </w:r>
                </w:p>
              </w:tc>
            </w:tr>
            <w:tr w:rsidR="00802430" w:rsidRPr="00884D55" w14:paraId="68FE2024" w14:textId="77777777" w:rsidTr="00803507">
              <w:trPr>
                <w:trHeight w:val="255"/>
              </w:trPr>
              <w:tc>
                <w:tcPr>
                  <w:tcW w:w="4071" w:type="dxa"/>
                  <w:tcBorders>
                    <w:top w:val="nil"/>
                    <w:left w:val="nil"/>
                    <w:bottom w:val="nil"/>
                    <w:right w:val="nil"/>
                  </w:tcBorders>
                  <w:shd w:val="clear" w:color="auto" w:fill="auto"/>
                  <w:noWrap/>
                  <w:vAlign w:val="bottom"/>
                  <w:hideMark/>
                </w:tcPr>
                <w:p w14:paraId="7AC16D02"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Great Britain</w:t>
                  </w:r>
                </w:p>
              </w:tc>
              <w:tc>
                <w:tcPr>
                  <w:tcW w:w="700" w:type="dxa"/>
                  <w:tcBorders>
                    <w:top w:val="nil"/>
                    <w:left w:val="nil"/>
                    <w:bottom w:val="nil"/>
                    <w:right w:val="nil"/>
                  </w:tcBorders>
                  <w:shd w:val="clear" w:color="auto" w:fill="auto"/>
                  <w:noWrap/>
                  <w:vAlign w:val="bottom"/>
                  <w:hideMark/>
                </w:tcPr>
                <w:p w14:paraId="697FDAEA"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+8.6</w:t>
                  </w:r>
                </w:p>
              </w:tc>
            </w:tr>
            <w:tr w:rsidR="00802430" w:rsidRPr="00884D55" w14:paraId="6DA61CD5" w14:textId="77777777" w:rsidTr="00803507">
              <w:trPr>
                <w:trHeight w:val="255"/>
              </w:trPr>
              <w:tc>
                <w:tcPr>
                  <w:tcW w:w="4071" w:type="dxa"/>
                  <w:tcBorders>
                    <w:top w:val="nil"/>
                    <w:left w:val="nil"/>
                    <w:bottom w:val="nil"/>
                    <w:right w:val="nil"/>
                  </w:tcBorders>
                  <w:shd w:val="clear" w:color="auto" w:fill="auto"/>
                  <w:noWrap/>
                  <w:vAlign w:val="bottom"/>
                  <w:hideMark/>
                </w:tcPr>
                <w:p w14:paraId="7823FCCF"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Israel</w:t>
                  </w:r>
                </w:p>
              </w:tc>
              <w:tc>
                <w:tcPr>
                  <w:tcW w:w="700" w:type="dxa"/>
                  <w:tcBorders>
                    <w:top w:val="nil"/>
                    <w:left w:val="nil"/>
                    <w:bottom w:val="nil"/>
                    <w:right w:val="nil"/>
                  </w:tcBorders>
                  <w:shd w:val="clear" w:color="auto" w:fill="auto"/>
                  <w:noWrap/>
                  <w:vAlign w:val="bottom"/>
                  <w:hideMark/>
                </w:tcPr>
                <w:p w14:paraId="17A69B72"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+4.1</w:t>
                  </w:r>
                </w:p>
              </w:tc>
            </w:tr>
            <w:tr w:rsidR="00802430" w:rsidRPr="00884D55" w14:paraId="77AE806F" w14:textId="77777777" w:rsidTr="00803507">
              <w:trPr>
                <w:trHeight w:val="255"/>
              </w:trPr>
              <w:tc>
                <w:tcPr>
                  <w:tcW w:w="4071" w:type="dxa"/>
                  <w:tcBorders>
                    <w:top w:val="nil"/>
                    <w:left w:val="nil"/>
                    <w:bottom w:val="nil"/>
                    <w:right w:val="nil"/>
                  </w:tcBorders>
                  <w:shd w:val="clear" w:color="auto" w:fill="auto"/>
                  <w:noWrap/>
                  <w:vAlign w:val="bottom"/>
                  <w:hideMark/>
                </w:tcPr>
                <w:p w14:paraId="18AD0EF8"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Belgium</w:t>
                  </w:r>
                </w:p>
              </w:tc>
              <w:tc>
                <w:tcPr>
                  <w:tcW w:w="700" w:type="dxa"/>
                  <w:tcBorders>
                    <w:top w:val="nil"/>
                    <w:left w:val="nil"/>
                    <w:bottom w:val="nil"/>
                    <w:right w:val="nil"/>
                  </w:tcBorders>
                  <w:shd w:val="clear" w:color="auto" w:fill="auto"/>
                  <w:noWrap/>
                  <w:vAlign w:val="bottom"/>
                  <w:hideMark/>
                </w:tcPr>
                <w:p w14:paraId="4223EFAC"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+4.1</w:t>
                  </w:r>
                </w:p>
              </w:tc>
            </w:tr>
            <w:tr w:rsidR="00802430" w:rsidRPr="00884D55" w14:paraId="294507A7" w14:textId="77777777" w:rsidTr="00803507">
              <w:trPr>
                <w:trHeight w:val="255"/>
              </w:trPr>
              <w:tc>
                <w:tcPr>
                  <w:tcW w:w="4071" w:type="dxa"/>
                  <w:tcBorders>
                    <w:top w:val="nil"/>
                    <w:left w:val="nil"/>
                    <w:bottom w:val="nil"/>
                    <w:right w:val="nil"/>
                  </w:tcBorders>
                  <w:shd w:val="clear" w:color="auto" w:fill="auto"/>
                  <w:noWrap/>
                  <w:vAlign w:val="bottom"/>
                  <w:hideMark/>
                </w:tcPr>
                <w:p w14:paraId="7C821230"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Turkey</w:t>
                  </w:r>
                </w:p>
              </w:tc>
              <w:tc>
                <w:tcPr>
                  <w:tcW w:w="700" w:type="dxa"/>
                  <w:tcBorders>
                    <w:top w:val="nil"/>
                    <w:left w:val="nil"/>
                    <w:bottom w:val="nil"/>
                    <w:right w:val="nil"/>
                  </w:tcBorders>
                  <w:shd w:val="clear" w:color="auto" w:fill="auto"/>
                  <w:noWrap/>
                  <w:vAlign w:val="bottom"/>
                  <w:hideMark/>
                </w:tcPr>
                <w:p w14:paraId="2500C2FC"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+2.8</w:t>
                  </w:r>
                </w:p>
              </w:tc>
            </w:tr>
            <w:tr w:rsidR="00802430" w:rsidRPr="00884D55" w14:paraId="54CB3DF4" w14:textId="77777777" w:rsidTr="00803507">
              <w:trPr>
                <w:trHeight w:val="255"/>
              </w:trPr>
              <w:tc>
                <w:tcPr>
                  <w:tcW w:w="4071" w:type="dxa"/>
                  <w:tcBorders>
                    <w:top w:val="nil"/>
                    <w:left w:val="nil"/>
                    <w:bottom w:val="nil"/>
                    <w:right w:val="nil"/>
                  </w:tcBorders>
                  <w:shd w:val="clear" w:color="auto" w:fill="auto"/>
                  <w:noWrap/>
                  <w:vAlign w:val="bottom"/>
                  <w:hideMark/>
                </w:tcPr>
                <w:p w14:paraId="58435DCB"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 xml:space="preserve">Kazakhstan </w:t>
                  </w:r>
                </w:p>
              </w:tc>
              <w:tc>
                <w:tcPr>
                  <w:tcW w:w="700" w:type="dxa"/>
                  <w:tcBorders>
                    <w:top w:val="nil"/>
                    <w:left w:val="nil"/>
                    <w:bottom w:val="nil"/>
                    <w:right w:val="nil"/>
                  </w:tcBorders>
                  <w:shd w:val="clear" w:color="auto" w:fill="auto"/>
                  <w:noWrap/>
                  <w:vAlign w:val="bottom"/>
                  <w:hideMark/>
                </w:tcPr>
                <w:p w14:paraId="2B722391"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+2.0</w:t>
                  </w:r>
                </w:p>
              </w:tc>
            </w:tr>
            <w:tr w:rsidR="00802430" w:rsidRPr="00884D55" w14:paraId="69FC207A" w14:textId="77777777" w:rsidTr="00803507">
              <w:trPr>
                <w:trHeight w:val="255"/>
              </w:trPr>
              <w:tc>
                <w:tcPr>
                  <w:tcW w:w="4071" w:type="dxa"/>
                  <w:tcBorders>
                    <w:top w:val="nil"/>
                    <w:left w:val="nil"/>
                    <w:bottom w:val="nil"/>
                    <w:right w:val="nil"/>
                  </w:tcBorders>
                  <w:shd w:val="clear" w:color="auto" w:fill="auto"/>
                  <w:noWrap/>
                  <w:vAlign w:val="bottom"/>
                  <w:hideMark/>
                </w:tcPr>
                <w:p w14:paraId="14149009"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South Africa</w:t>
                  </w:r>
                </w:p>
              </w:tc>
              <w:tc>
                <w:tcPr>
                  <w:tcW w:w="700" w:type="dxa"/>
                  <w:tcBorders>
                    <w:top w:val="nil"/>
                    <w:left w:val="nil"/>
                    <w:bottom w:val="nil"/>
                    <w:right w:val="nil"/>
                  </w:tcBorders>
                  <w:shd w:val="clear" w:color="auto" w:fill="auto"/>
                  <w:noWrap/>
                  <w:vAlign w:val="bottom"/>
                  <w:hideMark/>
                </w:tcPr>
                <w:p w14:paraId="73E66D4D"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+1.9</w:t>
                  </w:r>
                </w:p>
              </w:tc>
            </w:tr>
            <w:tr w:rsidR="00802430" w:rsidRPr="00884D55" w14:paraId="75373611" w14:textId="77777777" w:rsidTr="00803507">
              <w:trPr>
                <w:trHeight w:val="255"/>
              </w:trPr>
              <w:tc>
                <w:tcPr>
                  <w:tcW w:w="4071" w:type="dxa"/>
                  <w:tcBorders>
                    <w:top w:val="nil"/>
                    <w:left w:val="nil"/>
                    <w:bottom w:val="nil"/>
                    <w:right w:val="nil"/>
                  </w:tcBorders>
                  <w:shd w:val="clear" w:color="auto" w:fill="auto"/>
                  <w:noWrap/>
                  <w:vAlign w:val="bottom"/>
                  <w:hideMark/>
                </w:tcPr>
                <w:p w14:paraId="0876CBC1"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Spain</w:t>
                  </w:r>
                </w:p>
              </w:tc>
              <w:tc>
                <w:tcPr>
                  <w:tcW w:w="700" w:type="dxa"/>
                  <w:tcBorders>
                    <w:top w:val="nil"/>
                    <w:left w:val="nil"/>
                    <w:bottom w:val="nil"/>
                    <w:right w:val="nil"/>
                  </w:tcBorders>
                  <w:shd w:val="clear" w:color="auto" w:fill="auto"/>
                  <w:noWrap/>
                  <w:vAlign w:val="bottom"/>
                  <w:hideMark/>
                </w:tcPr>
                <w:p w14:paraId="50736003"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−2.1</w:t>
                  </w:r>
                </w:p>
              </w:tc>
            </w:tr>
            <w:tr w:rsidR="00802430" w:rsidRPr="00884D55" w14:paraId="7DE344FC" w14:textId="77777777" w:rsidTr="00803507">
              <w:trPr>
                <w:trHeight w:val="255"/>
              </w:trPr>
              <w:tc>
                <w:tcPr>
                  <w:tcW w:w="4071" w:type="dxa"/>
                  <w:tcBorders>
                    <w:top w:val="nil"/>
                    <w:left w:val="nil"/>
                    <w:bottom w:val="nil"/>
                    <w:right w:val="nil"/>
                  </w:tcBorders>
                  <w:shd w:val="clear" w:color="auto" w:fill="auto"/>
                  <w:noWrap/>
                  <w:vAlign w:val="bottom"/>
                  <w:hideMark/>
                </w:tcPr>
                <w:p w14:paraId="6222285A"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Bulgaria</w:t>
                  </w:r>
                </w:p>
              </w:tc>
              <w:tc>
                <w:tcPr>
                  <w:tcW w:w="700" w:type="dxa"/>
                  <w:tcBorders>
                    <w:top w:val="nil"/>
                    <w:left w:val="nil"/>
                    <w:bottom w:val="nil"/>
                    <w:right w:val="nil"/>
                  </w:tcBorders>
                  <w:shd w:val="clear" w:color="auto" w:fill="auto"/>
                  <w:noWrap/>
                  <w:vAlign w:val="bottom"/>
                  <w:hideMark/>
                </w:tcPr>
                <w:p w14:paraId="5373006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−2.6</w:t>
                  </w:r>
                </w:p>
              </w:tc>
            </w:tr>
            <w:tr w:rsidR="00802430" w:rsidRPr="00884D55" w14:paraId="1A443E34" w14:textId="77777777" w:rsidTr="00803507">
              <w:trPr>
                <w:trHeight w:val="255"/>
              </w:trPr>
              <w:tc>
                <w:tcPr>
                  <w:tcW w:w="4071" w:type="dxa"/>
                  <w:tcBorders>
                    <w:top w:val="nil"/>
                    <w:left w:val="nil"/>
                    <w:bottom w:val="nil"/>
                    <w:right w:val="nil"/>
                  </w:tcBorders>
                  <w:shd w:val="clear" w:color="auto" w:fill="auto"/>
                  <w:noWrap/>
                  <w:vAlign w:val="bottom"/>
                  <w:hideMark/>
                </w:tcPr>
                <w:p w14:paraId="12DA6206"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Italy</w:t>
                  </w:r>
                </w:p>
              </w:tc>
              <w:tc>
                <w:tcPr>
                  <w:tcW w:w="700" w:type="dxa"/>
                  <w:tcBorders>
                    <w:top w:val="nil"/>
                    <w:left w:val="nil"/>
                    <w:bottom w:val="nil"/>
                    <w:right w:val="nil"/>
                  </w:tcBorders>
                  <w:shd w:val="clear" w:color="auto" w:fill="auto"/>
                  <w:noWrap/>
                  <w:vAlign w:val="bottom"/>
                  <w:hideMark/>
                </w:tcPr>
                <w:p w14:paraId="5EEF3800"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−3.9</w:t>
                  </w:r>
                </w:p>
              </w:tc>
            </w:tr>
            <w:tr w:rsidR="00802430" w:rsidRPr="00884D55" w14:paraId="68D6DE41" w14:textId="77777777" w:rsidTr="00803507">
              <w:trPr>
                <w:trHeight w:val="255"/>
              </w:trPr>
              <w:tc>
                <w:tcPr>
                  <w:tcW w:w="4071" w:type="dxa"/>
                  <w:tcBorders>
                    <w:top w:val="nil"/>
                    <w:left w:val="nil"/>
                    <w:bottom w:val="nil"/>
                    <w:right w:val="nil"/>
                  </w:tcBorders>
                  <w:shd w:val="clear" w:color="auto" w:fill="auto"/>
                  <w:noWrap/>
                  <w:vAlign w:val="bottom"/>
                  <w:hideMark/>
                </w:tcPr>
                <w:p w14:paraId="47132170"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Poland</w:t>
                  </w:r>
                </w:p>
              </w:tc>
              <w:tc>
                <w:tcPr>
                  <w:tcW w:w="700" w:type="dxa"/>
                  <w:tcBorders>
                    <w:top w:val="nil"/>
                    <w:left w:val="nil"/>
                    <w:bottom w:val="nil"/>
                    <w:right w:val="nil"/>
                  </w:tcBorders>
                  <w:shd w:val="clear" w:color="auto" w:fill="auto"/>
                  <w:noWrap/>
                  <w:vAlign w:val="bottom"/>
                  <w:hideMark/>
                </w:tcPr>
                <w:p w14:paraId="43F6A9A4"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−4.7</w:t>
                  </w:r>
                </w:p>
              </w:tc>
            </w:tr>
            <w:tr w:rsidR="00802430" w:rsidRPr="00884D55" w14:paraId="320D6FBA" w14:textId="77777777" w:rsidTr="00803507">
              <w:trPr>
                <w:trHeight w:val="255"/>
              </w:trPr>
              <w:tc>
                <w:tcPr>
                  <w:tcW w:w="4071" w:type="dxa"/>
                  <w:tcBorders>
                    <w:top w:val="nil"/>
                    <w:left w:val="nil"/>
                    <w:bottom w:val="nil"/>
                    <w:right w:val="nil"/>
                  </w:tcBorders>
                  <w:shd w:val="clear" w:color="auto" w:fill="auto"/>
                  <w:noWrap/>
                  <w:vAlign w:val="bottom"/>
                  <w:hideMark/>
                </w:tcPr>
                <w:p w14:paraId="1619501D"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Russia</w:t>
                  </w:r>
                </w:p>
              </w:tc>
              <w:tc>
                <w:tcPr>
                  <w:tcW w:w="700" w:type="dxa"/>
                  <w:tcBorders>
                    <w:top w:val="nil"/>
                    <w:left w:val="nil"/>
                    <w:bottom w:val="nil"/>
                    <w:right w:val="nil"/>
                  </w:tcBorders>
                  <w:shd w:val="clear" w:color="auto" w:fill="auto"/>
                  <w:noWrap/>
                  <w:vAlign w:val="bottom"/>
                  <w:hideMark/>
                </w:tcPr>
                <w:p w14:paraId="64231C9C"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−5.2</w:t>
                  </w:r>
                </w:p>
              </w:tc>
            </w:tr>
            <w:tr w:rsidR="00802430" w:rsidRPr="00884D55" w14:paraId="002A1D1A" w14:textId="77777777" w:rsidTr="00803507">
              <w:trPr>
                <w:trHeight w:val="255"/>
              </w:trPr>
              <w:tc>
                <w:tcPr>
                  <w:tcW w:w="4071" w:type="dxa"/>
                  <w:tcBorders>
                    <w:top w:val="nil"/>
                    <w:left w:val="nil"/>
                    <w:bottom w:val="nil"/>
                    <w:right w:val="nil"/>
                  </w:tcBorders>
                  <w:shd w:val="clear" w:color="auto" w:fill="auto"/>
                  <w:noWrap/>
                  <w:vAlign w:val="bottom"/>
                  <w:hideMark/>
                </w:tcPr>
                <w:p w14:paraId="4884115B"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Slovakia</w:t>
                  </w:r>
                </w:p>
              </w:tc>
              <w:tc>
                <w:tcPr>
                  <w:tcW w:w="700" w:type="dxa"/>
                  <w:tcBorders>
                    <w:top w:val="nil"/>
                    <w:left w:val="nil"/>
                    <w:bottom w:val="nil"/>
                    <w:right w:val="nil"/>
                  </w:tcBorders>
                  <w:shd w:val="clear" w:color="auto" w:fill="auto"/>
                  <w:noWrap/>
                  <w:vAlign w:val="bottom"/>
                  <w:hideMark/>
                </w:tcPr>
                <w:p w14:paraId="0D9AA149"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−10.4</w:t>
                  </w:r>
                </w:p>
              </w:tc>
            </w:tr>
            <w:tr w:rsidR="00802430" w:rsidRPr="00884D55" w14:paraId="3B73DC6C" w14:textId="77777777" w:rsidTr="00803507">
              <w:trPr>
                <w:trHeight w:val="255"/>
              </w:trPr>
              <w:tc>
                <w:tcPr>
                  <w:tcW w:w="4071" w:type="dxa"/>
                  <w:tcBorders>
                    <w:top w:val="nil"/>
                    <w:left w:val="nil"/>
                    <w:bottom w:val="nil"/>
                    <w:right w:val="nil"/>
                  </w:tcBorders>
                  <w:shd w:val="clear" w:color="auto" w:fill="auto"/>
                  <w:noWrap/>
                  <w:vAlign w:val="bottom"/>
                  <w:hideMark/>
                </w:tcPr>
                <w:p w14:paraId="6AAB2F08"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China</w:t>
                  </w:r>
                </w:p>
              </w:tc>
              <w:tc>
                <w:tcPr>
                  <w:tcW w:w="700" w:type="dxa"/>
                  <w:tcBorders>
                    <w:top w:val="nil"/>
                    <w:left w:val="nil"/>
                    <w:bottom w:val="nil"/>
                    <w:right w:val="nil"/>
                  </w:tcBorders>
                  <w:shd w:val="clear" w:color="auto" w:fill="auto"/>
                  <w:noWrap/>
                  <w:vAlign w:val="bottom"/>
                  <w:hideMark/>
                </w:tcPr>
                <w:p w14:paraId="443835C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−16.8</w:t>
                  </w:r>
                </w:p>
              </w:tc>
            </w:tr>
          </w:tbl>
          <w:p w14:paraId="66DBFFDC" w14:textId="77777777" w:rsidR="00802430" w:rsidRPr="00884D55" w:rsidRDefault="00802430" w:rsidP="00802430">
            <w:pPr>
              <w:spacing w:after="0"/>
              <w:rPr>
                <w:spacing w:val="-4"/>
                <w:lang w:val="en-GB" w:eastAsia="en-US"/>
              </w:rPr>
            </w:pPr>
          </w:p>
        </w:tc>
      </w:tr>
      <w:tr w:rsidR="00802430" w:rsidRPr="00884D55" w14:paraId="3E676E33" w14:textId="77777777" w:rsidTr="00803507">
        <w:trPr>
          <w:trHeight w:val="170"/>
        </w:trPr>
        <w:tc>
          <w:tcPr>
            <w:tcW w:w="4811" w:type="dxa"/>
            <w:gridSpan w:val="3"/>
            <w:hideMark/>
          </w:tcPr>
          <w:p w14:paraId="3C3F900C" w14:textId="77777777" w:rsidR="00802430" w:rsidRPr="00884D55" w:rsidRDefault="00802430" w:rsidP="00802430">
            <w:pPr>
              <w:jc w:val="right"/>
              <w:rPr>
                <w:spacing w:val="-4"/>
                <w:sz w:val="16"/>
                <w:szCs w:val="16"/>
                <w:lang w:val="en-GB" w:eastAsia="en-US"/>
              </w:rPr>
            </w:pPr>
            <w:r w:rsidRPr="00884D55">
              <w:rPr>
                <w:spacing w:val="-4"/>
                <w:sz w:val="16"/>
                <w:szCs w:val="16"/>
                <w:lang w:val="en-GB" w:eastAsia="en-US"/>
              </w:rPr>
              <w:t>Source: CZSO</w:t>
            </w:r>
          </w:p>
        </w:tc>
        <w:tc>
          <w:tcPr>
            <w:tcW w:w="57" w:type="dxa"/>
          </w:tcPr>
          <w:p w14:paraId="6D85FA2B" w14:textId="77777777" w:rsidR="00802430" w:rsidRPr="00884D55" w:rsidRDefault="00802430" w:rsidP="00802430">
            <w:pPr>
              <w:spacing w:after="0"/>
              <w:rPr>
                <w:spacing w:val="-4"/>
                <w:lang w:val="en-GB" w:eastAsia="en-US"/>
              </w:rPr>
            </w:pPr>
          </w:p>
        </w:tc>
        <w:tc>
          <w:tcPr>
            <w:tcW w:w="4809" w:type="dxa"/>
            <w:hideMark/>
          </w:tcPr>
          <w:p w14:paraId="47DB2D58" w14:textId="77777777" w:rsidR="00802430" w:rsidRPr="00884D55" w:rsidRDefault="00802430" w:rsidP="00802430">
            <w:pPr>
              <w:spacing w:after="0"/>
              <w:ind w:right="21"/>
              <w:jc w:val="right"/>
              <w:rPr>
                <w:spacing w:val="-4"/>
                <w:lang w:val="en-GB" w:eastAsia="en-US"/>
              </w:rPr>
            </w:pPr>
            <w:r w:rsidRPr="00884D55">
              <w:rPr>
                <w:spacing w:val="-4"/>
                <w:sz w:val="16"/>
                <w:szCs w:val="16"/>
                <w:lang w:val="en-GB" w:eastAsia="en-US"/>
              </w:rPr>
              <w:t>Source: CZSO</w:t>
            </w:r>
          </w:p>
        </w:tc>
      </w:tr>
      <w:tr w:rsidR="00802430" w:rsidRPr="00884D55" w14:paraId="5E17557B" w14:textId="77777777" w:rsidTr="00803507">
        <w:trPr>
          <w:trHeight w:val="150"/>
        </w:trPr>
        <w:tc>
          <w:tcPr>
            <w:tcW w:w="1748" w:type="dxa"/>
          </w:tcPr>
          <w:p w14:paraId="24057F6A" w14:textId="439756FA" w:rsidR="00802430" w:rsidRDefault="00802430" w:rsidP="00802430">
            <w:pPr>
              <w:pStyle w:val="Marginlie"/>
              <w:rPr>
                <w:lang w:val="en-GB" w:eastAsia="en-US"/>
              </w:rPr>
            </w:pPr>
            <w:bookmarkStart w:id="63" w:name="_Hlk194866287"/>
            <w:r w:rsidRPr="00884D55">
              <w:rPr>
                <w:lang w:val="en-GB" w:eastAsia="en-US"/>
              </w:rPr>
              <w:t xml:space="preserve">The year-on-year improvement of the surplus was caused by the trade with the EU last year.  </w:t>
            </w:r>
            <w:bookmarkEnd w:id="63"/>
          </w:p>
        </w:tc>
        <w:tc>
          <w:tcPr>
            <w:tcW w:w="252" w:type="dxa"/>
          </w:tcPr>
          <w:p w14:paraId="01F5D3E3" w14:textId="77777777" w:rsidR="00802430" w:rsidRPr="00884D55" w:rsidRDefault="00802430" w:rsidP="00802430">
            <w:pPr>
              <w:pStyle w:val="Textpoznpodarou"/>
              <w:jc w:val="both"/>
              <w:rPr>
                <w:spacing w:val="-4"/>
                <w:lang w:val="en-GB" w:eastAsia="en-US"/>
              </w:rPr>
            </w:pPr>
          </w:p>
        </w:tc>
        <w:tc>
          <w:tcPr>
            <w:tcW w:w="7677" w:type="dxa"/>
            <w:gridSpan w:val="3"/>
          </w:tcPr>
          <w:p w14:paraId="4ECE5ECA" w14:textId="445330E0" w:rsidR="00802430" w:rsidRPr="00884D55" w:rsidRDefault="00802430" w:rsidP="00802430">
            <w:pPr>
              <w:rPr>
                <w:spacing w:val="-4"/>
                <w:lang w:val="en-GB" w:eastAsia="en-US"/>
              </w:rPr>
            </w:pPr>
            <w:bookmarkStart w:id="64" w:name="_Hlk194866305"/>
            <w:r w:rsidRPr="00884D55">
              <w:rPr>
                <w:spacing w:val="-4"/>
                <w:lang w:val="en-GB" w:eastAsia="en-US"/>
              </w:rPr>
              <w:t xml:space="preserve">Last year's overall improvement of the international trade balance with goods was a result of reduction of the trade deficit with non-EU countries by 115.7 bn CZK. On the contrary, the trade surplus with the EU narrowed by 10.1 bn CZK. The trade balance improved the most with the United Kingdom (+49.5 bn CZK), Norway (+33.9 bn), the United States of America (+19.0 bn), Turkey (+12.3 bn) and Singapore (+10.2 bn) last year. The most significant deterioration of the balance was recorded in the case of trade with Taiwan (−13.3 bn CZK). The total trade balance with the EU deteriorated by 19.6 bn CZK, year-on-year, in Q4, while it improved by 16.3 bn CZK for non-EU countries. Overall, countries with a trade balance deterioration were predominant. The total year-on-year deterioration of the trade balance with goods was mainly due to trade with China (see Table 6) and Slovakia. This was followed by smaller </w:t>
            </w:r>
            <w:r w:rsidR="00FE1DC1">
              <w:rPr>
                <w:spacing w:val="-4"/>
                <w:lang w:val="en-GB" w:eastAsia="en-US"/>
              </w:rPr>
              <w:t xml:space="preserve">negative </w:t>
            </w:r>
            <w:r w:rsidRPr="00884D55">
              <w:rPr>
                <w:spacing w:val="-4"/>
                <w:lang w:val="en-GB" w:eastAsia="en-US"/>
              </w:rPr>
              <w:t xml:space="preserve">contributions of Russia, Poland or Italy. In contrast, the trade balance with Norway, Great Britain and the United States of America improved, year-on-year, in Q4. The contribution of Belgium or Israel was also significant.  </w:t>
            </w:r>
            <w:bookmarkEnd w:id="64"/>
          </w:p>
        </w:tc>
      </w:tr>
      <w:tr w:rsidR="00802430" w:rsidRPr="00884D55" w14:paraId="445D22C8" w14:textId="77777777" w:rsidTr="00803507">
        <w:trPr>
          <w:trHeight w:val="150"/>
        </w:trPr>
        <w:tc>
          <w:tcPr>
            <w:tcW w:w="1748" w:type="dxa"/>
          </w:tcPr>
          <w:p w14:paraId="20FB5D37" w14:textId="60F733E9" w:rsidR="00802430" w:rsidRPr="00884D55" w:rsidRDefault="00802430" w:rsidP="00802430">
            <w:pPr>
              <w:pStyle w:val="Marginlie"/>
              <w:rPr>
                <w:lang w:val="en-GB" w:eastAsia="en-US"/>
              </w:rPr>
            </w:pPr>
            <w:bookmarkStart w:id="65" w:name="_Hlk194872191"/>
            <w:r w:rsidRPr="00884D55">
              <w:rPr>
                <w:lang w:val="en-GB" w:eastAsia="en-US"/>
              </w:rPr>
              <w:t xml:space="preserve">Total surplus of trade with motor vehicles increased last year, but worsened, year-on-year, at the end of the year. </w:t>
            </w:r>
            <w:bookmarkEnd w:id="65"/>
          </w:p>
        </w:tc>
        <w:tc>
          <w:tcPr>
            <w:tcW w:w="252" w:type="dxa"/>
          </w:tcPr>
          <w:p w14:paraId="6633D3C8" w14:textId="77777777" w:rsidR="00802430" w:rsidRPr="00884D55" w:rsidRDefault="00802430" w:rsidP="00802430">
            <w:pPr>
              <w:pStyle w:val="Textpoznpodarou"/>
              <w:jc w:val="both"/>
              <w:rPr>
                <w:spacing w:val="-4"/>
                <w:lang w:val="en-GB" w:eastAsia="en-US"/>
              </w:rPr>
            </w:pPr>
          </w:p>
        </w:tc>
        <w:tc>
          <w:tcPr>
            <w:tcW w:w="7677" w:type="dxa"/>
            <w:gridSpan w:val="3"/>
          </w:tcPr>
          <w:p w14:paraId="6D508076" w14:textId="5A649D66" w:rsidR="00802430" w:rsidRPr="00884D55" w:rsidRDefault="00802430" w:rsidP="00802430">
            <w:pPr>
              <w:rPr>
                <w:spacing w:val="-4"/>
                <w:lang w:val="en-GB" w:eastAsia="en-US"/>
              </w:rPr>
            </w:pPr>
            <w:bookmarkStart w:id="66" w:name="_Hlk194872216"/>
            <w:r w:rsidRPr="00884D55">
              <w:rPr>
                <w:spacing w:val="-4"/>
                <w:lang w:val="en-GB" w:eastAsia="en-US"/>
              </w:rPr>
              <w:t xml:space="preserve">Trade of motor vehicles (+60.5 bn CZK), electrical equipment (+35.0 bn CZK), oil and natural gas (+25.1 bn) and black and hard coal and lignite (+10.1 bn) had the biggest impact on improving the international trade balance last year. The trade balance of coke and refined petroleum products (−18.0 bn CZK), fabricated metal products (−13.0 bn) and basic metals (−12.2 bn) on the contrary deteriorated. The international trade balance of the prevailing share of products deteriorated, year-on-year, in Q4 itself, nevertheless a large decrease of the trade surplus of fabricated metal products (see Table 5) had the biggest impact on the overall slump of the surplus. The balance of trade in computers, electronic and optical products and basic metals also deteriorated significantly. By contrast, the deficit in oil and natural gas moderated and trade in motor vehicles, electrical equipment and electricity also acted as an improvement in the overall balance. </w:t>
            </w:r>
            <w:bookmarkStart w:id="67" w:name="_Hlk194874566"/>
            <w:r w:rsidRPr="00884D55">
              <w:rPr>
                <w:spacing w:val="-4"/>
                <w:lang w:val="en-GB" w:eastAsia="en-US"/>
              </w:rPr>
              <w:t>The trade balance of computers, electronic and optical appliances and equipment and basic metals also worsened notably. By contrast, the deficit of oil and natural gas moderated and trade with motor vehicles, electrical equipment and electricity also acted as an improvement of the total balance.</w:t>
            </w:r>
            <w:bookmarkEnd w:id="66"/>
            <w:bookmarkEnd w:id="67"/>
          </w:p>
        </w:tc>
      </w:tr>
      <w:tr w:rsidR="00802430" w:rsidRPr="00884D55" w14:paraId="4DDA5215" w14:textId="77777777" w:rsidTr="00803507">
        <w:trPr>
          <w:trHeight w:val="170"/>
        </w:trPr>
        <w:tc>
          <w:tcPr>
            <w:tcW w:w="1748" w:type="dxa"/>
            <w:vMerge w:val="restart"/>
          </w:tcPr>
          <w:p w14:paraId="440C2C7F" w14:textId="4BE2E47E" w:rsidR="00802430" w:rsidRPr="00884D55" w:rsidRDefault="00802430" w:rsidP="00802430">
            <w:pPr>
              <w:pStyle w:val="Marginlie"/>
              <w:rPr>
                <w:lang w:val="en-GB" w:eastAsia="en-US"/>
              </w:rPr>
            </w:pPr>
          </w:p>
        </w:tc>
        <w:tc>
          <w:tcPr>
            <w:tcW w:w="252" w:type="dxa"/>
            <w:vMerge w:val="restart"/>
          </w:tcPr>
          <w:p w14:paraId="2213D5D0" w14:textId="77777777" w:rsidR="00802430" w:rsidRPr="00884D55" w:rsidRDefault="00802430" w:rsidP="00802430">
            <w:pPr>
              <w:pStyle w:val="Textpoznpodarou"/>
              <w:jc w:val="both"/>
              <w:rPr>
                <w:spacing w:val="-4"/>
                <w:lang w:val="en-GB" w:eastAsia="en-US"/>
              </w:rPr>
            </w:pPr>
          </w:p>
        </w:tc>
        <w:tc>
          <w:tcPr>
            <w:tcW w:w="7677" w:type="dxa"/>
            <w:gridSpan w:val="3"/>
          </w:tcPr>
          <w:p w14:paraId="6DFE3F96" w14:textId="44D21E58" w:rsidR="00802430" w:rsidRPr="00884D55" w:rsidRDefault="00802430" w:rsidP="00802430">
            <w:pPr>
              <w:spacing w:after="0"/>
              <w:rPr>
                <w:spacing w:val="-4"/>
                <w:lang w:val="en-GB" w:eastAsia="en-US"/>
              </w:rPr>
            </w:pPr>
            <w:r w:rsidRPr="00884D55">
              <w:rPr>
                <w:rFonts w:cs="Arial"/>
                <w:b/>
                <w:bCs/>
                <w:color w:val="000000"/>
                <w:szCs w:val="20"/>
                <w:lang w:val="en-GB" w:eastAsia="en-US"/>
              </w:rPr>
              <w:t xml:space="preserve">Chart 10 </w:t>
            </w:r>
            <w:r w:rsidRPr="00884D55">
              <w:rPr>
                <w:b/>
                <w:bCs/>
                <w:spacing w:val="-4"/>
                <w:lang w:val="en-GB" w:eastAsia="en-US"/>
              </w:rPr>
              <w:t xml:space="preserve">Export and import of goods </w:t>
            </w:r>
            <w:r w:rsidRPr="00884D55">
              <w:rPr>
                <w:spacing w:val="-4"/>
                <w:lang w:val="en-GB" w:eastAsia="en-US"/>
              </w:rPr>
              <w:t>(y-o-y change, in %)</w:t>
            </w:r>
            <w:r w:rsidRPr="00884D55">
              <w:rPr>
                <w:b/>
                <w:bCs/>
                <w:spacing w:val="-4"/>
                <w:lang w:val="en-GB" w:eastAsia="en-US"/>
              </w:rPr>
              <w:t xml:space="preserve"> and balance of international trade with goods </w:t>
            </w:r>
            <w:r w:rsidRPr="00884D55">
              <w:rPr>
                <w:spacing w:val="-4"/>
                <w:lang w:val="en-GB" w:eastAsia="en-US"/>
              </w:rPr>
              <w:t xml:space="preserve">(in bn CZK, right axis) </w:t>
            </w:r>
          </w:p>
        </w:tc>
      </w:tr>
      <w:tr w:rsidR="00802430" w:rsidRPr="00884D55" w14:paraId="472B04D3" w14:textId="77777777" w:rsidTr="00900097">
        <w:tblPrEx>
          <w:tblCellMar>
            <w:left w:w="70" w:type="dxa"/>
            <w:right w:w="70" w:type="dxa"/>
          </w:tblCellMar>
        </w:tblPrEx>
        <w:trPr>
          <w:trHeight w:val="170"/>
        </w:trPr>
        <w:tc>
          <w:tcPr>
            <w:tcW w:w="1748" w:type="dxa"/>
            <w:vMerge/>
          </w:tcPr>
          <w:p w14:paraId="4B8BBB62" w14:textId="77777777" w:rsidR="00802430" w:rsidRPr="00884D55" w:rsidRDefault="00802430" w:rsidP="00802430">
            <w:pPr>
              <w:pStyle w:val="Marginlie"/>
              <w:rPr>
                <w:lang w:val="en-GB" w:eastAsia="en-US"/>
              </w:rPr>
            </w:pPr>
          </w:p>
        </w:tc>
        <w:tc>
          <w:tcPr>
            <w:tcW w:w="252" w:type="dxa"/>
            <w:vMerge/>
          </w:tcPr>
          <w:p w14:paraId="4AA06A94" w14:textId="77777777" w:rsidR="00802430" w:rsidRPr="00884D55" w:rsidRDefault="00802430" w:rsidP="00802430">
            <w:pPr>
              <w:pStyle w:val="Textpoznpodarou"/>
              <w:jc w:val="both"/>
              <w:rPr>
                <w:spacing w:val="-4"/>
                <w:lang w:val="en-GB" w:eastAsia="en-US"/>
              </w:rPr>
            </w:pPr>
          </w:p>
        </w:tc>
        <w:tc>
          <w:tcPr>
            <w:tcW w:w="7677" w:type="dxa"/>
            <w:gridSpan w:val="3"/>
          </w:tcPr>
          <w:p w14:paraId="072590A7" w14:textId="096D6541" w:rsidR="00802430" w:rsidRPr="00884D55" w:rsidRDefault="00802430" w:rsidP="00802430">
            <w:pPr>
              <w:spacing w:after="0"/>
              <w:rPr>
                <w:spacing w:val="-4"/>
                <w:lang w:val="en-GB" w:eastAsia="en-US"/>
              </w:rPr>
            </w:pPr>
            <w:r>
              <w:rPr>
                <w:noProof/>
              </w:rPr>
              <w:drawing>
                <wp:inline distT="0" distB="0" distL="0" distR="0" wp14:anchorId="229D4CDF" wp14:editId="54B4A410">
                  <wp:extent cx="4773175" cy="3534275"/>
                  <wp:effectExtent l="0" t="0" r="8890" b="0"/>
                  <wp:docPr id="13" name="Graf 13">
                    <a:extLst xmlns:a="http://schemas.openxmlformats.org/drawingml/2006/main">
                      <a:ext uri="{FF2B5EF4-FFF2-40B4-BE49-F238E27FC236}">
                        <a16:creationId xmlns:a16="http://schemas.microsoft.com/office/drawing/2014/main" id="{8E34A376-5955-451A-B8E8-536A257FF3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802430" w:rsidRPr="00884D55" w14:paraId="35BCCAE5" w14:textId="77777777" w:rsidTr="00803507">
        <w:trPr>
          <w:trHeight w:val="170"/>
        </w:trPr>
        <w:tc>
          <w:tcPr>
            <w:tcW w:w="1748" w:type="dxa"/>
            <w:vMerge/>
          </w:tcPr>
          <w:p w14:paraId="5864E84B" w14:textId="77777777" w:rsidR="00802430" w:rsidRPr="00884D55" w:rsidRDefault="00802430" w:rsidP="00802430">
            <w:pPr>
              <w:pStyle w:val="Marginlie"/>
              <w:rPr>
                <w:lang w:val="en-GB" w:eastAsia="en-US"/>
              </w:rPr>
            </w:pPr>
          </w:p>
        </w:tc>
        <w:tc>
          <w:tcPr>
            <w:tcW w:w="252" w:type="dxa"/>
            <w:vMerge/>
          </w:tcPr>
          <w:p w14:paraId="323076B0" w14:textId="77777777" w:rsidR="00802430" w:rsidRPr="00884D55" w:rsidRDefault="00802430" w:rsidP="00802430">
            <w:pPr>
              <w:pStyle w:val="Textpoznpodarou"/>
              <w:jc w:val="both"/>
              <w:rPr>
                <w:spacing w:val="-4"/>
                <w:lang w:val="en-GB" w:eastAsia="en-US"/>
              </w:rPr>
            </w:pPr>
          </w:p>
        </w:tc>
        <w:tc>
          <w:tcPr>
            <w:tcW w:w="7677" w:type="dxa"/>
            <w:gridSpan w:val="3"/>
          </w:tcPr>
          <w:p w14:paraId="1170F6E8" w14:textId="654BCADE" w:rsidR="00802430" w:rsidRPr="00884D55" w:rsidRDefault="00802430" w:rsidP="00802430">
            <w:pPr>
              <w:jc w:val="left"/>
              <w:rPr>
                <w:b/>
                <w:bCs/>
                <w:spacing w:val="-4"/>
                <w:lang w:val="en-GB" w:eastAsia="en-US"/>
              </w:rPr>
            </w:pPr>
            <w:r w:rsidRPr="00884D55">
              <w:rPr>
                <w:sz w:val="16"/>
                <w:szCs w:val="16"/>
                <w:lang w:val="en-GB" w:eastAsia="en-US"/>
              </w:rPr>
              <w:t>Source: CZSO</w:t>
            </w:r>
          </w:p>
        </w:tc>
      </w:tr>
    </w:tbl>
    <w:p w14:paraId="26C077E7" w14:textId="77777777" w:rsidR="00803507" w:rsidRPr="00884D55" w:rsidRDefault="00803507" w:rsidP="00803507">
      <w:pPr>
        <w:spacing w:after="0" w:line="240" w:lineRule="auto"/>
        <w:jc w:val="left"/>
        <w:rPr>
          <w:rFonts w:eastAsia="MS Gothic"/>
          <w:bCs/>
          <w:color w:val="71818C"/>
          <w:sz w:val="2"/>
          <w:szCs w:val="2"/>
          <w:lang w:val="en-GB"/>
        </w:rPr>
      </w:pPr>
    </w:p>
    <w:p w14:paraId="40C4A20C" w14:textId="77777777" w:rsidR="00803507" w:rsidRPr="00884D55" w:rsidRDefault="00803507" w:rsidP="00803507">
      <w:pPr>
        <w:spacing w:after="0" w:line="240" w:lineRule="auto"/>
        <w:jc w:val="left"/>
        <w:rPr>
          <w:rFonts w:eastAsia="MS Gothic"/>
          <w:b/>
          <w:bCs/>
          <w:color w:val="86BF5E"/>
          <w:sz w:val="32"/>
          <w:szCs w:val="28"/>
          <w:lang w:val="en-GB"/>
        </w:rPr>
      </w:pPr>
      <w:r w:rsidRPr="00884D55">
        <w:rPr>
          <w:lang w:val="en-GB"/>
        </w:rPr>
        <w:br w:type="page"/>
      </w:r>
    </w:p>
    <w:p w14:paraId="52898AFD" w14:textId="77777777" w:rsidR="00803507" w:rsidRPr="00884D55" w:rsidRDefault="00803507" w:rsidP="00803507">
      <w:pPr>
        <w:pStyle w:val="Nadpis1"/>
        <w:rPr>
          <w:lang w:val="en-GB"/>
        </w:rPr>
      </w:pPr>
      <w:bookmarkStart w:id="68" w:name="_Toc196386141"/>
      <w:r w:rsidRPr="00884D55">
        <w:rPr>
          <w:lang w:val="en-GB"/>
        </w:rPr>
        <w:t>5. Prices</w:t>
      </w:r>
      <w:bookmarkEnd w:id="68"/>
      <w:r w:rsidRPr="00884D55">
        <w:rPr>
          <w:lang w:val="en-GB"/>
        </w:rPr>
        <w:t xml:space="preserve"> </w:t>
      </w:r>
    </w:p>
    <w:tbl>
      <w:tblPr>
        <w:tblW w:w="9639" w:type="dxa"/>
        <w:tblInd w:w="-15" w:type="dxa"/>
        <w:tblCellMar>
          <w:left w:w="0" w:type="dxa"/>
          <w:right w:w="0" w:type="dxa"/>
        </w:tblCellMar>
        <w:tblLook w:val="00A0" w:firstRow="1" w:lastRow="0" w:firstColumn="1" w:lastColumn="0" w:noHBand="0" w:noVBand="0"/>
      </w:tblPr>
      <w:tblGrid>
        <w:gridCol w:w="1791"/>
        <w:gridCol w:w="223"/>
        <w:gridCol w:w="7625"/>
      </w:tblGrid>
      <w:tr w:rsidR="00803507" w:rsidRPr="00884D55" w14:paraId="7783ADEE" w14:textId="77777777" w:rsidTr="00803507">
        <w:trPr>
          <w:trHeight w:val="145"/>
        </w:trPr>
        <w:tc>
          <w:tcPr>
            <w:tcW w:w="1791" w:type="dxa"/>
            <w:hideMark/>
          </w:tcPr>
          <w:p w14:paraId="01A5E395" w14:textId="77777777" w:rsidR="00803507" w:rsidRPr="00884D55" w:rsidRDefault="00803507" w:rsidP="00803507">
            <w:pPr>
              <w:pStyle w:val="Marginlie"/>
              <w:rPr>
                <w:spacing w:val="0"/>
                <w:lang w:val="en-GB" w:eastAsia="en-US"/>
              </w:rPr>
            </w:pPr>
            <w:r w:rsidRPr="00884D55">
              <w:rPr>
                <w:spacing w:val="0"/>
                <w:lang w:val="en-GB" w:eastAsia="en-US"/>
              </w:rPr>
              <w:t xml:space="preserve">The price level grew at the slowest rate since 2019 last year. </w:t>
            </w:r>
          </w:p>
        </w:tc>
        <w:tc>
          <w:tcPr>
            <w:tcW w:w="223" w:type="dxa"/>
          </w:tcPr>
          <w:p w14:paraId="54186C2C" w14:textId="77777777" w:rsidR="00803507" w:rsidRPr="00884D55" w:rsidRDefault="00803507" w:rsidP="00803507">
            <w:pPr>
              <w:pStyle w:val="Textpoznpodarou1"/>
              <w:jc w:val="both"/>
              <w:rPr>
                <w:lang w:val="en-GB" w:eastAsia="en-US"/>
              </w:rPr>
            </w:pPr>
          </w:p>
        </w:tc>
        <w:tc>
          <w:tcPr>
            <w:tcW w:w="7625" w:type="dxa"/>
            <w:hideMark/>
          </w:tcPr>
          <w:p w14:paraId="47FAB1CC" w14:textId="4B58B018" w:rsidR="00803507" w:rsidRPr="00884D55" w:rsidRDefault="00803507" w:rsidP="005E61CF">
            <w:pPr>
              <w:rPr>
                <w:szCs w:val="20"/>
                <w:lang w:val="en-GB" w:eastAsia="en-US"/>
              </w:rPr>
            </w:pPr>
            <w:r w:rsidRPr="00884D55">
              <w:rPr>
                <w:szCs w:val="20"/>
                <w:lang w:val="en-GB" w:eastAsia="en-US"/>
              </w:rPr>
              <w:t xml:space="preserve">The total price level (measured by the </w:t>
            </w:r>
            <w:r w:rsidR="005E61CF">
              <w:rPr>
                <w:szCs w:val="20"/>
                <w:lang w:val="en-GB" w:eastAsia="en-US"/>
              </w:rPr>
              <w:t xml:space="preserve">implicit </w:t>
            </w:r>
            <w:r w:rsidRPr="00884D55">
              <w:rPr>
                <w:szCs w:val="20"/>
                <w:lang w:val="en-GB" w:eastAsia="en-US"/>
              </w:rPr>
              <w:t xml:space="preserve">GDP deflator) increased by 3.9% in 2024, the least since 2019. </w:t>
            </w:r>
            <w:r w:rsidR="005E61CF">
              <w:rPr>
                <w:szCs w:val="20"/>
                <w:lang w:val="en-GB" w:eastAsia="en-US"/>
              </w:rPr>
              <w:t>P</w:t>
            </w:r>
            <w:r w:rsidRPr="00884D55">
              <w:rPr>
                <w:szCs w:val="20"/>
                <w:lang w:val="en-GB" w:eastAsia="en-US"/>
              </w:rPr>
              <w:t>rice</w:t>
            </w:r>
            <w:r w:rsidR="005E61CF">
              <w:rPr>
                <w:szCs w:val="20"/>
                <w:lang w:val="en-GB" w:eastAsia="en-US"/>
              </w:rPr>
              <w:t xml:space="preserve"> level of consumption was</w:t>
            </w:r>
            <w:r w:rsidRPr="00884D55">
              <w:rPr>
                <w:szCs w:val="20"/>
                <w:lang w:val="en-GB" w:eastAsia="en-US"/>
              </w:rPr>
              <w:t xml:space="preserve"> higher by 3.2%, of which </w:t>
            </w:r>
            <w:r w:rsidR="005E61CF">
              <w:rPr>
                <w:szCs w:val="20"/>
                <w:lang w:val="en-GB" w:eastAsia="en-US"/>
              </w:rPr>
              <w:t>prices</w:t>
            </w:r>
            <w:r w:rsidRPr="00884D55">
              <w:rPr>
                <w:szCs w:val="20"/>
                <w:lang w:val="en-GB" w:eastAsia="en-US"/>
              </w:rPr>
              <w:t xml:space="preserve"> of household consumption increased by 3.0% and general government by 3.6%. Prices of capital goods increased by 2.0% last year. The terms of trade of the international trade were positive last year (101.6%). Of these, they reached 101.3% for trade with goods and 102.9% for services. The year-on-year increases of the price level weakened during the year and the total price level rose by 3.7%, year on year, in Q4 alone. </w:t>
            </w:r>
            <w:r w:rsidR="005E61CF">
              <w:rPr>
                <w:szCs w:val="20"/>
                <w:lang w:val="en-GB" w:eastAsia="en-US"/>
              </w:rPr>
              <w:t>Pr</w:t>
            </w:r>
            <w:r w:rsidRPr="00884D55">
              <w:rPr>
                <w:szCs w:val="20"/>
                <w:lang w:val="en-GB" w:eastAsia="en-US"/>
              </w:rPr>
              <w:t>ices</w:t>
            </w:r>
            <w:r w:rsidR="005E61CF">
              <w:rPr>
                <w:szCs w:val="20"/>
                <w:lang w:val="en-GB" w:eastAsia="en-US"/>
              </w:rPr>
              <w:t xml:space="preserve"> of consumption</w:t>
            </w:r>
            <w:r w:rsidRPr="00884D55">
              <w:rPr>
                <w:szCs w:val="20"/>
                <w:lang w:val="en-GB" w:eastAsia="en-US"/>
              </w:rPr>
              <w:t xml:space="preserve"> were higher by 3.0%, year-on-year (in that 2.7% for households) and prices of gross fixed capital by 3.7%, year-on-year. The terms of trade reached 101.7%, year-on-year, in Q4 (goods 101.2% and services 104.1%). The price level went up by 0.3%, quarter-on-quarter, in Q4 and it also represented the smallest increase in the year. </w:t>
            </w:r>
            <w:r w:rsidR="005E61CF">
              <w:rPr>
                <w:szCs w:val="20"/>
                <w:lang w:val="en-GB" w:eastAsia="en-US"/>
              </w:rPr>
              <w:t>Price level of con</w:t>
            </w:r>
            <w:r w:rsidRPr="00884D55">
              <w:rPr>
                <w:szCs w:val="20"/>
                <w:lang w:val="en-GB" w:eastAsia="en-US"/>
              </w:rPr>
              <w:t>sum</w:t>
            </w:r>
            <w:r w:rsidR="005E61CF">
              <w:rPr>
                <w:szCs w:val="20"/>
                <w:lang w:val="en-GB" w:eastAsia="en-US"/>
              </w:rPr>
              <w:t>ption</w:t>
            </w:r>
            <w:r w:rsidRPr="00884D55">
              <w:rPr>
                <w:szCs w:val="20"/>
                <w:lang w:val="en-GB" w:eastAsia="en-US"/>
              </w:rPr>
              <w:t xml:space="preserve"> went up by 0.6%, quarter on quarter, and prices of gross capital formation went down by 2.3%. The terms of trade reached 100.6%.  </w:t>
            </w:r>
          </w:p>
        </w:tc>
      </w:tr>
      <w:tr w:rsidR="00803507" w:rsidRPr="00884D55" w14:paraId="3212D0BC" w14:textId="77777777" w:rsidTr="00803507">
        <w:trPr>
          <w:trHeight w:val="145"/>
        </w:trPr>
        <w:tc>
          <w:tcPr>
            <w:tcW w:w="1791" w:type="dxa"/>
          </w:tcPr>
          <w:p w14:paraId="11B486F7" w14:textId="77777777" w:rsidR="00803507" w:rsidRPr="00884D55" w:rsidRDefault="00803507" w:rsidP="00803507">
            <w:pPr>
              <w:pStyle w:val="Marginlie"/>
              <w:rPr>
                <w:spacing w:val="0"/>
                <w:lang w:val="en-GB" w:eastAsia="en-US"/>
              </w:rPr>
            </w:pPr>
            <w:r w:rsidRPr="00884D55">
              <w:rPr>
                <w:spacing w:val="0"/>
                <w:lang w:val="en-GB" w:eastAsia="en-US"/>
              </w:rPr>
              <w:t xml:space="preserve">Consumer price growth was the lowest since 2018 in 2024. </w:t>
            </w:r>
          </w:p>
        </w:tc>
        <w:tc>
          <w:tcPr>
            <w:tcW w:w="223" w:type="dxa"/>
          </w:tcPr>
          <w:p w14:paraId="55AA5CD0" w14:textId="77777777" w:rsidR="00803507" w:rsidRPr="00884D55" w:rsidRDefault="00803507" w:rsidP="00803507">
            <w:pPr>
              <w:pStyle w:val="Textpoznpodarou1"/>
              <w:jc w:val="both"/>
              <w:rPr>
                <w:lang w:val="en-GB" w:eastAsia="en-US"/>
              </w:rPr>
            </w:pPr>
          </w:p>
        </w:tc>
        <w:tc>
          <w:tcPr>
            <w:tcW w:w="7625" w:type="dxa"/>
          </w:tcPr>
          <w:p w14:paraId="03B7826A" w14:textId="79FB1700" w:rsidR="00803507" w:rsidRPr="00884D55" w:rsidRDefault="005E61CF" w:rsidP="005E61CF">
            <w:pPr>
              <w:rPr>
                <w:lang w:val="en-GB" w:eastAsia="en-US"/>
              </w:rPr>
            </w:pPr>
            <w:r>
              <w:rPr>
                <w:lang w:val="en-GB" w:eastAsia="en-US"/>
              </w:rPr>
              <w:t>C</w:t>
            </w:r>
            <w:r w:rsidR="00803507" w:rsidRPr="00884D55">
              <w:rPr>
                <w:lang w:val="en-GB" w:eastAsia="en-US"/>
              </w:rPr>
              <w:t>onsumer price</w:t>
            </w:r>
            <w:r>
              <w:rPr>
                <w:lang w:val="en-GB" w:eastAsia="en-US"/>
              </w:rPr>
              <w:t xml:space="preserve"> index</w:t>
            </w:r>
            <w:r w:rsidR="00803507" w:rsidRPr="00884D55">
              <w:rPr>
                <w:lang w:val="en-GB" w:eastAsia="en-US"/>
              </w:rPr>
              <w:t xml:space="preserve"> increased by 2.4% for 2024 as a whole, the least since 2018. The significant drop of pace compared to year 2023 (10.7%) was caused by the moderation of housing and energy price growth, as well as a decline in food and non-alcoholic beverage prices. However, housing and energies remained the items that had the biggest effect on consumer price growth. Price developments were also characterised by persistently strong growth of services prices (5.1%) in 2024, while prices of goods in total increased by only 0.9%. The difference between the price development of goods and services is related to the different impact of inflation in years 2022 and 2023 on different income groups of the population. For services that are consumed more by higher-income households, the downward pressure on prices was not as great, since the demand for them did not fall as significantly as for goods.</w:t>
            </w:r>
          </w:p>
        </w:tc>
      </w:tr>
      <w:tr w:rsidR="00B879AA" w:rsidRPr="00884D55" w14:paraId="03A1E87A" w14:textId="77777777" w:rsidTr="00803507">
        <w:trPr>
          <w:trHeight w:val="145"/>
        </w:trPr>
        <w:tc>
          <w:tcPr>
            <w:tcW w:w="1791" w:type="dxa"/>
          </w:tcPr>
          <w:p w14:paraId="4A0B7931" w14:textId="3FD15958" w:rsidR="00B879AA" w:rsidRPr="00884D55" w:rsidRDefault="00B879AA" w:rsidP="00B879AA">
            <w:pPr>
              <w:pStyle w:val="Marginlie"/>
              <w:rPr>
                <w:spacing w:val="0"/>
                <w:lang w:val="en-GB" w:eastAsia="en-US"/>
              </w:rPr>
            </w:pPr>
            <w:r w:rsidRPr="00884D55">
              <w:rPr>
                <w:spacing w:val="0"/>
                <w:lang w:val="en-GB" w:eastAsia="en-US"/>
              </w:rPr>
              <w:t xml:space="preserve">Year-on-year consumer price growth in Q4 was the highest within 2024. </w:t>
            </w:r>
          </w:p>
        </w:tc>
        <w:tc>
          <w:tcPr>
            <w:tcW w:w="223" w:type="dxa"/>
          </w:tcPr>
          <w:p w14:paraId="35353268" w14:textId="77777777" w:rsidR="00B879AA" w:rsidRPr="00884D55" w:rsidRDefault="00B879AA" w:rsidP="00B879AA">
            <w:pPr>
              <w:pStyle w:val="Textpoznpodarou1"/>
              <w:jc w:val="both"/>
              <w:rPr>
                <w:lang w:val="en-GB" w:eastAsia="en-US"/>
              </w:rPr>
            </w:pPr>
          </w:p>
        </w:tc>
        <w:tc>
          <w:tcPr>
            <w:tcW w:w="7625" w:type="dxa"/>
          </w:tcPr>
          <w:p w14:paraId="54DB7EF2" w14:textId="202B7FC5" w:rsidR="00B879AA" w:rsidRDefault="00B879AA" w:rsidP="00B879AA">
            <w:pPr>
              <w:rPr>
                <w:lang w:val="en-GB" w:eastAsia="en-US"/>
              </w:rPr>
            </w:pPr>
            <w:r w:rsidRPr="00884D55">
              <w:rPr>
                <w:lang w:val="en-GB" w:eastAsia="en-US"/>
              </w:rPr>
              <w:t xml:space="preserve">The year-on-year consumer price growth accelerated to 2.9% in Q4 2024. It presented the highest increase within the year (prices gradually increased by 2.1%, 2.5% and 2.3% in Q1, Q2 and Q3 respectively, year-on-year). The described strengthening of dynamics at the end of the year was influenced mainly by the prices of food and non-alcoholic beverages, which followed the previous three year-on-year declines with renewed growth in Q4. The year-on-year growth of prices of housing, water, energy and fuels also strengthened. In contrast, lower year-on-year consumer price growth was fostered by a decline for clothing and footwear and weakening growth of transport prices. In total, the divisions housing and energies, </w:t>
            </w:r>
            <w:r>
              <w:rPr>
                <w:lang w:val="en-GB" w:eastAsia="en-US"/>
              </w:rPr>
              <w:t>restaurants and hotels</w:t>
            </w:r>
            <w:r w:rsidRPr="00884D55">
              <w:rPr>
                <w:lang w:val="en-GB" w:eastAsia="en-US"/>
              </w:rPr>
              <w:t xml:space="preserve"> and alcoholic beverages and tobacco contributed the most to the year-on-year growth of consumer prices. The consumer prices increased by 0.1%, quarter-on-quarter, in Q4. The increases gradually weakened during the year. </w:t>
            </w:r>
          </w:p>
        </w:tc>
      </w:tr>
      <w:tr w:rsidR="00B879AA" w:rsidRPr="00884D55" w14:paraId="34C67690" w14:textId="77777777" w:rsidTr="00803507">
        <w:trPr>
          <w:trHeight w:val="145"/>
        </w:trPr>
        <w:tc>
          <w:tcPr>
            <w:tcW w:w="1791" w:type="dxa"/>
          </w:tcPr>
          <w:p w14:paraId="12CC3B5F" w14:textId="0ED518F7" w:rsidR="00B879AA" w:rsidRPr="00884D55" w:rsidRDefault="00B879AA" w:rsidP="00B879AA">
            <w:pPr>
              <w:pStyle w:val="Marginlie"/>
              <w:rPr>
                <w:spacing w:val="0"/>
                <w:lang w:val="en-GB" w:eastAsia="en-US"/>
              </w:rPr>
            </w:pPr>
            <w:r w:rsidRPr="00884D55">
              <w:rPr>
                <w:spacing w:val="0"/>
                <w:lang w:val="en-GB" w:eastAsia="en-US"/>
              </w:rPr>
              <w:t>Housing and energy prices maintained strong dynamics…</w:t>
            </w:r>
          </w:p>
          <w:p w14:paraId="400E5FD0" w14:textId="77777777" w:rsidR="00B879AA" w:rsidRPr="00884D55" w:rsidRDefault="00B879AA" w:rsidP="00B879AA">
            <w:pPr>
              <w:pStyle w:val="Marginlie"/>
              <w:rPr>
                <w:spacing w:val="0"/>
                <w:lang w:val="en-GB" w:eastAsia="en-US"/>
              </w:rPr>
            </w:pPr>
          </w:p>
          <w:p w14:paraId="027E802A" w14:textId="77777777" w:rsidR="00B879AA" w:rsidRPr="00884D55" w:rsidRDefault="00B879AA" w:rsidP="00B879AA">
            <w:pPr>
              <w:pStyle w:val="Marginlie"/>
              <w:rPr>
                <w:spacing w:val="0"/>
                <w:lang w:val="en-GB" w:eastAsia="en-US"/>
              </w:rPr>
            </w:pPr>
          </w:p>
          <w:p w14:paraId="4A077751" w14:textId="77777777" w:rsidR="00B879AA" w:rsidRPr="00884D55" w:rsidRDefault="00B879AA" w:rsidP="00B879AA">
            <w:pPr>
              <w:pStyle w:val="Marginlie"/>
              <w:rPr>
                <w:spacing w:val="0"/>
                <w:lang w:val="en-GB" w:eastAsia="en-US"/>
              </w:rPr>
            </w:pPr>
          </w:p>
          <w:p w14:paraId="1B7930C7" w14:textId="77777777" w:rsidR="00B879AA" w:rsidRPr="00884D55" w:rsidRDefault="00B879AA" w:rsidP="00B879AA">
            <w:pPr>
              <w:pStyle w:val="Marginlie"/>
              <w:rPr>
                <w:spacing w:val="0"/>
                <w:lang w:val="en-GB" w:eastAsia="en-US"/>
              </w:rPr>
            </w:pPr>
          </w:p>
          <w:p w14:paraId="023B1AEF" w14:textId="1350FE50" w:rsidR="00B879AA" w:rsidRDefault="00B879AA" w:rsidP="00B879AA">
            <w:pPr>
              <w:pStyle w:val="Marginlie"/>
              <w:rPr>
                <w:spacing w:val="0"/>
                <w:lang w:val="en-GB" w:eastAsia="en-US"/>
              </w:rPr>
            </w:pPr>
            <w:r w:rsidRPr="00884D55">
              <w:rPr>
                <w:spacing w:val="0"/>
                <w:lang w:val="en-GB" w:eastAsia="en-US"/>
              </w:rPr>
              <w:t>…</w:t>
            </w:r>
            <w:r w:rsidRPr="00884D55">
              <w:rPr>
                <w:rFonts w:ascii="Segoe UI" w:hAnsi="Segoe UI" w:cs="Segoe UI"/>
                <w:color w:val="000000"/>
                <w:spacing w:val="0"/>
                <w:sz w:val="21"/>
                <w:szCs w:val="21"/>
                <w:lang w:val="en-GB"/>
              </w:rPr>
              <w:t xml:space="preserve"> </w:t>
            </w:r>
            <w:r w:rsidRPr="00884D55">
              <w:rPr>
                <w:spacing w:val="0"/>
                <w:lang w:val="en-GB" w:eastAsia="en-US"/>
              </w:rPr>
              <w:t xml:space="preserve">mainly due to rentals and housing-related services. </w:t>
            </w:r>
          </w:p>
        </w:tc>
        <w:tc>
          <w:tcPr>
            <w:tcW w:w="223" w:type="dxa"/>
          </w:tcPr>
          <w:p w14:paraId="3085048A" w14:textId="77777777" w:rsidR="00B879AA" w:rsidRPr="00884D55" w:rsidRDefault="00B879AA" w:rsidP="00B879AA">
            <w:pPr>
              <w:pStyle w:val="Textpoznpodarou1"/>
              <w:jc w:val="both"/>
              <w:rPr>
                <w:lang w:val="en-GB" w:eastAsia="en-US"/>
              </w:rPr>
            </w:pPr>
          </w:p>
        </w:tc>
        <w:tc>
          <w:tcPr>
            <w:tcW w:w="7625" w:type="dxa"/>
          </w:tcPr>
          <w:p w14:paraId="7A0BE112" w14:textId="0871BFBB" w:rsidR="00B879AA" w:rsidRDefault="00B879AA" w:rsidP="00B879AA">
            <w:pPr>
              <w:rPr>
                <w:lang w:val="en-GB" w:eastAsia="en-US"/>
              </w:rPr>
            </w:pPr>
            <w:r w:rsidRPr="00884D55">
              <w:rPr>
                <w:lang w:val="en-GB" w:eastAsia="en-US"/>
              </w:rPr>
              <w:t>Prices of housing and energy rose by 4.2%, year-on-year, and by 0.6%, quarter-on-quarter in Q4. The pick-up in annual growth of prices of housing was due mainly to prices of electricity, heat, gas and other fuels, which rose to 5.5%. The increase of imputed rentals was also slightly higher</w:t>
            </w:r>
            <w:r w:rsidRPr="00884D55">
              <w:rPr>
                <w:rStyle w:val="Znakapoznpodarou"/>
                <w:lang w:val="en-GB" w:eastAsia="en-US"/>
              </w:rPr>
              <w:footnoteReference w:id="78"/>
            </w:r>
            <w:r w:rsidRPr="00884D55">
              <w:rPr>
                <w:lang w:val="en-GB" w:eastAsia="en-US"/>
              </w:rPr>
              <w:t xml:space="preserve"> (1.6%). Other items in this section maintained a strong year-on-year dynamics – other services related to housing by 8.7%, actual rentals for housing by 6.2% and routine maintenance and minor repairs by 4.1%. Housing and energy prices increased by 3.5% for the whole year 2024. Prices of other housing-related services increased the most (8.4%), followed by rentals for housing (6.7%). Prices of routine maintenance and repairs (4.5%) and electricity, heat and gas, and other fuels (4.4%) were also significantly higher.</w:t>
            </w:r>
          </w:p>
        </w:tc>
      </w:tr>
      <w:tr w:rsidR="00B879AA" w:rsidRPr="00884D55" w14:paraId="7326E945" w14:textId="77777777" w:rsidTr="00803507">
        <w:trPr>
          <w:trHeight w:val="145"/>
        </w:trPr>
        <w:tc>
          <w:tcPr>
            <w:tcW w:w="1791" w:type="dxa"/>
          </w:tcPr>
          <w:p w14:paraId="16DE86EE" w14:textId="77777777" w:rsidR="00B879AA" w:rsidRPr="00884D55" w:rsidRDefault="00B879AA" w:rsidP="00B879AA">
            <w:pPr>
              <w:pStyle w:val="Marginlie"/>
              <w:rPr>
                <w:spacing w:val="0"/>
                <w:lang w:val="en-GB" w:eastAsia="en-US"/>
              </w:rPr>
            </w:pPr>
          </w:p>
        </w:tc>
        <w:tc>
          <w:tcPr>
            <w:tcW w:w="223" w:type="dxa"/>
          </w:tcPr>
          <w:p w14:paraId="71EB08A3" w14:textId="77777777" w:rsidR="00B879AA" w:rsidRPr="00884D55" w:rsidRDefault="00B879AA" w:rsidP="00B879AA">
            <w:pPr>
              <w:pStyle w:val="Textpoznpodarou1"/>
              <w:jc w:val="both"/>
              <w:rPr>
                <w:lang w:val="en-GB" w:eastAsia="en-US"/>
              </w:rPr>
            </w:pPr>
          </w:p>
        </w:tc>
        <w:tc>
          <w:tcPr>
            <w:tcW w:w="7625" w:type="dxa"/>
            <w:hideMark/>
          </w:tcPr>
          <w:p w14:paraId="60B74D8C" w14:textId="77777777" w:rsidR="00B879AA" w:rsidRPr="00884D55" w:rsidRDefault="00B879AA" w:rsidP="00B879AA">
            <w:pPr>
              <w:spacing w:after="0"/>
              <w:rPr>
                <w:lang w:val="en-GB" w:eastAsia="en-US"/>
              </w:rPr>
            </w:pPr>
            <w:r w:rsidRPr="00884D55">
              <w:rPr>
                <w:rFonts w:cs="Arial"/>
                <w:b/>
                <w:bCs/>
                <w:color w:val="000000"/>
                <w:sz w:val="18"/>
                <w:szCs w:val="18"/>
                <w:lang w:val="en-GB" w:eastAsia="en-US"/>
              </w:rPr>
              <w:t xml:space="preserve">Chart 10 </w:t>
            </w:r>
            <w:r w:rsidRPr="00884D55">
              <w:rPr>
                <w:rFonts w:cs="Arial"/>
                <w:b/>
                <w:bCs/>
                <w:color w:val="000000"/>
                <w:sz w:val="18"/>
                <w:szCs w:val="18"/>
                <w:lang w:val="en-GB"/>
              </w:rPr>
              <w:t xml:space="preserve">Prices in the selected divisions of the consumer price index </w:t>
            </w:r>
            <w:r w:rsidRPr="00884D55">
              <w:rPr>
                <w:rFonts w:cs="Arial"/>
                <w:color w:val="000000"/>
                <w:sz w:val="18"/>
                <w:szCs w:val="18"/>
                <w:lang w:val="en-GB"/>
              </w:rPr>
              <w:t>(year-on-year in %)</w:t>
            </w:r>
          </w:p>
        </w:tc>
      </w:tr>
      <w:tr w:rsidR="00B879AA" w:rsidRPr="00884D55" w14:paraId="7B67AE67" w14:textId="77777777" w:rsidTr="004D6D0D">
        <w:tblPrEx>
          <w:tblCellMar>
            <w:left w:w="70" w:type="dxa"/>
            <w:right w:w="70" w:type="dxa"/>
          </w:tblCellMar>
        </w:tblPrEx>
        <w:trPr>
          <w:trHeight w:val="145"/>
        </w:trPr>
        <w:tc>
          <w:tcPr>
            <w:tcW w:w="1791" w:type="dxa"/>
          </w:tcPr>
          <w:p w14:paraId="36CFEE1C" w14:textId="77777777" w:rsidR="00B879AA" w:rsidRPr="00884D55" w:rsidRDefault="00B879AA" w:rsidP="00B879AA">
            <w:pPr>
              <w:pStyle w:val="Marginlie"/>
              <w:rPr>
                <w:spacing w:val="0"/>
                <w:lang w:val="en-GB" w:eastAsia="en-US"/>
              </w:rPr>
            </w:pPr>
          </w:p>
        </w:tc>
        <w:tc>
          <w:tcPr>
            <w:tcW w:w="223" w:type="dxa"/>
          </w:tcPr>
          <w:p w14:paraId="61EE6D54" w14:textId="77777777" w:rsidR="00B879AA" w:rsidRPr="00884D55" w:rsidRDefault="00B879AA" w:rsidP="00B879AA">
            <w:pPr>
              <w:pStyle w:val="Textpoznpodarou1"/>
              <w:jc w:val="both"/>
              <w:rPr>
                <w:lang w:val="en-GB" w:eastAsia="en-US"/>
              </w:rPr>
            </w:pPr>
          </w:p>
        </w:tc>
        <w:tc>
          <w:tcPr>
            <w:tcW w:w="7625" w:type="dxa"/>
            <w:hideMark/>
          </w:tcPr>
          <w:p w14:paraId="12E52275" w14:textId="0E97EBB1" w:rsidR="00B879AA" w:rsidRPr="00884D55" w:rsidRDefault="00B879AA" w:rsidP="00B879AA">
            <w:pPr>
              <w:spacing w:after="0"/>
              <w:jc w:val="center"/>
              <w:rPr>
                <w:lang w:val="en-GB" w:eastAsia="en-US"/>
              </w:rPr>
            </w:pPr>
            <w:r>
              <w:rPr>
                <w:noProof/>
              </w:rPr>
              <w:drawing>
                <wp:inline distT="0" distB="0" distL="0" distR="0" wp14:anchorId="7539994C" wp14:editId="037A8472">
                  <wp:extent cx="4737600" cy="3556375"/>
                  <wp:effectExtent l="0" t="0" r="6350" b="6350"/>
                  <wp:docPr id="15" name="Graf 1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B879AA" w:rsidRPr="00884D55" w14:paraId="644889C2" w14:textId="77777777" w:rsidTr="00803507">
        <w:trPr>
          <w:trHeight w:val="145"/>
        </w:trPr>
        <w:tc>
          <w:tcPr>
            <w:tcW w:w="1791" w:type="dxa"/>
          </w:tcPr>
          <w:p w14:paraId="539AA5B2" w14:textId="77777777" w:rsidR="00B879AA" w:rsidRPr="00884D55" w:rsidRDefault="00B879AA" w:rsidP="00B879AA">
            <w:pPr>
              <w:pStyle w:val="Marginlie"/>
              <w:rPr>
                <w:spacing w:val="0"/>
                <w:lang w:val="en-GB" w:eastAsia="en-US"/>
              </w:rPr>
            </w:pPr>
          </w:p>
        </w:tc>
        <w:tc>
          <w:tcPr>
            <w:tcW w:w="223" w:type="dxa"/>
          </w:tcPr>
          <w:p w14:paraId="6ED3764D" w14:textId="77777777" w:rsidR="00B879AA" w:rsidRPr="00884D55" w:rsidRDefault="00B879AA" w:rsidP="00B879AA">
            <w:pPr>
              <w:pStyle w:val="Textpoznpodarou1"/>
              <w:jc w:val="both"/>
              <w:rPr>
                <w:lang w:val="en-GB" w:eastAsia="en-US"/>
              </w:rPr>
            </w:pPr>
          </w:p>
        </w:tc>
        <w:tc>
          <w:tcPr>
            <w:tcW w:w="7625" w:type="dxa"/>
            <w:hideMark/>
          </w:tcPr>
          <w:p w14:paraId="74EDDD1D" w14:textId="3F35C60D" w:rsidR="00B879AA" w:rsidRPr="00884D55" w:rsidRDefault="00B879AA" w:rsidP="00B879AA">
            <w:pPr>
              <w:jc w:val="left"/>
              <w:rPr>
                <w:b/>
                <w:bCs/>
                <w:sz w:val="16"/>
                <w:szCs w:val="16"/>
                <w:lang w:val="en-GB" w:eastAsia="en-US"/>
              </w:rPr>
            </w:pPr>
            <w:r w:rsidRPr="00884D55">
              <w:rPr>
                <w:sz w:val="16"/>
                <w:szCs w:val="16"/>
                <w:lang w:val="en-GB" w:eastAsia="en-US"/>
              </w:rPr>
              <w:t>Source: CZSO</w:t>
            </w:r>
          </w:p>
        </w:tc>
      </w:tr>
      <w:tr w:rsidR="00B879AA" w:rsidRPr="00884D55" w14:paraId="0913A927" w14:textId="77777777" w:rsidTr="00803507">
        <w:trPr>
          <w:trHeight w:val="145"/>
        </w:trPr>
        <w:tc>
          <w:tcPr>
            <w:tcW w:w="1791" w:type="dxa"/>
          </w:tcPr>
          <w:p w14:paraId="5B75CBE8" w14:textId="77777777" w:rsidR="00B879AA" w:rsidRPr="00884D55" w:rsidRDefault="00B879AA" w:rsidP="00B879AA">
            <w:pPr>
              <w:pStyle w:val="Marginlie"/>
              <w:rPr>
                <w:spacing w:val="0"/>
                <w:lang w:val="en-GB" w:eastAsia="en-US"/>
              </w:rPr>
            </w:pPr>
            <w:bookmarkStart w:id="69" w:name="_Hlk194942287"/>
            <w:r w:rsidRPr="00884D55">
              <w:rPr>
                <w:spacing w:val="0"/>
                <w:lang w:val="en-GB" w:eastAsia="en-US"/>
              </w:rPr>
              <w:t xml:space="preserve">Total prices of food and non-alcoholic beverages fell last year, nevertheless the year-on-year growth resumed in Q4. </w:t>
            </w:r>
            <w:bookmarkEnd w:id="69"/>
          </w:p>
        </w:tc>
        <w:tc>
          <w:tcPr>
            <w:tcW w:w="223" w:type="dxa"/>
          </w:tcPr>
          <w:p w14:paraId="511C5A6C" w14:textId="77777777" w:rsidR="00B879AA" w:rsidRPr="00884D55" w:rsidRDefault="00B879AA" w:rsidP="00B879AA">
            <w:pPr>
              <w:pStyle w:val="Textpoznpodarou1"/>
              <w:jc w:val="both"/>
              <w:rPr>
                <w:lang w:val="en-GB" w:eastAsia="en-US"/>
              </w:rPr>
            </w:pPr>
          </w:p>
        </w:tc>
        <w:tc>
          <w:tcPr>
            <w:tcW w:w="7625" w:type="dxa"/>
            <w:hideMark/>
          </w:tcPr>
          <w:p w14:paraId="47C5C497" w14:textId="77777777" w:rsidR="00B879AA" w:rsidRPr="00884D55" w:rsidRDefault="00B879AA" w:rsidP="00B879AA">
            <w:pPr>
              <w:rPr>
                <w:lang w:val="en-GB" w:eastAsia="en-US"/>
              </w:rPr>
            </w:pPr>
            <w:bookmarkStart w:id="70" w:name="_Hlk194942700"/>
            <w:r w:rsidRPr="00884D55">
              <w:rPr>
                <w:lang w:val="en-GB" w:eastAsia="en-US"/>
              </w:rPr>
              <w:t xml:space="preserve">Food prices went up by 0.9%, year-on-year, and by 1.0%, quarter-on-quarter, in Q4. The period of their year-on-year decline thus lasted only three quarters. The change in the direction of food prices strongly supported the strengthening of the total consumer price growth. The development of prices of oils and fats (13.0%), fruit (4.7%) and milk, cheese and eggs (3.2%) mostly added to the year-on-year growth of food prices. Prices of bread and cereals (−2.4%) and meat (−1.9%) on the contrary continued to fall, year-on-year. Prices of food and non-alcoholic beverages fell by 2.3% for the whole year 2024. Prices of milk, cheese and eggs (−6.1%), meat (−3.9%) or bread and cereals (−3.7%) were lower. Prices of non-alcoholic beverages (3.8%), oils and fats (3.5%) and sugar, jam, honey, chocolate, confectionery and confectionery products (0.8%) went up. </w:t>
            </w:r>
            <w:bookmarkEnd w:id="70"/>
            <w:r w:rsidRPr="00884D55">
              <w:rPr>
                <w:lang w:val="en-GB" w:eastAsia="en-US"/>
              </w:rPr>
              <w:t xml:space="preserve"> </w:t>
            </w:r>
          </w:p>
        </w:tc>
      </w:tr>
      <w:tr w:rsidR="00B879AA" w:rsidRPr="00884D55" w14:paraId="69714ADC" w14:textId="77777777" w:rsidTr="00803507">
        <w:trPr>
          <w:trHeight w:val="145"/>
        </w:trPr>
        <w:tc>
          <w:tcPr>
            <w:tcW w:w="1791" w:type="dxa"/>
          </w:tcPr>
          <w:p w14:paraId="524CFDE8" w14:textId="77777777" w:rsidR="00B879AA" w:rsidRPr="00884D55" w:rsidRDefault="00B879AA" w:rsidP="00B879AA">
            <w:pPr>
              <w:pStyle w:val="Marginlie"/>
              <w:rPr>
                <w:spacing w:val="0"/>
                <w:lang w:val="en-GB" w:eastAsia="en-US"/>
              </w:rPr>
            </w:pPr>
            <w:bookmarkStart w:id="71" w:name="_Hlk194943358"/>
            <w:r w:rsidRPr="00884D55">
              <w:rPr>
                <w:spacing w:val="0"/>
                <w:lang w:val="en-GB" w:eastAsia="en-US"/>
              </w:rPr>
              <w:t>Prices of restaurants and accommodation rose strongly last year, demonstrating generally strong dynamics of prices of services.</w:t>
            </w:r>
            <w:bookmarkEnd w:id="71"/>
          </w:p>
        </w:tc>
        <w:tc>
          <w:tcPr>
            <w:tcW w:w="223" w:type="dxa"/>
          </w:tcPr>
          <w:p w14:paraId="6EB584B8" w14:textId="77777777" w:rsidR="00B879AA" w:rsidRPr="00884D55" w:rsidRDefault="00B879AA" w:rsidP="00B879AA">
            <w:pPr>
              <w:pStyle w:val="Textpoznpodarou1"/>
              <w:jc w:val="both"/>
              <w:rPr>
                <w:lang w:val="en-GB" w:eastAsia="en-US"/>
              </w:rPr>
            </w:pPr>
          </w:p>
        </w:tc>
        <w:tc>
          <w:tcPr>
            <w:tcW w:w="7625" w:type="dxa"/>
          </w:tcPr>
          <w:p w14:paraId="44B18612" w14:textId="4CD3062F" w:rsidR="00B879AA" w:rsidRPr="00884D55" w:rsidRDefault="00B879AA" w:rsidP="00B879AA">
            <w:pPr>
              <w:rPr>
                <w:lang w:val="en-GB" w:eastAsia="en-US"/>
              </w:rPr>
            </w:pPr>
            <w:bookmarkStart w:id="72" w:name="_Hlk194943381"/>
            <w:r w:rsidRPr="00884D55">
              <w:rPr>
                <w:lang w:val="en-GB" w:eastAsia="en-US"/>
              </w:rPr>
              <w:t xml:space="preserve">Prices of restaurants and </w:t>
            </w:r>
            <w:r>
              <w:rPr>
                <w:lang w:val="en-GB" w:eastAsia="en-US"/>
              </w:rPr>
              <w:t>hotels</w:t>
            </w:r>
            <w:r w:rsidRPr="00884D55">
              <w:rPr>
                <w:lang w:val="en-GB" w:eastAsia="en-US"/>
              </w:rPr>
              <w:t xml:space="preserve"> maintained strong year-on-year growth throughout last year (up by 7.6% in total) and thus contributed significantly to the total increase of consumer prices. Their year-on-year increases weakened slightly during the year and prices rose by 7.0%, year-on-year, in Q4 alone. In the quarter-on-quarter comparison, prices of restaurants and </w:t>
            </w:r>
            <w:r>
              <w:rPr>
                <w:lang w:val="en-GB" w:eastAsia="en-US"/>
              </w:rPr>
              <w:t>hotels</w:t>
            </w:r>
            <w:r w:rsidRPr="00884D55">
              <w:rPr>
                <w:lang w:val="en-GB" w:eastAsia="en-US"/>
              </w:rPr>
              <w:t xml:space="preserve"> went up by 0.9%. </w:t>
            </w:r>
            <w:bookmarkStart w:id="73" w:name="_Hlk194943824"/>
            <w:bookmarkEnd w:id="72"/>
            <w:r w:rsidRPr="00884D55">
              <w:rPr>
                <w:lang w:val="en-GB" w:eastAsia="en-US"/>
              </w:rPr>
              <w:t xml:space="preserve">Prices of alcoholic beverages and tobacco also had a significant impact on the total consumer price growth, rising by 5.1% for 2024 as a whole. They were 4.8% higher, year-on-year, in Q4 and decreased by 0.1%, quarter-on-quarter. Prices of recreation and culture also had a significant impact on the overall index. They were higher by 3.8% for the whole last year, mainly due to recreational and cultural services (6.1%) and package holidays (4.3%). In Q4 alone, prices of recreation and culture increased by 3.5%, year-on-year, while they fell by 3.5%, quarter-on-quarter. </w:t>
            </w:r>
            <w:bookmarkEnd w:id="73"/>
          </w:p>
        </w:tc>
      </w:tr>
      <w:tr w:rsidR="00B879AA" w:rsidRPr="00884D55" w14:paraId="0B1B1412" w14:textId="77777777" w:rsidTr="00803507">
        <w:trPr>
          <w:trHeight w:val="145"/>
        </w:trPr>
        <w:tc>
          <w:tcPr>
            <w:tcW w:w="1791" w:type="dxa"/>
          </w:tcPr>
          <w:p w14:paraId="3A51D076" w14:textId="77777777" w:rsidR="00B879AA" w:rsidRPr="00884D55" w:rsidRDefault="00B879AA" w:rsidP="00B879AA">
            <w:pPr>
              <w:pStyle w:val="Marginlie"/>
              <w:rPr>
                <w:spacing w:val="0"/>
                <w:lang w:val="en-GB" w:eastAsia="en-US"/>
              </w:rPr>
            </w:pPr>
            <w:bookmarkStart w:id="74" w:name="_Hlk194943644"/>
            <w:r w:rsidRPr="00884D55">
              <w:rPr>
                <w:spacing w:val="0"/>
                <w:lang w:val="en-GB" w:eastAsia="en-US"/>
              </w:rPr>
              <w:t>Prices increased the most in education.</w:t>
            </w:r>
            <w:bookmarkEnd w:id="74"/>
          </w:p>
        </w:tc>
        <w:tc>
          <w:tcPr>
            <w:tcW w:w="223" w:type="dxa"/>
          </w:tcPr>
          <w:p w14:paraId="6FB6FFFA" w14:textId="77777777" w:rsidR="00B879AA" w:rsidRPr="00884D55" w:rsidRDefault="00B879AA" w:rsidP="00B879AA">
            <w:pPr>
              <w:pStyle w:val="Textpoznpodarou1"/>
              <w:jc w:val="both"/>
              <w:rPr>
                <w:lang w:val="en-GB" w:eastAsia="en-US"/>
              </w:rPr>
            </w:pPr>
          </w:p>
        </w:tc>
        <w:tc>
          <w:tcPr>
            <w:tcW w:w="7625" w:type="dxa"/>
            <w:hideMark/>
          </w:tcPr>
          <w:p w14:paraId="5A87141A" w14:textId="77777777" w:rsidR="00B879AA" w:rsidRPr="00884D55" w:rsidRDefault="00B879AA" w:rsidP="00B879AA">
            <w:pPr>
              <w:rPr>
                <w:lang w:val="en-GB" w:eastAsia="en-US"/>
              </w:rPr>
            </w:pPr>
            <w:bookmarkStart w:id="75" w:name="_Hlk194943667"/>
            <w:r w:rsidRPr="00884D55">
              <w:rPr>
                <w:lang w:val="en-GB" w:eastAsia="en-US"/>
              </w:rPr>
              <w:t>Prices of education increased the most within the consumer basket last year (8.2%). The year-on-year dynamics strengthened during the year up to 11.3% in Q4. Quarter-on-quarter, the prices of education increased by 6.9% in Q4. Prices in the health area also maintained a significant increase and were by 4.2% higher in total last year. Health prices increased by 3.8%, year-on-year, in Q4 and decreased by 0.7%, quarter-on-quarter. Prices also rose above average in the division miscellaneous goods and services</w:t>
            </w:r>
            <w:r w:rsidRPr="00884D55">
              <w:rPr>
                <w:rStyle w:val="Znakapoznpodarou"/>
                <w:lang w:val="en-GB" w:eastAsia="en-US"/>
              </w:rPr>
              <w:footnoteReference w:id="79"/>
            </w:r>
            <w:r w:rsidRPr="00884D55">
              <w:rPr>
                <w:lang w:val="en-GB" w:eastAsia="en-US"/>
              </w:rPr>
              <w:t xml:space="preserve"> last year (by 3.4% in total) and they were higher by 3.6%, year-on-year, in Q4 itself, while they rose by 0.1%, quarter-on-quarter. The year-on-year growth of prices of postal activities and telecommunications gradually weakened during the year. Prices rose by 1.6% for the whole year, by 0.7%, year-on-year, in Q4 and by 0.1%, quarter-on-quarter. </w:t>
            </w:r>
            <w:bookmarkEnd w:id="75"/>
          </w:p>
        </w:tc>
      </w:tr>
      <w:tr w:rsidR="00B879AA" w:rsidRPr="00884D55" w14:paraId="4210CEF3" w14:textId="77777777" w:rsidTr="00803507">
        <w:trPr>
          <w:trHeight w:val="145"/>
        </w:trPr>
        <w:tc>
          <w:tcPr>
            <w:tcW w:w="1791" w:type="dxa"/>
          </w:tcPr>
          <w:p w14:paraId="28DDBC39" w14:textId="77777777" w:rsidR="00B879AA" w:rsidRPr="00884D55" w:rsidRDefault="00B879AA" w:rsidP="00B879AA">
            <w:pPr>
              <w:pStyle w:val="Marginlie"/>
              <w:rPr>
                <w:spacing w:val="0"/>
                <w:lang w:val="en-GB" w:eastAsia="en-US"/>
              </w:rPr>
            </w:pPr>
            <w:r w:rsidRPr="00884D55">
              <w:rPr>
                <w:spacing w:val="0"/>
                <w:lang w:val="en-GB" w:eastAsia="en-US"/>
              </w:rPr>
              <w:t>Transport prices rose in total last year.</w:t>
            </w:r>
          </w:p>
        </w:tc>
        <w:tc>
          <w:tcPr>
            <w:tcW w:w="223" w:type="dxa"/>
          </w:tcPr>
          <w:p w14:paraId="5D8AADB3" w14:textId="77777777" w:rsidR="00B879AA" w:rsidRPr="00884D55" w:rsidRDefault="00B879AA" w:rsidP="00B879AA">
            <w:pPr>
              <w:pStyle w:val="Textpoznpodarou1"/>
              <w:jc w:val="both"/>
              <w:rPr>
                <w:lang w:val="en-GB" w:eastAsia="en-US"/>
              </w:rPr>
            </w:pPr>
          </w:p>
        </w:tc>
        <w:tc>
          <w:tcPr>
            <w:tcW w:w="7625" w:type="dxa"/>
            <w:hideMark/>
          </w:tcPr>
          <w:p w14:paraId="2C368172" w14:textId="77777777" w:rsidR="00B879AA" w:rsidRPr="00884D55" w:rsidRDefault="00B879AA" w:rsidP="00B879AA">
            <w:pPr>
              <w:rPr>
                <w:lang w:val="en-GB" w:eastAsia="en-US"/>
              </w:rPr>
            </w:pPr>
            <w:bookmarkStart w:id="76" w:name="_Hlk194944686"/>
            <w:r w:rsidRPr="00884D55">
              <w:rPr>
                <w:lang w:val="en-GB" w:eastAsia="en-US"/>
              </w:rPr>
              <w:t xml:space="preserve">The year-on-year growth of transport prices gradually weakened during the year down to 0.1% in Q4. This was mainly due to fuels, whose prices fell by 7.3%, year-on-year, in Q4. The cost of motor vehicle, motorcycle and bicycle purchases fell by 1.1%. On the contrary, the year-on-year growth of prices of transport services strengthened (7.3%). Quarter-on-quarter, the transport prices went down by 1.1% in Q4. Transport prices were higher by 1.8% for the whole year. Prices of transport services rose significantly (5.8%) and prices of operation of personal transport equipment were higher (3.8%, in that prices of fuel fell by 0.4%, while the price increases were on the contrary influenced by motorway tolls, whose prices were raised at the beginning of the year). Prices of motor vehicle, motorcycle and bicycle purchases were lower by 1.6% last year. The division home furnishings, household equipment and repairs, where prices went up by 0.5% in total and by 1.0%, year-on-year, in Q4 and by 0.5%, quarter-on-quarter, presented the evidence of weakening growth of prices of goods last year. The weakening of year-on-year price dynamics was particularly noticeable in household appliances and equipment. Prices of clothing and footwear also did not grow as strongly as in previous years. Prices in this division went up by 2.5% for the whole year 2024 and fell by 0.6%, year-on-year, in Q4. Prices increased by 1.5%, quarter-on-quarter.   </w:t>
            </w:r>
            <w:bookmarkEnd w:id="76"/>
          </w:p>
        </w:tc>
      </w:tr>
      <w:tr w:rsidR="00B879AA" w:rsidRPr="00884D55" w14:paraId="0177800D" w14:textId="77777777" w:rsidTr="00803507">
        <w:trPr>
          <w:trHeight w:val="145"/>
        </w:trPr>
        <w:tc>
          <w:tcPr>
            <w:tcW w:w="1791" w:type="dxa"/>
            <w:hideMark/>
          </w:tcPr>
          <w:p w14:paraId="19E026A2" w14:textId="77777777" w:rsidR="00B879AA" w:rsidRPr="00884D55" w:rsidRDefault="00B879AA" w:rsidP="00B879AA">
            <w:pPr>
              <w:pStyle w:val="Marginlie"/>
              <w:rPr>
                <w:spacing w:val="0"/>
                <w:lang w:val="en-GB" w:eastAsia="en-US"/>
              </w:rPr>
            </w:pPr>
            <w:bookmarkStart w:id="77" w:name="_Hlk194945213"/>
            <w:r w:rsidRPr="00884D55">
              <w:rPr>
                <w:spacing w:val="0"/>
                <w:lang w:val="en-GB" w:eastAsia="en-US"/>
              </w:rPr>
              <w:t>Consumer price growth turned more moderate in the EU last year.</w:t>
            </w:r>
            <w:bookmarkEnd w:id="77"/>
          </w:p>
        </w:tc>
        <w:tc>
          <w:tcPr>
            <w:tcW w:w="223" w:type="dxa"/>
          </w:tcPr>
          <w:p w14:paraId="4736CCF9" w14:textId="77777777" w:rsidR="00B879AA" w:rsidRPr="00884D55" w:rsidRDefault="00B879AA" w:rsidP="00B879AA">
            <w:pPr>
              <w:pStyle w:val="Textpoznpodarou1"/>
              <w:jc w:val="both"/>
              <w:rPr>
                <w:lang w:val="en-GB" w:eastAsia="en-US"/>
              </w:rPr>
            </w:pPr>
          </w:p>
        </w:tc>
        <w:tc>
          <w:tcPr>
            <w:tcW w:w="7625" w:type="dxa"/>
            <w:hideMark/>
          </w:tcPr>
          <w:p w14:paraId="1C62482C" w14:textId="77777777" w:rsidR="00B879AA" w:rsidRPr="00884D55" w:rsidRDefault="00B879AA" w:rsidP="00B879AA">
            <w:pPr>
              <w:rPr>
                <w:lang w:val="en-GB" w:eastAsia="en-US"/>
              </w:rPr>
            </w:pPr>
            <w:r w:rsidRPr="00884D55">
              <w:rPr>
                <w:lang w:val="en-GB" w:eastAsia="en-US"/>
              </w:rPr>
              <w:t>Year-on-year consumer price growth in the EU (according to the Harmonised Index of Consumer Prices, HICP</w:t>
            </w:r>
            <w:r w:rsidRPr="00884D55">
              <w:rPr>
                <w:rStyle w:val="Znakapoznpodarou"/>
                <w:lang w:val="en-GB" w:eastAsia="en-US"/>
              </w:rPr>
              <w:footnoteReference w:id="80"/>
            </w:r>
            <w:r w:rsidRPr="00884D55">
              <w:rPr>
                <w:lang w:val="en-GB" w:eastAsia="en-US"/>
              </w:rPr>
              <w:t xml:space="preserve">) moderated to 2.6% last year and was the lowest since 2020. The rise of prices was the highest in Romania (5.8%), Belgium (4.3%) and Croatia (4.0%). On the contrary, consumer prices rose the least in Lithuania (0.9%), Finland (1.0%) and Italy (1.1%). Price developments were characterised by a decline of energy prices and, conversely, by persisting higher growth of services prices in the EU last year. In countries where consumer prices rose the most last year, prices of items across the consumer basket, especially services, but also food, alcohol and tobacco, continued to rise strongly. According to the HICP, consumer prices rose by 2.7% in the Czech Republic last year. Year-on-year price growth first slowed in the EU last year (2.8%, 2.6% and 2.4% in Q1 to Q3), but strengthened again in Q4 to 2.5%. This was mainly due to a moderation of the fall of energy prices. </w:t>
            </w:r>
            <w:bookmarkStart w:id="78" w:name="_Hlk194947008"/>
            <w:r w:rsidRPr="00884D55">
              <w:rPr>
                <w:lang w:val="en-GB" w:eastAsia="en-US"/>
              </w:rPr>
              <w:t xml:space="preserve">Consumer prices increased by 0.3% in the EU, quarter-on-quarter. Romania (5.3%), Belgium (4.6%) and Estonia (4.1%) were the top countries with the most significant year-on-year price growth in Q4. Price growth dropped below 1% in Ireland (0.5%) and was also low in Lithuania (1.0%) or Luxembourg and Slovenia (both 1.2%).      </w:t>
            </w:r>
            <w:bookmarkStart w:id="79" w:name="hhhh"/>
            <w:bookmarkEnd w:id="78"/>
            <w:bookmarkEnd w:id="79"/>
          </w:p>
        </w:tc>
      </w:tr>
      <w:tr w:rsidR="00B879AA" w:rsidRPr="00884D55" w14:paraId="4D2492AC" w14:textId="77777777" w:rsidTr="00803507">
        <w:trPr>
          <w:trHeight w:val="145"/>
        </w:trPr>
        <w:tc>
          <w:tcPr>
            <w:tcW w:w="1791" w:type="dxa"/>
          </w:tcPr>
          <w:p w14:paraId="607831D0" w14:textId="77777777" w:rsidR="00B879AA" w:rsidRPr="00884D55" w:rsidRDefault="00B879AA" w:rsidP="00B879AA">
            <w:pPr>
              <w:pStyle w:val="Marginlie"/>
              <w:rPr>
                <w:spacing w:val="0"/>
                <w:lang w:val="en-GB" w:eastAsia="en-US"/>
              </w:rPr>
            </w:pPr>
            <w:bookmarkStart w:id="80" w:name="_Hlk194946844"/>
            <w:r w:rsidRPr="00884D55">
              <w:rPr>
                <w:spacing w:val="0"/>
                <w:lang w:val="en-GB" w:eastAsia="en-US"/>
              </w:rPr>
              <w:t xml:space="preserve">The growth of </w:t>
            </w:r>
            <w:r>
              <w:rPr>
                <w:spacing w:val="0"/>
                <w:lang w:val="en-GB" w:eastAsia="en-US"/>
              </w:rPr>
              <w:t xml:space="preserve">prices of dwellings </w:t>
            </w:r>
            <w:r w:rsidRPr="00884D55">
              <w:rPr>
                <w:spacing w:val="0"/>
                <w:lang w:val="en-GB" w:eastAsia="en-US"/>
              </w:rPr>
              <w:t>accelerated again last year.</w:t>
            </w:r>
            <w:bookmarkEnd w:id="80"/>
          </w:p>
        </w:tc>
        <w:tc>
          <w:tcPr>
            <w:tcW w:w="223" w:type="dxa"/>
          </w:tcPr>
          <w:p w14:paraId="7E1BD027" w14:textId="77777777" w:rsidR="00B879AA" w:rsidRPr="00884D55" w:rsidRDefault="00B879AA" w:rsidP="00B879AA">
            <w:pPr>
              <w:pStyle w:val="Textpoznpodarou1"/>
              <w:jc w:val="both"/>
              <w:rPr>
                <w:lang w:val="en-GB" w:eastAsia="en-US"/>
              </w:rPr>
            </w:pPr>
          </w:p>
        </w:tc>
        <w:tc>
          <w:tcPr>
            <w:tcW w:w="7625" w:type="dxa"/>
          </w:tcPr>
          <w:p w14:paraId="77532E4F" w14:textId="10D964B0" w:rsidR="00B879AA" w:rsidRPr="00884D55" w:rsidRDefault="00B879AA" w:rsidP="00B879AA">
            <w:pPr>
              <w:rPr>
                <w:lang w:val="en-GB" w:eastAsia="en-US"/>
              </w:rPr>
            </w:pPr>
            <w:bookmarkStart w:id="81" w:name="_Hlk194946869"/>
            <w:r w:rsidRPr="00884D55">
              <w:rPr>
                <w:lang w:val="en-GB" w:eastAsia="en-US"/>
              </w:rPr>
              <w:t xml:space="preserve">After the growth of </w:t>
            </w:r>
            <w:r>
              <w:rPr>
                <w:lang w:val="en-GB" w:eastAsia="en-US"/>
              </w:rPr>
              <w:t xml:space="preserve">prices of dwellings </w:t>
            </w:r>
            <w:r w:rsidRPr="00884D55">
              <w:rPr>
                <w:lang w:val="en-GB" w:eastAsia="en-US"/>
              </w:rPr>
              <w:t xml:space="preserve">temporarily halted in 2023, last year brought a new acceleration of dynamics and the catalogue prices of </w:t>
            </w:r>
            <w:r>
              <w:rPr>
                <w:lang w:val="en-GB" w:eastAsia="en-US"/>
              </w:rPr>
              <w:t xml:space="preserve">dwellings </w:t>
            </w:r>
            <w:r w:rsidRPr="00884D55">
              <w:rPr>
                <w:lang w:val="en-GB" w:eastAsia="en-US"/>
              </w:rPr>
              <w:t xml:space="preserve">in Czechia increased by a total of 5.0%, year-on-year. At the same time, prices increased by 5.4%, year-on-year, in Prague alone and by 4.7% in the rest of the Czech Republic. During the year, the year-on-year increases of the catalogue prices of </w:t>
            </w:r>
            <w:r>
              <w:rPr>
                <w:lang w:val="en-GB" w:eastAsia="en-US"/>
              </w:rPr>
              <w:t xml:space="preserve">dwellings </w:t>
            </w:r>
            <w:r w:rsidRPr="00884D55">
              <w:rPr>
                <w:lang w:val="en-GB" w:eastAsia="en-US"/>
              </w:rPr>
              <w:t xml:space="preserve">in the Czech Republic strengthened up to 10.7% in Q4. At the same time, there was an increase of 10.4% in Prague and 11.1% outside Prague. The catalogue prices of </w:t>
            </w:r>
            <w:r>
              <w:rPr>
                <w:lang w:val="en-GB" w:eastAsia="en-US"/>
              </w:rPr>
              <w:t xml:space="preserve">dwellings </w:t>
            </w:r>
            <w:r w:rsidRPr="00884D55">
              <w:rPr>
                <w:lang w:val="en-GB" w:eastAsia="en-US"/>
              </w:rPr>
              <w:t xml:space="preserve">increased by 3.1% in the Czech Republic, quarter-on-quarter. Price growth was driven by a new recovery of demand and persistent mismatches with supply. This is also evidenced by the growth rate of realized prices of older </w:t>
            </w:r>
            <w:r>
              <w:rPr>
                <w:lang w:val="en-GB" w:eastAsia="en-US"/>
              </w:rPr>
              <w:t>dwellings</w:t>
            </w:r>
            <w:r w:rsidRPr="00884D55">
              <w:rPr>
                <w:lang w:val="en-GB" w:eastAsia="en-US"/>
              </w:rPr>
              <w:t xml:space="preserve">, which was stronger than the dynamics of catalogue prices. Realized prices of older </w:t>
            </w:r>
            <w:r>
              <w:rPr>
                <w:lang w:val="en-GB" w:eastAsia="en-US"/>
              </w:rPr>
              <w:t xml:space="preserve">dwellings </w:t>
            </w:r>
            <w:r w:rsidRPr="00884D55">
              <w:rPr>
                <w:lang w:val="en-GB" w:eastAsia="en-US"/>
              </w:rPr>
              <w:t xml:space="preserve">increased by 14.2% in the Czech Republic, year-on-year, in Q4 and were 3.6% higher, quarter-on-quarter. Realized prices of older </w:t>
            </w:r>
            <w:r>
              <w:rPr>
                <w:lang w:val="en-GB" w:eastAsia="en-US"/>
              </w:rPr>
              <w:t>dwellings i</w:t>
            </w:r>
            <w:r w:rsidRPr="00884D55">
              <w:rPr>
                <w:lang w:val="en-GB" w:eastAsia="en-US"/>
              </w:rPr>
              <w:t xml:space="preserve">ncreased by 12.1% in Prague, year-on-year, and by 3.5%, quarter-on-quarter. The index of realized prices of new </w:t>
            </w:r>
            <w:r>
              <w:rPr>
                <w:lang w:val="en-GB" w:eastAsia="en-US"/>
              </w:rPr>
              <w:t xml:space="preserve">dwellings </w:t>
            </w:r>
            <w:r w:rsidRPr="00884D55">
              <w:rPr>
                <w:lang w:val="en-GB" w:eastAsia="en-US"/>
              </w:rPr>
              <w:t xml:space="preserve">in Prague climbed up by 7.6%, year-on-year, and by 3.9%, quarter-on-quarter, in Q4. </w:t>
            </w:r>
            <w:bookmarkEnd w:id="81"/>
          </w:p>
        </w:tc>
      </w:tr>
      <w:tr w:rsidR="00B879AA" w:rsidRPr="00884D55" w14:paraId="069D0FB4" w14:textId="77777777" w:rsidTr="00803507">
        <w:trPr>
          <w:trHeight w:val="145"/>
        </w:trPr>
        <w:tc>
          <w:tcPr>
            <w:tcW w:w="1791" w:type="dxa"/>
          </w:tcPr>
          <w:p w14:paraId="0F1BA1A3" w14:textId="77777777" w:rsidR="00B879AA" w:rsidRPr="00884D55" w:rsidRDefault="00B879AA" w:rsidP="00B879AA">
            <w:pPr>
              <w:pStyle w:val="Marginlie"/>
              <w:rPr>
                <w:spacing w:val="0"/>
                <w:lang w:val="en-GB" w:eastAsia="en-US"/>
              </w:rPr>
            </w:pPr>
          </w:p>
        </w:tc>
        <w:tc>
          <w:tcPr>
            <w:tcW w:w="223" w:type="dxa"/>
          </w:tcPr>
          <w:p w14:paraId="321492D4" w14:textId="77777777" w:rsidR="00B879AA" w:rsidRPr="00884D55" w:rsidRDefault="00B879AA" w:rsidP="00B879AA">
            <w:pPr>
              <w:pStyle w:val="Textpoznpodarou1"/>
              <w:jc w:val="both"/>
              <w:rPr>
                <w:lang w:val="en-GB" w:eastAsia="en-US"/>
              </w:rPr>
            </w:pPr>
          </w:p>
        </w:tc>
        <w:tc>
          <w:tcPr>
            <w:tcW w:w="7625" w:type="dxa"/>
            <w:hideMark/>
          </w:tcPr>
          <w:p w14:paraId="5A5193B9" w14:textId="77777777" w:rsidR="00B879AA" w:rsidRPr="00884D55" w:rsidRDefault="00B879AA" w:rsidP="00B879AA">
            <w:pPr>
              <w:spacing w:after="0"/>
              <w:rPr>
                <w:rStyle w:val="Znakapoznpodarou"/>
                <w:lang w:val="en-GB"/>
              </w:rPr>
            </w:pPr>
            <w:r w:rsidRPr="00884D55">
              <w:rPr>
                <w:b/>
                <w:sz w:val="18"/>
                <w:szCs w:val="18"/>
                <w:lang w:val="en-GB" w:eastAsia="en-US"/>
              </w:rPr>
              <w:t xml:space="preserve">Chart 11 Prices of real estate </w:t>
            </w:r>
            <w:r w:rsidRPr="00884D55">
              <w:rPr>
                <w:sz w:val="18"/>
                <w:szCs w:val="18"/>
                <w:lang w:val="en-GB" w:eastAsia="en-US"/>
              </w:rPr>
              <w:t>(year-on-year change, in %)</w:t>
            </w:r>
          </w:p>
        </w:tc>
      </w:tr>
      <w:tr w:rsidR="00B879AA" w:rsidRPr="00884D55" w14:paraId="122A6823" w14:textId="77777777" w:rsidTr="004D6D0D">
        <w:tblPrEx>
          <w:tblCellMar>
            <w:left w:w="70" w:type="dxa"/>
            <w:right w:w="70" w:type="dxa"/>
          </w:tblCellMar>
        </w:tblPrEx>
        <w:trPr>
          <w:trHeight w:val="145"/>
        </w:trPr>
        <w:tc>
          <w:tcPr>
            <w:tcW w:w="1791" w:type="dxa"/>
          </w:tcPr>
          <w:p w14:paraId="52702AA8" w14:textId="77777777" w:rsidR="00B879AA" w:rsidRPr="00884D55" w:rsidRDefault="00B879AA" w:rsidP="00B879AA">
            <w:pPr>
              <w:pStyle w:val="Marginlie"/>
              <w:rPr>
                <w:spacing w:val="0"/>
                <w:lang w:val="en-GB"/>
              </w:rPr>
            </w:pPr>
          </w:p>
        </w:tc>
        <w:tc>
          <w:tcPr>
            <w:tcW w:w="223" w:type="dxa"/>
          </w:tcPr>
          <w:p w14:paraId="342146B3" w14:textId="77777777" w:rsidR="00B879AA" w:rsidRPr="00884D55" w:rsidRDefault="00B879AA" w:rsidP="00B879AA">
            <w:pPr>
              <w:pStyle w:val="Textpoznpodarou1"/>
              <w:jc w:val="both"/>
              <w:rPr>
                <w:lang w:val="en-GB" w:eastAsia="en-US"/>
              </w:rPr>
            </w:pPr>
          </w:p>
        </w:tc>
        <w:tc>
          <w:tcPr>
            <w:tcW w:w="7625" w:type="dxa"/>
            <w:hideMark/>
          </w:tcPr>
          <w:p w14:paraId="7BA2086E" w14:textId="267D2C03" w:rsidR="00B879AA" w:rsidRPr="00884D55" w:rsidRDefault="00B879AA" w:rsidP="00B879AA">
            <w:pPr>
              <w:spacing w:after="0"/>
              <w:rPr>
                <w:rStyle w:val="Znakapoznpodarou"/>
                <w:lang w:val="en-GB"/>
              </w:rPr>
            </w:pPr>
            <w:r>
              <w:rPr>
                <w:noProof/>
              </w:rPr>
              <w:drawing>
                <wp:inline distT="0" distB="0" distL="0" distR="0" wp14:anchorId="2B0E4915" wp14:editId="23B81F57">
                  <wp:extent cx="4737600" cy="3553200"/>
                  <wp:effectExtent l="0" t="0" r="6350" b="0"/>
                  <wp:docPr id="17" name="Graf 17">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B879AA" w:rsidRPr="00884D55" w14:paraId="32FAEFBD" w14:textId="77777777" w:rsidTr="00803507">
        <w:trPr>
          <w:trHeight w:val="145"/>
        </w:trPr>
        <w:tc>
          <w:tcPr>
            <w:tcW w:w="1791" w:type="dxa"/>
          </w:tcPr>
          <w:p w14:paraId="7FE9CA12" w14:textId="77777777" w:rsidR="00B879AA" w:rsidRPr="00884D55" w:rsidRDefault="00B879AA" w:rsidP="00B879AA">
            <w:pPr>
              <w:pStyle w:val="Marginlie"/>
              <w:rPr>
                <w:spacing w:val="0"/>
                <w:lang w:val="en-GB"/>
              </w:rPr>
            </w:pPr>
          </w:p>
        </w:tc>
        <w:tc>
          <w:tcPr>
            <w:tcW w:w="223" w:type="dxa"/>
          </w:tcPr>
          <w:p w14:paraId="46FA200E" w14:textId="77777777" w:rsidR="00B879AA" w:rsidRPr="00884D55" w:rsidRDefault="00B879AA" w:rsidP="00B879AA">
            <w:pPr>
              <w:pStyle w:val="Textpoznpodarou1"/>
              <w:jc w:val="both"/>
              <w:rPr>
                <w:lang w:val="en-GB" w:eastAsia="en-US"/>
              </w:rPr>
            </w:pPr>
          </w:p>
        </w:tc>
        <w:tc>
          <w:tcPr>
            <w:tcW w:w="7625" w:type="dxa"/>
            <w:hideMark/>
          </w:tcPr>
          <w:p w14:paraId="466BDC9B" w14:textId="5BDD3AC5" w:rsidR="00B879AA" w:rsidRPr="00884D55" w:rsidRDefault="00B879AA" w:rsidP="00B879AA">
            <w:pPr>
              <w:jc w:val="left"/>
              <w:rPr>
                <w:rStyle w:val="Znakapoznpodarou"/>
                <w:b/>
                <w:bCs/>
                <w:sz w:val="16"/>
                <w:szCs w:val="16"/>
                <w:lang w:val="en-GB"/>
              </w:rPr>
            </w:pPr>
            <w:r w:rsidRPr="00884D55">
              <w:rPr>
                <w:sz w:val="16"/>
                <w:szCs w:val="16"/>
                <w:lang w:val="en-GB" w:eastAsia="en-US"/>
              </w:rPr>
              <w:t>Source: CZSO</w:t>
            </w:r>
          </w:p>
        </w:tc>
      </w:tr>
      <w:tr w:rsidR="00B879AA" w:rsidRPr="00884D55" w14:paraId="387679E9" w14:textId="77777777" w:rsidTr="00803507">
        <w:trPr>
          <w:trHeight w:val="145"/>
        </w:trPr>
        <w:tc>
          <w:tcPr>
            <w:tcW w:w="1791" w:type="dxa"/>
          </w:tcPr>
          <w:p w14:paraId="5FCBFFCC" w14:textId="77777777" w:rsidR="00B879AA" w:rsidRPr="00884D55" w:rsidRDefault="00B879AA" w:rsidP="00B879AA">
            <w:pPr>
              <w:pStyle w:val="Marginlie"/>
              <w:rPr>
                <w:spacing w:val="0"/>
                <w:lang w:val="en-GB" w:eastAsia="en-US"/>
              </w:rPr>
            </w:pPr>
            <w:bookmarkStart w:id="82" w:name="_Hlk194947932"/>
            <w:r w:rsidRPr="00884D55">
              <w:rPr>
                <w:spacing w:val="0"/>
                <w:lang w:val="en-GB" w:eastAsia="en-US"/>
              </w:rPr>
              <w:t>Industrial producer prices rose last year.</w:t>
            </w:r>
            <w:bookmarkEnd w:id="82"/>
          </w:p>
        </w:tc>
        <w:tc>
          <w:tcPr>
            <w:tcW w:w="223" w:type="dxa"/>
          </w:tcPr>
          <w:p w14:paraId="302122A8" w14:textId="77777777" w:rsidR="00B879AA" w:rsidRPr="00884D55" w:rsidRDefault="00B879AA" w:rsidP="00B879AA">
            <w:pPr>
              <w:pStyle w:val="Textpoznpodarou1"/>
              <w:jc w:val="both"/>
              <w:rPr>
                <w:lang w:val="en-GB" w:eastAsia="en-US"/>
              </w:rPr>
            </w:pPr>
          </w:p>
        </w:tc>
        <w:tc>
          <w:tcPr>
            <w:tcW w:w="7625" w:type="dxa"/>
          </w:tcPr>
          <w:p w14:paraId="023B4FF1" w14:textId="75B0531F" w:rsidR="00B879AA" w:rsidRPr="00884D55" w:rsidRDefault="00B879AA" w:rsidP="00B879AA">
            <w:pPr>
              <w:rPr>
                <w:lang w:val="en-GB" w:eastAsia="en-US"/>
              </w:rPr>
            </w:pPr>
            <w:bookmarkStart w:id="83" w:name="_Hlk194947963"/>
            <w:r w:rsidRPr="00884D55">
              <w:rPr>
                <w:lang w:val="en-GB" w:eastAsia="en-US"/>
              </w:rPr>
              <w:t>The year-on-year dynamics of industrial producer prices gradually strengthened last year. While there was a decrease of 0.9% in Q1, prices rose in the following quarters and Q4 brought a year-on-year increase of 1.8% and a quarter-on-quarter increase of 0.</w:t>
            </w:r>
            <w:r>
              <w:rPr>
                <w:lang w:val="en-GB" w:eastAsia="en-US"/>
              </w:rPr>
              <w:t xml:space="preserve">3%. </w:t>
            </w:r>
            <w:r w:rsidRPr="00884D55">
              <w:rPr>
                <w:lang w:val="en-GB" w:eastAsia="en-US"/>
              </w:rPr>
              <w:t xml:space="preserve">Industrial producer prices rose by 0.8% for the whole year 2024. Prices of electricity, gas, steam and air conditioning were higher last year (4.0%), mainly due to transmission and distribution prices, while prices of electricity itself on the contrary fell last year. Prices of electricity, gas, steam and air conditioning rose by 6.7%, year-on-year, in Q4 and by 1.9%, quarter-on-quarter. Prices of water supply and related services also increased last year (9.2%, they also increased by the same value, year-on-year, in Q4). Prices of mining and quarrying fell last year, mainly under the effect of natural gas prices (−1.3%). These remained in a year-on-year decline throughout the year, falling by 1.8%, year-on-year, in Q4 and by 0.5%, quarter-on-quarter. </w:t>
            </w:r>
            <w:bookmarkEnd w:id="83"/>
          </w:p>
        </w:tc>
      </w:tr>
      <w:tr w:rsidR="00B879AA" w:rsidRPr="00884D55" w14:paraId="76623970" w14:textId="77777777" w:rsidTr="00803507">
        <w:trPr>
          <w:trHeight w:val="145"/>
        </w:trPr>
        <w:tc>
          <w:tcPr>
            <w:tcW w:w="1791" w:type="dxa"/>
          </w:tcPr>
          <w:p w14:paraId="342FC3AD" w14:textId="77777777" w:rsidR="00B879AA" w:rsidRPr="00884D55" w:rsidRDefault="00B879AA" w:rsidP="00B879AA">
            <w:pPr>
              <w:pStyle w:val="Marginlie"/>
              <w:rPr>
                <w:spacing w:val="0"/>
                <w:lang w:val="en-GB" w:eastAsia="en-US"/>
              </w:rPr>
            </w:pPr>
            <w:bookmarkStart w:id="84" w:name="_Hlk194950290"/>
            <w:r w:rsidRPr="00884D55">
              <w:rPr>
                <w:spacing w:val="0"/>
                <w:lang w:val="en-GB" w:eastAsia="en-US"/>
              </w:rPr>
              <w:t xml:space="preserve">Raw material prices, which had risen strongly in previous years, fell in 2024. </w:t>
            </w:r>
            <w:bookmarkEnd w:id="84"/>
          </w:p>
        </w:tc>
        <w:tc>
          <w:tcPr>
            <w:tcW w:w="223" w:type="dxa"/>
          </w:tcPr>
          <w:p w14:paraId="2772A123" w14:textId="77777777" w:rsidR="00B879AA" w:rsidRPr="00884D55" w:rsidRDefault="00B879AA" w:rsidP="00B879AA">
            <w:pPr>
              <w:pStyle w:val="Textpoznpodarou1"/>
              <w:jc w:val="both"/>
              <w:rPr>
                <w:lang w:val="en-GB" w:eastAsia="en-US"/>
              </w:rPr>
            </w:pPr>
          </w:p>
        </w:tc>
        <w:tc>
          <w:tcPr>
            <w:tcW w:w="7625" w:type="dxa"/>
            <w:hideMark/>
          </w:tcPr>
          <w:p w14:paraId="54345308" w14:textId="1E4E6A53" w:rsidR="00B879AA" w:rsidRPr="00884D55" w:rsidRDefault="00B879AA" w:rsidP="00B879AA">
            <w:pPr>
              <w:rPr>
                <w:lang w:val="en-GB" w:eastAsia="en-US"/>
              </w:rPr>
            </w:pPr>
            <w:bookmarkStart w:id="85" w:name="_Hlk194950311"/>
            <w:r w:rsidRPr="00884D55">
              <w:rPr>
                <w:lang w:val="en-GB" w:eastAsia="en-US"/>
              </w:rPr>
              <w:t xml:space="preserve">Prices of manufacturing products and services also decreased slightly last year (−0.3%), nevertheless the development within the division varied. A decrease of prices was evident for a number of raw materials or products derived directly from them after the previous two years of strong growth (especially wood and wood products −6.8%, basic metals −5.6%, paper and paper products −4.3%). On the contrary, the prices of repair, maintenance and installation of machinery and equipment (5.0%), computers, electronic and optical appliances (4.2%), motor vehicles except for motorcycles (3.5%) or machinery and equipment (3.0%) went up. Prices rose by 0.4% in manufacturing, year-on-year, in Q4 itself and stagnated, quarter-on-quarter. Prices of repairs, maintenance and installation of machinery and equipment rose the most, year-on-year (4.6%) and prices of paper and paper products started to rise again (3.9%). In addition, prices of computer, electronic and optical appliances and equipment (3.6%), clothing or motor vehicles except for motorcycles (3.0%) increased more sharply. The increases were more moderate in other divisions. A year-on-year decrease was recorded for fabricated metal products (−1.6%), basic metals (−1.1%), printing and recording services (−0.8%), chemicals and chemical products (−0.7%), and other non-metal mineral products (−0.4%). </w:t>
            </w:r>
            <w:bookmarkEnd w:id="85"/>
          </w:p>
        </w:tc>
      </w:tr>
      <w:tr w:rsidR="00B879AA" w:rsidRPr="00884D55" w14:paraId="5CFF2A74" w14:textId="77777777" w:rsidTr="00803507">
        <w:trPr>
          <w:trHeight w:val="145"/>
        </w:trPr>
        <w:tc>
          <w:tcPr>
            <w:tcW w:w="1791" w:type="dxa"/>
          </w:tcPr>
          <w:p w14:paraId="31426E3B" w14:textId="77777777" w:rsidR="00B879AA" w:rsidRPr="00884D55" w:rsidRDefault="00B879AA" w:rsidP="00B879AA">
            <w:pPr>
              <w:pStyle w:val="Marginlie"/>
              <w:rPr>
                <w:spacing w:val="0"/>
                <w:lang w:val="en-GB" w:eastAsia="en-US"/>
              </w:rPr>
            </w:pPr>
          </w:p>
        </w:tc>
        <w:tc>
          <w:tcPr>
            <w:tcW w:w="223" w:type="dxa"/>
          </w:tcPr>
          <w:p w14:paraId="5C8BA0AD" w14:textId="77777777" w:rsidR="00B879AA" w:rsidRPr="00884D55" w:rsidRDefault="00B879AA" w:rsidP="00B879AA">
            <w:pPr>
              <w:pStyle w:val="Textpoznpodarou1"/>
              <w:jc w:val="both"/>
              <w:rPr>
                <w:lang w:val="en-GB" w:eastAsia="en-US"/>
              </w:rPr>
            </w:pPr>
          </w:p>
        </w:tc>
        <w:tc>
          <w:tcPr>
            <w:tcW w:w="7625" w:type="dxa"/>
            <w:hideMark/>
          </w:tcPr>
          <w:p w14:paraId="73A0057B" w14:textId="77777777" w:rsidR="00B879AA" w:rsidRPr="00884D55" w:rsidRDefault="00B879AA" w:rsidP="00B879AA">
            <w:pPr>
              <w:spacing w:after="0"/>
              <w:rPr>
                <w:lang w:val="en-GB" w:eastAsia="en-US"/>
              </w:rPr>
            </w:pPr>
            <w:r w:rsidRPr="00884D55">
              <w:rPr>
                <w:b/>
                <w:sz w:val="18"/>
                <w:szCs w:val="18"/>
                <w:lang w:val="en-GB" w:eastAsia="en-US"/>
              </w:rPr>
              <w:t xml:space="preserve">Chart 12 Prices of main groups of industrial producers </w:t>
            </w:r>
            <w:r w:rsidRPr="00884D55">
              <w:rPr>
                <w:bCs/>
                <w:sz w:val="18"/>
                <w:szCs w:val="18"/>
                <w:lang w:val="en-GB" w:eastAsia="en-US"/>
              </w:rPr>
              <w:t>(year-on-year change, in %, based on CPA classification)</w:t>
            </w:r>
            <w:r w:rsidRPr="00884D55">
              <w:rPr>
                <w:b/>
                <w:sz w:val="18"/>
                <w:szCs w:val="18"/>
                <w:lang w:val="en-GB" w:eastAsia="en-US"/>
              </w:rPr>
              <w:t xml:space="preserve"> </w:t>
            </w:r>
          </w:p>
        </w:tc>
      </w:tr>
      <w:tr w:rsidR="00B879AA" w:rsidRPr="00884D55" w14:paraId="10E780B2" w14:textId="77777777" w:rsidTr="004D6D0D">
        <w:tblPrEx>
          <w:tblCellMar>
            <w:left w:w="70" w:type="dxa"/>
            <w:right w:w="70" w:type="dxa"/>
          </w:tblCellMar>
        </w:tblPrEx>
        <w:trPr>
          <w:trHeight w:val="145"/>
        </w:trPr>
        <w:tc>
          <w:tcPr>
            <w:tcW w:w="1791" w:type="dxa"/>
          </w:tcPr>
          <w:p w14:paraId="440C9E33" w14:textId="77777777" w:rsidR="00B879AA" w:rsidRPr="00884D55" w:rsidRDefault="00B879AA" w:rsidP="00B879AA">
            <w:pPr>
              <w:pStyle w:val="Marginlie"/>
              <w:rPr>
                <w:spacing w:val="0"/>
                <w:lang w:val="en-GB" w:eastAsia="en-US"/>
              </w:rPr>
            </w:pPr>
          </w:p>
        </w:tc>
        <w:tc>
          <w:tcPr>
            <w:tcW w:w="223" w:type="dxa"/>
          </w:tcPr>
          <w:p w14:paraId="331DE03F" w14:textId="77777777" w:rsidR="00B879AA" w:rsidRPr="00884D55" w:rsidRDefault="00B879AA" w:rsidP="00B879AA">
            <w:pPr>
              <w:pStyle w:val="Textpoznpodarou1"/>
              <w:jc w:val="both"/>
              <w:rPr>
                <w:lang w:val="en-GB" w:eastAsia="en-US"/>
              </w:rPr>
            </w:pPr>
          </w:p>
        </w:tc>
        <w:tc>
          <w:tcPr>
            <w:tcW w:w="7625" w:type="dxa"/>
            <w:hideMark/>
          </w:tcPr>
          <w:p w14:paraId="1C30A2F0" w14:textId="4346A94C" w:rsidR="00B879AA" w:rsidRPr="00884D55" w:rsidRDefault="00B879AA" w:rsidP="00B879AA">
            <w:pPr>
              <w:spacing w:after="0"/>
              <w:jc w:val="center"/>
              <w:rPr>
                <w:lang w:val="en-GB" w:eastAsia="en-US"/>
              </w:rPr>
            </w:pPr>
            <w:r>
              <w:rPr>
                <w:noProof/>
              </w:rPr>
              <w:drawing>
                <wp:inline distT="0" distB="0" distL="0" distR="0" wp14:anchorId="08D9AF91" wp14:editId="30F740AD">
                  <wp:extent cx="4722350" cy="3564975"/>
                  <wp:effectExtent l="0" t="0" r="2540" b="0"/>
                  <wp:docPr id="20" name="Graf 20">
                    <a:extLst xmlns:a="http://schemas.openxmlformats.org/drawingml/2006/main">
                      <a:ext uri="{FF2B5EF4-FFF2-40B4-BE49-F238E27FC236}">
                        <a16:creationId xmlns:a16="http://schemas.microsoft.com/office/drawing/2014/main" id="{A96326AA-2E19-A591-4C15-9F538FA2AF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B879AA" w:rsidRPr="00884D55" w14:paraId="3174B422" w14:textId="77777777" w:rsidTr="00803507">
        <w:trPr>
          <w:trHeight w:val="145"/>
        </w:trPr>
        <w:tc>
          <w:tcPr>
            <w:tcW w:w="1791" w:type="dxa"/>
          </w:tcPr>
          <w:p w14:paraId="1C40E649" w14:textId="77777777" w:rsidR="00B879AA" w:rsidRPr="00884D55" w:rsidRDefault="00B879AA" w:rsidP="00B879AA">
            <w:pPr>
              <w:pStyle w:val="Marginlie"/>
              <w:rPr>
                <w:spacing w:val="0"/>
                <w:lang w:val="en-GB" w:eastAsia="en-US"/>
              </w:rPr>
            </w:pPr>
          </w:p>
        </w:tc>
        <w:tc>
          <w:tcPr>
            <w:tcW w:w="223" w:type="dxa"/>
          </w:tcPr>
          <w:p w14:paraId="00CF4C26" w14:textId="77777777" w:rsidR="00B879AA" w:rsidRPr="00884D55" w:rsidRDefault="00B879AA" w:rsidP="00B879AA">
            <w:pPr>
              <w:pStyle w:val="Textpoznpodarou1"/>
              <w:jc w:val="both"/>
              <w:rPr>
                <w:lang w:val="en-GB" w:eastAsia="en-US"/>
              </w:rPr>
            </w:pPr>
          </w:p>
        </w:tc>
        <w:tc>
          <w:tcPr>
            <w:tcW w:w="7625" w:type="dxa"/>
            <w:hideMark/>
          </w:tcPr>
          <w:p w14:paraId="637F9B46" w14:textId="5050484C" w:rsidR="00B879AA" w:rsidRPr="00884D55" w:rsidRDefault="00B879AA" w:rsidP="00B879AA">
            <w:pPr>
              <w:jc w:val="left"/>
              <w:rPr>
                <w:sz w:val="16"/>
                <w:szCs w:val="16"/>
                <w:lang w:val="en-GB" w:eastAsia="en-US"/>
              </w:rPr>
            </w:pPr>
            <w:r w:rsidRPr="00884D55">
              <w:rPr>
                <w:sz w:val="16"/>
                <w:szCs w:val="16"/>
                <w:lang w:val="en-GB" w:eastAsia="en-US"/>
              </w:rPr>
              <w:t>Source: CZSO</w:t>
            </w:r>
          </w:p>
        </w:tc>
      </w:tr>
      <w:tr w:rsidR="00B879AA" w:rsidRPr="00884D55" w14:paraId="1CD1734C" w14:textId="77777777" w:rsidTr="00803507">
        <w:trPr>
          <w:trHeight w:val="145"/>
        </w:trPr>
        <w:tc>
          <w:tcPr>
            <w:tcW w:w="1791" w:type="dxa"/>
            <w:hideMark/>
          </w:tcPr>
          <w:p w14:paraId="652F3ED0" w14:textId="77777777" w:rsidR="00B879AA" w:rsidRPr="00884D55" w:rsidRDefault="00B879AA" w:rsidP="00B879AA">
            <w:pPr>
              <w:pStyle w:val="Marginlie"/>
              <w:rPr>
                <w:spacing w:val="0"/>
                <w:lang w:val="en-GB" w:eastAsia="en-US"/>
              </w:rPr>
            </w:pPr>
            <w:r w:rsidRPr="00884D55">
              <w:rPr>
                <w:spacing w:val="0"/>
                <w:lang w:val="en-GB" w:eastAsia="en-US"/>
              </w:rPr>
              <w:t xml:space="preserve">Industrial producer prices fell in the EU last year. </w:t>
            </w:r>
          </w:p>
        </w:tc>
        <w:tc>
          <w:tcPr>
            <w:tcW w:w="223" w:type="dxa"/>
          </w:tcPr>
          <w:p w14:paraId="60898FD2" w14:textId="77777777" w:rsidR="00B879AA" w:rsidRPr="00884D55" w:rsidRDefault="00B879AA" w:rsidP="00B879AA">
            <w:pPr>
              <w:pStyle w:val="Textpoznpodarou1"/>
              <w:jc w:val="both"/>
              <w:rPr>
                <w:lang w:val="en-GB" w:eastAsia="en-US"/>
              </w:rPr>
            </w:pPr>
          </w:p>
        </w:tc>
        <w:tc>
          <w:tcPr>
            <w:tcW w:w="7625" w:type="dxa"/>
            <w:hideMark/>
          </w:tcPr>
          <w:p w14:paraId="185F5876" w14:textId="6D81EB3D" w:rsidR="00B879AA" w:rsidRPr="00884D55" w:rsidRDefault="00B879AA" w:rsidP="00B879AA">
            <w:pPr>
              <w:rPr>
                <w:lang w:val="en-GB" w:eastAsia="en-US"/>
              </w:rPr>
            </w:pPr>
            <w:r w:rsidRPr="00884D55">
              <w:rPr>
                <w:lang w:val="en-GB" w:eastAsia="en-US"/>
              </w:rPr>
              <w:t>Industrial producer prices fell by 4.0%</w:t>
            </w:r>
            <w:r w:rsidRPr="00884D55">
              <w:rPr>
                <w:rStyle w:val="Znakapoznpodarou"/>
                <w:lang w:val="en-GB" w:eastAsia="en-US"/>
              </w:rPr>
              <w:footnoteReference w:id="81"/>
            </w:r>
            <w:r w:rsidRPr="00884D55">
              <w:rPr>
                <w:lang w:val="en-GB" w:eastAsia="en-US"/>
              </w:rPr>
              <w:t xml:space="preserve"> in the EU last year. The slump was the second in a row and deepened. Prices of mining and quarrying (−2.8%), manufacturing products (−0.7%) as well as electricity, gas, steam and air conditioning (−13.1%) were lower last year. Industrial producer prices fell in most EU countries last year, the most in Slovakia (−19.7%), Luxembourg (−10.4%) and Latvia (−7.6%). A slight increase was recorded in four countries, the largest in the Czech Republic (0.8%, mainly due to electricity prices, which grew in the Czech Republic as one of the few EU countries), Malta (0.6%), Portugal (0.5%) and Sweden (0.1%). The year-on-year decrease of industrial producer prices in the EU gradually moderated during the year, due among other things to energy prices. Industrial producer prices in the EU were lower by 1.4% in Q4 alone. However, they increased by 1.4%, quarter-on-quarter. Prices of electricity, gas, steam and air conditioning decreased the most, year-on-year (−4.5%)</w:t>
            </w:r>
            <w:r>
              <w:rPr>
                <w:lang w:val="en-GB" w:eastAsia="en-US"/>
              </w:rPr>
              <w:t xml:space="preserve"> in Q4</w:t>
            </w:r>
            <w:r w:rsidRPr="00884D55">
              <w:rPr>
                <w:lang w:val="en-GB" w:eastAsia="en-US"/>
              </w:rPr>
              <w:t xml:space="preserve">, however at the same time recorded a 6.2% quarter-on-quarter increase. Prices of mining and quarrying fell by 1.2% year-on-year, and were higher by 0.5%, quarter-on-quarter. Prices stagnated in manufacturing, quarter-on-quarter, and they were also close to stagnation in the year-on-year perspective (−0.2%). Although the Czech Republic was among the minority of countries where industrial producer prices rose in Q4 (1.8%), the quarter-on-quarter price dynamics were below average (0.4%). The highest year-on-year increase of industrial producer prices was recorded in Ireland (5.4%), Denmark (2.7%) and Hungary (2.1%). Slovakia reported the deepest plunge of prices (−18.6%). This was followed by France (−4.8%) and Poland, Austria and Latvia similarly with −4.3%.   </w:t>
            </w:r>
          </w:p>
        </w:tc>
      </w:tr>
      <w:tr w:rsidR="00B879AA" w:rsidRPr="00884D55" w14:paraId="38D09E6B" w14:textId="77777777" w:rsidTr="00803507">
        <w:trPr>
          <w:trHeight w:val="145"/>
        </w:trPr>
        <w:tc>
          <w:tcPr>
            <w:tcW w:w="1791" w:type="dxa"/>
            <w:hideMark/>
          </w:tcPr>
          <w:p w14:paraId="2A40E894" w14:textId="77777777" w:rsidR="00B879AA" w:rsidRPr="00884D55" w:rsidRDefault="00B879AA" w:rsidP="00B879AA">
            <w:pPr>
              <w:pStyle w:val="Marginlie"/>
              <w:rPr>
                <w:spacing w:val="0"/>
                <w:lang w:val="en-GB" w:eastAsia="en-US"/>
              </w:rPr>
            </w:pPr>
            <w:r w:rsidRPr="00884D55">
              <w:rPr>
                <w:spacing w:val="0"/>
                <w:lang w:val="en-GB" w:eastAsia="en-US"/>
              </w:rPr>
              <w:t>Prices of construction work grew at a steady pace, year-on-year.</w:t>
            </w:r>
          </w:p>
        </w:tc>
        <w:tc>
          <w:tcPr>
            <w:tcW w:w="223" w:type="dxa"/>
          </w:tcPr>
          <w:p w14:paraId="17273190" w14:textId="77777777" w:rsidR="00B879AA" w:rsidRPr="00884D55" w:rsidRDefault="00B879AA" w:rsidP="00B879AA">
            <w:pPr>
              <w:pStyle w:val="Textpoznpodarou1"/>
              <w:jc w:val="both"/>
              <w:rPr>
                <w:lang w:val="en-GB" w:eastAsia="en-US"/>
              </w:rPr>
            </w:pPr>
          </w:p>
        </w:tc>
        <w:tc>
          <w:tcPr>
            <w:tcW w:w="7625" w:type="dxa"/>
            <w:hideMark/>
          </w:tcPr>
          <w:p w14:paraId="55A512D7" w14:textId="77777777" w:rsidR="00B879AA" w:rsidRPr="00884D55" w:rsidRDefault="00B879AA" w:rsidP="00B879AA">
            <w:pPr>
              <w:rPr>
                <w:lang w:val="en-GB" w:eastAsia="en-US"/>
              </w:rPr>
            </w:pPr>
            <w:r w:rsidRPr="00884D55">
              <w:rPr>
                <w:lang w:val="en-GB" w:eastAsia="en-US"/>
              </w:rPr>
              <w:t xml:space="preserve">Prices of construction work maintained a stable moderate year-on-year growth throughout 2024 and increased by 2.1% in total (5.9% in 2023 after revision). According to estimates, prices of construction work increased by 2.4%, year-on-year, in Q4 and were 0.7% higher, quarter-on-quarter. Prices of materials and products consumed in construction went down by 0.5% on average for the whole year 2024 (they increased by 3.8% in 2023). In Q4 alone, they increased by 0.7%, year-on-year, and by 0.1%, quarter-on-quarter. </w:t>
            </w:r>
          </w:p>
        </w:tc>
      </w:tr>
      <w:tr w:rsidR="00B879AA" w:rsidRPr="00884D55" w14:paraId="735DC071" w14:textId="77777777" w:rsidTr="00803507">
        <w:trPr>
          <w:trHeight w:val="145"/>
        </w:trPr>
        <w:tc>
          <w:tcPr>
            <w:tcW w:w="1791" w:type="dxa"/>
            <w:hideMark/>
          </w:tcPr>
          <w:p w14:paraId="365A4052" w14:textId="77777777" w:rsidR="00B879AA" w:rsidRPr="00884D55" w:rsidRDefault="00B879AA" w:rsidP="00B879AA">
            <w:pPr>
              <w:pStyle w:val="Marginlie"/>
              <w:rPr>
                <w:spacing w:val="0"/>
                <w:lang w:val="en-GB" w:eastAsia="en-US"/>
              </w:rPr>
            </w:pPr>
            <w:r w:rsidRPr="00884D55">
              <w:rPr>
                <w:spacing w:val="0"/>
                <w:lang w:val="en-GB" w:eastAsia="en-US"/>
              </w:rPr>
              <w:t xml:space="preserve">Prices of market services were affected the most by the development of prices of real estate services. </w:t>
            </w:r>
          </w:p>
        </w:tc>
        <w:tc>
          <w:tcPr>
            <w:tcW w:w="223" w:type="dxa"/>
          </w:tcPr>
          <w:p w14:paraId="3F624E46" w14:textId="77777777" w:rsidR="00B879AA" w:rsidRPr="00884D55" w:rsidRDefault="00B879AA" w:rsidP="00B879AA">
            <w:pPr>
              <w:pStyle w:val="Textpoznpodarou1"/>
              <w:jc w:val="both"/>
              <w:rPr>
                <w:lang w:val="en-GB" w:eastAsia="en-US"/>
              </w:rPr>
            </w:pPr>
          </w:p>
        </w:tc>
        <w:tc>
          <w:tcPr>
            <w:tcW w:w="7625" w:type="dxa"/>
            <w:hideMark/>
          </w:tcPr>
          <w:p w14:paraId="3961AE05" w14:textId="77777777" w:rsidR="00B879AA" w:rsidRPr="00884D55" w:rsidRDefault="00B879AA" w:rsidP="00B879AA">
            <w:pPr>
              <w:rPr>
                <w:lang w:val="en-GB" w:eastAsia="en-US"/>
              </w:rPr>
            </w:pPr>
            <w:r w:rsidRPr="00884D55">
              <w:rPr>
                <w:lang w:val="en-GB" w:eastAsia="en-US"/>
              </w:rPr>
              <w:t xml:space="preserve">Prices of market services rose by 3.8% in total last year, thus slowing down compared to the previous year. Prices of real estate services contributed the most to last year's growth (7.7%) and further the advertising and market research (10.0%) and programming, consultancy and related activities (3.7%). Prices of employment activities (10.3%), security and investigation activities (9.0%), services related to buildings and landscape activities (mainly consists of cleaning services, 5.8%), postal and courier services (5.4%) or legal and accounting services (5.1%) grew above average last year. Only prices of warehousing and support activities for transportation decreased (−0.4%) last year. Prices of market services increased by 3.7%, year-on-year, in Q4 itself, slightly strengthening compared to both Q2 and Q3. Prices of market services were higher by 1.5%, quarter-on-quarter. The acceleration of year-on-year price growth was influenced by a stronger growth of prices of employment activities (13.5%), activities of head office and management consultancy activities (2.9%) and information services (2.7%). Prices of real estate services (7.6%), advertising and market research activities (11.2%) and programming, consultancy and related activities (3.1%) contributed the most to the total year-on-year increase of prices of market services. Prices of land transport and transport via pipelines (−0.4%), warehousing and support activities for transportation (−0.3%), and administrative, office support and other business support activities (−0.1%) were lower, year-on-year.   </w:t>
            </w:r>
          </w:p>
        </w:tc>
      </w:tr>
      <w:tr w:rsidR="00B879AA" w:rsidRPr="00884D55" w14:paraId="4435F0C9" w14:textId="77777777" w:rsidTr="00803507">
        <w:trPr>
          <w:trHeight w:val="145"/>
        </w:trPr>
        <w:tc>
          <w:tcPr>
            <w:tcW w:w="1791" w:type="dxa"/>
            <w:hideMark/>
          </w:tcPr>
          <w:p w14:paraId="6EACABF4" w14:textId="77777777" w:rsidR="00B879AA" w:rsidRPr="00884D55" w:rsidRDefault="00B879AA" w:rsidP="00B879AA">
            <w:pPr>
              <w:pStyle w:val="Marginlie"/>
              <w:rPr>
                <w:spacing w:val="0"/>
                <w:lang w:val="en-GB" w:eastAsia="en-US"/>
              </w:rPr>
            </w:pPr>
            <w:r w:rsidRPr="00884D55">
              <w:rPr>
                <w:spacing w:val="0"/>
                <w:lang w:val="en-GB" w:eastAsia="en-US"/>
              </w:rPr>
              <w:t>Agricultural producer prices started to rise again, year-on-year, in Q4. However, they fell for the whole year.</w:t>
            </w:r>
          </w:p>
        </w:tc>
        <w:tc>
          <w:tcPr>
            <w:tcW w:w="223" w:type="dxa"/>
          </w:tcPr>
          <w:p w14:paraId="714DA80C" w14:textId="77777777" w:rsidR="00B879AA" w:rsidRPr="00884D55" w:rsidRDefault="00B879AA" w:rsidP="00B879AA">
            <w:pPr>
              <w:pStyle w:val="Textpoznpodarou1"/>
              <w:jc w:val="both"/>
              <w:rPr>
                <w:lang w:val="en-GB" w:eastAsia="en-US"/>
              </w:rPr>
            </w:pPr>
          </w:p>
        </w:tc>
        <w:tc>
          <w:tcPr>
            <w:tcW w:w="7625" w:type="dxa"/>
            <w:hideMark/>
          </w:tcPr>
          <w:p w14:paraId="4B34D0AA" w14:textId="39335016" w:rsidR="00B879AA" w:rsidRPr="00884D55" w:rsidRDefault="00B879AA" w:rsidP="00473DFA">
            <w:pPr>
              <w:rPr>
                <w:lang w:val="en-GB" w:eastAsia="en-US"/>
              </w:rPr>
            </w:pPr>
            <w:r w:rsidRPr="00884D55">
              <w:rPr>
                <w:lang w:val="en-GB" w:eastAsia="en-US"/>
              </w:rPr>
              <w:t xml:space="preserve">Total agricultural producer prices decreased by 5.9% in 2024, which was nearly the same as in 2023 (-6.0%). Prices of </w:t>
            </w:r>
            <w:r>
              <w:rPr>
                <w:lang w:val="en-GB" w:eastAsia="en-US"/>
              </w:rPr>
              <w:t>crop</w:t>
            </w:r>
            <w:r w:rsidRPr="00884D55">
              <w:rPr>
                <w:lang w:val="en-GB" w:eastAsia="en-US"/>
              </w:rPr>
              <w:t xml:space="preserve"> product</w:t>
            </w:r>
            <w:r>
              <w:rPr>
                <w:lang w:val="en-GB" w:eastAsia="en-US"/>
              </w:rPr>
              <w:t>s</w:t>
            </w:r>
            <w:r w:rsidRPr="00884D55">
              <w:rPr>
                <w:lang w:val="en-GB" w:eastAsia="en-US"/>
              </w:rPr>
              <w:t xml:space="preserve"> went down by 9.1%. Cereals dived deeply last year (−18.6%). Prices of industrial crops (−2.4%), vegetables and horticultural products (−1.3%) and potatoes (−5.8%) were also lower. Prices of fruit (28.7%) and fo</w:t>
            </w:r>
            <w:r>
              <w:rPr>
                <w:lang w:val="en-GB" w:eastAsia="en-US"/>
              </w:rPr>
              <w:t>rage plants</w:t>
            </w:r>
            <w:r w:rsidRPr="00884D55">
              <w:rPr>
                <w:lang w:val="en-GB" w:eastAsia="en-US"/>
              </w:rPr>
              <w:t xml:space="preserve"> (13.7%) went up in contrast. The decline of prices of </w:t>
            </w:r>
            <w:r>
              <w:rPr>
                <w:lang w:val="en-GB" w:eastAsia="en-US"/>
              </w:rPr>
              <w:t xml:space="preserve">animals and </w:t>
            </w:r>
            <w:r w:rsidRPr="00884D55">
              <w:rPr>
                <w:lang w:val="en-GB" w:eastAsia="en-US"/>
              </w:rPr>
              <w:t xml:space="preserve">animal products was more moderate last year (−1.5%). It was mainly caused by the drop of prices of pigs (−3.6%), poultry (−6.3%) and eggs (−13.2%). On the contrary, the prices of cattle (6.6%), calves (7.9%) and milk (0.2%) went up. The decrease of agricultural producer prices moderated during the year and prices rose by 5.0%, year-on-year, in Q4, for the first time since Q1 2023. Prices rose by 6.8%, quarter-on-quarter. Prices of </w:t>
            </w:r>
            <w:r w:rsidR="00473DFA">
              <w:rPr>
                <w:lang w:val="en-GB" w:eastAsia="en-US"/>
              </w:rPr>
              <w:t>crop</w:t>
            </w:r>
            <w:r w:rsidRPr="00884D55">
              <w:rPr>
                <w:lang w:val="en-GB" w:eastAsia="en-US"/>
              </w:rPr>
              <w:t xml:space="preserve"> product</w:t>
            </w:r>
            <w:r w:rsidR="00473DFA">
              <w:rPr>
                <w:lang w:val="en-GB" w:eastAsia="en-US"/>
              </w:rPr>
              <w:t>s</w:t>
            </w:r>
            <w:r w:rsidRPr="00884D55">
              <w:rPr>
                <w:lang w:val="en-GB" w:eastAsia="en-US"/>
              </w:rPr>
              <w:t xml:space="preserve"> were higher by 2.3%, year-on-year. Cereal prices continued to fall slightly (−0.2%) – prices of rye (−2.0%), barley (−5.3%) and oats (−0.4%) were lower, while wheat (1.2%) and maize (2.2%) turned to growth. Industrial crops continued to grow, year-on-year (9.7%), mainly oil </w:t>
            </w:r>
            <w:r w:rsidR="00473DFA">
              <w:rPr>
                <w:lang w:val="en-GB" w:eastAsia="en-US"/>
              </w:rPr>
              <w:t>seeds</w:t>
            </w:r>
            <w:r w:rsidRPr="00884D55">
              <w:rPr>
                <w:lang w:val="en-GB" w:eastAsia="en-US"/>
              </w:rPr>
              <w:t xml:space="preserve"> (16.4%) and </w:t>
            </w:r>
            <w:r w:rsidR="00473DFA">
              <w:rPr>
                <w:lang w:val="en-GB" w:eastAsia="en-US"/>
              </w:rPr>
              <w:t>protein crops</w:t>
            </w:r>
            <w:r w:rsidRPr="00884D55">
              <w:rPr>
                <w:lang w:val="en-GB" w:eastAsia="en-US"/>
              </w:rPr>
              <w:t xml:space="preserve"> (14.8%), while sugar beet prices rose to a lesser extent (3.8%). Prices of forage </w:t>
            </w:r>
            <w:r w:rsidR="00473DFA">
              <w:rPr>
                <w:lang w:val="en-GB" w:eastAsia="en-US"/>
              </w:rPr>
              <w:t>plants</w:t>
            </w:r>
            <w:r w:rsidRPr="00884D55">
              <w:rPr>
                <w:lang w:val="en-GB" w:eastAsia="en-US"/>
              </w:rPr>
              <w:t xml:space="preserve"> were higher by 7.5% and fruit by 31.4%, year-on-year, in Q4. Prices of vegetables and horticultural products (−3.8%) and potatoes (−10.8%) went down. Prices of animal production rose, year-on-year, already in Q3 and the increase strengthened to 10.1% in Q4. Prices of cattle went up by 13.6%, milk by 17.8% and eggs by 10.3%. By contrast, prices of pigs (−6.6%) and poultry (−0.7%) continued to decline.      </w:t>
            </w:r>
          </w:p>
        </w:tc>
      </w:tr>
      <w:tr w:rsidR="00B879AA" w:rsidRPr="00884D55" w14:paraId="2519BE8E" w14:textId="77777777" w:rsidTr="00803507">
        <w:trPr>
          <w:trHeight w:val="145"/>
        </w:trPr>
        <w:tc>
          <w:tcPr>
            <w:tcW w:w="1791" w:type="dxa"/>
            <w:hideMark/>
          </w:tcPr>
          <w:p w14:paraId="64631F7E" w14:textId="77777777" w:rsidR="00B879AA" w:rsidRPr="00884D55" w:rsidRDefault="00B879AA" w:rsidP="00B879AA">
            <w:pPr>
              <w:pStyle w:val="Marginlie"/>
              <w:rPr>
                <w:spacing w:val="0"/>
                <w:lang w:val="en-GB" w:eastAsia="en-US"/>
              </w:rPr>
            </w:pPr>
            <w:r w:rsidRPr="00884D55">
              <w:rPr>
                <w:spacing w:val="0"/>
                <w:lang w:val="en-GB" w:eastAsia="en-US"/>
              </w:rPr>
              <w:t>Prices of goods exports rose last year.</w:t>
            </w:r>
          </w:p>
        </w:tc>
        <w:tc>
          <w:tcPr>
            <w:tcW w:w="223" w:type="dxa"/>
          </w:tcPr>
          <w:p w14:paraId="49BC01C2" w14:textId="77777777" w:rsidR="00B879AA" w:rsidRPr="00884D55" w:rsidRDefault="00B879AA" w:rsidP="00B879AA">
            <w:pPr>
              <w:pStyle w:val="Textpoznpodarou1"/>
              <w:jc w:val="both"/>
              <w:rPr>
                <w:lang w:val="en-GB" w:eastAsia="en-US"/>
              </w:rPr>
            </w:pPr>
          </w:p>
        </w:tc>
        <w:tc>
          <w:tcPr>
            <w:tcW w:w="7625" w:type="dxa"/>
            <w:hideMark/>
          </w:tcPr>
          <w:p w14:paraId="4C9C5946" w14:textId="77777777" w:rsidR="00B879AA" w:rsidRPr="00884D55" w:rsidRDefault="00B879AA" w:rsidP="00B879AA">
            <w:pPr>
              <w:rPr>
                <w:lang w:val="en-GB" w:eastAsia="en-US"/>
              </w:rPr>
            </w:pPr>
            <w:r w:rsidRPr="00884D55">
              <w:rPr>
                <w:lang w:val="en-GB" w:eastAsia="en-US"/>
              </w:rPr>
              <w:t>The year-on-year development of international trade prices was significantly affected by shifts of the koruna foreign exchange last year, which weakened against both the euro and the dollar</w:t>
            </w:r>
            <w:r w:rsidRPr="00884D55">
              <w:rPr>
                <w:rStyle w:val="Znakapoznpodarou"/>
                <w:lang w:val="en-GB" w:eastAsia="en-US"/>
              </w:rPr>
              <w:footnoteReference w:id="82"/>
            </w:r>
            <w:r w:rsidRPr="00884D55">
              <w:rPr>
                <w:lang w:val="en-GB" w:eastAsia="en-US"/>
              </w:rPr>
              <w:t xml:space="preserve">. This had an inflationary effect. The export prices rose by 3.1% for the whole year 2024. Prices of manufacturing products (3.8%) and water supply and sewerage and waste management and remediation activities (7.9%) were higher. On the other hand, prices of exports in mining and quarrying (−11.5%), electricity, gas, steam and air conditioning (−5.4%) and also products of agriculture, forestry and fishing (−3.3%) plummeted. The year-on-year dynamics of export prices strengthened during the year. Their year-on-year growth reached 4.1% in Q4 itself, prices increased by 0.9%, quarter-on-quarter. The strengthening of the year-on-year growth was evident mainly on the prices of agriculture, forestry and fishing products (5.7% in Q4) and further electricity, gas, steam and air conditioning (a sharp growth acceleration to 26.8% in Q4) during the year. Only export prices in the mining and quarrying division plunged (−11.7%) in Q4. The year-on-year growth of prices of manufacturing products slowed slightly to 3.6% in Q4. Prices of furniture (7.7%), other transport equipment (7.6%), basic pharmaceutical products (5.2%), electrical equipment and rubber and plastic products (both by 4.8%) or machinery and equipment and motor vehicles (both by 4.6%) were higher. A decrease was recorded only in a minority of cases, specifically coke and refined petroleum products (−13.6%), leather (−7.8%) and other non-metallic mineral products (−1.3%).  </w:t>
            </w:r>
          </w:p>
        </w:tc>
      </w:tr>
      <w:tr w:rsidR="00B879AA" w:rsidRPr="00884D55" w14:paraId="3306FC11" w14:textId="77777777" w:rsidTr="00803507">
        <w:trPr>
          <w:trHeight w:val="145"/>
        </w:trPr>
        <w:tc>
          <w:tcPr>
            <w:tcW w:w="1791" w:type="dxa"/>
          </w:tcPr>
          <w:p w14:paraId="67B0052E" w14:textId="77777777" w:rsidR="00B879AA" w:rsidRPr="00884D55" w:rsidRDefault="00B879AA" w:rsidP="00B879AA">
            <w:pPr>
              <w:pStyle w:val="Marginlie"/>
              <w:rPr>
                <w:spacing w:val="0"/>
                <w:lang w:val="en-GB" w:eastAsia="en-US"/>
              </w:rPr>
            </w:pPr>
            <w:r w:rsidRPr="00884D55">
              <w:rPr>
                <w:spacing w:val="0"/>
                <w:lang w:val="en-GB" w:eastAsia="en-US"/>
              </w:rPr>
              <w:t xml:space="preserve">The terms of trade of the international trade with goods were positive last year. </w:t>
            </w:r>
          </w:p>
        </w:tc>
        <w:tc>
          <w:tcPr>
            <w:tcW w:w="223" w:type="dxa"/>
          </w:tcPr>
          <w:p w14:paraId="66C3AD5F" w14:textId="77777777" w:rsidR="00B879AA" w:rsidRPr="00884D55" w:rsidRDefault="00B879AA" w:rsidP="00B879AA">
            <w:pPr>
              <w:pStyle w:val="Textpoznpodarou1"/>
              <w:jc w:val="both"/>
              <w:rPr>
                <w:lang w:val="en-GB" w:eastAsia="en-US"/>
              </w:rPr>
            </w:pPr>
          </w:p>
        </w:tc>
        <w:tc>
          <w:tcPr>
            <w:tcW w:w="7625" w:type="dxa"/>
            <w:hideMark/>
          </w:tcPr>
          <w:p w14:paraId="7BDEF26B" w14:textId="77777777" w:rsidR="00B879AA" w:rsidRPr="00884D55" w:rsidRDefault="00B879AA" w:rsidP="00B879AA">
            <w:pPr>
              <w:rPr>
                <w:lang w:val="en-GB" w:eastAsia="en-US"/>
              </w:rPr>
            </w:pPr>
            <w:r w:rsidRPr="00884D55">
              <w:rPr>
                <w:lang w:val="en-GB" w:eastAsia="en-US"/>
              </w:rPr>
              <w:t xml:space="preserve">Import prices rose by 1.5% in total last year. Prices of manufacturing products were higher, but a drop was recorded for import prices of electricity, gas, steam and air conditioning (−15.8%), agricultural, forestry and fishing products (−9.7%) and mining and quarrying (−4.1%). The import prices increased by 2.2% in Q4 itself and were 0.9% higher, quarter-on-quarter. Import prices of manufacturing products rose, year-on-year, (2.6%) in Q4 and prices of electricity, gas, steam and air conditioning experienced substantial growth (11.0%). On the contrary, prices of agriculture, forestry and fishing (−5.3%) and mining and quarrying (−1.4%) products were lower. The terms of trade of the international trade with goods reached in total 101.5% last year. The terms of trade of electricity, gas, steam and air conditioning (112.4%) and products of agriculture, forestry and fishing (107.2%) were notably positive. The international trade with manufacturing (101.2%) also achieved positive terms of trade. On the other hand, the terms of trade in mining and quarrying were significantly negative (92.3%). The terms of trade remained positive throughout the year and reached 101.9% in Q4 alone. At the same time, the terms of trade with electricity, gas, steam and air conditioning (114.2%), agriculture, forestry and fishing products (111.6%) and trade with manufacturing goods (101.0%) were positive. The terms of trade for mining and quarrying were in contrast deeply negative (89.6%).   </w:t>
            </w:r>
          </w:p>
        </w:tc>
      </w:tr>
    </w:tbl>
    <w:p w14:paraId="2E00E222" w14:textId="77777777" w:rsidR="00803507" w:rsidRPr="00884D55" w:rsidRDefault="00803507" w:rsidP="00803507">
      <w:pPr>
        <w:spacing w:after="0" w:line="240" w:lineRule="auto"/>
        <w:jc w:val="left"/>
        <w:rPr>
          <w:rFonts w:eastAsia="MS Gothic"/>
          <w:b/>
          <w:bCs/>
          <w:color w:val="86BF5E"/>
          <w:sz w:val="32"/>
          <w:szCs w:val="28"/>
          <w:lang w:val="en-GB"/>
        </w:rPr>
      </w:pPr>
    </w:p>
    <w:p w14:paraId="31E6E23D" w14:textId="77777777" w:rsidR="004D6D0D" w:rsidRDefault="004D6D0D">
      <w:pPr>
        <w:spacing w:after="0" w:line="240" w:lineRule="auto"/>
        <w:jc w:val="left"/>
        <w:rPr>
          <w:rFonts w:eastAsia="MS Gothic"/>
          <w:b/>
          <w:bCs/>
          <w:color w:val="86BF5E"/>
          <w:sz w:val="32"/>
          <w:szCs w:val="28"/>
          <w:lang w:val="en-GB"/>
        </w:rPr>
      </w:pPr>
      <w:r>
        <w:rPr>
          <w:lang w:val="en-GB"/>
        </w:rPr>
        <w:br w:type="page"/>
      </w:r>
      <w:bookmarkStart w:id="86" w:name="_GoBack"/>
      <w:bookmarkEnd w:id="86"/>
    </w:p>
    <w:p w14:paraId="72EFF08A" w14:textId="27DBAF75" w:rsidR="00803507" w:rsidRPr="00884D55" w:rsidRDefault="00803507" w:rsidP="00803507">
      <w:pPr>
        <w:pStyle w:val="Nadpis1"/>
        <w:rPr>
          <w:lang w:val="en-GB"/>
        </w:rPr>
      </w:pPr>
      <w:bookmarkStart w:id="87" w:name="_Toc196386142"/>
      <w:r w:rsidRPr="00884D55">
        <w:rPr>
          <w:lang w:val="en-GB"/>
        </w:rPr>
        <w:t>6. Labour Market</w:t>
      </w:r>
      <w:bookmarkEnd w:id="87"/>
    </w:p>
    <w:tbl>
      <w:tblPr>
        <w:tblW w:w="9674" w:type="dxa"/>
        <w:tblInd w:w="-35" w:type="dxa"/>
        <w:tblCellMar>
          <w:left w:w="0" w:type="dxa"/>
          <w:right w:w="0" w:type="dxa"/>
        </w:tblCellMar>
        <w:tblLook w:val="00A0" w:firstRow="1" w:lastRow="0" w:firstColumn="1" w:lastColumn="0" w:noHBand="0" w:noVBand="0"/>
      </w:tblPr>
      <w:tblGrid>
        <w:gridCol w:w="1612"/>
        <w:gridCol w:w="152"/>
        <w:gridCol w:w="7910"/>
      </w:tblGrid>
      <w:tr w:rsidR="00803507" w:rsidRPr="00884D55" w14:paraId="12E88EFB" w14:textId="77777777" w:rsidTr="00F00320">
        <w:trPr>
          <w:trHeight w:val="155"/>
        </w:trPr>
        <w:tc>
          <w:tcPr>
            <w:tcW w:w="1814" w:type="dxa"/>
            <w:shd w:val="clear" w:color="auto" w:fill="auto"/>
            <w:tcMar>
              <w:left w:w="0" w:type="dxa"/>
            </w:tcMar>
          </w:tcPr>
          <w:p w14:paraId="79EBD531" w14:textId="77777777" w:rsidR="00803507" w:rsidRPr="00884D55" w:rsidRDefault="00803507" w:rsidP="00803507">
            <w:pPr>
              <w:pStyle w:val="Marginlie"/>
              <w:spacing w:after="120"/>
              <w:rPr>
                <w:color w:val="0D0D0D" w:themeColor="text1" w:themeTint="F2"/>
                <w:spacing w:val="0"/>
                <w:lang w:val="en-GB"/>
              </w:rPr>
            </w:pPr>
            <w:r w:rsidRPr="00884D55">
              <w:rPr>
                <w:color w:val="0D0D0D" w:themeColor="text1" w:themeTint="F2"/>
                <w:spacing w:val="0"/>
                <w:lang w:val="en-GB"/>
              </w:rPr>
              <w:t xml:space="preserve">The uneven recovery of the economy in 2024 likely led to greater movements of people on the labour market.  </w:t>
            </w:r>
          </w:p>
          <w:p w14:paraId="675EAAC4" w14:textId="77777777" w:rsidR="00803507" w:rsidRPr="00884D55" w:rsidRDefault="00803507" w:rsidP="00803507">
            <w:pPr>
              <w:pStyle w:val="Marginlie"/>
              <w:spacing w:after="120"/>
              <w:rPr>
                <w:color w:val="0D0D0D" w:themeColor="text1" w:themeTint="F2"/>
                <w:spacing w:val="-4"/>
                <w:lang w:val="en-GB"/>
              </w:rPr>
            </w:pPr>
          </w:p>
          <w:p w14:paraId="35CA05AF" w14:textId="77777777" w:rsidR="00803507" w:rsidRPr="00884D55" w:rsidRDefault="00803507" w:rsidP="00803507">
            <w:pPr>
              <w:pStyle w:val="Marginlie"/>
              <w:spacing w:after="120"/>
              <w:rPr>
                <w:color w:val="0D0D0D" w:themeColor="text1" w:themeTint="F2"/>
                <w:spacing w:val="-4"/>
                <w:lang w:val="en-GB"/>
              </w:rPr>
            </w:pPr>
          </w:p>
          <w:p w14:paraId="2248D44E" w14:textId="77777777" w:rsidR="00803507" w:rsidRPr="00884D55" w:rsidRDefault="00803507" w:rsidP="00803507">
            <w:pPr>
              <w:pStyle w:val="Marginlie"/>
              <w:spacing w:after="120"/>
              <w:rPr>
                <w:color w:val="0D0D0D" w:themeColor="text1" w:themeTint="F2"/>
                <w:spacing w:val="-4"/>
                <w:lang w:val="en-GB"/>
              </w:rPr>
            </w:pPr>
          </w:p>
          <w:p w14:paraId="5F0583FC" w14:textId="77777777" w:rsidR="00803507" w:rsidRPr="00884D55" w:rsidRDefault="00803507" w:rsidP="00803507">
            <w:pPr>
              <w:pStyle w:val="Marginlie"/>
              <w:spacing w:after="120"/>
              <w:rPr>
                <w:color w:val="0D0D0D" w:themeColor="text1" w:themeTint="F2"/>
                <w:spacing w:val="0"/>
                <w:lang w:val="en-GB"/>
              </w:rPr>
            </w:pPr>
            <w:r w:rsidRPr="00884D55">
              <w:rPr>
                <w:color w:val="0D0D0D" w:themeColor="text1" w:themeTint="F2"/>
                <w:spacing w:val="0"/>
                <w:lang w:val="en-GB"/>
              </w:rPr>
              <w:t xml:space="preserve">Year-on-year growth of the purchasing power of wages resumed last year, and wages have thus gradually begun to eliminate their deep losses from 2022 and 2023. </w:t>
            </w:r>
          </w:p>
        </w:tc>
        <w:tc>
          <w:tcPr>
            <w:tcW w:w="201" w:type="dxa"/>
            <w:shd w:val="clear" w:color="auto" w:fill="auto"/>
            <w:tcMar>
              <w:left w:w="0" w:type="dxa"/>
            </w:tcMar>
          </w:tcPr>
          <w:p w14:paraId="71A5379B" w14:textId="77777777" w:rsidR="00803507" w:rsidRPr="00884D55" w:rsidRDefault="00803507" w:rsidP="00803507">
            <w:pPr>
              <w:pStyle w:val="Textpoznpodarou"/>
              <w:spacing w:after="120"/>
              <w:jc w:val="both"/>
              <w:rPr>
                <w:color w:val="0D0D0D" w:themeColor="text1" w:themeTint="F2"/>
                <w:spacing w:val="-4"/>
                <w:lang w:val="en-GB"/>
              </w:rPr>
            </w:pPr>
          </w:p>
        </w:tc>
        <w:tc>
          <w:tcPr>
            <w:tcW w:w="7770" w:type="dxa"/>
            <w:shd w:val="clear" w:color="auto" w:fill="auto"/>
            <w:tcMar>
              <w:left w:w="0" w:type="dxa"/>
            </w:tcMar>
          </w:tcPr>
          <w:p w14:paraId="6A532613" w14:textId="61B388A7" w:rsidR="00803507" w:rsidRPr="00884D55" w:rsidRDefault="00803507" w:rsidP="00803507">
            <w:pPr>
              <w:spacing w:after="200"/>
              <w:rPr>
                <w:color w:val="0D0D0D" w:themeColor="text1" w:themeTint="F2"/>
                <w:spacing w:val="-4"/>
                <w:szCs w:val="20"/>
                <w:lang w:val="en-GB"/>
              </w:rPr>
            </w:pPr>
            <w:r w:rsidRPr="00884D55">
              <w:rPr>
                <w:color w:val="0D0D0D" w:themeColor="text1" w:themeTint="F2"/>
                <w:spacing w:val="-4"/>
                <w:szCs w:val="20"/>
                <w:lang w:val="en-GB"/>
              </w:rPr>
              <w:t>The labour market was still experiencing the reverberations of the mild recession in 2024, that hit the economy in the previous year. Simultaneously, however, signs of recovery were becoming increasingly apparent, especially in branches that benefited from the strengthening domestic demand. Moderate, rather differentiated employment growth persisted. Businesses slightly improved short-term employment expectations in most econo</w:t>
            </w:r>
            <w:r w:rsidR="00BF2AAA">
              <w:rPr>
                <w:color w:val="0D0D0D" w:themeColor="text1" w:themeTint="F2"/>
                <w:spacing w:val="-4"/>
                <w:szCs w:val="20"/>
                <w:lang w:val="en-GB"/>
              </w:rPr>
              <w:t xml:space="preserve">mic branches at the end of </w:t>
            </w:r>
            <w:r w:rsidRPr="00884D55">
              <w:rPr>
                <w:color w:val="0D0D0D" w:themeColor="text1" w:themeTint="F2"/>
                <w:spacing w:val="-4"/>
                <w:szCs w:val="20"/>
                <w:lang w:val="en-GB"/>
              </w:rPr>
              <w:t>year</w:t>
            </w:r>
            <w:r w:rsidR="00BF2AAA">
              <w:rPr>
                <w:color w:val="0D0D0D" w:themeColor="text1" w:themeTint="F2"/>
                <w:spacing w:val="-4"/>
                <w:szCs w:val="20"/>
                <w:lang w:val="en-GB"/>
              </w:rPr>
              <w:t xml:space="preserve"> 2024</w:t>
            </w:r>
            <w:r w:rsidRPr="00884D55">
              <w:rPr>
                <w:color w:val="0D0D0D" w:themeColor="text1" w:themeTint="F2"/>
                <w:spacing w:val="-4"/>
                <w:szCs w:val="20"/>
                <w:lang w:val="en-GB"/>
              </w:rPr>
              <w:t xml:space="preserve">. Nevertheless, the situation remained difficult in industry. Despite the uncertain economic outlook, companies still intensively demanded the cheaper labour from abroad, and at the same time, the integration of Ukrainian refugees into the labour market in the Czech Republic continued, which partially addressed the longer-term shortage of available labour force in the country. The unemployment remained unchanged at a very low level. In most cases, workers made redundant from industrial enterprises could find a new job in other branches without any significant difficulties, also thanks to the higher activity of labour offices (LO) in the field of retraining. Relatively rapid nominal wage growth, driven mainly by market branches of services, continued. This given the stabilisation of the price level in the economy, led to renewed growth of real wages, which had occurred in all major branches in the annual perspective. However, the purchasing power of employee earnings still did not even reach the level of 2019.  </w:t>
            </w:r>
          </w:p>
        </w:tc>
      </w:tr>
      <w:tr w:rsidR="00803507" w:rsidRPr="00884D55" w14:paraId="4E1493DF" w14:textId="77777777" w:rsidTr="00F00320">
        <w:trPr>
          <w:trHeight w:val="155"/>
        </w:trPr>
        <w:tc>
          <w:tcPr>
            <w:tcW w:w="1814" w:type="dxa"/>
            <w:shd w:val="clear" w:color="auto" w:fill="auto"/>
            <w:tcMar>
              <w:left w:w="0" w:type="dxa"/>
            </w:tcMar>
          </w:tcPr>
          <w:p w14:paraId="7EC1F21F" w14:textId="71766BF6" w:rsidR="00803507" w:rsidRPr="00884D55" w:rsidRDefault="00803507" w:rsidP="00BF2AAA">
            <w:pPr>
              <w:pStyle w:val="Marginlie"/>
              <w:spacing w:after="120"/>
              <w:rPr>
                <w:color w:val="0D0D0D" w:themeColor="text1" w:themeTint="F2"/>
                <w:spacing w:val="-4"/>
                <w:lang w:val="en-GB"/>
              </w:rPr>
            </w:pPr>
            <w:r w:rsidRPr="00884D55">
              <w:rPr>
                <w:color w:val="0D0D0D" w:themeColor="text1" w:themeTint="F2"/>
                <w:spacing w:val="-4"/>
                <w:lang w:val="en-GB"/>
              </w:rPr>
              <w:t>Employment growth moderated last year, however, the Czech Republic</w:t>
            </w:r>
            <w:r w:rsidR="00BF2AAA">
              <w:rPr>
                <w:color w:val="0D0D0D" w:themeColor="text1" w:themeTint="F2"/>
                <w:spacing w:val="-4"/>
                <w:lang w:val="en-GB"/>
              </w:rPr>
              <w:t xml:space="preserve"> (CR)</w:t>
            </w:r>
            <w:r w:rsidRPr="00884D55">
              <w:rPr>
                <w:color w:val="0D0D0D" w:themeColor="text1" w:themeTint="F2"/>
                <w:spacing w:val="-4"/>
                <w:lang w:val="en-GB"/>
              </w:rPr>
              <w:t xml:space="preserve"> had the highest number of people working </w:t>
            </w:r>
            <w:r w:rsidR="00BF2AAA">
              <w:rPr>
                <w:color w:val="0D0D0D" w:themeColor="text1" w:themeTint="F2"/>
                <w:spacing w:val="-4"/>
                <w:lang w:val="en-GB"/>
              </w:rPr>
              <w:t xml:space="preserve">here </w:t>
            </w:r>
            <w:r w:rsidRPr="00884D55">
              <w:rPr>
                <w:color w:val="0D0D0D" w:themeColor="text1" w:themeTint="F2"/>
                <w:spacing w:val="-4"/>
                <w:lang w:val="en-GB"/>
              </w:rPr>
              <w:t>in absolute terms in modern history</w:t>
            </w:r>
            <w:r w:rsidR="00BF2AAA">
              <w:rPr>
                <w:color w:val="0D0D0D" w:themeColor="text1" w:themeTint="F2"/>
                <w:spacing w:val="-4"/>
                <w:lang w:val="en-GB"/>
              </w:rPr>
              <w:t xml:space="preserve"> of the CR</w:t>
            </w:r>
            <w:r w:rsidRPr="00884D55">
              <w:rPr>
                <w:color w:val="0D0D0D" w:themeColor="text1" w:themeTint="F2"/>
                <w:spacing w:val="-4"/>
                <w:lang w:val="en-GB"/>
              </w:rPr>
              <w:t xml:space="preserve">. </w:t>
            </w:r>
          </w:p>
        </w:tc>
        <w:tc>
          <w:tcPr>
            <w:tcW w:w="201" w:type="dxa"/>
            <w:shd w:val="clear" w:color="auto" w:fill="auto"/>
            <w:tcMar>
              <w:left w:w="0" w:type="dxa"/>
            </w:tcMar>
          </w:tcPr>
          <w:p w14:paraId="71727F47" w14:textId="77777777" w:rsidR="00803507" w:rsidRPr="00884D55" w:rsidRDefault="00803507" w:rsidP="00803507">
            <w:pPr>
              <w:pStyle w:val="Textpoznpodarou"/>
              <w:spacing w:after="120"/>
              <w:jc w:val="both"/>
              <w:rPr>
                <w:color w:val="0D0D0D" w:themeColor="text1" w:themeTint="F2"/>
                <w:spacing w:val="-4"/>
                <w:lang w:val="en-GB"/>
              </w:rPr>
            </w:pPr>
          </w:p>
        </w:tc>
        <w:tc>
          <w:tcPr>
            <w:tcW w:w="7770" w:type="dxa"/>
            <w:shd w:val="clear" w:color="auto" w:fill="auto"/>
            <w:tcMar>
              <w:left w:w="0" w:type="dxa"/>
            </w:tcMar>
          </w:tcPr>
          <w:p w14:paraId="5089B5E9" w14:textId="2574A3CF" w:rsidR="00803507" w:rsidRPr="00884D55" w:rsidRDefault="00803507" w:rsidP="00803507">
            <w:pPr>
              <w:rPr>
                <w:spacing w:val="-4"/>
                <w:lang w:val="en-GB"/>
              </w:rPr>
            </w:pPr>
            <w:r w:rsidRPr="00884D55">
              <w:rPr>
                <w:spacing w:val="-4"/>
                <w:lang w:val="en-GB"/>
              </w:rPr>
              <w:t>The trend of moderate employment growth continued in 2024, lasting since the COVID-19 pandemic subsided. Total employment</w:t>
            </w:r>
            <w:r w:rsidRPr="00884D55">
              <w:rPr>
                <w:color w:val="0D0D0D" w:themeColor="text1" w:themeTint="F2"/>
                <w:spacing w:val="-4"/>
                <w:vertAlign w:val="superscript"/>
                <w:lang w:val="en-GB"/>
              </w:rPr>
              <w:footnoteReference w:id="83"/>
            </w:r>
            <w:r w:rsidRPr="00884D55">
              <w:rPr>
                <w:spacing w:val="-4"/>
                <w:lang w:val="en-GB"/>
              </w:rPr>
              <w:t xml:space="preserve"> increased by 0.3%, year-on-year, which, however, meant a slight slowdown compared to the dynamics in the previous three years. This is also related to the fact that the number of employees only stagnated, quarter-on-quarter, in the second half of last year, as the recent stagnation in the performance of the total economy took effect with a lag. In spite of this, the employment climbed up to a record 5.41 mil people during the </w:t>
            </w:r>
            <w:r w:rsidR="00BF2AAA">
              <w:rPr>
                <w:spacing w:val="-4"/>
                <w:lang w:val="en-GB"/>
              </w:rPr>
              <w:t xml:space="preserve">last </w:t>
            </w:r>
            <w:r w:rsidRPr="00884D55">
              <w:rPr>
                <w:spacing w:val="-4"/>
                <w:lang w:val="en-GB"/>
              </w:rPr>
              <w:t>year and was 0.6% higher in comparison to the peak value of the last expansion (Q4 2018), largely due to the development of public services. At the same time, it should not be omitted that the rate of employment growth in the Czech Republic has long been slower compared to most EU countries</w:t>
            </w:r>
            <w:r w:rsidRPr="00884D55">
              <w:rPr>
                <w:rStyle w:val="Znakapoznpodarou"/>
                <w:color w:val="0D0D0D" w:themeColor="text1" w:themeTint="F2"/>
                <w:spacing w:val="-4"/>
                <w:lang w:val="en-GB"/>
              </w:rPr>
              <w:footnoteReference w:id="84"/>
            </w:r>
            <w:r w:rsidRPr="00884D55">
              <w:rPr>
                <w:spacing w:val="-4"/>
                <w:lang w:val="en-GB"/>
              </w:rPr>
              <w:t>.</w:t>
            </w:r>
          </w:p>
        </w:tc>
      </w:tr>
      <w:tr w:rsidR="00803507" w:rsidRPr="00884D55" w14:paraId="26EBB3C9" w14:textId="77777777" w:rsidTr="00F00320">
        <w:trPr>
          <w:trHeight w:val="155"/>
        </w:trPr>
        <w:tc>
          <w:tcPr>
            <w:tcW w:w="1814" w:type="dxa"/>
            <w:shd w:val="clear" w:color="auto" w:fill="auto"/>
            <w:tcMar>
              <w:left w:w="0" w:type="dxa"/>
            </w:tcMar>
          </w:tcPr>
          <w:p w14:paraId="06799EE4" w14:textId="77777777" w:rsidR="00803507" w:rsidRPr="00884D55" w:rsidRDefault="00803507" w:rsidP="00803507">
            <w:pPr>
              <w:pStyle w:val="Marginlie"/>
              <w:spacing w:after="120"/>
              <w:rPr>
                <w:color w:val="0D0D0D" w:themeColor="text1" w:themeTint="F2"/>
                <w:spacing w:val="-4"/>
                <w:lang w:val="en-GB"/>
              </w:rPr>
            </w:pPr>
            <w:r w:rsidRPr="00884D55">
              <w:rPr>
                <w:color w:val="0D0D0D" w:themeColor="text1" w:themeTint="F2"/>
                <w:spacing w:val="-4"/>
                <w:lang w:val="en-GB"/>
              </w:rPr>
              <w:t>In particular, especially the public services continued to contribute to employment growth. However, most other branches of the tertiary sphere of the economy were also successful.</w:t>
            </w:r>
          </w:p>
        </w:tc>
        <w:tc>
          <w:tcPr>
            <w:tcW w:w="201" w:type="dxa"/>
            <w:shd w:val="clear" w:color="auto" w:fill="auto"/>
            <w:tcMar>
              <w:left w:w="0" w:type="dxa"/>
            </w:tcMar>
          </w:tcPr>
          <w:p w14:paraId="02D1523F" w14:textId="77777777" w:rsidR="00803507" w:rsidRPr="00884D55" w:rsidRDefault="00803507" w:rsidP="00803507">
            <w:pPr>
              <w:pStyle w:val="Textpoznpodarou"/>
              <w:spacing w:after="120"/>
              <w:jc w:val="both"/>
              <w:rPr>
                <w:color w:val="0D0D0D" w:themeColor="text1" w:themeTint="F2"/>
                <w:spacing w:val="-4"/>
                <w:lang w:val="en-GB"/>
              </w:rPr>
            </w:pPr>
          </w:p>
        </w:tc>
        <w:tc>
          <w:tcPr>
            <w:tcW w:w="7770" w:type="dxa"/>
            <w:shd w:val="clear" w:color="auto" w:fill="auto"/>
            <w:tcMar>
              <w:left w:w="0" w:type="dxa"/>
            </w:tcMar>
          </w:tcPr>
          <w:p w14:paraId="334CDDF4" w14:textId="68BCB8A2" w:rsidR="00803507" w:rsidRPr="00884D55" w:rsidRDefault="00803507" w:rsidP="0008079B">
            <w:pPr>
              <w:spacing w:after="200"/>
              <w:rPr>
                <w:spacing w:val="-4"/>
                <w:lang w:val="en-GB"/>
              </w:rPr>
            </w:pPr>
            <w:r w:rsidRPr="00884D55">
              <w:rPr>
                <w:spacing w:val="-4"/>
                <w:lang w:val="en-GB"/>
              </w:rPr>
              <w:t>Both employees (their number increased by 0.2%) and self-employed (+0.9%) contributed to the growth of total employment in a similar way last year. In terms of main branches, public services</w:t>
            </w:r>
            <w:r w:rsidRPr="00884D55">
              <w:rPr>
                <w:rStyle w:val="Znakapoznpodarou"/>
                <w:spacing w:val="-4"/>
                <w:lang w:val="en-GB"/>
              </w:rPr>
              <w:footnoteReference w:id="85"/>
            </w:r>
            <w:r w:rsidRPr="00884D55">
              <w:rPr>
                <w:spacing w:val="-4"/>
                <w:lang w:val="en-GB"/>
              </w:rPr>
              <w:t xml:space="preserve"> traditionally contributed the most, with </w:t>
            </w:r>
            <w:r w:rsidR="0008079B">
              <w:rPr>
                <w:spacing w:val="-4"/>
                <w:lang w:val="en-GB"/>
              </w:rPr>
              <w:t>almost</w:t>
            </w:r>
            <w:r w:rsidRPr="00884D55">
              <w:rPr>
                <w:spacing w:val="-4"/>
                <w:lang w:val="en-GB"/>
              </w:rPr>
              <w:t xml:space="preserve"> 2% of workers added last year, as in the previous year. In addition, the employment growth strengthened slightly here during 2024 (up to 2.5% in Q4). These services thus responded to the high demand associated with longer-term changes in the age structure of the population (in the areas of education, health and social care). The important division of trade, transport, accommodation and food service activities also thrived (</w:t>
            </w:r>
            <w:r w:rsidR="0008079B">
              <w:rPr>
                <w:spacing w:val="-4"/>
                <w:lang w:val="en-GB"/>
              </w:rPr>
              <w:t>+</w:t>
            </w:r>
            <w:r w:rsidRPr="00884D55">
              <w:rPr>
                <w:spacing w:val="-4"/>
                <w:lang w:val="en-GB"/>
              </w:rPr>
              <w:t>1.0%) in the annual perspective, however the total employment still lagged slightly behind 2019 here (−10</w:t>
            </w:r>
            <w:r>
              <w:rPr>
                <w:spacing w:val="-4"/>
                <w:lang w:val="en-GB"/>
              </w:rPr>
              <w:t> </w:t>
            </w:r>
            <w:r w:rsidRPr="00884D55">
              <w:rPr>
                <w:spacing w:val="-4"/>
                <w:lang w:val="en-GB"/>
              </w:rPr>
              <w:t>thousand persons). It also resulted from the worse development in transportation and warehousing</w:t>
            </w:r>
            <w:r w:rsidR="0008079B">
              <w:rPr>
                <w:spacing w:val="-4"/>
                <w:lang w:val="en-GB"/>
              </w:rPr>
              <w:t>, where the demand for workers</w:t>
            </w:r>
            <w:r w:rsidRPr="00884D55">
              <w:rPr>
                <w:spacing w:val="-4"/>
                <w:lang w:val="en-GB"/>
              </w:rPr>
              <w:t xml:space="preserve"> was limited by weaker performance in the related industry sector last year. On the contrary, the small entrepreneurs fared better in the entire above-mentioned division, which can be attributed to the recovery of tourism. Further, the real estate activities also continued to develop, leading to an increase of the number of employees (+2.3%). Total employment increased more moderately in other areas of services</w:t>
            </w:r>
            <w:r w:rsidRPr="00884D55">
              <w:rPr>
                <w:rStyle w:val="Znakapoznpodarou"/>
                <w:spacing w:val="-4"/>
                <w:lang w:val="en-GB"/>
              </w:rPr>
              <w:footnoteReference w:id="86"/>
            </w:r>
            <w:r w:rsidRPr="00884D55">
              <w:rPr>
                <w:spacing w:val="-4"/>
                <w:lang w:val="en-GB"/>
              </w:rPr>
              <w:t>, with the exception of information and communication, where a decrease occurred for the first time in the last thirteen years (−0.3%). This decrease concerned exclusively employees (−0.7%)</w:t>
            </w:r>
            <w:r w:rsidRPr="00884D55">
              <w:rPr>
                <w:rStyle w:val="Znakapoznpodarou"/>
                <w:spacing w:val="-4"/>
                <w:szCs w:val="20"/>
                <w:lang w:val="en-GB"/>
              </w:rPr>
              <w:footnoteReference w:id="87"/>
            </w:r>
            <w:r w:rsidRPr="00884D55">
              <w:rPr>
                <w:spacing w:val="-4"/>
                <w:lang w:val="en-GB"/>
              </w:rPr>
              <w:t xml:space="preserve">. However, even the number of self-employed persons in ICT recorded a more significant slowdown of the growth rate last year compared to previous years (+2.2%). </w:t>
            </w:r>
          </w:p>
        </w:tc>
      </w:tr>
      <w:tr w:rsidR="00803507" w:rsidRPr="00884D55" w14:paraId="6ACE2631" w14:textId="77777777" w:rsidTr="00F00320">
        <w:trPr>
          <w:trHeight w:val="155"/>
        </w:trPr>
        <w:tc>
          <w:tcPr>
            <w:tcW w:w="1814" w:type="dxa"/>
            <w:shd w:val="clear" w:color="auto" w:fill="auto"/>
            <w:tcMar>
              <w:left w:w="0" w:type="dxa"/>
            </w:tcMar>
          </w:tcPr>
          <w:p w14:paraId="3B5CDDD7" w14:textId="77777777" w:rsidR="00803507" w:rsidRPr="00884D55" w:rsidRDefault="00803507" w:rsidP="00803507">
            <w:pPr>
              <w:pStyle w:val="Marginlie"/>
              <w:spacing w:after="120"/>
              <w:rPr>
                <w:color w:val="0D0D0D" w:themeColor="text1" w:themeTint="F2"/>
                <w:spacing w:val="-4"/>
                <w:lang w:val="en-GB"/>
              </w:rPr>
            </w:pPr>
            <w:r w:rsidRPr="00884D55">
              <w:rPr>
                <w:color w:val="0D0D0D" w:themeColor="text1" w:themeTint="F2"/>
                <w:spacing w:val="-4"/>
                <w:lang w:val="en-GB"/>
              </w:rPr>
              <w:t xml:space="preserve">The decrease of employment in manufacturing deepened to 2% last year and affected almost all sectors.  </w:t>
            </w:r>
          </w:p>
          <w:p w14:paraId="74B7674E" w14:textId="68BADEDF" w:rsidR="00803507" w:rsidRDefault="00803507" w:rsidP="00803507">
            <w:pPr>
              <w:pStyle w:val="Marginlie"/>
              <w:spacing w:after="120"/>
              <w:rPr>
                <w:color w:val="0D0D0D" w:themeColor="text1" w:themeTint="F2"/>
                <w:spacing w:val="-4"/>
                <w:lang w:val="en-GB"/>
              </w:rPr>
            </w:pPr>
          </w:p>
          <w:p w14:paraId="64051183" w14:textId="77777777" w:rsidR="0002044F" w:rsidRPr="00884D55" w:rsidRDefault="0002044F" w:rsidP="00803507">
            <w:pPr>
              <w:pStyle w:val="Marginlie"/>
              <w:spacing w:after="120"/>
              <w:rPr>
                <w:color w:val="0D0D0D" w:themeColor="text1" w:themeTint="F2"/>
                <w:spacing w:val="-4"/>
                <w:lang w:val="en-GB"/>
              </w:rPr>
            </w:pPr>
          </w:p>
          <w:p w14:paraId="3B03123F" w14:textId="77777777" w:rsidR="00803507" w:rsidRPr="00884D55" w:rsidRDefault="00803507" w:rsidP="00803507">
            <w:pPr>
              <w:pStyle w:val="Marginlie"/>
              <w:spacing w:after="120"/>
              <w:rPr>
                <w:color w:val="0D0D0D" w:themeColor="text1" w:themeTint="F2"/>
                <w:spacing w:val="-4"/>
                <w:lang w:val="en-GB"/>
              </w:rPr>
            </w:pPr>
            <w:r w:rsidRPr="00884D55">
              <w:rPr>
                <w:color w:val="0D0D0D" w:themeColor="text1" w:themeTint="F2"/>
                <w:spacing w:val="-4"/>
                <w:lang w:val="en-GB"/>
              </w:rPr>
              <w:t xml:space="preserve">The construction was also in a minor downturn, but the situation improved during the year. </w:t>
            </w:r>
          </w:p>
        </w:tc>
        <w:tc>
          <w:tcPr>
            <w:tcW w:w="201" w:type="dxa"/>
            <w:shd w:val="clear" w:color="auto" w:fill="auto"/>
            <w:tcMar>
              <w:left w:w="0" w:type="dxa"/>
            </w:tcMar>
          </w:tcPr>
          <w:p w14:paraId="7FDFDEEA" w14:textId="77777777" w:rsidR="00803507" w:rsidRPr="00884D55" w:rsidRDefault="00803507" w:rsidP="00803507">
            <w:pPr>
              <w:pStyle w:val="Textpoznpodarou"/>
              <w:spacing w:after="120"/>
              <w:jc w:val="both"/>
              <w:rPr>
                <w:color w:val="0D0D0D" w:themeColor="text1" w:themeTint="F2"/>
                <w:spacing w:val="-4"/>
                <w:lang w:val="en-GB"/>
              </w:rPr>
            </w:pPr>
          </w:p>
        </w:tc>
        <w:tc>
          <w:tcPr>
            <w:tcW w:w="7770" w:type="dxa"/>
            <w:shd w:val="clear" w:color="auto" w:fill="auto"/>
            <w:tcMar>
              <w:left w:w="0" w:type="dxa"/>
            </w:tcMar>
          </w:tcPr>
          <w:p w14:paraId="4A77A3A7" w14:textId="3936D8E7" w:rsidR="00803507" w:rsidRPr="00884D55" w:rsidRDefault="00803507" w:rsidP="00803507">
            <w:pPr>
              <w:rPr>
                <w:spacing w:val="-4"/>
                <w:lang w:val="en-GB"/>
              </w:rPr>
            </w:pPr>
            <w:r w:rsidRPr="00884D55">
              <w:rPr>
                <w:spacing w:val="-4"/>
                <w:lang w:val="en-GB"/>
              </w:rPr>
              <w:t>Growth of total employment was significantly dampened throughout last year by developments in manufacturing, where 2% of positions were lost (the reduction occurred with similar intensity for both employees and self-employed). It was related to the recession of the total branch accompanied by enhanced cost pressures as well as weakened demand in a number of traditional export activities (mechanical engineering, electrical engineering, metallurgy)</w:t>
            </w:r>
            <w:r w:rsidRPr="00884D55">
              <w:rPr>
                <w:rStyle w:val="Znakapoznpodarou"/>
                <w:spacing w:val="-4"/>
                <w:lang w:val="en-GB"/>
              </w:rPr>
              <w:footnoteReference w:id="88"/>
            </w:r>
            <w:r w:rsidRPr="00884D55">
              <w:rPr>
                <w:spacing w:val="-4"/>
                <w:lang w:val="en-GB"/>
              </w:rPr>
              <w:t>. The situation was more favourable in other industry, as even a slight increase of employment in energy industry, water and waste management activities was sufficient to compensate the deepening downturn in the relatively small field of mining and quarrying. The g</w:t>
            </w:r>
            <w:r w:rsidR="0002044F">
              <w:rPr>
                <w:spacing w:val="-4"/>
                <w:lang w:val="en-GB"/>
              </w:rPr>
              <w:t>rowth of the number of workers</w:t>
            </w:r>
            <w:r w:rsidRPr="00884D55">
              <w:rPr>
                <w:spacing w:val="-4"/>
                <w:lang w:val="en-GB"/>
              </w:rPr>
              <w:t xml:space="preserve"> ceased in construction last year </w:t>
            </w:r>
            <w:r w:rsidR="0002044F">
              <w:rPr>
                <w:spacing w:val="-4"/>
                <w:lang w:val="en-GB"/>
              </w:rPr>
              <w:t>(</w:t>
            </w:r>
            <w:r w:rsidRPr="00884D55">
              <w:rPr>
                <w:spacing w:val="-4"/>
                <w:lang w:val="en-GB"/>
              </w:rPr>
              <w:t>after three years</w:t>
            </w:r>
            <w:r w:rsidR="0002044F">
              <w:rPr>
                <w:spacing w:val="-4"/>
                <w:lang w:val="en-GB"/>
              </w:rPr>
              <w:t>)</w:t>
            </w:r>
            <w:r w:rsidRPr="00884D55">
              <w:rPr>
                <w:spacing w:val="-4"/>
                <w:lang w:val="en-GB"/>
              </w:rPr>
              <w:t xml:space="preserve">, which can be attributed to a less favourable development among small entrepreneurs (−1.5%). However, the situation gradually improved during the year. The </w:t>
            </w:r>
            <w:r w:rsidR="0002044F">
              <w:rPr>
                <w:spacing w:val="-4"/>
                <w:lang w:val="en-GB"/>
              </w:rPr>
              <w:t xml:space="preserve">total </w:t>
            </w:r>
            <w:r w:rsidRPr="00884D55">
              <w:rPr>
                <w:spacing w:val="-4"/>
                <w:lang w:val="en-GB"/>
              </w:rPr>
              <w:t xml:space="preserve">employment rather stagnated in agriculture, forestry and fishing for the second year in a row last year, while the number of self-employed continued to increase.  </w:t>
            </w:r>
          </w:p>
        </w:tc>
      </w:tr>
      <w:tr w:rsidR="00803507" w:rsidRPr="00884D55" w14:paraId="0CD6C9F8" w14:textId="77777777" w:rsidTr="00F00320">
        <w:trPr>
          <w:trHeight w:val="155"/>
        </w:trPr>
        <w:tc>
          <w:tcPr>
            <w:tcW w:w="1814" w:type="dxa"/>
            <w:shd w:val="clear" w:color="auto" w:fill="auto"/>
            <w:tcMar>
              <w:left w:w="0" w:type="dxa"/>
            </w:tcMar>
          </w:tcPr>
          <w:p w14:paraId="5AE70EAA" w14:textId="4C190FEE" w:rsidR="00803507" w:rsidRPr="00884D55" w:rsidRDefault="00803507" w:rsidP="00803507">
            <w:pPr>
              <w:pStyle w:val="Marginlie"/>
              <w:spacing w:after="120"/>
              <w:rPr>
                <w:color w:val="0D0D0D" w:themeColor="text1" w:themeTint="F2"/>
                <w:spacing w:val="-4"/>
                <w:lang w:val="en-GB"/>
              </w:rPr>
            </w:pPr>
            <w:r w:rsidRPr="00884D55">
              <w:rPr>
                <w:color w:val="0D0D0D" w:themeColor="text1" w:themeTint="F2"/>
                <w:spacing w:val="-4"/>
                <w:lang w:val="en-GB"/>
              </w:rPr>
              <w:t xml:space="preserve">The number of hours worked in the economy fell slightly due to a lower work needs of the industry and </w:t>
            </w:r>
            <w:r w:rsidR="0002044F">
              <w:rPr>
                <w:color w:val="0D0D0D" w:themeColor="text1" w:themeTint="F2"/>
                <w:spacing w:val="-4"/>
                <w:lang w:val="en-GB"/>
              </w:rPr>
              <w:t xml:space="preserve">also </w:t>
            </w:r>
            <w:r w:rsidRPr="00884D55">
              <w:rPr>
                <w:color w:val="0D0D0D" w:themeColor="text1" w:themeTint="F2"/>
                <w:spacing w:val="-4"/>
                <w:lang w:val="en-GB"/>
              </w:rPr>
              <w:t>as a resul</w:t>
            </w:r>
            <w:r w:rsidR="0002044F">
              <w:rPr>
                <w:color w:val="0D0D0D" w:themeColor="text1" w:themeTint="F2"/>
                <w:spacing w:val="-4"/>
                <w:lang w:val="en-GB"/>
              </w:rPr>
              <w:t xml:space="preserve">t of part-time work expansion. </w:t>
            </w:r>
          </w:p>
        </w:tc>
        <w:tc>
          <w:tcPr>
            <w:tcW w:w="201" w:type="dxa"/>
            <w:shd w:val="clear" w:color="auto" w:fill="auto"/>
            <w:tcMar>
              <w:left w:w="0" w:type="dxa"/>
            </w:tcMar>
          </w:tcPr>
          <w:p w14:paraId="6D2A689F" w14:textId="77777777" w:rsidR="00803507" w:rsidRPr="00884D55" w:rsidRDefault="00803507" w:rsidP="00803507">
            <w:pPr>
              <w:pStyle w:val="Textpoznpodarou"/>
              <w:spacing w:after="120"/>
              <w:jc w:val="both"/>
              <w:rPr>
                <w:color w:val="0D0D0D" w:themeColor="text1" w:themeTint="F2"/>
                <w:spacing w:val="-4"/>
                <w:lang w:val="en-GB"/>
              </w:rPr>
            </w:pPr>
          </w:p>
        </w:tc>
        <w:tc>
          <w:tcPr>
            <w:tcW w:w="7770" w:type="dxa"/>
            <w:shd w:val="clear" w:color="auto" w:fill="auto"/>
            <w:tcMar>
              <w:left w:w="0" w:type="dxa"/>
            </w:tcMar>
          </w:tcPr>
          <w:p w14:paraId="0EFC9167" w14:textId="29E8A727" w:rsidR="00803507" w:rsidRPr="00884D55" w:rsidRDefault="00803507" w:rsidP="00803507">
            <w:pPr>
              <w:spacing w:after="0"/>
              <w:rPr>
                <w:color w:val="0D0D0D" w:themeColor="text1" w:themeTint="F2"/>
                <w:spacing w:val="-4"/>
                <w:lang w:val="en-GB"/>
              </w:rPr>
            </w:pPr>
            <w:r w:rsidRPr="00884D55">
              <w:rPr>
                <w:color w:val="0D0D0D" w:themeColor="text1" w:themeTint="F2"/>
                <w:spacing w:val="-4"/>
                <w:lang w:val="en-GB"/>
              </w:rPr>
              <w:t>The total number of hours worked in the economy, which returned to pre-crisis levels (year 2018) for the first time in 2023 decreased slightly last year (-0.2%). The largest growth manifested in division trade, transport, accommodation</w:t>
            </w:r>
            <w:r>
              <w:rPr>
                <w:color w:val="0D0D0D" w:themeColor="text1" w:themeTint="F2"/>
                <w:spacing w:val="-4"/>
                <w:lang w:val="en-GB"/>
              </w:rPr>
              <w:t>,</w:t>
            </w:r>
            <w:r w:rsidRPr="00884D55">
              <w:rPr>
                <w:color w:val="0D0D0D" w:themeColor="text1" w:themeTint="F2"/>
                <w:spacing w:val="-4"/>
                <w:lang w:val="en-GB"/>
              </w:rPr>
              <w:t xml:space="preserve"> and food service activities (</w:t>
            </w:r>
            <w:r w:rsidR="0002044F">
              <w:rPr>
                <w:color w:val="0D0D0D" w:themeColor="text1" w:themeTint="F2"/>
                <w:spacing w:val="-4"/>
                <w:lang w:val="en-GB"/>
              </w:rPr>
              <w:t>+</w:t>
            </w:r>
            <w:r w:rsidRPr="00884D55">
              <w:rPr>
                <w:color w:val="0D0D0D" w:themeColor="text1" w:themeTint="F2"/>
                <w:spacing w:val="-4"/>
                <w:lang w:val="en-GB"/>
              </w:rPr>
              <w:t>1.6%) and also in the primary sphere of the economy (</w:t>
            </w:r>
            <w:r w:rsidR="0002044F">
              <w:rPr>
                <w:color w:val="0D0D0D" w:themeColor="text1" w:themeTint="F2"/>
                <w:spacing w:val="-4"/>
                <w:lang w:val="en-GB"/>
              </w:rPr>
              <w:t>+</w:t>
            </w:r>
            <w:r w:rsidRPr="00884D55">
              <w:rPr>
                <w:color w:val="0D0D0D" w:themeColor="text1" w:themeTint="F2"/>
                <w:spacing w:val="-4"/>
                <w:lang w:val="en-GB"/>
              </w:rPr>
              <w:t xml:space="preserve">2.0%), where it however largely depends on the natural conditions. On the contrary, the largest decrease occurred in manufacturing (−2.7%), where it also exceeded the rate of decline of employment </w:t>
            </w:r>
            <w:r w:rsidR="0002044F">
              <w:rPr>
                <w:color w:val="0D0D0D" w:themeColor="text1" w:themeTint="F2"/>
                <w:spacing w:val="-4"/>
                <w:lang w:val="en-GB"/>
              </w:rPr>
              <w:t>(</w:t>
            </w:r>
            <w:r w:rsidRPr="00884D55">
              <w:rPr>
                <w:color w:val="0D0D0D" w:themeColor="text1" w:themeTint="F2"/>
                <w:spacing w:val="-4"/>
                <w:lang w:val="en-GB"/>
              </w:rPr>
              <w:t>in natural persons</w:t>
            </w:r>
            <w:r w:rsidR="0002044F">
              <w:rPr>
                <w:color w:val="0D0D0D" w:themeColor="text1" w:themeTint="F2"/>
                <w:spacing w:val="-4"/>
                <w:lang w:val="en-GB"/>
              </w:rPr>
              <w:t>)</w:t>
            </w:r>
            <w:r w:rsidRPr="00884D55">
              <w:rPr>
                <w:color w:val="0D0D0D" w:themeColor="text1" w:themeTint="F2"/>
                <w:spacing w:val="-4"/>
                <w:lang w:val="en-GB"/>
              </w:rPr>
              <w:t>. This may have reflected a lower need for overtime work, or even a reduction of planned shifts in some sectors affected by the recession. Hours worked also decreased slightly in some branches of services in which employment otherwise increased last year (financial and insurance activities, public services). This may be linked to the expansion of part-time work</w:t>
            </w:r>
            <w:r w:rsidRPr="00884D55">
              <w:rPr>
                <w:rStyle w:val="Znakapoznpodarou"/>
                <w:color w:val="0D0D0D" w:themeColor="text1" w:themeTint="F2"/>
                <w:spacing w:val="-4"/>
                <w:lang w:val="en-GB"/>
              </w:rPr>
              <w:footnoteReference w:id="89"/>
            </w:r>
            <w:r w:rsidRPr="00884D55">
              <w:rPr>
                <w:color w:val="0D0D0D" w:themeColor="text1" w:themeTint="F2"/>
                <w:spacing w:val="-4"/>
                <w:lang w:val="en-GB"/>
              </w:rPr>
              <w:t xml:space="preserve"> (due to the growing employment of women supported by the integration of female refugees from Ukraine as well as the tax relief to support part time jobs introduced last year) or to a decrease of the number of persons working on job agreement contracts</w:t>
            </w:r>
            <w:r w:rsidRPr="00884D55">
              <w:rPr>
                <w:rStyle w:val="Znakapoznpodarou"/>
                <w:color w:val="0D0D0D" w:themeColor="text1" w:themeTint="F2"/>
                <w:spacing w:val="-4"/>
                <w:lang w:val="en-GB"/>
              </w:rPr>
              <w:footnoteReference w:id="90"/>
            </w:r>
            <w:r w:rsidRPr="00884D55">
              <w:rPr>
                <w:color w:val="0D0D0D" w:themeColor="text1" w:themeTint="F2"/>
                <w:spacing w:val="-4"/>
                <w:lang w:val="en-GB"/>
              </w:rPr>
              <w:t xml:space="preserve"> (due to legislative changes reducing the financial benefits of these forms of work for employees and, conversely, increasing administrative burdens for companies).  </w:t>
            </w:r>
          </w:p>
          <w:p w14:paraId="0A62D6CA" w14:textId="77777777" w:rsidR="00803507" w:rsidRPr="00884D55" w:rsidRDefault="00803507" w:rsidP="00803507">
            <w:pPr>
              <w:spacing w:after="0"/>
              <w:rPr>
                <w:spacing w:val="-4"/>
                <w:lang w:val="en-GB"/>
              </w:rPr>
            </w:pPr>
          </w:p>
        </w:tc>
      </w:tr>
      <w:tr w:rsidR="00803507" w:rsidRPr="00884D55" w14:paraId="4EC7836A" w14:textId="77777777" w:rsidTr="00F00320">
        <w:trPr>
          <w:trHeight w:val="155"/>
        </w:trPr>
        <w:tc>
          <w:tcPr>
            <w:tcW w:w="1814" w:type="dxa"/>
            <w:shd w:val="clear" w:color="auto" w:fill="auto"/>
            <w:tcMar>
              <w:left w:w="0" w:type="dxa"/>
            </w:tcMar>
          </w:tcPr>
          <w:p w14:paraId="270EE69E" w14:textId="77777777" w:rsidR="00803507" w:rsidRPr="00884D55" w:rsidRDefault="00803507" w:rsidP="00803507">
            <w:pPr>
              <w:pStyle w:val="Marginlie"/>
              <w:spacing w:after="120"/>
              <w:rPr>
                <w:color w:val="0D0D0D" w:themeColor="text1" w:themeTint="F2"/>
                <w:spacing w:val="-4"/>
                <w:lang w:val="en-GB"/>
              </w:rPr>
            </w:pPr>
            <w:r w:rsidRPr="00884D55">
              <w:rPr>
                <w:color w:val="0D0D0D" w:themeColor="text1" w:themeTint="F2"/>
                <w:spacing w:val="-4"/>
                <w:lang w:val="en-GB"/>
              </w:rPr>
              <w:t xml:space="preserve">The number of persons combining multiple employments grew. </w:t>
            </w:r>
          </w:p>
          <w:p w14:paraId="01B205BB" w14:textId="77777777" w:rsidR="00803507" w:rsidRPr="00884D55" w:rsidRDefault="00803507" w:rsidP="00803507">
            <w:pPr>
              <w:pStyle w:val="Marginlie"/>
              <w:spacing w:after="120"/>
              <w:rPr>
                <w:color w:val="0D0D0D" w:themeColor="text1" w:themeTint="F2"/>
                <w:spacing w:val="-4"/>
                <w:lang w:val="en-GB"/>
              </w:rPr>
            </w:pPr>
          </w:p>
          <w:p w14:paraId="2592919B" w14:textId="77777777" w:rsidR="00803507" w:rsidRPr="00884D55" w:rsidRDefault="00803507" w:rsidP="00803507">
            <w:pPr>
              <w:pStyle w:val="Marginlie"/>
              <w:spacing w:after="120"/>
              <w:rPr>
                <w:color w:val="0D0D0D" w:themeColor="text1" w:themeTint="F2"/>
                <w:spacing w:val="-4"/>
                <w:lang w:val="en-GB"/>
              </w:rPr>
            </w:pPr>
            <w:r w:rsidRPr="00884D55">
              <w:rPr>
                <w:color w:val="0D0D0D" w:themeColor="text1" w:themeTint="F2"/>
                <w:spacing w:val="-4"/>
                <w:lang w:val="en-GB"/>
              </w:rPr>
              <w:t xml:space="preserve">The long-term growth of the number of specialists as well as the decrease in the category of office workers continued. </w:t>
            </w:r>
          </w:p>
        </w:tc>
        <w:tc>
          <w:tcPr>
            <w:tcW w:w="201" w:type="dxa"/>
            <w:shd w:val="clear" w:color="auto" w:fill="auto"/>
            <w:tcMar>
              <w:left w:w="0" w:type="dxa"/>
            </w:tcMar>
          </w:tcPr>
          <w:p w14:paraId="02E8A368" w14:textId="77777777" w:rsidR="00803507" w:rsidRPr="00884D55" w:rsidRDefault="00803507" w:rsidP="00803507">
            <w:pPr>
              <w:pStyle w:val="Textpoznpodarou"/>
              <w:spacing w:after="120"/>
              <w:jc w:val="both"/>
              <w:rPr>
                <w:color w:val="0D0D0D" w:themeColor="text1" w:themeTint="F2"/>
                <w:spacing w:val="-4"/>
                <w:lang w:val="en-GB"/>
              </w:rPr>
            </w:pPr>
          </w:p>
        </w:tc>
        <w:tc>
          <w:tcPr>
            <w:tcW w:w="7770" w:type="dxa"/>
            <w:shd w:val="clear" w:color="auto" w:fill="auto"/>
            <w:tcMar>
              <w:left w:w="0" w:type="dxa"/>
            </w:tcMar>
          </w:tcPr>
          <w:p w14:paraId="31D18AD3" w14:textId="054ED18A" w:rsidR="00803507" w:rsidRPr="00884D55" w:rsidRDefault="00803507" w:rsidP="00803507">
            <w:pPr>
              <w:rPr>
                <w:color w:val="0D0D0D" w:themeColor="text1" w:themeTint="F2"/>
                <w:spacing w:val="-4"/>
                <w:lang w:val="en-GB"/>
              </w:rPr>
            </w:pPr>
            <w:r w:rsidRPr="00884D55">
              <w:rPr>
                <w:color w:val="0D0D0D" w:themeColor="text1" w:themeTint="F2"/>
                <w:spacing w:val="-4"/>
                <w:lang w:val="en-GB"/>
              </w:rPr>
              <w:t>The increasing role of part-time work is also associated with the growing share of persons working in two jobs. While 2.8% of workers were employed in this way in Q3 2023, a record 3.3%</w:t>
            </w:r>
            <w:r w:rsidRPr="00884D55">
              <w:rPr>
                <w:rStyle w:val="Znakapoznpodarou"/>
                <w:color w:val="0D0D0D" w:themeColor="text1" w:themeTint="F2"/>
                <w:spacing w:val="-4"/>
                <w:lang w:val="en-GB"/>
              </w:rPr>
              <w:footnoteReference w:id="91"/>
            </w:r>
            <w:r w:rsidRPr="00884D55">
              <w:rPr>
                <w:color w:val="0D0D0D" w:themeColor="text1" w:themeTint="F2"/>
                <w:spacing w:val="-4"/>
                <w:lang w:val="en-GB"/>
              </w:rPr>
              <w:t xml:space="preserve"> a year later. In addition to these shifts, longer-term structural changes of employment are also taking place. As the education of the workforce increases, the number of people working in the specialist category is also growing (according to LFSS data, by 8%, year-on-year, in Q1 to Q3 2024). There has also been an increase of services and sales workers (+6%) and technical and pr</w:t>
            </w:r>
            <w:r w:rsidR="0090465F">
              <w:rPr>
                <w:color w:val="0D0D0D" w:themeColor="text1" w:themeTint="F2"/>
                <w:spacing w:val="-4"/>
                <w:lang w:val="en-GB"/>
              </w:rPr>
              <w:t>ofessional staff (+4%) in 2024</w:t>
            </w:r>
            <w:r w:rsidRPr="00884D55">
              <w:rPr>
                <w:color w:val="0D0D0D" w:themeColor="text1" w:themeTint="F2"/>
                <w:spacing w:val="-4"/>
                <w:lang w:val="en-GB"/>
              </w:rPr>
              <w:t xml:space="preserve">. On the contrary, the decrease continued in the category of office workers (−13%), largely due to the development of digitalisation in the area of market as well as public services. </w:t>
            </w:r>
          </w:p>
        </w:tc>
      </w:tr>
      <w:tr w:rsidR="00803507" w:rsidRPr="00884D55" w14:paraId="0FC32368" w14:textId="77777777" w:rsidTr="00F00320">
        <w:trPr>
          <w:trHeight w:val="155"/>
        </w:trPr>
        <w:tc>
          <w:tcPr>
            <w:tcW w:w="1814" w:type="dxa"/>
            <w:vMerge w:val="restart"/>
            <w:shd w:val="clear" w:color="auto" w:fill="auto"/>
            <w:tcMar>
              <w:left w:w="0" w:type="dxa"/>
            </w:tcMar>
          </w:tcPr>
          <w:p w14:paraId="39184AC0" w14:textId="77777777" w:rsidR="00803507" w:rsidRPr="00884D55" w:rsidRDefault="00803507" w:rsidP="00803507">
            <w:pPr>
              <w:pStyle w:val="Marginlie"/>
              <w:spacing w:after="120"/>
              <w:rPr>
                <w:spacing w:val="-4"/>
                <w:lang w:val="en-GB"/>
              </w:rPr>
            </w:pPr>
          </w:p>
        </w:tc>
        <w:tc>
          <w:tcPr>
            <w:tcW w:w="201" w:type="dxa"/>
            <w:vMerge w:val="restart"/>
            <w:shd w:val="clear" w:color="auto" w:fill="auto"/>
            <w:tcMar>
              <w:left w:w="0" w:type="dxa"/>
            </w:tcMar>
          </w:tcPr>
          <w:p w14:paraId="73F88B40" w14:textId="77777777" w:rsidR="00803507" w:rsidRPr="00884D55" w:rsidRDefault="00803507" w:rsidP="00803507">
            <w:pPr>
              <w:pStyle w:val="Textpoznpodarou"/>
              <w:spacing w:after="120"/>
              <w:jc w:val="both"/>
              <w:rPr>
                <w:spacing w:val="-4"/>
                <w:lang w:val="en-GB"/>
              </w:rPr>
            </w:pPr>
          </w:p>
        </w:tc>
        <w:tc>
          <w:tcPr>
            <w:tcW w:w="7770" w:type="dxa"/>
            <w:shd w:val="clear" w:color="auto" w:fill="auto"/>
            <w:tcMar>
              <w:left w:w="0" w:type="dxa"/>
            </w:tcMar>
          </w:tcPr>
          <w:p w14:paraId="21031ED9" w14:textId="77777777" w:rsidR="00803507" w:rsidRPr="00884D55" w:rsidRDefault="00803507" w:rsidP="00803507">
            <w:pPr>
              <w:spacing w:after="0"/>
              <w:rPr>
                <w:spacing w:val="-2"/>
                <w:lang w:val="en-GB"/>
              </w:rPr>
            </w:pPr>
            <w:r w:rsidRPr="00884D55">
              <w:rPr>
                <w:rFonts w:cs="Arial"/>
                <w:b/>
                <w:bCs/>
                <w:color w:val="000000"/>
                <w:szCs w:val="20"/>
                <w:lang w:val="en-GB"/>
              </w:rPr>
              <w:t>Chart 13</w:t>
            </w:r>
            <w:r w:rsidRPr="00884D55">
              <w:rPr>
                <w:rFonts w:cs="Arial"/>
                <w:b/>
                <w:bCs/>
                <w:color w:val="000000"/>
                <w:sz w:val="18"/>
                <w:szCs w:val="18"/>
                <w:lang w:val="en-GB"/>
              </w:rPr>
              <w:t xml:space="preserve"> </w:t>
            </w:r>
            <w:r w:rsidRPr="00884D55">
              <w:rPr>
                <w:rFonts w:cs="Arial"/>
                <w:b/>
                <w:bCs/>
                <w:color w:val="000000"/>
                <w:spacing w:val="-3"/>
                <w:szCs w:val="20"/>
                <w:lang w:val="en-GB"/>
              </w:rPr>
              <w:t xml:space="preserve">Total employment </w:t>
            </w:r>
            <w:r w:rsidRPr="00884D55">
              <w:rPr>
                <w:rFonts w:cs="Arial"/>
                <w:color w:val="000000"/>
                <w:spacing w:val="-3"/>
                <w:szCs w:val="20"/>
                <w:lang w:val="en-GB"/>
              </w:rPr>
              <w:t>(year-on-year in %),</w:t>
            </w:r>
            <w:r w:rsidRPr="00884D55">
              <w:rPr>
                <w:rFonts w:cs="Arial"/>
                <w:b/>
                <w:bCs/>
                <w:color w:val="000000"/>
                <w:spacing w:val="-3"/>
                <w:szCs w:val="20"/>
                <w:lang w:val="en-GB"/>
              </w:rPr>
              <w:t xml:space="preserve"> contributions of branches to year-on-year change of employment </w:t>
            </w:r>
            <w:r w:rsidRPr="00884D55">
              <w:rPr>
                <w:rFonts w:cs="Arial"/>
                <w:color w:val="000000"/>
                <w:spacing w:val="-3"/>
                <w:szCs w:val="20"/>
                <w:lang w:val="en-GB"/>
              </w:rPr>
              <w:t>(in p.p.)</w:t>
            </w:r>
            <w:r w:rsidRPr="00884D55">
              <w:rPr>
                <w:rFonts w:cs="Arial"/>
                <w:b/>
                <w:bCs/>
                <w:color w:val="000000"/>
                <w:spacing w:val="-3"/>
                <w:szCs w:val="20"/>
                <w:lang w:val="en-GB"/>
              </w:rPr>
              <w:t>, expectations of employment</w:t>
            </w:r>
            <w:r w:rsidRPr="00884D55">
              <w:rPr>
                <w:rFonts w:cs="Arial"/>
                <w:color w:val="000000"/>
                <w:spacing w:val="-3"/>
                <w:szCs w:val="20"/>
                <w:lang w:val="en-GB"/>
              </w:rPr>
              <w:t xml:space="preserve"> (balance in p. p.) </w:t>
            </w:r>
          </w:p>
        </w:tc>
      </w:tr>
      <w:tr w:rsidR="00803507" w:rsidRPr="00884D55" w14:paraId="1BEB0B4A" w14:textId="77777777" w:rsidTr="00F00320">
        <w:tblPrEx>
          <w:tblCellMar>
            <w:left w:w="70" w:type="dxa"/>
            <w:right w:w="70" w:type="dxa"/>
          </w:tblCellMar>
        </w:tblPrEx>
        <w:trPr>
          <w:trHeight w:val="155"/>
        </w:trPr>
        <w:tc>
          <w:tcPr>
            <w:tcW w:w="1814" w:type="dxa"/>
            <w:vMerge/>
          </w:tcPr>
          <w:p w14:paraId="4C320594" w14:textId="77777777" w:rsidR="00803507" w:rsidRPr="00884D55" w:rsidRDefault="00803507" w:rsidP="00803507">
            <w:pPr>
              <w:pStyle w:val="Marginlie"/>
              <w:spacing w:after="120"/>
              <w:rPr>
                <w:spacing w:val="-4"/>
                <w:lang w:val="en-GB"/>
              </w:rPr>
            </w:pPr>
          </w:p>
        </w:tc>
        <w:tc>
          <w:tcPr>
            <w:tcW w:w="201" w:type="dxa"/>
            <w:vMerge/>
          </w:tcPr>
          <w:p w14:paraId="360CCC78" w14:textId="77777777" w:rsidR="00803507" w:rsidRPr="00884D55" w:rsidRDefault="00803507" w:rsidP="00803507">
            <w:pPr>
              <w:pStyle w:val="Textpoznpodarou"/>
              <w:spacing w:after="120"/>
              <w:jc w:val="both"/>
              <w:rPr>
                <w:spacing w:val="-4"/>
                <w:lang w:val="en-GB"/>
              </w:rPr>
            </w:pPr>
          </w:p>
        </w:tc>
        <w:tc>
          <w:tcPr>
            <w:tcW w:w="7770" w:type="dxa"/>
            <w:shd w:val="clear" w:color="auto" w:fill="auto"/>
          </w:tcPr>
          <w:p w14:paraId="240CD8EF" w14:textId="43A1457C" w:rsidR="00803507" w:rsidRPr="00884D55" w:rsidRDefault="00C563A8" w:rsidP="00803507">
            <w:pPr>
              <w:spacing w:after="0"/>
              <w:rPr>
                <w:spacing w:val="-4"/>
                <w:lang w:val="en-GB"/>
              </w:rPr>
            </w:pPr>
            <w:r>
              <w:rPr>
                <w:noProof/>
              </w:rPr>
              <w:drawing>
                <wp:inline distT="0" distB="0" distL="0" distR="0" wp14:anchorId="1CF37EFD" wp14:editId="667C5A9F">
                  <wp:extent cx="4822190" cy="3730527"/>
                  <wp:effectExtent l="0" t="0" r="0" b="3810"/>
                  <wp:docPr id="1161452506" name="Graf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803507" w:rsidRPr="00884D55" w14:paraId="53328812" w14:textId="77777777" w:rsidTr="00F00320">
        <w:trPr>
          <w:trHeight w:val="671"/>
        </w:trPr>
        <w:tc>
          <w:tcPr>
            <w:tcW w:w="1814" w:type="dxa"/>
            <w:vMerge/>
            <w:tcMar>
              <w:left w:w="0" w:type="dxa"/>
            </w:tcMar>
          </w:tcPr>
          <w:p w14:paraId="231CCDC8" w14:textId="77777777" w:rsidR="00803507" w:rsidRPr="00884D55" w:rsidRDefault="00803507" w:rsidP="00803507">
            <w:pPr>
              <w:pStyle w:val="Marginlie"/>
              <w:spacing w:after="120"/>
              <w:rPr>
                <w:spacing w:val="-4"/>
                <w:lang w:val="en-GB"/>
              </w:rPr>
            </w:pPr>
          </w:p>
        </w:tc>
        <w:tc>
          <w:tcPr>
            <w:tcW w:w="201" w:type="dxa"/>
            <w:vMerge/>
            <w:tcMar>
              <w:left w:w="0" w:type="dxa"/>
            </w:tcMar>
          </w:tcPr>
          <w:p w14:paraId="230F3877" w14:textId="77777777" w:rsidR="00803507" w:rsidRPr="00884D55" w:rsidRDefault="00803507" w:rsidP="00803507">
            <w:pPr>
              <w:pStyle w:val="Textpoznpodarou"/>
              <w:spacing w:after="120"/>
              <w:jc w:val="both"/>
              <w:rPr>
                <w:spacing w:val="-4"/>
                <w:lang w:val="en-GB"/>
              </w:rPr>
            </w:pPr>
          </w:p>
        </w:tc>
        <w:tc>
          <w:tcPr>
            <w:tcW w:w="7770" w:type="dxa"/>
            <w:shd w:val="clear" w:color="auto" w:fill="auto"/>
            <w:tcMar>
              <w:left w:w="0" w:type="dxa"/>
            </w:tcMar>
          </w:tcPr>
          <w:p w14:paraId="19F5F9A9" w14:textId="2DDAF654" w:rsidR="00803507" w:rsidRPr="00884D55" w:rsidRDefault="00803507" w:rsidP="00803507">
            <w:pPr>
              <w:spacing w:after="0" w:line="240" w:lineRule="auto"/>
              <w:rPr>
                <w:rFonts w:cs="Arial"/>
                <w:sz w:val="14"/>
                <w:szCs w:val="14"/>
                <w:lang w:val="en-GB"/>
              </w:rPr>
            </w:pPr>
            <w:r w:rsidRPr="00884D55">
              <w:rPr>
                <w:rFonts w:cs="Arial"/>
                <w:color w:val="0D0D0D" w:themeColor="text1" w:themeTint="F2"/>
                <w:spacing w:val="-2"/>
                <w:sz w:val="14"/>
                <w:szCs w:val="14"/>
                <w:lang w:val="en-GB"/>
              </w:rPr>
              <w:t>*</w:t>
            </w:r>
            <w:r w:rsidRPr="00884D55">
              <w:rPr>
                <w:rFonts w:cs="Arial"/>
                <w:sz w:val="14"/>
                <w:szCs w:val="14"/>
                <w:lang w:val="en-GB"/>
              </w:rPr>
              <w:t xml:space="preserve"> </w:t>
            </w:r>
            <w:r w:rsidR="0090465F">
              <w:rPr>
                <w:rFonts w:cs="Arial"/>
                <w:sz w:val="14"/>
                <w:szCs w:val="14"/>
                <w:lang w:val="en-GB"/>
              </w:rPr>
              <w:t xml:space="preserve">This category includes branches: </w:t>
            </w:r>
            <w:r w:rsidRPr="00884D55">
              <w:rPr>
                <w:rFonts w:cs="Arial"/>
                <w:sz w:val="14"/>
                <w:szCs w:val="14"/>
                <w:lang w:val="en-GB"/>
              </w:rPr>
              <w:t xml:space="preserve">Mining and energetics; Financial and insurance activities; Real estate activities; Arts, entertainment and recreation activities. </w:t>
            </w:r>
          </w:p>
          <w:p w14:paraId="0C77865D" w14:textId="77777777" w:rsidR="00803507" w:rsidRPr="00884D55" w:rsidRDefault="00803507" w:rsidP="00803507">
            <w:pPr>
              <w:spacing w:after="0" w:line="240" w:lineRule="auto"/>
              <w:rPr>
                <w:rFonts w:cs="Arial"/>
                <w:sz w:val="14"/>
                <w:szCs w:val="14"/>
                <w:lang w:val="en-GB"/>
              </w:rPr>
            </w:pPr>
            <w:r w:rsidRPr="00884D55">
              <w:rPr>
                <w:rFonts w:cs="Arial"/>
                <w:sz w:val="14"/>
                <w:szCs w:val="14"/>
                <w:lang w:val="en-GB"/>
              </w:rPr>
              <w:t xml:space="preserve">Note: Balance of expectations expresses the difference in p.p. between categories growth vs. decrease of employment in the nearest three months. Data are seasonally adjusted and relate to the second month of the given quarter. </w:t>
            </w:r>
          </w:p>
          <w:p w14:paraId="65DFBBBF" w14:textId="03D2FCE3" w:rsidR="00803507" w:rsidRPr="00C563A8" w:rsidRDefault="00803507" w:rsidP="001C74B0">
            <w:pPr>
              <w:spacing w:line="240" w:lineRule="auto"/>
              <w:rPr>
                <w:rFonts w:cs="Arial"/>
                <w:sz w:val="14"/>
                <w:szCs w:val="14"/>
                <w:lang w:val="en-GB"/>
              </w:rPr>
            </w:pPr>
            <w:r w:rsidRPr="00884D55">
              <w:rPr>
                <w:rFonts w:cs="Arial"/>
                <w:sz w:val="14"/>
                <w:szCs w:val="14"/>
                <w:lang w:val="en-GB"/>
              </w:rPr>
              <w:t>Source: CZSO (national accounts), Eurostat (business cycle surveys).</w:t>
            </w:r>
          </w:p>
        </w:tc>
      </w:tr>
      <w:tr w:rsidR="00C563A8" w:rsidRPr="00884D55" w14:paraId="1057D01D" w14:textId="77777777" w:rsidTr="00F00320">
        <w:trPr>
          <w:trHeight w:val="145"/>
        </w:trPr>
        <w:tc>
          <w:tcPr>
            <w:tcW w:w="1814" w:type="dxa"/>
            <w:shd w:val="clear" w:color="auto" w:fill="auto"/>
            <w:tcMar>
              <w:left w:w="0" w:type="dxa"/>
            </w:tcMar>
          </w:tcPr>
          <w:p w14:paraId="13F0C46B" w14:textId="2164C07A" w:rsidR="00C563A8" w:rsidRPr="00884D55" w:rsidRDefault="00C563A8" w:rsidP="00C563A8">
            <w:pPr>
              <w:pStyle w:val="Marginlie"/>
              <w:spacing w:after="120"/>
              <w:rPr>
                <w:color w:val="0D0D0D" w:themeColor="text1" w:themeTint="F2"/>
                <w:spacing w:val="-4"/>
                <w:lang w:val="en-GB"/>
              </w:rPr>
            </w:pPr>
            <w:r w:rsidRPr="00884D55">
              <w:rPr>
                <w:color w:val="0D0D0D" w:themeColor="text1" w:themeTint="F2"/>
                <w:spacing w:val="-4"/>
                <w:lang w:val="en-GB"/>
              </w:rPr>
              <w:t>The number of foreigners with employment status hiked up to a record 846</w:t>
            </w:r>
            <w:r>
              <w:rPr>
                <w:color w:val="0D0D0D" w:themeColor="text1" w:themeTint="F2"/>
                <w:spacing w:val="-4"/>
                <w:lang w:val="en-GB"/>
              </w:rPr>
              <w:t> t</w:t>
            </w:r>
            <w:r w:rsidRPr="00884D55">
              <w:rPr>
                <w:color w:val="0D0D0D" w:themeColor="text1" w:themeTint="F2"/>
                <w:spacing w:val="-4"/>
                <w:lang w:val="en-GB"/>
              </w:rPr>
              <w:t>housand. However, their year-on-year growth slowed down as the number of workers from Central Europe decreased. On the contrary, the influx of people from some Asian countries accelerated.</w:t>
            </w:r>
          </w:p>
        </w:tc>
        <w:tc>
          <w:tcPr>
            <w:tcW w:w="201" w:type="dxa"/>
            <w:shd w:val="clear" w:color="auto" w:fill="auto"/>
            <w:tcMar>
              <w:left w:w="0" w:type="dxa"/>
            </w:tcMar>
          </w:tcPr>
          <w:p w14:paraId="16AC08C7" w14:textId="77777777" w:rsidR="00C563A8" w:rsidRPr="00884D55" w:rsidRDefault="00C563A8" w:rsidP="00C563A8">
            <w:pPr>
              <w:pStyle w:val="Textpoznpodarou"/>
              <w:spacing w:after="120"/>
              <w:jc w:val="both"/>
              <w:rPr>
                <w:color w:val="0D0D0D" w:themeColor="text1" w:themeTint="F2"/>
                <w:spacing w:val="-4"/>
                <w:lang w:val="en-GB"/>
              </w:rPr>
            </w:pPr>
          </w:p>
        </w:tc>
        <w:tc>
          <w:tcPr>
            <w:tcW w:w="7770" w:type="dxa"/>
            <w:shd w:val="clear" w:color="auto" w:fill="auto"/>
            <w:tcMar>
              <w:left w:w="0" w:type="dxa"/>
            </w:tcMar>
          </w:tcPr>
          <w:p w14:paraId="60D96DD8" w14:textId="035CEAC4" w:rsidR="00C563A8" w:rsidRPr="00884D55" w:rsidRDefault="00C563A8" w:rsidP="00C563A8">
            <w:pPr>
              <w:spacing w:after="200"/>
              <w:rPr>
                <w:color w:val="0D0D0D" w:themeColor="text1" w:themeTint="F2"/>
                <w:spacing w:val="-4"/>
                <w:lang w:val="en-GB"/>
              </w:rPr>
            </w:pPr>
            <w:r w:rsidRPr="00884D55">
              <w:rPr>
                <w:color w:val="0D0D0D" w:themeColor="text1" w:themeTint="F2"/>
                <w:spacing w:val="-4"/>
                <w:lang w:val="en-GB"/>
              </w:rPr>
              <w:t xml:space="preserve">The long-term limited pool of available labour force in the Czech Republic (resulting from demographic ageing as well as low birth rates) and the growing pressure of companies to optimise production costs have stimulated the rising demand of domestic employers for workers from abroad. </w:t>
            </w:r>
            <w:r w:rsidRPr="00884D55">
              <w:rPr>
                <w:color w:val="0D0D0D" w:themeColor="text1" w:themeTint="F2"/>
                <w:spacing w:val="-6"/>
                <w:lang w:val="en-GB"/>
              </w:rPr>
              <w:t xml:space="preserve">Legislative amendments reducing the administrative burden in this area help to make it easier to employ foreigners. </w:t>
            </w:r>
            <w:r w:rsidRPr="00884D55">
              <w:rPr>
                <w:color w:val="0D0D0D" w:themeColor="text1" w:themeTint="F2"/>
                <w:spacing w:val="-4"/>
                <w:lang w:val="en-GB"/>
              </w:rPr>
              <w:t>This applies to both Ukrainian citizens</w:t>
            </w:r>
            <w:r w:rsidRPr="00884D55">
              <w:rPr>
                <w:rStyle w:val="Znakapoznpodarou"/>
                <w:color w:val="0D0D0D" w:themeColor="text1" w:themeTint="F2"/>
                <w:spacing w:val="-4"/>
                <w:lang w:val="en-GB"/>
              </w:rPr>
              <w:footnoteReference w:id="92"/>
            </w:r>
            <w:r w:rsidRPr="00884D55">
              <w:rPr>
                <w:color w:val="0D0D0D" w:themeColor="text1" w:themeTint="F2"/>
                <w:spacing w:val="-4"/>
                <w:lang w:val="en-GB"/>
              </w:rPr>
              <w:t xml:space="preserve"> and foreigners from other, not only economically less developed countries outside the EU</w:t>
            </w:r>
            <w:r w:rsidRPr="00884D55">
              <w:rPr>
                <w:rStyle w:val="Znakapoznpodarou"/>
                <w:color w:val="0D0D0D" w:themeColor="text1" w:themeTint="F2"/>
                <w:spacing w:val="-4"/>
                <w:lang w:val="en-GB"/>
              </w:rPr>
              <w:footnoteReference w:id="93"/>
            </w:r>
            <w:r w:rsidRPr="00884D55">
              <w:rPr>
                <w:color w:val="0D0D0D" w:themeColor="text1" w:themeTint="F2"/>
                <w:spacing w:val="-4"/>
                <w:lang w:val="en-GB"/>
              </w:rPr>
              <w:t xml:space="preserve">. The long-term influx of foreign workers to the Czech Republic thus continued. However, the number of working foreigners in the Czech Republic grew more slowly last year compared to previous years. </w:t>
            </w:r>
            <w:r w:rsidR="001C74B0">
              <w:rPr>
                <w:color w:val="0D0D0D" w:themeColor="text1" w:themeTint="F2"/>
                <w:spacing w:val="-4"/>
                <w:lang w:val="en-GB"/>
              </w:rPr>
              <w:t xml:space="preserve">Total </w:t>
            </w:r>
            <w:r w:rsidRPr="00884D55">
              <w:rPr>
                <w:color w:val="0D0D0D" w:themeColor="text1" w:themeTint="F2"/>
                <w:spacing w:val="-4"/>
                <w:lang w:val="en-GB"/>
              </w:rPr>
              <w:t>846</w:t>
            </w:r>
            <w:r w:rsidRPr="00884D55">
              <w:rPr>
                <w:rStyle w:val="Znakapoznpodarou"/>
                <w:color w:val="0D0D0D" w:themeColor="text1" w:themeTint="F2"/>
                <w:spacing w:val="-4"/>
                <w:lang w:val="en-GB"/>
              </w:rPr>
              <w:footnoteReference w:id="94"/>
            </w:r>
            <w:r>
              <w:rPr>
                <w:color w:val="0D0D0D" w:themeColor="text1" w:themeTint="F2"/>
                <w:spacing w:val="-4"/>
                <w:lang w:val="en-GB"/>
              </w:rPr>
              <w:t> </w:t>
            </w:r>
            <w:r w:rsidRPr="00884D55">
              <w:rPr>
                <w:color w:val="0D0D0D" w:themeColor="text1" w:themeTint="F2"/>
                <w:spacing w:val="-4"/>
                <w:lang w:val="en-GB"/>
              </w:rPr>
              <w:t>thousand were registered at labour offices at the end of December (+22</w:t>
            </w:r>
            <w:r>
              <w:rPr>
                <w:color w:val="0D0D0D" w:themeColor="text1" w:themeTint="F2"/>
                <w:spacing w:val="-4"/>
                <w:lang w:val="en-GB"/>
              </w:rPr>
              <w:t> </w:t>
            </w:r>
            <w:r w:rsidRPr="00884D55">
              <w:rPr>
                <w:color w:val="0D0D0D" w:themeColor="text1" w:themeTint="F2"/>
                <w:spacing w:val="-4"/>
                <w:lang w:val="en-GB"/>
              </w:rPr>
              <w:t>thousand, year-on-year,</w:t>
            </w:r>
            <w:r>
              <w:rPr>
                <w:color w:val="0D0D0D" w:themeColor="text1" w:themeTint="F2"/>
                <w:spacing w:val="-4"/>
                <w:lang w:val="en-GB"/>
              </w:rPr>
              <w:t xml:space="preserve"> </w:t>
            </w:r>
            <w:r w:rsidRPr="00884D55">
              <w:rPr>
                <w:color w:val="0D0D0D" w:themeColor="text1" w:themeTint="F2"/>
                <w:spacing w:val="-4"/>
                <w:lang w:val="en-GB"/>
              </w:rPr>
              <w:t>+52</w:t>
            </w:r>
            <w:r>
              <w:rPr>
                <w:color w:val="0D0D0D" w:themeColor="text1" w:themeTint="F2"/>
                <w:spacing w:val="-4"/>
                <w:lang w:val="en-GB"/>
              </w:rPr>
              <w:t> </w:t>
            </w:r>
            <w:r w:rsidRPr="00884D55">
              <w:rPr>
                <w:color w:val="0D0D0D" w:themeColor="text1" w:themeTint="F2"/>
                <w:spacing w:val="-4"/>
                <w:lang w:val="en-GB"/>
              </w:rPr>
              <w:t>thousand in two years)</w:t>
            </w:r>
            <w:r w:rsidRPr="00884D55">
              <w:rPr>
                <w:rStyle w:val="Znakapoznpodarou"/>
                <w:color w:val="0D0D0D" w:themeColor="text1" w:themeTint="F2"/>
                <w:spacing w:val="-4"/>
                <w:lang w:val="en-GB"/>
              </w:rPr>
              <w:footnoteReference w:id="95"/>
            </w:r>
            <w:r w:rsidRPr="00884D55">
              <w:rPr>
                <w:color w:val="0D0D0D" w:themeColor="text1" w:themeTint="F2"/>
                <w:spacing w:val="-4"/>
                <w:lang w:val="en-GB"/>
              </w:rPr>
              <w:t xml:space="preserve"> in the dominant group of employees. Traditionally, the largest year-on-year increase was in the number of citizens of Ukraine (+19</w:t>
            </w:r>
            <w:r>
              <w:rPr>
                <w:color w:val="0D0D0D" w:themeColor="text1" w:themeTint="F2"/>
                <w:spacing w:val="-4"/>
                <w:lang w:val="en-GB"/>
              </w:rPr>
              <w:t> </w:t>
            </w:r>
            <w:r w:rsidRPr="00884D55">
              <w:rPr>
                <w:color w:val="0D0D0D" w:themeColor="text1" w:themeTint="F2"/>
                <w:spacing w:val="-4"/>
                <w:lang w:val="en-GB"/>
              </w:rPr>
              <w:t>thousand to 305</w:t>
            </w:r>
            <w:r>
              <w:rPr>
                <w:color w:val="0D0D0D" w:themeColor="text1" w:themeTint="F2"/>
                <w:spacing w:val="-4"/>
                <w:lang w:val="en-GB"/>
              </w:rPr>
              <w:t> </w:t>
            </w:r>
            <w:r w:rsidRPr="00884D55">
              <w:rPr>
                <w:color w:val="0D0D0D" w:themeColor="text1" w:themeTint="F2"/>
                <w:spacing w:val="-4"/>
                <w:lang w:val="en-GB"/>
              </w:rPr>
              <w:t>thousand, of which females +14</w:t>
            </w:r>
            <w:r>
              <w:rPr>
                <w:color w:val="0D0D0D" w:themeColor="text1" w:themeTint="F2"/>
                <w:spacing w:val="-4"/>
                <w:lang w:val="en-GB"/>
              </w:rPr>
              <w:t> </w:t>
            </w:r>
            <w:r w:rsidRPr="00884D55">
              <w:rPr>
                <w:color w:val="0D0D0D" w:themeColor="text1" w:themeTint="F2"/>
                <w:spacing w:val="-4"/>
                <w:lang w:val="en-GB"/>
              </w:rPr>
              <w:t>thousand, to 163</w:t>
            </w:r>
            <w:r>
              <w:rPr>
                <w:color w:val="0D0D0D" w:themeColor="text1" w:themeTint="F2"/>
                <w:spacing w:val="-4"/>
                <w:lang w:val="en-GB"/>
              </w:rPr>
              <w:t> </w:t>
            </w:r>
            <w:r w:rsidRPr="00884D55">
              <w:rPr>
                <w:color w:val="0D0D0D" w:themeColor="text1" w:themeTint="F2"/>
                <w:spacing w:val="-4"/>
                <w:lang w:val="en-GB"/>
              </w:rPr>
              <w:t>thousand), with orders of magnitude less from Russia and Vietnam. The number of citizens of the Philippines (by half), China, India, Bangladesh, Kazakhstan and E</w:t>
            </w:r>
            <w:r w:rsidR="001C74B0">
              <w:rPr>
                <w:color w:val="0D0D0D" w:themeColor="text1" w:themeTint="F2"/>
                <w:spacing w:val="-4"/>
                <w:lang w:val="en-GB"/>
              </w:rPr>
              <w:t>gypt also expanded quickly (all</w:t>
            </w:r>
            <w:r w:rsidRPr="00884D55">
              <w:rPr>
                <w:color w:val="0D0D0D" w:themeColor="text1" w:themeTint="F2"/>
                <w:spacing w:val="-4"/>
                <w:lang w:val="en-GB"/>
              </w:rPr>
              <w:t xml:space="preserve"> by about a fifth). On the</w:t>
            </w:r>
            <w:r w:rsidR="001C74B0">
              <w:rPr>
                <w:color w:val="0D0D0D" w:themeColor="text1" w:themeTint="F2"/>
                <w:spacing w:val="-4"/>
                <w:lang w:val="en-GB"/>
              </w:rPr>
              <w:t xml:space="preserve"> contrary, the number of emploees</w:t>
            </w:r>
            <w:r w:rsidRPr="00884D55">
              <w:rPr>
                <w:color w:val="0D0D0D" w:themeColor="text1" w:themeTint="F2"/>
                <w:spacing w:val="-4"/>
                <w:lang w:val="en-GB"/>
              </w:rPr>
              <w:t xml:space="preserve"> from Central Europe reduced – mainly Poles (−5.4</w:t>
            </w:r>
            <w:r>
              <w:rPr>
                <w:color w:val="0D0D0D" w:themeColor="text1" w:themeTint="F2"/>
                <w:spacing w:val="-4"/>
                <w:lang w:val="en-GB"/>
              </w:rPr>
              <w:t> </w:t>
            </w:r>
            <w:r w:rsidRPr="00884D55">
              <w:rPr>
                <w:color w:val="0D0D0D" w:themeColor="text1" w:themeTint="F2"/>
                <w:spacing w:val="-4"/>
                <w:lang w:val="en-GB"/>
              </w:rPr>
              <w:t>thousand and 11% respectively) and Hungarians (−7%) as well as from the Balkans – Romanians (−4%) and Bulgarians (−7%). The number of Slovaks also decreased (−0.3%) for the first time since 2009, nevertheless they still made up the second largest group among foreigners (216</w:t>
            </w:r>
            <w:r>
              <w:rPr>
                <w:color w:val="0D0D0D" w:themeColor="text1" w:themeTint="F2"/>
                <w:spacing w:val="-4"/>
                <w:lang w:val="en-GB"/>
              </w:rPr>
              <w:t> </w:t>
            </w:r>
            <w:r w:rsidRPr="00884D55">
              <w:rPr>
                <w:color w:val="0D0D0D" w:themeColor="text1" w:themeTint="F2"/>
                <w:spacing w:val="-4"/>
                <w:lang w:val="en-GB"/>
              </w:rPr>
              <w:t>thousand) after Ukrainians. The total nu</w:t>
            </w:r>
            <w:r w:rsidR="001C74B0">
              <w:rPr>
                <w:color w:val="0D0D0D" w:themeColor="text1" w:themeTint="F2"/>
                <w:spacing w:val="-4"/>
                <w:lang w:val="en-GB"/>
              </w:rPr>
              <w:t>mber of foreigners in employee</w:t>
            </w:r>
            <w:r w:rsidRPr="00884D55">
              <w:rPr>
                <w:color w:val="0D0D0D" w:themeColor="text1" w:themeTint="F2"/>
                <w:spacing w:val="-4"/>
                <w:lang w:val="en-GB"/>
              </w:rPr>
              <w:t xml:space="preserve"> status increased last year only thanks to females, the number of males decreased slightly (to 482</w:t>
            </w:r>
            <w:r>
              <w:rPr>
                <w:color w:val="0D0D0D" w:themeColor="text1" w:themeTint="F2"/>
                <w:spacing w:val="-4"/>
                <w:lang w:val="en-GB"/>
              </w:rPr>
              <w:t> </w:t>
            </w:r>
            <w:r w:rsidRPr="00884D55">
              <w:rPr>
                <w:color w:val="0D0D0D" w:themeColor="text1" w:themeTint="F2"/>
                <w:spacing w:val="-4"/>
                <w:lang w:val="en-GB"/>
              </w:rPr>
              <w:t xml:space="preserve">thousand). </w:t>
            </w:r>
          </w:p>
        </w:tc>
      </w:tr>
      <w:tr w:rsidR="00C563A8" w:rsidRPr="00884D55" w14:paraId="3F42B47C" w14:textId="77777777" w:rsidTr="00F00320">
        <w:trPr>
          <w:trHeight w:val="145"/>
        </w:trPr>
        <w:tc>
          <w:tcPr>
            <w:tcW w:w="1814" w:type="dxa"/>
            <w:shd w:val="clear" w:color="auto" w:fill="auto"/>
            <w:tcMar>
              <w:left w:w="0" w:type="dxa"/>
            </w:tcMar>
          </w:tcPr>
          <w:p w14:paraId="549AF3C7" w14:textId="77777777" w:rsidR="00C563A8" w:rsidRPr="00884D55" w:rsidRDefault="00C563A8" w:rsidP="00C563A8">
            <w:pPr>
              <w:pStyle w:val="Marginlie"/>
              <w:spacing w:after="120"/>
              <w:rPr>
                <w:color w:val="0D0D0D" w:themeColor="text1" w:themeTint="F2"/>
                <w:spacing w:val="-4"/>
                <w:lang w:val="en-GB"/>
              </w:rPr>
            </w:pPr>
            <w:r w:rsidRPr="00884D55">
              <w:rPr>
                <w:color w:val="0D0D0D" w:themeColor="text1" w:themeTint="F2"/>
                <w:spacing w:val="-4"/>
                <w:lang w:val="en-GB"/>
              </w:rPr>
              <w:t xml:space="preserve">The employment rate of females aged 15 to 64 has risen above the 70% threshold for the first time. Still, it was only average within the EU. </w:t>
            </w:r>
          </w:p>
          <w:p w14:paraId="5786FFF2" w14:textId="77777777" w:rsidR="00C563A8" w:rsidRPr="00884D55" w:rsidRDefault="00C563A8" w:rsidP="00C563A8">
            <w:pPr>
              <w:pStyle w:val="Marginlie"/>
              <w:spacing w:after="120"/>
              <w:rPr>
                <w:color w:val="0D0D0D" w:themeColor="text1" w:themeTint="F2"/>
                <w:spacing w:val="-4"/>
                <w:lang w:val="en-GB"/>
              </w:rPr>
            </w:pPr>
          </w:p>
          <w:p w14:paraId="7115BAE8" w14:textId="77777777" w:rsidR="00C563A8" w:rsidRPr="00884D55" w:rsidRDefault="00C563A8" w:rsidP="00C563A8">
            <w:pPr>
              <w:pStyle w:val="Marginlie"/>
              <w:spacing w:after="120"/>
              <w:rPr>
                <w:color w:val="0D0D0D" w:themeColor="text1" w:themeTint="F2"/>
                <w:spacing w:val="-4"/>
                <w:lang w:val="en-GB"/>
              </w:rPr>
            </w:pPr>
            <w:r w:rsidRPr="00884D55">
              <w:rPr>
                <w:color w:val="0D0D0D" w:themeColor="text1" w:themeTint="F2"/>
                <w:spacing w:val="-4"/>
                <w:lang w:val="en-GB"/>
              </w:rPr>
              <w:t xml:space="preserve">The male employment rate in the Czech Republic decreased unlike in the EU last year. Nevertheless, it was still the highest among Central European countries. </w:t>
            </w:r>
          </w:p>
          <w:p w14:paraId="69B047DF" w14:textId="77777777" w:rsidR="00C563A8" w:rsidRPr="00884D55" w:rsidRDefault="00C563A8" w:rsidP="00C563A8">
            <w:pPr>
              <w:pStyle w:val="Marginlie"/>
              <w:spacing w:after="120"/>
              <w:rPr>
                <w:color w:val="0D0D0D" w:themeColor="text1" w:themeTint="F2"/>
                <w:spacing w:val="-4"/>
                <w:lang w:val="en-GB"/>
              </w:rPr>
            </w:pPr>
          </w:p>
        </w:tc>
        <w:tc>
          <w:tcPr>
            <w:tcW w:w="201" w:type="dxa"/>
            <w:shd w:val="clear" w:color="auto" w:fill="auto"/>
            <w:tcMar>
              <w:left w:w="0" w:type="dxa"/>
            </w:tcMar>
          </w:tcPr>
          <w:p w14:paraId="2AC21DF0" w14:textId="77777777" w:rsidR="00C563A8" w:rsidRPr="00884D55" w:rsidRDefault="00C563A8" w:rsidP="00C563A8">
            <w:pPr>
              <w:pStyle w:val="Textpoznpodarou"/>
              <w:spacing w:after="120"/>
              <w:jc w:val="both"/>
              <w:rPr>
                <w:color w:val="0D0D0D" w:themeColor="text1" w:themeTint="F2"/>
                <w:spacing w:val="-4"/>
                <w:lang w:val="en-GB"/>
              </w:rPr>
            </w:pPr>
          </w:p>
        </w:tc>
        <w:tc>
          <w:tcPr>
            <w:tcW w:w="7770" w:type="dxa"/>
            <w:shd w:val="clear" w:color="auto" w:fill="auto"/>
            <w:tcMar>
              <w:left w:w="0" w:type="dxa"/>
            </w:tcMar>
          </w:tcPr>
          <w:p w14:paraId="7403578D" w14:textId="5229A9B6" w:rsidR="00C563A8" w:rsidRPr="00884D55" w:rsidRDefault="00C563A8" w:rsidP="00C563A8">
            <w:pPr>
              <w:spacing w:after="200"/>
              <w:rPr>
                <w:color w:val="0D0D0D" w:themeColor="text1" w:themeTint="F2"/>
                <w:spacing w:val="-4"/>
                <w:lang w:val="en-GB"/>
              </w:rPr>
            </w:pPr>
            <w:r w:rsidRPr="00884D55">
              <w:rPr>
                <w:color w:val="0D0D0D" w:themeColor="text1" w:themeTint="F2"/>
                <w:spacing w:val="-4"/>
                <w:lang w:val="en-GB"/>
              </w:rPr>
              <w:t xml:space="preserve">The above-mentioned tendencies on the domestic labour market, together with the gradually lengthening retirement age, are reflected in the growth of the employment rate (those aged 15 to 64 years). It arrived at 75.8% (+0.4 p. p., year-on-year) in Q4. Its growth was driven only by females, whose employment strengthened by 1.4 p. p. and climbed above the 70% threshold (70.2%) for the first time in history. It decreased for males due to the difficult situation in traditional manufacturing industries by 0.3 p. p. (81.3%). According to the currently available data for Q3 2024, the total employment rate in Czechia was the eighth highest among the EU countries, exceeding the EU average by 4.6 p. p. Only Germany had higher employment among Central European countries than the Czech Republic (by 1.7 p. p.). Strong male participation rate (the fourth highest in the EU after Malta, the Netherlands and Cyprus) assists the relatively high employment rate in the Czech Republic and in all age groups, except for the youngest under 25 years of age. On the contrary, the employment of females ranks the Czech Republic on the 15th place among the </w:t>
            </w:r>
            <w:r w:rsidR="00845373">
              <w:rPr>
                <w:color w:val="0D0D0D" w:themeColor="text1" w:themeTint="F2"/>
                <w:spacing w:val="-4"/>
                <w:lang w:val="en-GB"/>
              </w:rPr>
              <w:t xml:space="preserve">EU </w:t>
            </w:r>
            <w:r w:rsidRPr="00884D55">
              <w:rPr>
                <w:color w:val="0D0D0D" w:themeColor="text1" w:themeTint="F2"/>
                <w:spacing w:val="-4"/>
                <w:lang w:val="en-GB"/>
              </w:rPr>
              <w:t xml:space="preserve">members (it is only average even compared to newer member states), mainly due to the weaker participation of persons under 40 years of age. </w:t>
            </w:r>
          </w:p>
        </w:tc>
      </w:tr>
      <w:tr w:rsidR="00C563A8" w:rsidRPr="00884D55" w14:paraId="24DFB16D" w14:textId="77777777" w:rsidTr="00F00320">
        <w:trPr>
          <w:trHeight w:val="145"/>
        </w:trPr>
        <w:tc>
          <w:tcPr>
            <w:tcW w:w="1814" w:type="dxa"/>
            <w:shd w:val="clear" w:color="auto" w:fill="auto"/>
            <w:tcMar>
              <w:left w:w="0" w:type="dxa"/>
            </w:tcMar>
          </w:tcPr>
          <w:p w14:paraId="5384FEEA" w14:textId="771CC0AB" w:rsidR="00C563A8" w:rsidRDefault="00C563A8" w:rsidP="00C563A8">
            <w:pPr>
              <w:pStyle w:val="Marginlie"/>
              <w:spacing w:after="120"/>
              <w:rPr>
                <w:color w:val="0D0D0D" w:themeColor="text1" w:themeTint="F2"/>
                <w:spacing w:val="-4"/>
                <w:lang w:val="en-GB"/>
              </w:rPr>
            </w:pPr>
            <w:r w:rsidRPr="00884D55">
              <w:rPr>
                <w:color w:val="0D0D0D" w:themeColor="text1" w:themeTint="F2"/>
                <w:spacing w:val="-4"/>
                <w:lang w:val="en-GB"/>
              </w:rPr>
              <w:t xml:space="preserve">Firms' short-term employment expectations improved slightly at the end of the year. Mild optimism </w:t>
            </w:r>
            <w:r w:rsidR="00845373">
              <w:rPr>
                <w:color w:val="0D0D0D" w:themeColor="text1" w:themeTint="F2"/>
                <w:spacing w:val="-4"/>
                <w:lang w:val="en-GB"/>
              </w:rPr>
              <w:t>occurred</w:t>
            </w:r>
            <w:r w:rsidRPr="00884D55">
              <w:rPr>
                <w:color w:val="0D0D0D" w:themeColor="text1" w:themeTint="F2"/>
                <w:spacing w:val="-4"/>
                <w:lang w:val="en-GB"/>
              </w:rPr>
              <w:t xml:space="preserve"> in </w:t>
            </w:r>
            <w:r w:rsidR="00845373">
              <w:rPr>
                <w:color w:val="0D0D0D" w:themeColor="text1" w:themeTint="F2"/>
                <w:spacing w:val="-4"/>
                <w:lang w:val="en-GB"/>
              </w:rPr>
              <w:t xml:space="preserve">trade as well as construction. </w:t>
            </w:r>
          </w:p>
          <w:p w14:paraId="25184BDF" w14:textId="77777777" w:rsidR="00845373" w:rsidRPr="00884D55" w:rsidRDefault="00845373" w:rsidP="00C563A8">
            <w:pPr>
              <w:pStyle w:val="Marginlie"/>
              <w:spacing w:after="120"/>
              <w:rPr>
                <w:color w:val="0D0D0D" w:themeColor="text1" w:themeTint="F2"/>
                <w:spacing w:val="-4"/>
                <w:lang w:val="en-GB"/>
              </w:rPr>
            </w:pPr>
          </w:p>
          <w:p w14:paraId="30344621" w14:textId="77777777" w:rsidR="00C563A8" w:rsidRPr="00884D55" w:rsidRDefault="00C563A8" w:rsidP="00C563A8">
            <w:pPr>
              <w:pStyle w:val="Marginlie"/>
              <w:rPr>
                <w:color w:val="0D0D0D" w:themeColor="text1" w:themeTint="F2"/>
                <w:spacing w:val="-5"/>
                <w:lang w:val="en-GB"/>
              </w:rPr>
            </w:pPr>
            <w:r w:rsidRPr="00884D55">
              <w:rPr>
                <w:color w:val="0D0D0D" w:themeColor="text1" w:themeTint="F2"/>
                <w:spacing w:val="-4"/>
                <w:lang w:val="en-GB"/>
              </w:rPr>
              <w:t xml:space="preserve">A shortage of workers continues to plague construction companies in particular, however its role is also growing slightly in services. </w:t>
            </w:r>
          </w:p>
        </w:tc>
        <w:tc>
          <w:tcPr>
            <w:tcW w:w="201" w:type="dxa"/>
            <w:shd w:val="clear" w:color="auto" w:fill="auto"/>
            <w:tcMar>
              <w:left w:w="0" w:type="dxa"/>
            </w:tcMar>
          </w:tcPr>
          <w:p w14:paraId="607321C6" w14:textId="77777777" w:rsidR="00C563A8" w:rsidRPr="00884D55" w:rsidRDefault="00C563A8" w:rsidP="00C563A8">
            <w:pPr>
              <w:pStyle w:val="Textpoznpodarou"/>
              <w:spacing w:after="120"/>
              <w:jc w:val="both"/>
              <w:rPr>
                <w:color w:val="0D0D0D" w:themeColor="text1" w:themeTint="F2"/>
                <w:spacing w:val="-4"/>
                <w:lang w:val="en-GB"/>
              </w:rPr>
            </w:pPr>
          </w:p>
        </w:tc>
        <w:tc>
          <w:tcPr>
            <w:tcW w:w="7770" w:type="dxa"/>
            <w:shd w:val="clear" w:color="auto" w:fill="auto"/>
            <w:tcMar>
              <w:left w:w="0" w:type="dxa"/>
            </w:tcMar>
          </w:tcPr>
          <w:p w14:paraId="3BE39534" w14:textId="2C540A44" w:rsidR="00313B2D" w:rsidRPr="00884D55" w:rsidRDefault="00C563A8" w:rsidP="00C563A8">
            <w:pPr>
              <w:spacing w:after="200"/>
              <w:rPr>
                <w:rStyle w:val="normaltextrun"/>
                <w:color w:val="0D0D0D" w:themeColor="text1" w:themeTint="F2"/>
                <w:spacing w:val="-4"/>
                <w:lang w:val="en-GB"/>
              </w:rPr>
            </w:pPr>
            <w:r w:rsidRPr="00884D55">
              <w:rPr>
                <w:color w:val="0D0D0D" w:themeColor="text1" w:themeTint="F2"/>
                <w:spacing w:val="-4"/>
                <w:lang w:val="en-GB"/>
              </w:rPr>
              <w:t>Companies' short-term expectations of their own employment</w:t>
            </w:r>
            <w:r w:rsidRPr="00884D55">
              <w:rPr>
                <w:rStyle w:val="Znakapoznpodarou"/>
                <w:color w:val="0D0D0D" w:themeColor="text1" w:themeTint="F2"/>
                <w:spacing w:val="-4"/>
                <w:lang w:val="en-GB"/>
              </w:rPr>
              <w:footnoteReference w:id="96"/>
            </w:r>
            <w:r w:rsidRPr="00884D55">
              <w:rPr>
                <w:color w:val="0D0D0D" w:themeColor="text1" w:themeTint="F2"/>
                <w:spacing w:val="-4"/>
                <w:lang w:val="en-GB"/>
              </w:rPr>
              <w:t xml:space="preserve"> remained slightly negative in the Czech Republic last year (as well as throughout 2023). However, the situation improved slightly during the year, especially in construction as well as selected services, while pessimism deepened in industry. According to a survey from February 2025, 16% of companies expected to lay off their employees in industry, 6% in construction, 9% in trade and 23% in services. These intentions were outweighed by a higher number of businesses planning to recruit workers in construction and trade. The situation at the level of sub-sectors within industry and services naturally differed</w:t>
            </w:r>
            <w:r w:rsidRPr="00884D55">
              <w:rPr>
                <w:rStyle w:val="Znakapoznpodarou"/>
                <w:color w:val="0D0D0D" w:themeColor="text1" w:themeTint="F2"/>
                <w:spacing w:val="-4"/>
                <w:lang w:val="en-GB"/>
              </w:rPr>
              <w:footnoteReference w:id="97"/>
            </w:r>
            <w:r w:rsidRPr="00884D55">
              <w:rPr>
                <w:color w:val="0D0D0D" w:themeColor="text1" w:themeTint="F2"/>
                <w:spacing w:val="-4"/>
                <w:lang w:val="en-GB"/>
              </w:rPr>
              <w:t>. The share of businesses for which labour shortages represent one of the significant growth barriers</w:t>
            </w:r>
            <w:r w:rsidRPr="00884D55">
              <w:rPr>
                <w:rStyle w:val="Znakapoznpodarou"/>
                <w:color w:val="0D0D0D" w:themeColor="text1" w:themeTint="F2"/>
                <w:spacing w:val="-4"/>
                <w:lang w:val="en-GB"/>
              </w:rPr>
              <w:footnoteReference w:id="98"/>
            </w:r>
            <w:r w:rsidRPr="00884D55">
              <w:rPr>
                <w:color w:val="0D0D0D" w:themeColor="text1" w:themeTint="F2"/>
                <w:spacing w:val="-4"/>
                <w:lang w:val="en-GB"/>
              </w:rPr>
              <w:t xml:space="preserve"> was traditionally the most pressing in construction at the beginning of this year (54%). The opposite situation prevailed in industry (13%) and also in services (24%), where there was, however, a slight year-on-year increase. </w:t>
            </w:r>
          </w:p>
        </w:tc>
      </w:tr>
      <w:tr w:rsidR="00C563A8" w:rsidRPr="00884D55" w14:paraId="6C28317F" w14:textId="77777777" w:rsidTr="00F00320">
        <w:trPr>
          <w:trHeight w:val="155"/>
        </w:trPr>
        <w:tc>
          <w:tcPr>
            <w:tcW w:w="1814" w:type="dxa"/>
            <w:vMerge w:val="restart"/>
            <w:shd w:val="clear" w:color="auto" w:fill="auto"/>
            <w:tcMar>
              <w:left w:w="0" w:type="dxa"/>
            </w:tcMar>
          </w:tcPr>
          <w:p w14:paraId="5F524A6B" w14:textId="77777777" w:rsidR="00C563A8" w:rsidRPr="00884D55" w:rsidRDefault="00C563A8" w:rsidP="00C563A8">
            <w:pPr>
              <w:pStyle w:val="Marginlie"/>
              <w:spacing w:after="120"/>
              <w:rPr>
                <w:spacing w:val="-4"/>
                <w:lang w:val="en-GB"/>
              </w:rPr>
            </w:pPr>
          </w:p>
        </w:tc>
        <w:tc>
          <w:tcPr>
            <w:tcW w:w="201" w:type="dxa"/>
            <w:vMerge w:val="restart"/>
            <w:shd w:val="clear" w:color="auto" w:fill="auto"/>
            <w:tcMar>
              <w:left w:w="0" w:type="dxa"/>
            </w:tcMar>
          </w:tcPr>
          <w:p w14:paraId="72FDD557" w14:textId="77777777" w:rsidR="00C563A8" w:rsidRPr="00884D55" w:rsidRDefault="00C563A8" w:rsidP="00C563A8">
            <w:pPr>
              <w:pStyle w:val="Textpoznpodarou"/>
              <w:spacing w:after="120"/>
              <w:jc w:val="both"/>
              <w:rPr>
                <w:spacing w:val="-4"/>
                <w:lang w:val="en-GB"/>
              </w:rPr>
            </w:pPr>
          </w:p>
        </w:tc>
        <w:tc>
          <w:tcPr>
            <w:tcW w:w="7770" w:type="dxa"/>
            <w:shd w:val="clear" w:color="auto" w:fill="auto"/>
            <w:tcMar>
              <w:left w:w="0" w:type="dxa"/>
            </w:tcMar>
          </w:tcPr>
          <w:p w14:paraId="0EEE6F15" w14:textId="68EAA8A0" w:rsidR="00C563A8" w:rsidRPr="00884D55" w:rsidRDefault="00C563A8" w:rsidP="00C563A8">
            <w:pPr>
              <w:spacing w:after="0"/>
              <w:rPr>
                <w:rFonts w:cs="Arial"/>
                <w:b/>
                <w:bCs/>
                <w:spacing w:val="-4"/>
                <w:lang w:val="en-GB"/>
              </w:rPr>
            </w:pPr>
            <w:r w:rsidRPr="00884D55">
              <w:rPr>
                <w:b/>
                <w:spacing w:val="-4"/>
                <w:lang w:val="en-GB"/>
              </w:rPr>
              <w:t xml:space="preserve">Chart 14 </w:t>
            </w:r>
            <w:r w:rsidRPr="00884D55">
              <w:rPr>
                <w:rFonts w:cs="Arial"/>
                <w:b/>
                <w:spacing w:val="-4"/>
                <w:lang w:val="en-GB"/>
              </w:rPr>
              <w:t xml:space="preserve">General unemployment rate </w:t>
            </w:r>
            <w:r w:rsidRPr="00884D55">
              <w:rPr>
                <w:rFonts w:cs="Arial"/>
                <w:bCs/>
                <w:spacing w:val="-4"/>
                <w:lang w:val="en-GB"/>
              </w:rPr>
              <w:t>(in %, age 15 to 64 years)</w:t>
            </w:r>
            <w:r w:rsidRPr="00884D55">
              <w:rPr>
                <w:rFonts w:cs="Arial"/>
                <w:b/>
                <w:spacing w:val="-4"/>
                <w:lang w:val="en-GB"/>
              </w:rPr>
              <w:t xml:space="preserve">, unemployment expectations of households* </w:t>
            </w:r>
            <w:r w:rsidRPr="00884D55">
              <w:rPr>
                <w:rFonts w:cs="Arial"/>
                <w:bCs/>
                <w:spacing w:val="-4"/>
                <w:lang w:val="en-GB"/>
              </w:rPr>
              <w:t xml:space="preserve">(in p. p.), </w:t>
            </w:r>
            <w:r w:rsidRPr="006145FA">
              <w:rPr>
                <w:rFonts w:cs="Arial"/>
                <w:b/>
                <w:spacing w:val="-4"/>
                <w:lang w:val="en-GB"/>
              </w:rPr>
              <w:t>job vacancies</w:t>
            </w:r>
            <w:r w:rsidRPr="00884D55">
              <w:rPr>
                <w:rFonts w:cs="Arial"/>
                <w:b/>
                <w:spacing w:val="-4"/>
                <w:lang w:val="en-GB"/>
              </w:rPr>
              <w:t xml:space="preserve"> and working foreigners with the employee status</w:t>
            </w:r>
            <w:r w:rsidR="00845373">
              <w:rPr>
                <w:rFonts w:cs="Arial"/>
                <w:b/>
                <w:spacing w:val="-4"/>
                <w:lang w:val="en-GB"/>
              </w:rPr>
              <w:t>**</w:t>
            </w:r>
            <w:r w:rsidRPr="00884D55">
              <w:rPr>
                <w:rFonts w:cs="Arial"/>
                <w:b/>
                <w:spacing w:val="-4"/>
                <w:lang w:val="en-GB"/>
              </w:rPr>
              <w:t xml:space="preserve"> </w:t>
            </w:r>
            <w:r w:rsidRPr="00884D55">
              <w:rPr>
                <w:rFonts w:cs="Arial"/>
                <w:bCs/>
                <w:spacing w:val="-4"/>
                <w:lang w:val="en-GB"/>
              </w:rPr>
              <w:t>(in thousand)</w:t>
            </w:r>
          </w:p>
        </w:tc>
      </w:tr>
      <w:tr w:rsidR="00C563A8" w:rsidRPr="00884D55" w14:paraId="69889416" w14:textId="77777777" w:rsidTr="00F00320">
        <w:tblPrEx>
          <w:tblCellMar>
            <w:left w:w="70" w:type="dxa"/>
            <w:right w:w="70" w:type="dxa"/>
          </w:tblCellMar>
        </w:tblPrEx>
        <w:trPr>
          <w:trHeight w:val="155"/>
        </w:trPr>
        <w:tc>
          <w:tcPr>
            <w:tcW w:w="1814" w:type="dxa"/>
            <w:vMerge/>
          </w:tcPr>
          <w:p w14:paraId="5CFFD02B" w14:textId="77777777" w:rsidR="00C563A8" w:rsidRPr="00884D55" w:rsidRDefault="00C563A8" w:rsidP="00C563A8">
            <w:pPr>
              <w:pStyle w:val="Marginlie"/>
              <w:spacing w:after="120"/>
              <w:rPr>
                <w:spacing w:val="-4"/>
                <w:lang w:val="en-GB"/>
              </w:rPr>
            </w:pPr>
          </w:p>
        </w:tc>
        <w:tc>
          <w:tcPr>
            <w:tcW w:w="201" w:type="dxa"/>
            <w:vMerge/>
          </w:tcPr>
          <w:p w14:paraId="5CE1E559" w14:textId="77777777" w:rsidR="00C563A8" w:rsidRPr="00884D55" w:rsidRDefault="00C563A8" w:rsidP="00C563A8">
            <w:pPr>
              <w:pStyle w:val="Textpoznpodarou"/>
              <w:spacing w:after="120"/>
              <w:jc w:val="both"/>
              <w:rPr>
                <w:spacing w:val="-4"/>
                <w:lang w:val="en-GB"/>
              </w:rPr>
            </w:pPr>
          </w:p>
        </w:tc>
        <w:tc>
          <w:tcPr>
            <w:tcW w:w="7770" w:type="dxa"/>
            <w:shd w:val="clear" w:color="auto" w:fill="auto"/>
          </w:tcPr>
          <w:p w14:paraId="61287E77" w14:textId="49DE86FB" w:rsidR="00C563A8" w:rsidRPr="00884D55" w:rsidRDefault="00313B2D" w:rsidP="00C563A8">
            <w:pPr>
              <w:spacing w:after="0"/>
              <w:rPr>
                <w:spacing w:val="-4"/>
                <w:lang w:val="en-GB"/>
              </w:rPr>
            </w:pPr>
            <w:r>
              <w:rPr>
                <w:noProof/>
              </w:rPr>
              <w:drawing>
                <wp:inline distT="0" distB="0" distL="0" distR="0" wp14:anchorId="066EB657" wp14:editId="6055CD25">
                  <wp:extent cx="4727495" cy="3635186"/>
                  <wp:effectExtent l="0" t="0" r="0" b="3810"/>
                  <wp:docPr id="965727189" name="Graf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C563A8" w:rsidRPr="00884D55" w14:paraId="662C0E84" w14:textId="77777777" w:rsidTr="00F00320">
        <w:trPr>
          <w:trHeight w:val="132"/>
        </w:trPr>
        <w:tc>
          <w:tcPr>
            <w:tcW w:w="1814" w:type="dxa"/>
            <w:vMerge/>
            <w:tcMar>
              <w:left w:w="0" w:type="dxa"/>
            </w:tcMar>
          </w:tcPr>
          <w:p w14:paraId="37A60FAC" w14:textId="77777777" w:rsidR="00C563A8" w:rsidRPr="00884D55" w:rsidRDefault="00C563A8" w:rsidP="00C563A8">
            <w:pPr>
              <w:pStyle w:val="Marginlie"/>
              <w:rPr>
                <w:spacing w:val="-4"/>
                <w:lang w:val="en-GB"/>
              </w:rPr>
            </w:pPr>
          </w:p>
        </w:tc>
        <w:tc>
          <w:tcPr>
            <w:tcW w:w="201" w:type="dxa"/>
            <w:vMerge/>
            <w:tcMar>
              <w:left w:w="0" w:type="dxa"/>
            </w:tcMar>
          </w:tcPr>
          <w:p w14:paraId="78B400BD" w14:textId="77777777" w:rsidR="00C563A8" w:rsidRPr="00884D55" w:rsidRDefault="00C563A8" w:rsidP="00C563A8">
            <w:pPr>
              <w:pStyle w:val="Textpoznpodarou"/>
              <w:jc w:val="both"/>
              <w:rPr>
                <w:spacing w:val="-4"/>
                <w:lang w:val="en-GB"/>
              </w:rPr>
            </w:pPr>
          </w:p>
        </w:tc>
        <w:tc>
          <w:tcPr>
            <w:tcW w:w="7770" w:type="dxa"/>
            <w:shd w:val="clear" w:color="auto" w:fill="auto"/>
            <w:tcMar>
              <w:left w:w="0" w:type="dxa"/>
            </w:tcMar>
          </w:tcPr>
          <w:p w14:paraId="2C8D48E6" w14:textId="367D16BD" w:rsidR="00C563A8" w:rsidRPr="00884D55" w:rsidRDefault="00C563A8" w:rsidP="00C563A8">
            <w:pPr>
              <w:spacing w:after="0" w:line="240" w:lineRule="auto"/>
              <w:rPr>
                <w:rFonts w:cs="Arial"/>
                <w:color w:val="0D0D0D" w:themeColor="text1" w:themeTint="F2"/>
                <w:sz w:val="14"/>
                <w:szCs w:val="14"/>
                <w:lang w:val="en-GB"/>
              </w:rPr>
            </w:pPr>
            <w:r w:rsidRPr="00884D55">
              <w:rPr>
                <w:rFonts w:cs="Arial"/>
                <w:color w:val="0D0D0D" w:themeColor="text1" w:themeTint="F2"/>
                <w:sz w:val="14"/>
                <w:szCs w:val="14"/>
                <w:lang w:val="en-GB"/>
              </w:rPr>
              <w:t>Note: Figures regarding the unemployment rate are seasonally adjusted. JV=job vacancies (balance at the end of quarter</w:t>
            </w:r>
            <w:r w:rsidR="006145FA">
              <w:rPr>
                <w:rFonts w:cs="Arial"/>
                <w:color w:val="0D0D0D" w:themeColor="text1" w:themeTint="F2"/>
                <w:sz w:val="14"/>
                <w:szCs w:val="14"/>
                <w:lang w:val="en-GB"/>
              </w:rPr>
              <w:t xml:space="preserve">. </w:t>
            </w:r>
            <w:r w:rsidR="006145FA" w:rsidRPr="00EF089C">
              <w:rPr>
                <w:rFonts w:cs="Arial"/>
                <w:color w:val="0D0D0D" w:themeColor="text1" w:themeTint="F2"/>
                <w:sz w:val="14"/>
                <w:szCs w:val="14"/>
                <w:lang w:val="en-GB"/>
              </w:rPr>
              <w:t>Vacancies for higher qualifications</w:t>
            </w:r>
            <w:r w:rsidR="006145FA">
              <w:rPr>
                <w:rFonts w:cs="Arial"/>
                <w:color w:val="0D0D0D" w:themeColor="text1" w:themeTint="F2"/>
                <w:sz w:val="14"/>
                <w:szCs w:val="14"/>
                <w:lang w:val="en-GB"/>
              </w:rPr>
              <w:t xml:space="preserve"> include positions requiring at least secondary education</w:t>
            </w:r>
            <w:r w:rsidR="006145FA" w:rsidRPr="00EF089C">
              <w:rPr>
                <w:rFonts w:cs="Arial"/>
                <w:color w:val="0D0D0D" w:themeColor="text1" w:themeTint="F2"/>
                <w:sz w:val="14"/>
                <w:szCs w:val="14"/>
                <w:lang w:val="en-GB"/>
              </w:rPr>
              <w:t xml:space="preserve"> with A-level</w:t>
            </w:r>
            <w:r w:rsidR="006145FA">
              <w:rPr>
                <w:rFonts w:cs="Arial"/>
                <w:color w:val="0D0D0D" w:themeColor="text1" w:themeTint="F2"/>
                <w:sz w:val="14"/>
                <w:szCs w:val="14"/>
                <w:lang w:val="en-GB"/>
              </w:rPr>
              <w:t xml:space="preserve"> or h</w:t>
            </w:r>
            <w:r w:rsidR="006145FA" w:rsidRPr="00EF089C">
              <w:rPr>
                <w:rFonts w:cs="Arial"/>
                <w:color w:val="0D0D0D" w:themeColor="text1" w:themeTint="F2"/>
                <w:sz w:val="14"/>
                <w:szCs w:val="14"/>
                <w:lang w:val="en-GB"/>
              </w:rPr>
              <w:t>igher education</w:t>
            </w:r>
            <w:r w:rsidR="006145FA">
              <w:rPr>
                <w:rFonts w:cs="Arial"/>
                <w:color w:val="0D0D0D" w:themeColor="text1" w:themeTint="F2"/>
                <w:sz w:val="14"/>
                <w:szCs w:val="14"/>
                <w:lang w:val="en-GB"/>
              </w:rPr>
              <w:t>.</w:t>
            </w:r>
            <w:r w:rsidRPr="00884D55">
              <w:rPr>
                <w:rFonts w:cs="Arial"/>
                <w:color w:val="0D0D0D" w:themeColor="text1" w:themeTint="F2"/>
                <w:sz w:val="14"/>
                <w:szCs w:val="14"/>
                <w:lang w:val="en-GB"/>
              </w:rPr>
              <w:t>)</w:t>
            </w:r>
          </w:p>
          <w:p w14:paraId="43326B4F" w14:textId="28AE113E" w:rsidR="00C563A8" w:rsidRPr="00884D55" w:rsidRDefault="00C563A8" w:rsidP="00C563A8">
            <w:pPr>
              <w:spacing w:after="0" w:line="240" w:lineRule="auto"/>
              <w:rPr>
                <w:rFonts w:cs="Arial"/>
                <w:color w:val="0D0D0D" w:themeColor="text1" w:themeTint="F2"/>
                <w:spacing w:val="-2"/>
                <w:sz w:val="14"/>
                <w:szCs w:val="14"/>
                <w:lang w:val="en-GB"/>
              </w:rPr>
            </w:pPr>
            <w:r w:rsidRPr="00884D55">
              <w:rPr>
                <w:rFonts w:cs="Arial"/>
                <w:color w:val="0D0D0D" w:themeColor="text1" w:themeTint="F2"/>
                <w:spacing w:val="-2"/>
                <w:sz w:val="14"/>
                <w:szCs w:val="14"/>
                <w:lang w:val="en-GB"/>
              </w:rPr>
              <w:t xml:space="preserve">*Seasonally adjusted balance of expectations of unemployment in the next 12 months (difference between percentage frequency of answers of households “growth” and “decrease” expressed in percentage points). Data relates to the </w:t>
            </w:r>
            <w:r w:rsidR="00845373">
              <w:rPr>
                <w:rFonts w:cs="Arial"/>
                <w:color w:val="0D0D0D" w:themeColor="text1" w:themeTint="F2"/>
                <w:spacing w:val="-2"/>
                <w:sz w:val="14"/>
                <w:szCs w:val="14"/>
                <w:lang w:val="en-GB"/>
              </w:rPr>
              <w:t xml:space="preserve">second </w:t>
            </w:r>
            <w:r w:rsidRPr="00884D55">
              <w:rPr>
                <w:rFonts w:cs="Arial"/>
                <w:color w:val="0D0D0D" w:themeColor="text1" w:themeTint="F2"/>
                <w:spacing w:val="-2"/>
                <w:sz w:val="14"/>
                <w:szCs w:val="14"/>
                <w:lang w:val="en-GB"/>
              </w:rPr>
              <w:t xml:space="preserve">month of the given quarter. </w:t>
            </w:r>
          </w:p>
          <w:p w14:paraId="004B81AE" w14:textId="77777777" w:rsidR="00C563A8" w:rsidRPr="00884D55" w:rsidRDefault="00C563A8" w:rsidP="00C563A8">
            <w:pPr>
              <w:spacing w:after="0" w:line="240" w:lineRule="auto"/>
              <w:rPr>
                <w:rFonts w:cs="Arial"/>
                <w:color w:val="0D0D0D" w:themeColor="text1" w:themeTint="F2"/>
                <w:spacing w:val="-2"/>
                <w:sz w:val="14"/>
                <w:szCs w:val="14"/>
                <w:lang w:val="en-GB"/>
              </w:rPr>
            </w:pPr>
            <w:r w:rsidRPr="00884D55">
              <w:rPr>
                <w:rFonts w:cs="Arial"/>
                <w:color w:val="0D0D0D" w:themeColor="text1" w:themeTint="F2"/>
                <w:spacing w:val="-2"/>
                <w:sz w:val="14"/>
                <w:szCs w:val="14"/>
                <w:lang w:val="en-GB"/>
              </w:rPr>
              <w:t>**</w:t>
            </w:r>
            <w:r w:rsidRPr="00884D55">
              <w:rPr>
                <w:rFonts w:ascii="Segoe UI" w:hAnsi="Segoe UI" w:cs="Segoe UI"/>
                <w:color w:val="000000"/>
                <w:sz w:val="21"/>
                <w:szCs w:val="21"/>
                <w:lang w:val="en-GB"/>
              </w:rPr>
              <w:t xml:space="preserve"> </w:t>
            </w:r>
            <w:r w:rsidRPr="00884D55">
              <w:rPr>
                <w:rFonts w:cs="Arial"/>
                <w:color w:val="0D0D0D" w:themeColor="text1" w:themeTint="F2"/>
                <w:spacing w:val="-2"/>
                <w:sz w:val="14"/>
                <w:szCs w:val="14"/>
                <w:lang w:val="en-GB"/>
              </w:rPr>
              <w:t>Number of foreigners in the status of employees registered at labour offices in the Czech Republic at the end of the relevant quarter.</w:t>
            </w:r>
          </w:p>
          <w:p w14:paraId="5A03FDCA" w14:textId="5DD06CFA" w:rsidR="00F00320" w:rsidRPr="00313B2D" w:rsidRDefault="00C563A8" w:rsidP="00313B2D">
            <w:pPr>
              <w:spacing w:line="240" w:lineRule="auto"/>
              <w:rPr>
                <w:rFonts w:cs="Arial"/>
                <w:color w:val="0D0D0D" w:themeColor="text1" w:themeTint="F2"/>
                <w:spacing w:val="-2"/>
                <w:sz w:val="14"/>
                <w:szCs w:val="14"/>
                <w:lang w:val="en-GB"/>
              </w:rPr>
            </w:pPr>
            <w:r w:rsidRPr="00884D55">
              <w:rPr>
                <w:rFonts w:cs="Arial"/>
                <w:color w:val="0D0D0D" w:themeColor="text1" w:themeTint="F2"/>
                <w:spacing w:val="-2"/>
                <w:sz w:val="14"/>
                <w:szCs w:val="14"/>
                <w:lang w:val="en-GB"/>
              </w:rPr>
              <w:t>Source: CZSO (LFSS, business cycle survey), MLSA (job vacancies registered at labour offices in the CR)</w:t>
            </w:r>
          </w:p>
        </w:tc>
      </w:tr>
      <w:tr w:rsidR="00313B2D" w:rsidRPr="00884D55" w14:paraId="69595B4B" w14:textId="77777777" w:rsidTr="00F00320">
        <w:trPr>
          <w:trHeight w:val="132"/>
        </w:trPr>
        <w:tc>
          <w:tcPr>
            <w:tcW w:w="1814" w:type="dxa"/>
            <w:shd w:val="clear" w:color="auto" w:fill="auto"/>
            <w:tcMar>
              <w:left w:w="0" w:type="dxa"/>
            </w:tcMar>
          </w:tcPr>
          <w:p w14:paraId="6362B20E" w14:textId="77777777" w:rsidR="00313B2D" w:rsidRPr="00884D55" w:rsidRDefault="00313B2D" w:rsidP="00313B2D">
            <w:pPr>
              <w:pStyle w:val="Marginlie"/>
              <w:rPr>
                <w:color w:val="0D0D0D" w:themeColor="text1" w:themeTint="F2"/>
                <w:spacing w:val="-5"/>
                <w:lang w:val="en-GB"/>
              </w:rPr>
            </w:pPr>
            <w:r w:rsidRPr="00884D55">
              <w:rPr>
                <w:color w:val="0D0D0D" w:themeColor="text1" w:themeTint="F2"/>
                <w:spacing w:val="-5"/>
                <w:lang w:val="en-GB"/>
              </w:rPr>
              <w:t>The general unemployment rate fluctuated slightly at a low-level last year. Development of long-term unemployment was also favourable.</w:t>
            </w:r>
          </w:p>
          <w:p w14:paraId="5C55AB29" w14:textId="77777777" w:rsidR="00313B2D" w:rsidRPr="00884D55" w:rsidRDefault="00313B2D" w:rsidP="00313B2D">
            <w:pPr>
              <w:pStyle w:val="Marginlie"/>
              <w:rPr>
                <w:color w:val="0D0D0D" w:themeColor="text1" w:themeTint="F2"/>
                <w:spacing w:val="-5"/>
                <w:lang w:val="en-GB"/>
              </w:rPr>
            </w:pPr>
          </w:p>
          <w:p w14:paraId="5D942932" w14:textId="77777777" w:rsidR="00313B2D" w:rsidRPr="00884D55" w:rsidRDefault="00313B2D" w:rsidP="00313B2D">
            <w:pPr>
              <w:pStyle w:val="Marginlie"/>
              <w:rPr>
                <w:color w:val="0D0D0D" w:themeColor="text1" w:themeTint="F2"/>
                <w:spacing w:val="-5"/>
                <w:lang w:val="en-GB"/>
              </w:rPr>
            </w:pPr>
          </w:p>
          <w:p w14:paraId="17FD532F" w14:textId="77777777" w:rsidR="00313B2D" w:rsidRPr="00884D55" w:rsidRDefault="00313B2D" w:rsidP="00313B2D">
            <w:pPr>
              <w:pStyle w:val="Marginlie"/>
              <w:rPr>
                <w:color w:val="0D0D0D" w:themeColor="text1" w:themeTint="F2"/>
                <w:spacing w:val="-5"/>
                <w:lang w:val="en-GB"/>
              </w:rPr>
            </w:pPr>
          </w:p>
          <w:p w14:paraId="6C6CFAC1" w14:textId="77777777" w:rsidR="00313B2D" w:rsidRPr="00884D55" w:rsidRDefault="00313B2D" w:rsidP="00313B2D">
            <w:pPr>
              <w:pStyle w:val="Marginlie"/>
              <w:rPr>
                <w:color w:val="0D0D0D" w:themeColor="text1" w:themeTint="F2"/>
                <w:spacing w:val="-5"/>
                <w:lang w:val="en-GB"/>
              </w:rPr>
            </w:pPr>
          </w:p>
          <w:p w14:paraId="1D881192" w14:textId="2BDC9F4C" w:rsidR="00313B2D" w:rsidRPr="00884D55" w:rsidRDefault="00313B2D" w:rsidP="00313B2D">
            <w:pPr>
              <w:pStyle w:val="Marginlie"/>
              <w:rPr>
                <w:color w:val="0D0D0D" w:themeColor="text1" w:themeTint="F2"/>
                <w:lang w:val="en-GB"/>
              </w:rPr>
            </w:pPr>
            <w:r w:rsidRPr="00884D55">
              <w:rPr>
                <w:color w:val="0D0D0D" w:themeColor="text1" w:themeTint="F2"/>
                <w:spacing w:val="-5"/>
                <w:lang w:val="en-GB"/>
              </w:rPr>
              <w:t xml:space="preserve">The size of the potential labour reserve remained low. </w:t>
            </w:r>
          </w:p>
        </w:tc>
        <w:tc>
          <w:tcPr>
            <w:tcW w:w="201" w:type="dxa"/>
            <w:shd w:val="clear" w:color="auto" w:fill="auto"/>
            <w:tcMar>
              <w:left w:w="0" w:type="dxa"/>
            </w:tcMar>
          </w:tcPr>
          <w:p w14:paraId="0816E290" w14:textId="77777777" w:rsidR="00313B2D" w:rsidRPr="00884D55" w:rsidRDefault="00313B2D" w:rsidP="00313B2D">
            <w:pPr>
              <w:pStyle w:val="Textpoznpodarou"/>
              <w:jc w:val="both"/>
              <w:rPr>
                <w:color w:val="0D0D0D" w:themeColor="text1" w:themeTint="F2"/>
                <w:spacing w:val="-4"/>
                <w:lang w:val="en-GB"/>
              </w:rPr>
            </w:pPr>
          </w:p>
        </w:tc>
        <w:tc>
          <w:tcPr>
            <w:tcW w:w="7770" w:type="dxa"/>
            <w:shd w:val="clear" w:color="auto" w:fill="auto"/>
            <w:tcMar>
              <w:left w:w="0" w:type="dxa"/>
            </w:tcMar>
          </w:tcPr>
          <w:p w14:paraId="70FE5D97" w14:textId="49D7F0B7" w:rsidR="00313B2D" w:rsidRPr="00884D55" w:rsidRDefault="00313B2D" w:rsidP="00313B2D">
            <w:pPr>
              <w:spacing w:after="200"/>
              <w:rPr>
                <w:rFonts w:eastAsia="MS Gothic" w:cs="Arial"/>
                <w:color w:val="0D0D0D" w:themeColor="text1" w:themeTint="F2"/>
                <w:szCs w:val="20"/>
                <w:lang w:val="en-GB"/>
              </w:rPr>
            </w:pPr>
            <w:r w:rsidRPr="00884D55">
              <w:rPr>
                <w:rFonts w:eastAsia="MS Gothic" w:cs="Arial"/>
                <w:color w:val="0D0D0D" w:themeColor="text1" w:themeTint="F2"/>
                <w:szCs w:val="20"/>
                <w:lang w:val="en-GB"/>
              </w:rPr>
              <w:t>Despite the difficulties of some, especially industrial businesses, the general unemployment rate</w:t>
            </w:r>
            <w:r w:rsidRPr="00884D55">
              <w:rPr>
                <w:rStyle w:val="normaltextrun"/>
                <w:rFonts w:eastAsia="MS Gothic" w:cs="Arial"/>
                <w:color w:val="0D0D0D" w:themeColor="text1" w:themeTint="F2"/>
                <w:szCs w:val="20"/>
                <w:vertAlign w:val="superscript"/>
                <w:lang w:val="en-GB"/>
              </w:rPr>
              <w:footnoteReference w:id="99"/>
            </w:r>
            <w:r w:rsidRPr="00884D55">
              <w:rPr>
                <w:rFonts w:eastAsia="MS Gothic" w:cs="Arial"/>
                <w:color w:val="0D0D0D" w:themeColor="text1" w:themeTint="F2"/>
                <w:szCs w:val="20"/>
                <w:lang w:val="en-GB"/>
              </w:rPr>
              <w:t xml:space="preserve"> did not increase significantly during 2024, rather it can be said to fluctuate, especially for females. The developing services were able to absorb the laid-off workers from some attenuated industries to a large extent since. The labour offices, whose activity in the field of retraining (with financial support from EU funds) increased especially in the second half of the year, also assisted the anticipated higher turnover of workers on the labour market. The seasonally adjusted unemployment rate (aged 15–64 years) was 2.7% last December (2.2% for males and 3.3% for females)</w:t>
            </w:r>
            <w:r w:rsidRPr="00884D55">
              <w:rPr>
                <w:rStyle w:val="Znakapoznpodarou"/>
                <w:color w:val="0D0D0D" w:themeColor="text1" w:themeTint="F2"/>
                <w:lang w:val="en-GB"/>
              </w:rPr>
              <w:t xml:space="preserve"> </w:t>
            </w:r>
            <w:r w:rsidRPr="00884D55">
              <w:rPr>
                <w:rStyle w:val="Znakapoznpodarou"/>
                <w:color w:val="0D0D0D" w:themeColor="text1" w:themeTint="F2"/>
                <w:lang w:val="en-GB"/>
              </w:rPr>
              <w:footnoteReference w:id="100"/>
            </w:r>
            <w:r w:rsidRPr="00884D55">
              <w:rPr>
                <w:rStyle w:val="normaltextrun"/>
                <w:rFonts w:eastAsia="MS Gothic" w:cs="Arial"/>
                <w:color w:val="0D0D0D" w:themeColor="text1" w:themeTint="F2"/>
                <w:szCs w:val="20"/>
                <w:lang w:val="en-GB"/>
              </w:rPr>
              <w:t xml:space="preserve">. </w:t>
            </w:r>
            <w:r w:rsidRPr="00884D55">
              <w:rPr>
                <w:rFonts w:eastAsia="MS Gothic" w:cs="Arial"/>
                <w:color w:val="0D0D0D" w:themeColor="text1" w:themeTint="F2"/>
                <w:szCs w:val="20"/>
                <w:lang w:val="en-GB"/>
              </w:rPr>
              <w:t>The number of long-term unemployed did not increase either – they accounted for less than 30% of the total number of jobless persons in Q3 (this is below average value in the long-term as well as international context). The size of the potential labour reserve (i.e. economically inactive persons not looking for work but stating their willingness to work) was virtually stagnating, year-on-year, in Q4 (to 77 thousand persons)</w:t>
            </w:r>
            <w:r w:rsidRPr="00884D55">
              <w:rPr>
                <w:rStyle w:val="Znakapoznpodarou"/>
                <w:color w:val="0D0D0D" w:themeColor="text1" w:themeTint="F2"/>
                <w:spacing w:val="-4"/>
                <w:lang w:val="en-GB"/>
              </w:rPr>
              <w:footnoteReference w:id="101"/>
            </w:r>
            <w:r w:rsidRPr="00884D55">
              <w:rPr>
                <w:rFonts w:eastAsia="MS Gothic" w:cs="Arial"/>
                <w:color w:val="0D0D0D" w:themeColor="text1" w:themeTint="F2"/>
                <w:szCs w:val="20"/>
                <w:lang w:val="en-GB"/>
              </w:rPr>
              <w:t xml:space="preserve"> and remains low from the long-term perspective. Although this represents an appreciable issue for many employers, on the other hand, it is also a positive signal indicating that the extent of hidden unemployment (in the form of an "escape" into economic inactivity) is currently not significant on the domestic labour market.</w:t>
            </w:r>
          </w:p>
        </w:tc>
      </w:tr>
      <w:tr w:rsidR="00313B2D" w:rsidRPr="00884D55" w14:paraId="032E7AE9" w14:textId="77777777" w:rsidTr="00F00320">
        <w:trPr>
          <w:trHeight w:val="132"/>
        </w:trPr>
        <w:tc>
          <w:tcPr>
            <w:tcW w:w="1814" w:type="dxa"/>
            <w:shd w:val="clear" w:color="auto" w:fill="auto"/>
            <w:tcMar>
              <w:left w:w="0" w:type="dxa"/>
            </w:tcMar>
          </w:tcPr>
          <w:p w14:paraId="12A06513" w14:textId="77777777" w:rsidR="00313B2D" w:rsidRPr="00884D55" w:rsidRDefault="00313B2D" w:rsidP="00313B2D">
            <w:pPr>
              <w:pStyle w:val="Marginlie"/>
              <w:rPr>
                <w:color w:val="0D0D0D" w:themeColor="text1" w:themeTint="F2"/>
                <w:lang w:val="en-GB"/>
              </w:rPr>
            </w:pPr>
            <w:r w:rsidRPr="00884D55">
              <w:rPr>
                <w:color w:val="0D0D0D" w:themeColor="text1" w:themeTint="F2"/>
                <w:lang w:val="en-GB"/>
              </w:rPr>
              <w:t>There was a slight year-on-year increase in the number of registered job applicants.</w:t>
            </w:r>
          </w:p>
          <w:p w14:paraId="2E524EFD" w14:textId="77777777" w:rsidR="00313B2D" w:rsidRPr="00884D55" w:rsidRDefault="00313B2D" w:rsidP="00313B2D">
            <w:pPr>
              <w:pStyle w:val="Marginlie"/>
              <w:rPr>
                <w:color w:val="0D0D0D" w:themeColor="text1" w:themeTint="F2"/>
                <w:lang w:val="en-GB"/>
              </w:rPr>
            </w:pPr>
          </w:p>
          <w:p w14:paraId="26AD0585" w14:textId="77777777" w:rsidR="00313B2D" w:rsidRPr="00884D55" w:rsidRDefault="00313B2D" w:rsidP="00313B2D">
            <w:pPr>
              <w:pStyle w:val="Marginlie"/>
              <w:rPr>
                <w:color w:val="0D0D0D" w:themeColor="text1" w:themeTint="F2"/>
                <w:lang w:val="en-GB"/>
              </w:rPr>
            </w:pPr>
          </w:p>
          <w:p w14:paraId="56B98F57" w14:textId="77777777" w:rsidR="00313B2D" w:rsidRPr="00884D55" w:rsidRDefault="00313B2D" w:rsidP="00313B2D">
            <w:pPr>
              <w:pStyle w:val="Marginlie"/>
              <w:rPr>
                <w:color w:val="0D0D0D" w:themeColor="text1" w:themeTint="F2"/>
                <w:lang w:val="en-GB"/>
              </w:rPr>
            </w:pPr>
          </w:p>
          <w:p w14:paraId="27BCD626" w14:textId="77777777" w:rsidR="00313B2D" w:rsidRPr="00884D55" w:rsidRDefault="00313B2D" w:rsidP="00313B2D">
            <w:pPr>
              <w:pStyle w:val="Marginlie"/>
              <w:rPr>
                <w:color w:val="0D0D0D" w:themeColor="text1" w:themeTint="F2"/>
                <w:lang w:val="en-GB"/>
              </w:rPr>
            </w:pPr>
          </w:p>
          <w:p w14:paraId="1270259B" w14:textId="77777777" w:rsidR="00313B2D" w:rsidRPr="00884D55" w:rsidRDefault="00313B2D" w:rsidP="00313B2D">
            <w:pPr>
              <w:pStyle w:val="Marginlie"/>
              <w:rPr>
                <w:color w:val="0D0D0D" w:themeColor="text1" w:themeTint="F2"/>
                <w:spacing w:val="-5"/>
                <w:lang w:val="en-GB"/>
              </w:rPr>
            </w:pPr>
          </w:p>
          <w:p w14:paraId="4D04335A" w14:textId="735F6ED1" w:rsidR="00313B2D" w:rsidRPr="00884D55" w:rsidRDefault="00313B2D" w:rsidP="00313B2D">
            <w:pPr>
              <w:pStyle w:val="Marginlie"/>
              <w:rPr>
                <w:color w:val="0D0D0D" w:themeColor="text1" w:themeTint="F2"/>
                <w:spacing w:val="0"/>
                <w:lang w:val="en-GB"/>
              </w:rPr>
            </w:pPr>
            <w:r w:rsidRPr="00884D55">
              <w:rPr>
                <w:color w:val="0D0D0D" w:themeColor="text1" w:themeTint="F2"/>
                <w:spacing w:val="-5"/>
                <w:lang w:val="en-GB"/>
              </w:rPr>
              <w:t xml:space="preserve">People's concerns about the development of unemployment in the next 12 months have been increasing since last December.  </w:t>
            </w:r>
          </w:p>
        </w:tc>
        <w:tc>
          <w:tcPr>
            <w:tcW w:w="201" w:type="dxa"/>
            <w:shd w:val="clear" w:color="auto" w:fill="auto"/>
            <w:tcMar>
              <w:left w:w="0" w:type="dxa"/>
            </w:tcMar>
          </w:tcPr>
          <w:p w14:paraId="3532D4FE" w14:textId="77777777" w:rsidR="00313B2D" w:rsidRPr="00884D55" w:rsidRDefault="00313B2D" w:rsidP="00313B2D">
            <w:pPr>
              <w:pStyle w:val="Textpoznpodarou"/>
              <w:jc w:val="both"/>
              <w:rPr>
                <w:color w:val="0D0D0D" w:themeColor="text1" w:themeTint="F2"/>
                <w:spacing w:val="-4"/>
                <w:lang w:val="en-GB"/>
              </w:rPr>
            </w:pPr>
          </w:p>
        </w:tc>
        <w:tc>
          <w:tcPr>
            <w:tcW w:w="7770" w:type="dxa"/>
            <w:shd w:val="clear" w:color="auto" w:fill="auto"/>
            <w:tcMar>
              <w:left w:w="0" w:type="dxa"/>
            </w:tcMar>
          </w:tcPr>
          <w:p w14:paraId="7A21F12E" w14:textId="2F2B3B04" w:rsidR="00313B2D" w:rsidRPr="00884D55" w:rsidRDefault="00313B2D" w:rsidP="00313B2D">
            <w:pPr>
              <w:spacing w:after="200"/>
              <w:rPr>
                <w:rFonts w:eastAsia="MS Gothic" w:cs="Arial"/>
                <w:color w:val="0D0D0D" w:themeColor="text1" w:themeTint="F2"/>
                <w:spacing w:val="-6"/>
                <w:szCs w:val="20"/>
                <w:lang w:val="en-GB"/>
              </w:rPr>
            </w:pPr>
            <w:r w:rsidRPr="00884D55">
              <w:rPr>
                <w:rFonts w:eastAsia="MS Gothic" w:cs="Arial"/>
                <w:color w:val="0D0D0D" w:themeColor="text1" w:themeTint="F2"/>
                <w:szCs w:val="20"/>
                <w:lang w:val="en-GB"/>
              </w:rPr>
              <w:t>The steady state of the domestic labour market is also validated by the Ministry of Labour and Social Affairs data. The seasonally unadjusted share of the unemployed (available job applicants to the total population of 15–64-year-olds) was 4.1% (+0.4 p.p., year-on-year), 3.8% for males and 4.4% for females, at the end of December. Higher unemployment (above 6%) was recorded in twelve municipalities (located in five different regions). The number of all registered job applicants rose slightly above 300 thousand for the first time since the peak of the pandemic (Spring 2021) and exceeded the number of jobs offered</w:t>
            </w:r>
            <w:r w:rsidRPr="00884D55">
              <w:rPr>
                <w:rStyle w:val="Znakapoznpodarou"/>
                <w:rFonts w:eastAsia="MS Gothic"/>
                <w:color w:val="0D0D0D" w:themeColor="text1" w:themeTint="F2"/>
                <w:szCs w:val="20"/>
                <w:lang w:val="en-GB"/>
              </w:rPr>
              <w:footnoteReference w:id="102"/>
            </w:r>
            <w:r w:rsidRPr="00884D55">
              <w:rPr>
                <w:rFonts w:eastAsia="MS Gothic" w:cs="Arial"/>
                <w:color w:val="0D0D0D" w:themeColor="text1" w:themeTint="F2"/>
                <w:szCs w:val="20"/>
                <w:lang w:val="en-GB"/>
              </w:rPr>
              <w:t xml:space="preserve"> for thirteen months in a row. People's fears of rising unemployment (expressed in business surveys) fell to their lowest level since the onset of the pandemic last Spring. Subsequently, they fluctuated slightly but increased noticeably at the beginning of 2025 (moderately above the long-term average). The current growth of concerns may be related to the situation in industry, ongoing public discussions on fiscal consolidation, but also the tense geopolitical situation. </w:t>
            </w:r>
          </w:p>
        </w:tc>
      </w:tr>
      <w:tr w:rsidR="00313B2D" w:rsidRPr="00884D55" w14:paraId="65BC1498" w14:textId="77777777" w:rsidTr="00F00320">
        <w:trPr>
          <w:trHeight w:val="132"/>
        </w:trPr>
        <w:tc>
          <w:tcPr>
            <w:tcW w:w="1814" w:type="dxa"/>
            <w:shd w:val="clear" w:color="auto" w:fill="auto"/>
            <w:tcMar>
              <w:left w:w="0" w:type="dxa"/>
            </w:tcMar>
          </w:tcPr>
          <w:p w14:paraId="4335C4FB" w14:textId="31546EE7" w:rsidR="00313B2D" w:rsidRPr="00884D55" w:rsidRDefault="00313B2D" w:rsidP="00313B2D">
            <w:pPr>
              <w:pStyle w:val="Marginlie"/>
              <w:rPr>
                <w:color w:val="0D0D0D" w:themeColor="text1" w:themeTint="F2"/>
                <w:spacing w:val="0"/>
                <w:lang w:val="en-GB"/>
              </w:rPr>
            </w:pPr>
            <w:r w:rsidRPr="00884D55">
              <w:rPr>
                <w:color w:val="0D0D0D" w:themeColor="text1" w:themeTint="F2"/>
                <w:spacing w:val="0"/>
                <w:lang w:val="en-GB"/>
              </w:rPr>
              <w:t>The year-on-year growth of average wages fluctuated slightly since the beginning of last year, reaching 7.2% in Q4</w:t>
            </w:r>
            <w:r w:rsidR="0038369B">
              <w:rPr>
                <w:color w:val="0D0D0D" w:themeColor="text1" w:themeTint="F2"/>
                <w:spacing w:val="0"/>
                <w:lang w:val="en-GB"/>
              </w:rPr>
              <w:t xml:space="preserve"> 2024</w:t>
            </w:r>
            <w:r w:rsidRPr="00884D55">
              <w:rPr>
                <w:color w:val="0D0D0D" w:themeColor="text1" w:themeTint="F2"/>
                <w:spacing w:val="0"/>
                <w:lang w:val="en-GB"/>
              </w:rPr>
              <w:t>.</w:t>
            </w:r>
          </w:p>
          <w:p w14:paraId="00D2A1A9" w14:textId="77777777" w:rsidR="00313B2D" w:rsidRPr="00884D55" w:rsidRDefault="00313B2D" w:rsidP="00313B2D">
            <w:pPr>
              <w:pStyle w:val="Marginlie"/>
              <w:rPr>
                <w:color w:val="0D0D0D" w:themeColor="text1" w:themeTint="F2"/>
                <w:spacing w:val="-5"/>
                <w:lang w:val="en-GB"/>
              </w:rPr>
            </w:pPr>
          </w:p>
          <w:p w14:paraId="2B908705" w14:textId="77777777" w:rsidR="00313B2D" w:rsidRPr="00884D55" w:rsidRDefault="00313B2D" w:rsidP="00313B2D">
            <w:pPr>
              <w:pStyle w:val="Marginlie"/>
              <w:rPr>
                <w:color w:val="0D0D0D" w:themeColor="text1" w:themeTint="F2"/>
                <w:spacing w:val="-5"/>
                <w:lang w:val="en-GB"/>
              </w:rPr>
            </w:pPr>
          </w:p>
          <w:p w14:paraId="62988E40" w14:textId="77777777" w:rsidR="00313B2D" w:rsidRPr="00884D55" w:rsidRDefault="00313B2D" w:rsidP="00313B2D">
            <w:pPr>
              <w:pStyle w:val="Marginlie"/>
              <w:rPr>
                <w:color w:val="0D0D0D" w:themeColor="text1" w:themeTint="F2"/>
                <w:spacing w:val="-5"/>
                <w:lang w:val="en-GB"/>
              </w:rPr>
            </w:pPr>
          </w:p>
          <w:p w14:paraId="119624E0" w14:textId="77777777" w:rsidR="00313B2D" w:rsidRPr="00884D55" w:rsidRDefault="00313B2D" w:rsidP="00313B2D">
            <w:pPr>
              <w:pStyle w:val="Marginlie"/>
              <w:rPr>
                <w:color w:val="0D0D0D" w:themeColor="text1" w:themeTint="F2"/>
                <w:spacing w:val="-4"/>
                <w:lang w:val="en-GB"/>
              </w:rPr>
            </w:pPr>
          </w:p>
        </w:tc>
        <w:tc>
          <w:tcPr>
            <w:tcW w:w="201" w:type="dxa"/>
            <w:shd w:val="clear" w:color="auto" w:fill="auto"/>
            <w:tcMar>
              <w:left w:w="0" w:type="dxa"/>
            </w:tcMar>
          </w:tcPr>
          <w:p w14:paraId="48116BA8" w14:textId="77777777" w:rsidR="00313B2D" w:rsidRPr="00884D55" w:rsidRDefault="00313B2D" w:rsidP="00313B2D">
            <w:pPr>
              <w:pStyle w:val="Textpoznpodarou"/>
              <w:jc w:val="both"/>
              <w:rPr>
                <w:color w:val="0D0D0D" w:themeColor="text1" w:themeTint="F2"/>
                <w:spacing w:val="-4"/>
                <w:lang w:val="en-GB"/>
              </w:rPr>
            </w:pPr>
          </w:p>
        </w:tc>
        <w:tc>
          <w:tcPr>
            <w:tcW w:w="7770" w:type="dxa"/>
            <w:shd w:val="clear" w:color="auto" w:fill="auto"/>
            <w:tcMar>
              <w:left w:w="0" w:type="dxa"/>
            </w:tcMar>
          </w:tcPr>
          <w:p w14:paraId="5F5BF468" w14:textId="77777777" w:rsidR="00313B2D" w:rsidRPr="00884D55" w:rsidRDefault="00313B2D" w:rsidP="00313B2D">
            <w:pPr>
              <w:spacing w:after="200"/>
              <w:rPr>
                <w:rFonts w:eastAsia="MS Gothic" w:cs="Arial"/>
                <w:color w:val="0D0D0D" w:themeColor="text1" w:themeTint="F2"/>
                <w:spacing w:val="-6"/>
                <w:szCs w:val="20"/>
                <w:lang w:val="en-GB"/>
              </w:rPr>
            </w:pPr>
            <w:r w:rsidRPr="00884D55">
              <w:rPr>
                <w:rFonts w:eastAsia="MS Gothic" w:cs="Arial"/>
                <w:color w:val="0D0D0D" w:themeColor="text1" w:themeTint="F2"/>
                <w:spacing w:val="-6"/>
                <w:szCs w:val="20"/>
                <w:lang w:val="en-GB"/>
              </w:rPr>
              <w:t>The average gross monthly nominal wage in the national economy reached 49,229 CZK in Q4 2024 and increased 7.2%, year-on-year. Quarter-on-quarter wage growth (seasonally adjusted) was 1.7% and fluctuated slightly over the past year. Wages increased by 7.1% (to 46,165 CZK) for the whole of last year, which was a slight slowdown compared to the pace in 2023 (8.0%). The dynamics of average wages of persons converted to full-time equivalents (FTEs) versus natural persons differed significantly throughout last year. Due to the expansion of part-time work (as a result of financial support from the state, or also tax optimisation – transfer of persons with agreements to complete a job, to perform work), wages per individual increased by only 6.7%, year-on-year, in Q4. The registered number of employees (FTE) increased by 0.1%, but by natural persons by 0.6%. These differences were the most evident in some services (real estate activities, employment placement agencies, transportation and storage, health and social work) and agriculture and forestry branches.</w:t>
            </w:r>
          </w:p>
        </w:tc>
      </w:tr>
      <w:tr w:rsidR="00313B2D" w:rsidRPr="00884D55" w14:paraId="5C55FC0B" w14:textId="77777777" w:rsidTr="00F00320">
        <w:trPr>
          <w:trHeight w:val="132"/>
        </w:trPr>
        <w:tc>
          <w:tcPr>
            <w:tcW w:w="1814" w:type="dxa"/>
            <w:shd w:val="clear" w:color="auto" w:fill="auto"/>
            <w:tcMar>
              <w:left w:w="0" w:type="dxa"/>
            </w:tcMar>
          </w:tcPr>
          <w:p w14:paraId="7B6EEAC0" w14:textId="77777777" w:rsidR="00313B2D" w:rsidRPr="00884D55" w:rsidRDefault="00313B2D" w:rsidP="00313B2D">
            <w:pPr>
              <w:pStyle w:val="Marginlie"/>
              <w:rPr>
                <w:color w:val="0D0D0D" w:themeColor="text1" w:themeTint="F2"/>
                <w:spacing w:val="-5"/>
                <w:lang w:val="en-GB"/>
              </w:rPr>
            </w:pPr>
            <w:r w:rsidRPr="00884D55">
              <w:rPr>
                <w:color w:val="0D0D0D" w:themeColor="text1" w:themeTint="F2"/>
                <w:spacing w:val="0"/>
                <w:lang w:val="en-GB"/>
              </w:rPr>
              <w:t>There are significant factors fostering higher wage growth, but also those with the opposite impact.</w:t>
            </w:r>
          </w:p>
        </w:tc>
        <w:tc>
          <w:tcPr>
            <w:tcW w:w="201" w:type="dxa"/>
            <w:shd w:val="clear" w:color="auto" w:fill="auto"/>
            <w:tcMar>
              <w:left w:w="0" w:type="dxa"/>
            </w:tcMar>
          </w:tcPr>
          <w:p w14:paraId="6930B84A" w14:textId="77777777" w:rsidR="00313B2D" w:rsidRPr="00884D55" w:rsidRDefault="00313B2D" w:rsidP="00313B2D">
            <w:pPr>
              <w:pStyle w:val="Textpoznpodarou"/>
              <w:jc w:val="both"/>
              <w:rPr>
                <w:color w:val="0D0D0D" w:themeColor="text1" w:themeTint="F2"/>
                <w:spacing w:val="-4"/>
                <w:lang w:val="en-GB"/>
              </w:rPr>
            </w:pPr>
          </w:p>
        </w:tc>
        <w:tc>
          <w:tcPr>
            <w:tcW w:w="7770" w:type="dxa"/>
            <w:shd w:val="clear" w:color="auto" w:fill="auto"/>
            <w:tcMar>
              <w:left w:w="0" w:type="dxa"/>
            </w:tcMar>
          </w:tcPr>
          <w:p w14:paraId="0D1AE87F" w14:textId="77777777" w:rsidR="00313B2D" w:rsidRPr="00884D55" w:rsidRDefault="00313B2D" w:rsidP="00313B2D">
            <w:pPr>
              <w:spacing w:after="200"/>
              <w:rPr>
                <w:color w:val="0D0D0D" w:themeColor="text1" w:themeTint="F2"/>
                <w:spacing w:val="-6"/>
                <w:lang w:val="en-GB"/>
              </w:rPr>
            </w:pPr>
            <w:r w:rsidRPr="00884D55">
              <w:rPr>
                <w:spacing w:val="-6"/>
                <w:lang w:val="en-GB"/>
              </w:rPr>
              <w:t>Wage growth in the economy was dampened by the growing need for savings in the budgetary sphere as well as the growing number of foreign workers from "third countries". They frequently work in low-skilled positions</w:t>
            </w:r>
            <w:r w:rsidRPr="00884D55">
              <w:rPr>
                <w:spacing w:val="-6"/>
                <w:vertAlign w:val="superscript"/>
                <w:lang w:val="en-GB"/>
              </w:rPr>
              <w:footnoteReference w:id="103"/>
            </w:r>
            <w:r w:rsidRPr="00884D55">
              <w:rPr>
                <w:spacing w:val="-6"/>
                <w:lang w:val="en-GB"/>
              </w:rPr>
              <w:t xml:space="preserve"> and thus their earnings usually do not reach the level of Czech citizens. By contrast, nominal wage growth was still fostered by relatively high demand of businesses for labour in a number of sectors (especially in services) or the increased pressure from employees, also stemming from tight family budgets caused by ongoing high growth of prices of some consumer basket items as well as other expenditure (mortgage payments). The persisting high corporate profit rate also enabled a more dynamic wage growth in a number of branches. The accelerated raise of the minimum wage</w:t>
            </w:r>
            <w:r w:rsidRPr="00884D55">
              <w:rPr>
                <w:spacing w:val="-6"/>
                <w:vertAlign w:val="superscript"/>
                <w:lang w:val="en-GB"/>
              </w:rPr>
              <w:footnoteReference w:id="104"/>
            </w:r>
            <w:r w:rsidRPr="00884D55">
              <w:rPr>
                <w:spacing w:val="-6"/>
                <w:lang w:val="en-GB"/>
              </w:rPr>
              <w:t xml:space="preserve"> may have had a partial effect in some branches. </w:t>
            </w:r>
          </w:p>
        </w:tc>
      </w:tr>
      <w:tr w:rsidR="00313B2D" w:rsidRPr="00884D55" w14:paraId="7AAC749A" w14:textId="77777777" w:rsidTr="00F00320">
        <w:trPr>
          <w:trHeight w:val="132"/>
        </w:trPr>
        <w:tc>
          <w:tcPr>
            <w:tcW w:w="1814" w:type="dxa"/>
            <w:shd w:val="clear" w:color="auto" w:fill="auto"/>
            <w:tcMar>
              <w:left w:w="0" w:type="dxa"/>
            </w:tcMar>
          </w:tcPr>
          <w:p w14:paraId="69B31CC4" w14:textId="77777777" w:rsidR="00313B2D" w:rsidRPr="00884D55" w:rsidRDefault="00313B2D" w:rsidP="00313B2D">
            <w:pPr>
              <w:pStyle w:val="Marginlie"/>
              <w:rPr>
                <w:color w:val="0D0D0D" w:themeColor="text1" w:themeTint="F2"/>
                <w:spacing w:val="0"/>
                <w:lang w:val="en-GB"/>
              </w:rPr>
            </w:pPr>
            <w:r w:rsidRPr="00884D55">
              <w:rPr>
                <w:color w:val="0D0D0D" w:themeColor="text1" w:themeTint="F2"/>
                <w:spacing w:val="0"/>
                <w:lang w:val="en-GB"/>
              </w:rPr>
              <w:t xml:space="preserve">The expected year-on-year growth of real wage resumed at the beginning of last year. In a year-round perspective, it permeated all branches. </w:t>
            </w:r>
          </w:p>
        </w:tc>
        <w:tc>
          <w:tcPr>
            <w:tcW w:w="201" w:type="dxa"/>
            <w:shd w:val="clear" w:color="auto" w:fill="auto"/>
            <w:tcMar>
              <w:left w:w="0" w:type="dxa"/>
            </w:tcMar>
          </w:tcPr>
          <w:p w14:paraId="17638530" w14:textId="77777777" w:rsidR="00313B2D" w:rsidRPr="00884D55" w:rsidRDefault="00313B2D" w:rsidP="00313B2D">
            <w:pPr>
              <w:pStyle w:val="Textpoznpodarou"/>
              <w:jc w:val="both"/>
              <w:rPr>
                <w:color w:val="0D0D0D" w:themeColor="text1" w:themeTint="F2"/>
                <w:spacing w:val="-4"/>
                <w:lang w:val="en-GB"/>
              </w:rPr>
            </w:pPr>
          </w:p>
        </w:tc>
        <w:tc>
          <w:tcPr>
            <w:tcW w:w="7770" w:type="dxa"/>
            <w:shd w:val="clear" w:color="auto" w:fill="auto"/>
            <w:tcMar>
              <w:left w:w="0" w:type="dxa"/>
            </w:tcMar>
          </w:tcPr>
          <w:p w14:paraId="5FF9512F" w14:textId="77777777" w:rsidR="00313B2D" w:rsidRPr="00884D55" w:rsidRDefault="00313B2D" w:rsidP="00313B2D">
            <w:pPr>
              <w:spacing w:after="200"/>
              <w:rPr>
                <w:rStyle w:val="normaltextrun"/>
                <w:rFonts w:eastAsia="MS Gothic" w:cs="Arial"/>
                <w:spacing w:val="-6"/>
                <w:szCs w:val="20"/>
                <w:lang w:val="en-GB"/>
              </w:rPr>
            </w:pPr>
            <w:r w:rsidRPr="00884D55">
              <w:rPr>
                <w:rFonts w:eastAsia="MS Gothic" w:cs="Arial"/>
                <w:spacing w:val="-6"/>
                <w:szCs w:val="20"/>
                <w:lang w:val="en-GB"/>
              </w:rPr>
              <w:t xml:space="preserve">Thanks to the calming of the price level in the economy, the expected growth of real wage continued. It was 4.2%, year-on-year, in Q4. It was then 4.6% for the whole last year, the purchasing power of wages grew more rapidly over the last two decades only in the expansion era in years 2018 and 2019. In the full-year perspective, there was growth in all major branches last year. The increase of real wages in the economy is gradually leading to the elimination of the significant plunge of the purchasing power of employees in 2022 and 2023 (however, the average wage was still only at the level from the end of 2018 in real terms at the end of last year). Growth of the purchasing power of wages was dampened by a slight increase of the tax burden on labour last year (e.g. the reintroduction of employee contributions to sickness insurance) approved as part of the government's consolidation package. </w:t>
            </w:r>
            <w:r w:rsidRPr="00884D55">
              <w:rPr>
                <w:rStyle w:val="normaltextrun"/>
                <w:rFonts w:eastAsia="MS Gothic" w:cs="Arial"/>
                <w:spacing w:val="-6"/>
                <w:szCs w:val="20"/>
                <w:lang w:val="en-GB"/>
              </w:rPr>
              <w:t xml:space="preserve">  </w:t>
            </w:r>
          </w:p>
        </w:tc>
      </w:tr>
      <w:tr w:rsidR="00313B2D" w:rsidRPr="00884D55" w14:paraId="385483D5" w14:textId="77777777" w:rsidTr="00F00320">
        <w:trPr>
          <w:trHeight w:val="132"/>
        </w:trPr>
        <w:tc>
          <w:tcPr>
            <w:tcW w:w="1814" w:type="dxa"/>
            <w:shd w:val="clear" w:color="auto" w:fill="auto"/>
            <w:tcMar>
              <w:left w:w="0" w:type="dxa"/>
            </w:tcMar>
          </w:tcPr>
          <w:p w14:paraId="450233CD" w14:textId="173C8A75" w:rsidR="00313B2D" w:rsidRPr="00884D55" w:rsidRDefault="00313B2D" w:rsidP="00313B2D">
            <w:pPr>
              <w:pStyle w:val="Marginlie"/>
              <w:rPr>
                <w:color w:val="0D0D0D" w:themeColor="text1" w:themeTint="F2"/>
                <w:spacing w:val="0"/>
                <w:lang w:val="en-GB"/>
              </w:rPr>
            </w:pPr>
            <w:r w:rsidRPr="00884D55">
              <w:rPr>
                <w:color w:val="0D0D0D" w:themeColor="text1" w:themeTint="F2"/>
                <w:spacing w:val="0"/>
                <w:lang w:val="en-GB"/>
              </w:rPr>
              <w:t>Average wages increased the most in real estate area and advanced business services in Q4</w:t>
            </w:r>
            <w:r w:rsidR="0038369B">
              <w:rPr>
                <w:color w:val="0D0D0D" w:themeColor="text1" w:themeTint="F2"/>
                <w:spacing w:val="0"/>
                <w:lang w:val="en-GB"/>
              </w:rPr>
              <w:t xml:space="preserve"> 2024</w:t>
            </w:r>
            <w:r w:rsidRPr="00884D55">
              <w:rPr>
                <w:color w:val="0D0D0D" w:themeColor="text1" w:themeTint="F2"/>
                <w:spacing w:val="0"/>
                <w:lang w:val="en-GB"/>
              </w:rPr>
              <w:t>. Tourism-related branches also continued to thrive.</w:t>
            </w:r>
          </w:p>
          <w:p w14:paraId="008A230E" w14:textId="77777777" w:rsidR="00313B2D" w:rsidRPr="00884D55" w:rsidRDefault="00313B2D" w:rsidP="00313B2D">
            <w:pPr>
              <w:pStyle w:val="Marginlie"/>
              <w:rPr>
                <w:color w:val="0D0D0D" w:themeColor="text1" w:themeTint="F2"/>
                <w:spacing w:val="0"/>
                <w:lang w:val="en-GB"/>
              </w:rPr>
            </w:pPr>
          </w:p>
          <w:p w14:paraId="4E6F92EC" w14:textId="77777777" w:rsidR="00313B2D" w:rsidRPr="00884D55" w:rsidRDefault="00313B2D" w:rsidP="00313B2D">
            <w:pPr>
              <w:pStyle w:val="Marginlie"/>
              <w:rPr>
                <w:color w:val="0D0D0D" w:themeColor="text1" w:themeTint="F2"/>
                <w:spacing w:val="0"/>
                <w:lang w:val="en-GB"/>
              </w:rPr>
            </w:pPr>
          </w:p>
          <w:p w14:paraId="2964427A" w14:textId="77777777" w:rsidR="00313B2D" w:rsidRPr="00884D55" w:rsidRDefault="00313B2D" w:rsidP="00313B2D">
            <w:pPr>
              <w:pStyle w:val="Marginlie"/>
              <w:rPr>
                <w:color w:val="0D0D0D" w:themeColor="text1" w:themeTint="F2"/>
                <w:spacing w:val="0"/>
                <w:lang w:val="en-GB"/>
              </w:rPr>
            </w:pPr>
          </w:p>
          <w:p w14:paraId="0656FFFD" w14:textId="77777777" w:rsidR="00313B2D" w:rsidRPr="00884D55" w:rsidRDefault="00313B2D" w:rsidP="00313B2D">
            <w:pPr>
              <w:pStyle w:val="Marginlie"/>
              <w:rPr>
                <w:color w:val="0D0D0D" w:themeColor="text1" w:themeTint="F2"/>
                <w:spacing w:val="0"/>
                <w:lang w:val="en-GB"/>
              </w:rPr>
            </w:pPr>
          </w:p>
          <w:p w14:paraId="52A75331" w14:textId="77777777" w:rsidR="00313B2D" w:rsidRPr="00884D55" w:rsidRDefault="00313B2D" w:rsidP="00313B2D">
            <w:pPr>
              <w:pStyle w:val="Marginlie"/>
              <w:rPr>
                <w:color w:val="0D0D0D" w:themeColor="text1" w:themeTint="F2"/>
                <w:spacing w:val="0"/>
                <w:lang w:val="en-GB"/>
              </w:rPr>
            </w:pPr>
          </w:p>
          <w:p w14:paraId="782F672C" w14:textId="77777777" w:rsidR="00313B2D" w:rsidRPr="00884D55" w:rsidRDefault="00313B2D" w:rsidP="00313B2D">
            <w:pPr>
              <w:pStyle w:val="Marginlie"/>
              <w:rPr>
                <w:color w:val="0D0D0D" w:themeColor="text1" w:themeTint="F2"/>
                <w:spacing w:val="0"/>
                <w:lang w:val="en-GB"/>
              </w:rPr>
            </w:pPr>
          </w:p>
          <w:p w14:paraId="4D960429" w14:textId="77777777" w:rsidR="00313B2D" w:rsidRPr="00884D55" w:rsidRDefault="00313B2D" w:rsidP="00313B2D">
            <w:pPr>
              <w:pStyle w:val="Marginlie"/>
              <w:rPr>
                <w:color w:val="0D0D0D" w:themeColor="text1" w:themeTint="F2"/>
                <w:spacing w:val="0"/>
                <w:lang w:val="en-GB"/>
              </w:rPr>
            </w:pPr>
          </w:p>
          <w:p w14:paraId="0F2A786E" w14:textId="77777777" w:rsidR="00313B2D" w:rsidRPr="00884D55" w:rsidRDefault="00313B2D" w:rsidP="00313B2D">
            <w:pPr>
              <w:pStyle w:val="Marginlie"/>
              <w:rPr>
                <w:color w:val="0D0D0D" w:themeColor="text1" w:themeTint="F2"/>
                <w:spacing w:val="0"/>
                <w:lang w:val="en-GB"/>
              </w:rPr>
            </w:pPr>
          </w:p>
          <w:p w14:paraId="6B5ADE23" w14:textId="77777777" w:rsidR="00313B2D" w:rsidRPr="00884D55" w:rsidRDefault="00313B2D" w:rsidP="00313B2D">
            <w:pPr>
              <w:pStyle w:val="Marginlie"/>
              <w:rPr>
                <w:color w:val="0D0D0D" w:themeColor="text1" w:themeTint="F2"/>
                <w:spacing w:val="0"/>
                <w:lang w:val="en-GB"/>
              </w:rPr>
            </w:pPr>
            <w:r w:rsidRPr="00884D55">
              <w:rPr>
                <w:color w:val="0D0D0D" w:themeColor="text1" w:themeTint="F2"/>
                <w:spacing w:val="0"/>
                <w:lang w:val="en-GB"/>
              </w:rPr>
              <w:t xml:space="preserve">Wages grew relatively more slowly in the branches with the highest wage level last year. </w:t>
            </w:r>
          </w:p>
          <w:p w14:paraId="1808DE2D" w14:textId="77777777" w:rsidR="00313B2D" w:rsidRPr="00884D55" w:rsidRDefault="00313B2D" w:rsidP="00313B2D">
            <w:pPr>
              <w:pStyle w:val="Marginlie"/>
              <w:rPr>
                <w:color w:val="0D0D0D" w:themeColor="text1" w:themeTint="F2"/>
                <w:spacing w:val="0"/>
                <w:lang w:val="en-GB"/>
              </w:rPr>
            </w:pPr>
          </w:p>
        </w:tc>
        <w:tc>
          <w:tcPr>
            <w:tcW w:w="201" w:type="dxa"/>
            <w:shd w:val="clear" w:color="auto" w:fill="auto"/>
            <w:tcMar>
              <w:left w:w="0" w:type="dxa"/>
            </w:tcMar>
          </w:tcPr>
          <w:p w14:paraId="274028C2" w14:textId="77777777" w:rsidR="00313B2D" w:rsidRPr="00884D55" w:rsidRDefault="00313B2D" w:rsidP="00313B2D">
            <w:pPr>
              <w:pStyle w:val="Textpoznpodarou"/>
              <w:jc w:val="both"/>
              <w:rPr>
                <w:color w:val="0D0D0D" w:themeColor="text1" w:themeTint="F2"/>
                <w:spacing w:val="-4"/>
                <w:lang w:val="en-GB"/>
              </w:rPr>
            </w:pPr>
          </w:p>
        </w:tc>
        <w:tc>
          <w:tcPr>
            <w:tcW w:w="7770" w:type="dxa"/>
            <w:shd w:val="clear" w:color="auto" w:fill="auto"/>
            <w:tcMar>
              <w:left w:w="0" w:type="dxa"/>
            </w:tcMar>
          </w:tcPr>
          <w:p w14:paraId="63686E18" w14:textId="77777777" w:rsidR="00313B2D" w:rsidRPr="00884D55" w:rsidRDefault="00313B2D" w:rsidP="00313B2D">
            <w:pPr>
              <w:spacing w:after="200"/>
              <w:rPr>
                <w:rFonts w:eastAsia="MS Gothic" w:cs="Arial"/>
                <w:spacing w:val="-6"/>
                <w:szCs w:val="20"/>
                <w:lang w:val="en-GB"/>
              </w:rPr>
            </w:pPr>
            <w:r w:rsidRPr="00884D55">
              <w:rPr>
                <w:rFonts w:eastAsia="MS Gothic" w:cs="Arial"/>
                <w:spacing w:val="-6"/>
                <w:szCs w:val="20"/>
                <w:lang w:val="en-GB"/>
              </w:rPr>
              <w:t>The total growth of the average wage conceals traditionally very heterogeneous developments at the level of individual branches of businesses or organisations. The highest year-on-year growth was achieved by wages in the small branch of real estate activities (16.0%) in Q4 last year, which, together with the rapid growth in years 2022 and 2023, led to their current level (47.9 thousand CZK) coming significantly closer to the entire economy. Wages in professional, scientific and technical activities also grew dynamically (12.2%, by 6,836 CZK in absolute terms – the most of all branches) and, as in the previous branch, their pace accelerated last year and was accompanied by above-average employment growth as well. The continuing recovery of inbound tourism as well as the increase of the minimum wage threshold were reflected in a 10.3% increase of wages in accommodation, food service and restaurants (an above-average rate remained for the fourth year in a row). However, it still clearly represented the branch with the lowest level of wages (29.1 thousand CZK, a mere third compared to the branch – information and communication). The construction industry was also successful, with 9.9% wage growth also responding to the issue of chronic shortages, especially of skilled labour. This is also partially true for health and social work, where wages increased by 9.2%</w:t>
            </w:r>
            <w:r w:rsidRPr="00884D55">
              <w:rPr>
                <w:rStyle w:val="Znakapoznpodarou"/>
                <w:rFonts w:eastAsia="MS Gothic"/>
                <w:spacing w:val="-6"/>
                <w:szCs w:val="20"/>
                <w:lang w:val="en-GB"/>
              </w:rPr>
              <w:footnoteReference w:id="105"/>
            </w:r>
            <w:r w:rsidRPr="00884D55">
              <w:rPr>
                <w:rFonts w:eastAsia="MS Gothic" w:cs="Arial"/>
                <w:spacing w:val="-6"/>
                <w:szCs w:val="20"/>
                <w:lang w:val="en-GB"/>
              </w:rPr>
              <w:t xml:space="preserve"> and their level (54.9 thousand CZK) was the highest of all sectors with a significant role of the state in Q4. The wage growth accelerated to 8.1% amid stagnating employment in the most important branch of services – trade – in Q4. Transportation and storage had a similar both wage rate and level (45 thousand CZK) (however with a different development of the number of employees: −0.8%). Earnings grew relatively more slowly in branches with the highest wage level: financial activities (6.8%) and ICT (+7.3%) lagged behind the pace in the economy as a whole from the annual point of view. </w:t>
            </w:r>
          </w:p>
        </w:tc>
      </w:tr>
      <w:tr w:rsidR="00313B2D" w:rsidRPr="00884D55" w14:paraId="10F6DEEC" w14:textId="77777777" w:rsidTr="00F00320">
        <w:trPr>
          <w:trHeight w:val="132"/>
        </w:trPr>
        <w:tc>
          <w:tcPr>
            <w:tcW w:w="1814" w:type="dxa"/>
            <w:shd w:val="clear" w:color="auto" w:fill="auto"/>
            <w:tcMar>
              <w:left w:w="0" w:type="dxa"/>
            </w:tcMar>
          </w:tcPr>
          <w:p w14:paraId="1D52588D" w14:textId="77777777" w:rsidR="00313B2D" w:rsidRPr="00884D55" w:rsidRDefault="00313B2D" w:rsidP="00313B2D">
            <w:pPr>
              <w:pStyle w:val="Marginlie"/>
              <w:rPr>
                <w:color w:val="0D0D0D" w:themeColor="text1" w:themeTint="F2"/>
                <w:spacing w:val="0"/>
                <w:lang w:val="en-GB"/>
              </w:rPr>
            </w:pPr>
            <w:r w:rsidRPr="00884D55">
              <w:rPr>
                <w:color w:val="0D0D0D" w:themeColor="text1" w:themeTint="F2"/>
                <w:spacing w:val="0"/>
                <w:lang w:val="en-GB"/>
              </w:rPr>
              <w:t>Wage growth in the economy continued to be subdued by the need for budget savings in public services.</w:t>
            </w:r>
          </w:p>
          <w:p w14:paraId="7B1BC859" w14:textId="77777777" w:rsidR="00313B2D" w:rsidRPr="00884D55" w:rsidRDefault="00313B2D" w:rsidP="00313B2D">
            <w:pPr>
              <w:pStyle w:val="Marginlie"/>
              <w:rPr>
                <w:color w:val="0D0D0D" w:themeColor="text1" w:themeTint="F2"/>
                <w:spacing w:val="0"/>
                <w:lang w:val="en-GB"/>
              </w:rPr>
            </w:pPr>
          </w:p>
          <w:p w14:paraId="73E20832" w14:textId="77777777" w:rsidR="00313B2D" w:rsidRPr="00884D55" w:rsidRDefault="00313B2D" w:rsidP="00313B2D">
            <w:pPr>
              <w:pStyle w:val="Marginlie"/>
              <w:rPr>
                <w:color w:val="0D0D0D" w:themeColor="text1" w:themeTint="F2"/>
                <w:spacing w:val="0"/>
                <w:lang w:val="en-GB"/>
              </w:rPr>
            </w:pPr>
          </w:p>
          <w:p w14:paraId="41616EC2" w14:textId="77777777" w:rsidR="00313B2D" w:rsidRPr="00884D55" w:rsidRDefault="00313B2D" w:rsidP="00313B2D">
            <w:pPr>
              <w:pStyle w:val="Marginlie"/>
              <w:rPr>
                <w:color w:val="0D0D0D" w:themeColor="text1" w:themeTint="F2"/>
                <w:spacing w:val="0"/>
                <w:lang w:val="en-GB"/>
              </w:rPr>
            </w:pPr>
          </w:p>
          <w:p w14:paraId="51E2E769" w14:textId="77777777" w:rsidR="00313B2D" w:rsidRPr="00884D55" w:rsidRDefault="00313B2D" w:rsidP="00313B2D">
            <w:pPr>
              <w:pStyle w:val="Marginlie"/>
              <w:rPr>
                <w:color w:val="0D0D0D" w:themeColor="text1" w:themeTint="F2"/>
                <w:spacing w:val="0"/>
                <w:lang w:val="en-GB"/>
              </w:rPr>
            </w:pPr>
          </w:p>
          <w:p w14:paraId="08D4864F" w14:textId="77777777" w:rsidR="00313B2D" w:rsidRPr="00884D55" w:rsidRDefault="00313B2D" w:rsidP="00313B2D">
            <w:pPr>
              <w:pStyle w:val="Marginlie"/>
              <w:rPr>
                <w:color w:val="0D0D0D" w:themeColor="text1" w:themeTint="F2"/>
                <w:spacing w:val="-4"/>
                <w:lang w:val="en-GB"/>
              </w:rPr>
            </w:pPr>
            <w:r w:rsidRPr="00884D55">
              <w:rPr>
                <w:color w:val="0D0D0D" w:themeColor="text1" w:themeTint="F2"/>
                <w:spacing w:val="0"/>
                <w:lang w:val="en-GB"/>
              </w:rPr>
              <w:t xml:space="preserve">The sales difficulties of manufacturing were reflected in a below-average wage rate and a longer-term reduction of employment. </w:t>
            </w:r>
          </w:p>
        </w:tc>
        <w:tc>
          <w:tcPr>
            <w:tcW w:w="201" w:type="dxa"/>
            <w:shd w:val="clear" w:color="auto" w:fill="auto"/>
            <w:tcMar>
              <w:left w:w="0" w:type="dxa"/>
            </w:tcMar>
          </w:tcPr>
          <w:p w14:paraId="5C312C09" w14:textId="77777777" w:rsidR="00313B2D" w:rsidRPr="00884D55" w:rsidRDefault="00313B2D" w:rsidP="00313B2D">
            <w:pPr>
              <w:pStyle w:val="Textpoznpodarou"/>
              <w:jc w:val="both"/>
              <w:rPr>
                <w:color w:val="0D0D0D" w:themeColor="text1" w:themeTint="F2"/>
                <w:spacing w:val="-4"/>
                <w:lang w:val="en-GB"/>
              </w:rPr>
            </w:pPr>
          </w:p>
        </w:tc>
        <w:tc>
          <w:tcPr>
            <w:tcW w:w="7770" w:type="dxa"/>
            <w:shd w:val="clear" w:color="auto" w:fill="auto"/>
            <w:tcMar>
              <w:left w:w="0" w:type="dxa"/>
            </w:tcMar>
          </w:tcPr>
          <w:p w14:paraId="65733CF8" w14:textId="77777777" w:rsidR="00313B2D" w:rsidRPr="00884D55" w:rsidRDefault="00313B2D" w:rsidP="00313B2D">
            <w:pPr>
              <w:spacing w:after="200"/>
              <w:rPr>
                <w:color w:val="0D0D0D" w:themeColor="text1" w:themeTint="F2"/>
                <w:spacing w:val="-6"/>
                <w:lang w:val="en-GB"/>
              </w:rPr>
            </w:pPr>
            <w:r w:rsidRPr="00884D55">
              <w:rPr>
                <w:color w:val="0D0D0D" w:themeColor="text1" w:themeTint="F2"/>
                <w:spacing w:val="-6"/>
                <w:lang w:val="en-GB"/>
              </w:rPr>
              <w:t xml:space="preserve">The lowest wage growth continued in most branches with a significant role of the state. It was identically only 2.3%, year-on-year, in public administration, defence and social security, as well as in education in Q4 2024 and was the only major branch in which it lagged behind inflation. The current wage growth was average (7.2%) in cultural, entertainment and recreational activities, but the level of earnings (43.3 thousand CZK) lagged significantly behind the level of the economy and the government sector as a whole. Among the market branches, wages increased the least in mining and quarrying (1.2%), mainly due to a higher last year's basis (payment of higher bonuses). The same effect also occurred with wages in the energy sector (4.7%), nevertheless the absolute increase (+3,223 CZK per month) was similar to that of the economy as a whole here. Wages increased in both absolute and relative terms at below-average pace in agriculture, forestry and fishing (6.4%) and in manufacturing (7.0%). In both cases, they were accompanied by an almost 2% decrease of the number of employees. Of the larger industrial sectors, wages increased the most in manufacturing of electrical equipment (9.3%), the least in manufacturing of motor vehicles (5.3%), where the average level of earnings was still relatively high (55.2 thousand CZK). </w:t>
            </w:r>
          </w:p>
        </w:tc>
      </w:tr>
      <w:tr w:rsidR="00313B2D" w:rsidRPr="00884D55" w14:paraId="52857B9E" w14:textId="77777777" w:rsidTr="00F00320">
        <w:trPr>
          <w:trHeight w:val="132"/>
        </w:trPr>
        <w:tc>
          <w:tcPr>
            <w:tcW w:w="1814" w:type="dxa"/>
            <w:shd w:val="clear" w:color="auto" w:fill="auto"/>
            <w:tcMar>
              <w:left w:w="0" w:type="dxa"/>
            </w:tcMar>
          </w:tcPr>
          <w:p w14:paraId="69D2BBA1" w14:textId="77777777" w:rsidR="00313B2D" w:rsidRPr="00884D55" w:rsidRDefault="00313B2D" w:rsidP="00313B2D">
            <w:pPr>
              <w:pStyle w:val="Marginlie"/>
              <w:rPr>
                <w:color w:val="0D0D0D" w:themeColor="text1" w:themeTint="F2"/>
                <w:spacing w:val="-4"/>
                <w:lang w:val="en-GB"/>
              </w:rPr>
            </w:pPr>
            <w:r w:rsidRPr="00884D55">
              <w:rPr>
                <w:color w:val="0D0D0D" w:themeColor="text1" w:themeTint="F2"/>
                <w:spacing w:val="-4"/>
                <w:lang w:val="en-GB"/>
              </w:rPr>
              <w:t xml:space="preserve">Among the regions, wages increased in Q4 and in the annual view the most in the </w:t>
            </w:r>
            <w:r w:rsidRPr="00884D55">
              <w:rPr>
                <w:i/>
                <w:iCs/>
                <w:color w:val="0D0D0D" w:themeColor="text1" w:themeTint="F2"/>
                <w:spacing w:val="-4"/>
                <w:lang w:val="en-GB"/>
              </w:rPr>
              <w:t>Pardubice</w:t>
            </w:r>
            <w:r w:rsidRPr="00884D55">
              <w:rPr>
                <w:color w:val="0D0D0D" w:themeColor="text1" w:themeTint="F2"/>
                <w:spacing w:val="-4"/>
                <w:lang w:val="en-GB"/>
              </w:rPr>
              <w:t xml:space="preserve"> region, the least in the </w:t>
            </w:r>
            <w:r w:rsidRPr="00884D55">
              <w:rPr>
                <w:i/>
                <w:iCs/>
                <w:color w:val="0D0D0D" w:themeColor="text1" w:themeTint="F2"/>
                <w:spacing w:val="-4"/>
                <w:lang w:val="en-GB"/>
              </w:rPr>
              <w:t>Karlovy Vary</w:t>
            </w:r>
            <w:r w:rsidRPr="00884D55">
              <w:rPr>
                <w:color w:val="0D0D0D" w:themeColor="text1" w:themeTint="F2"/>
                <w:spacing w:val="-4"/>
                <w:lang w:val="en-GB"/>
              </w:rPr>
              <w:t xml:space="preserve"> region.</w:t>
            </w:r>
          </w:p>
        </w:tc>
        <w:tc>
          <w:tcPr>
            <w:tcW w:w="201" w:type="dxa"/>
            <w:shd w:val="clear" w:color="auto" w:fill="auto"/>
            <w:tcMar>
              <w:left w:w="0" w:type="dxa"/>
            </w:tcMar>
          </w:tcPr>
          <w:p w14:paraId="5474FCA8" w14:textId="77777777" w:rsidR="00313B2D" w:rsidRPr="00884D55" w:rsidRDefault="00313B2D" w:rsidP="00313B2D">
            <w:pPr>
              <w:pStyle w:val="Textpoznpodarou"/>
              <w:jc w:val="both"/>
              <w:rPr>
                <w:color w:val="0D0D0D" w:themeColor="text1" w:themeTint="F2"/>
                <w:spacing w:val="-4"/>
                <w:lang w:val="en-GB"/>
              </w:rPr>
            </w:pPr>
          </w:p>
        </w:tc>
        <w:tc>
          <w:tcPr>
            <w:tcW w:w="7770" w:type="dxa"/>
            <w:shd w:val="clear" w:color="auto" w:fill="auto"/>
            <w:tcMar>
              <w:left w:w="0" w:type="dxa"/>
            </w:tcMar>
          </w:tcPr>
          <w:p w14:paraId="270DABD3" w14:textId="77777777" w:rsidR="00313B2D" w:rsidRPr="00884D55" w:rsidRDefault="00313B2D" w:rsidP="00313B2D">
            <w:pPr>
              <w:spacing w:after="200"/>
              <w:rPr>
                <w:color w:val="0D0D0D" w:themeColor="text1" w:themeTint="F2"/>
                <w:spacing w:val="-6"/>
                <w:lang w:val="en-GB"/>
              </w:rPr>
            </w:pPr>
            <w:r w:rsidRPr="00884D55">
              <w:rPr>
                <w:color w:val="0D0D0D" w:themeColor="text1" w:themeTint="F2"/>
                <w:spacing w:val="-6"/>
                <w:lang w:val="en-GB"/>
              </w:rPr>
              <w:t xml:space="preserve">Wage growth among regions ranged in Q4 from 9.0% in the </w:t>
            </w:r>
            <w:r w:rsidRPr="00884D55">
              <w:rPr>
                <w:i/>
                <w:iCs/>
                <w:color w:val="0D0D0D" w:themeColor="text1" w:themeTint="F2"/>
                <w:spacing w:val="-6"/>
                <w:lang w:val="en-GB"/>
              </w:rPr>
              <w:t>Pardubice</w:t>
            </w:r>
            <w:r w:rsidRPr="00884D55">
              <w:rPr>
                <w:color w:val="0D0D0D" w:themeColor="text1" w:themeTint="F2"/>
                <w:spacing w:val="-6"/>
                <w:lang w:val="en-GB"/>
              </w:rPr>
              <w:t xml:space="preserve"> region to 5.0% in the </w:t>
            </w:r>
            <w:r w:rsidRPr="00884D55">
              <w:rPr>
                <w:i/>
                <w:iCs/>
                <w:color w:val="0D0D0D" w:themeColor="text1" w:themeTint="F2"/>
                <w:spacing w:val="-6"/>
                <w:lang w:val="en-GB"/>
              </w:rPr>
              <w:t>Karlovy Vary</w:t>
            </w:r>
            <w:r w:rsidRPr="00884D55">
              <w:rPr>
                <w:color w:val="0D0D0D" w:themeColor="text1" w:themeTint="F2"/>
                <w:spacing w:val="-6"/>
                <w:lang w:val="en-GB"/>
              </w:rPr>
              <w:t xml:space="preserve"> region, where the lowest level of average monthly wages persisted (42.3 thousand CZK, only 71% of the level in Prague). The registered number of employees in most regions declined, year-on-year, the most in the </w:t>
            </w:r>
            <w:r w:rsidRPr="00884D55">
              <w:rPr>
                <w:i/>
                <w:iCs/>
                <w:color w:val="0D0D0D" w:themeColor="text1" w:themeTint="F2"/>
                <w:spacing w:val="-6"/>
                <w:lang w:val="en-GB"/>
              </w:rPr>
              <w:t>Moravian-Silesian</w:t>
            </w:r>
            <w:r w:rsidRPr="00884D55">
              <w:rPr>
                <w:color w:val="0D0D0D" w:themeColor="text1" w:themeTint="F2"/>
                <w:spacing w:val="-6"/>
                <w:lang w:val="en-GB"/>
              </w:rPr>
              <w:t xml:space="preserve"> region (−1.3%, due to the difficulties of heavy industry), it increased only in three regions, of which more markedly only in Prague (+2.2%). </w:t>
            </w:r>
          </w:p>
        </w:tc>
      </w:tr>
      <w:tr w:rsidR="00313B2D" w:rsidRPr="00884D55" w14:paraId="1C5FB94D" w14:textId="77777777" w:rsidTr="00F00320">
        <w:trPr>
          <w:trHeight w:val="132"/>
        </w:trPr>
        <w:tc>
          <w:tcPr>
            <w:tcW w:w="1814" w:type="dxa"/>
            <w:shd w:val="clear" w:color="auto" w:fill="auto"/>
            <w:tcMar>
              <w:left w:w="0" w:type="dxa"/>
            </w:tcMar>
          </w:tcPr>
          <w:p w14:paraId="65E43E8D" w14:textId="77777777" w:rsidR="00313B2D" w:rsidRPr="00884D55" w:rsidRDefault="00313B2D" w:rsidP="00313B2D">
            <w:pPr>
              <w:pStyle w:val="Marginlie"/>
              <w:rPr>
                <w:color w:val="0D0D0D" w:themeColor="text1" w:themeTint="F2"/>
                <w:spacing w:val="-4"/>
                <w:lang w:val="en-GB"/>
              </w:rPr>
            </w:pPr>
            <w:r w:rsidRPr="00884D55">
              <w:rPr>
                <w:color w:val="0D0D0D" w:themeColor="text1" w:themeTint="F2"/>
                <w:spacing w:val="-4"/>
                <w:lang w:val="en-GB"/>
              </w:rPr>
              <w:t xml:space="preserve">The median wage grew more slowly than the average wage throughout last year. Lower dynamics of median earnings were particularly evident among females. </w:t>
            </w:r>
          </w:p>
        </w:tc>
        <w:tc>
          <w:tcPr>
            <w:tcW w:w="201" w:type="dxa"/>
            <w:shd w:val="clear" w:color="auto" w:fill="auto"/>
            <w:tcMar>
              <w:left w:w="0" w:type="dxa"/>
            </w:tcMar>
          </w:tcPr>
          <w:p w14:paraId="0040A57B" w14:textId="77777777" w:rsidR="00313B2D" w:rsidRPr="00884D55" w:rsidRDefault="00313B2D" w:rsidP="00313B2D">
            <w:pPr>
              <w:pStyle w:val="Textpoznpodarou"/>
              <w:jc w:val="both"/>
              <w:rPr>
                <w:color w:val="0D0D0D" w:themeColor="text1" w:themeTint="F2"/>
                <w:spacing w:val="-4"/>
                <w:lang w:val="en-GB"/>
              </w:rPr>
            </w:pPr>
          </w:p>
        </w:tc>
        <w:tc>
          <w:tcPr>
            <w:tcW w:w="7770" w:type="dxa"/>
            <w:shd w:val="clear" w:color="auto" w:fill="auto"/>
            <w:tcMar>
              <w:left w:w="0" w:type="dxa"/>
            </w:tcMar>
          </w:tcPr>
          <w:p w14:paraId="4B1915A2" w14:textId="77777777" w:rsidR="00313B2D" w:rsidRPr="00884D55" w:rsidRDefault="00313B2D" w:rsidP="00313B2D">
            <w:pPr>
              <w:spacing w:after="140"/>
              <w:rPr>
                <w:color w:val="0D0D0D" w:themeColor="text1" w:themeTint="F2"/>
                <w:spacing w:val="-6"/>
                <w:lang w:val="en-GB"/>
              </w:rPr>
            </w:pPr>
            <w:r w:rsidRPr="00884D55">
              <w:rPr>
                <w:color w:val="0D0D0D" w:themeColor="text1" w:themeTint="F2"/>
                <w:spacing w:val="-6"/>
                <w:lang w:val="en-GB"/>
              </w:rPr>
              <w:t xml:space="preserve">The median wage increased by only 4.2% in Q4 (it grew more freely than the average wage then throughout last year). Weaker growth manifested among females (who often work in public services). The total median wage was 41.7 thousand CZK (+6.3%, year-on-year) according to preliminary data for the whole of 2024. Mainly middle earnings grew more slowly, while both high earnings in the 9th decile (by 7.7%), which increased to 77.1 thousand CZK, and low wages in the 1st decile (by 7.5%), which rose to 23.7 thousand CZK, increased more rapidly. Men's wages grew faster compared to women's wages, year-on-year, in the entire band. The median wage of females increased by 6.1% last year and its level (38.7 thousand CZK) lagged behind the level of males by 13.6% last year. From the point of view of occupational groups, the average wages increased the most for specialists (+10.5%) last year, while the pace did not differ much for other groups.  </w:t>
            </w:r>
          </w:p>
        </w:tc>
      </w:tr>
      <w:tr w:rsidR="00313B2D" w:rsidRPr="00884D55" w14:paraId="57728331" w14:textId="77777777" w:rsidTr="00F00320">
        <w:trPr>
          <w:trHeight w:val="475"/>
        </w:trPr>
        <w:tc>
          <w:tcPr>
            <w:tcW w:w="1814" w:type="dxa"/>
            <w:vMerge w:val="restart"/>
            <w:shd w:val="clear" w:color="auto" w:fill="auto"/>
            <w:tcMar>
              <w:left w:w="0" w:type="dxa"/>
            </w:tcMar>
          </w:tcPr>
          <w:p w14:paraId="1F5491D8" w14:textId="77777777" w:rsidR="00313B2D" w:rsidRPr="00884D55" w:rsidRDefault="00313B2D" w:rsidP="00313B2D">
            <w:pPr>
              <w:pStyle w:val="Marginlie"/>
              <w:rPr>
                <w:spacing w:val="-4"/>
                <w:lang w:val="en-GB"/>
              </w:rPr>
            </w:pPr>
          </w:p>
        </w:tc>
        <w:tc>
          <w:tcPr>
            <w:tcW w:w="201" w:type="dxa"/>
            <w:vMerge w:val="restart"/>
            <w:shd w:val="clear" w:color="auto" w:fill="auto"/>
            <w:tcMar>
              <w:left w:w="0" w:type="dxa"/>
            </w:tcMar>
          </w:tcPr>
          <w:p w14:paraId="0A6BE144" w14:textId="77777777" w:rsidR="00313B2D" w:rsidRPr="00884D55" w:rsidRDefault="00313B2D" w:rsidP="00313B2D">
            <w:pPr>
              <w:pStyle w:val="Textpoznpodarou"/>
              <w:jc w:val="both"/>
              <w:rPr>
                <w:spacing w:val="-4"/>
                <w:lang w:val="en-GB"/>
              </w:rPr>
            </w:pPr>
          </w:p>
        </w:tc>
        <w:tc>
          <w:tcPr>
            <w:tcW w:w="7770" w:type="dxa"/>
            <w:shd w:val="clear" w:color="auto" w:fill="auto"/>
            <w:tcMar>
              <w:left w:w="0" w:type="dxa"/>
            </w:tcMar>
          </w:tcPr>
          <w:p w14:paraId="67ADA05A" w14:textId="77777777" w:rsidR="00313B2D" w:rsidRPr="00884D55" w:rsidRDefault="00313B2D" w:rsidP="00313B2D">
            <w:pPr>
              <w:spacing w:after="0"/>
              <w:rPr>
                <w:b/>
                <w:spacing w:val="-2"/>
                <w:lang w:val="en-GB"/>
              </w:rPr>
            </w:pPr>
            <w:r w:rsidRPr="00884D55">
              <w:rPr>
                <w:rFonts w:cs="Arial"/>
                <w:b/>
                <w:color w:val="0D0D0D" w:themeColor="text1" w:themeTint="F2"/>
                <w:spacing w:val="-4"/>
                <w:szCs w:val="20"/>
                <w:lang w:val="en-GB"/>
              </w:rPr>
              <w:t xml:space="preserve">Chart 15 </w:t>
            </w:r>
            <w:r w:rsidRPr="00884D55">
              <w:rPr>
                <w:b/>
                <w:spacing w:val="-2"/>
                <w:lang w:val="en-GB"/>
              </w:rPr>
              <w:t xml:space="preserve">Average nominal and real wage and labour productivity </w:t>
            </w:r>
          </w:p>
          <w:p w14:paraId="0AED94CF" w14:textId="77777777" w:rsidR="00313B2D" w:rsidRPr="00884D55" w:rsidRDefault="00313B2D" w:rsidP="00313B2D">
            <w:pPr>
              <w:spacing w:after="0"/>
              <w:rPr>
                <w:rFonts w:cs="Arial"/>
                <w:b/>
                <w:color w:val="0D0D0D" w:themeColor="text1" w:themeTint="F2"/>
                <w:spacing w:val="-4"/>
                <w:szCs w:val="20"/>
                <w:lang w:val="en-GB"/>
              </w:rPr>
            </w:pPr>
            <w:r w:rsidRPr="00884D55">
              <w:rPr>
                <w:spacing w:val="-2"/>
                <w:lang w:val="en-GB"/>
              </w:rPr>
              <w:t xml:space="preserve">(individual half-years, year-on-year change in %) </w:t>
            </w:r>
          </w:p>
        </w:tc>
      </w:tr>
      <w:tr w:rsidR="00313B2D" w:rsidRPr="00884D55" w14:paraId="79BEE409" w14:textId="77777777" w:rsidTr="00F00320">
        <w:tblPrEx>
          <w:tblCellMar>
            <w:left w:w="70" w:type="dxa"/>
            <w:right w:w="70" w:type="dxa"/>
          </w:tblCellMar>
        </w:tblPrEx>
        <w:trPr>
          <w:trHeight w:val="1935"/>
        </w:trPr>
        <w:tc>
          <w:tcPr>
            <w:tcW w:w="1814" w:type="dxa"/>
            <w:vMerge/>
          </w:tcPr>
          <w:p w14:paraId="5F1FDF44" w14:textId="77777777" w:rsidR="00313B2D" w:rsidRPr="00884D55" w:rsidRDefault="00313B2D" w:rsidP="00313B2D">
            <w:pPr>
              <w:pStyle w:val="Marginlie"/>
              <w:rPr>
                <w:spacing w:val="-4"/>
                <w:lang w:val="en-GB"/>
              </w:rPr>
            </w:pPr>
          </w:p>
        </w:tc>
        <w:tc>
          <w:tcPr>
            <w:tcW w:w="201" w:type="dxa"/>
            <w:vMerge/>
          </w:tcPr>
          <w:p w14:paraId="64C52631" w14:textId="77777777" w:rsidR="00313B2D" w:rsidRPr="00884D55" w:rsidRDefault="00313B2D" w:rsidP="00313B2D">
            <w:pPr>
              <w:pStyle w:val="Textpoznpodarou"/>
              <w:jc w:val="both"/>
              <w:rPr>
                <w:spacing w:val="-4"/>
                <w:lang w:val="en-GB"/>
              </w:rPr>
            </w:pPr>
          </w:p>
        </w:tc>
        <w:tc>
          <w:tcPr>
            <w:tcW w:w="7770" w:type="dxa"/>
            <w:shd w:val="clear" w:color="auto" w:fill="auto"/>
          </w:tcPr>
          <w:p w14:paraId="7A57149E" w14:textId="6AFC70DD" w:rsidR="00313B2D" w:rsidRPr="00884D55" w:rsidRDefault="00F00320" w:rsidP="00313B2D">
            <w:pPr>
              <w:spacing w:after="0"/>
              <w:rPr>
                <w:rFonts w:cs="Arial"/>
                <w:b/>
                <w:color w:val="0D0D0D" w:themeColor="text1" w:themeTint="F2"/>
                <w:spacing w:val="-4"/>
                <w:szCs w:val="20"/>
                <w:lang w:val="en-GB"/>
              </w:rPr>
            </w:pPr>
            <w:r>
              <w:rPr>
                <w:noProof/>
              </w:rPr>
              <w:drawing>
                <wp:inline distT="0" distB="0" distL="0" distR="0" wp14:anchorId="7182C9FD" wp14:editId="418BEAEB">
                  <wp:extent cx="4927179" cy="3475518"/>
                  <wp:effectExtent l="0" t="0" r="6985" b="0"/>
                  <wp:docPr id="832764856" name="Graf 1">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313B2D" w:rsidRPr="00884D55" w14:paraId="4D34F76D" w14:textId="77777777" w:rsidTr="00F00320">
        <w:trPr>
          <w:trHeight w:val="475"/>
        </w:trPr>
        <w:tc>
          <w:tcPr>
            <w:tcW w:w="1814" w:type="dxa"/>
            <w:vMerge/>
            <w:tcMar>
              <w:left w:w="0" w:type="dxa"/>
            </w:tcMar>
          </w:tcPr>
          <w:p w14:paraId="2B3F2A2D" w14:textId="77777777" w:rsidR="00313B2D" w:rsidRPr="00884D55" w:rsidRDefault="00313B2D" w:rsidP="00313B2D">
            <w:pPr>
              <w:pStyle w:val="Marginlie"/>
              <w:rPr>
                <w:spacing w:val="-4"/>
                <w:lang w:val="en-GB"/>
              </w:rPr>
            </w:pPr>
          </w:p>
        </w:tc>
        <w:tc>
          <w:tcPr>
            <w:tcW w:w="201" w:type="dxa"/>
            <w:vMerge/>
            <w:tcMar>
              <w:left w:w="0" w:type="dxa"/>
            </w:tcMar>
          </w:tcPr>
          <w:p w14:paraId="3141D265" w14:textId="77777777" w:rsidR="00313B2D" w:rsidRPr="00884D55" w:rsidRDefault="00313B2D" w:rsidP="00313B2D">
            <w:pPr>
              <w:pStyle w:val="Textpoznpodarou"/>
              <w:jc w:val="both"/>
              <w:rPr>
                <w:spacing w:val="-4"/>
                <w:lang w:val="en-GB"/>
              </w:rPr>
            </w:pPr>
          </w:p>
        </w:tc>
        <w:tc>
          <w:tcPr>
            <w:tcW w:w="7770" w:type="dxa"/>
            <w:shd w:val="clear" w:color="auto" w:fill="auto"/>
            <w:tcMar>
              <w:left w:w="0" w:type="dxa"/>
            </w:tcMar>
          </w:tcPr>
          <w:p w14:paraId="4531428F" w14:textId="77777777" w:rsidR="00313B2D" w:rsidRPr="00884D55" w:rsidRDefault="00313B2D" w:rsidP="00313B2D">
            <w:pPr>
              <w:spacing w:after="0" w:line="240" w:lineRule="auto"/>
              <w:rPr>
                <w:rFonts w:cs="Arial"/>
                <w:color w:val="0D0D0D" w:themeColor="text1" w:themeTint="F2"/>
                <w:spacing w:val="-4"/>
                <w:sz w:val="14"/>
                <w:szCs w:val="14"/>
                <w:lang w:val="en-GB"/>
              </w:rPr>
            </w:pPr>
            <w:r w:rsidRPr="00884D55">
              <w:rPr>
                <w:rFonts w:cs="Arial"/>
                <w:color w:val="0D0D0D" w:themeColor="text1" w:themeTint="F2"/>
                <w:spacing w:val="-4"/>
                <w:sz w:val="14"/>
                <w:szCs w:val="14"/>
                <w:lang w:val="en-GB"/>
              </w:rPr>
              <w:t>*</w:t>
            </w:r>
            <w:r w:rsidRPr="00884D55">
              <w:rPr>
                <w:rFonts w:cs="Arial"/>
                <w:spacing w:val="-3"/>
                <w:sz w:val="14"/>
                <w:szCs w:val="14"/>
                <w:lang w:val="en-GB"/>
              </w:rPr>
              <w:t>Includes branches with a significant state involvement: Public administration, defence, social security; Education; Human health and social work activities; Cultural, amusement and recreational activities.</w:t>
            </w:r>
          </w:p>
          <w:p w14:paraId="0DD347F0" w14:textId="77777777" w:rsidR="00313B2D" w:rsidRPr="00884D55" w:rsidRDefault="00313B2D" w:rsidP="00313B2D">
            <w:pPr>
              <w:spacing w:after="0" w:line="240" w:lineRule="auto"/>
              <w:rPr>
                <w:rFonts w:cs="Arial"/>
                <w:color w:val="0D0D0D" w:themeColor="text1" w:themeTint="F2"/>
                <w:spacing w:val="-4"/>
                <w:sz w:val="14"/>
                <w:szCs w:val="14"/>
                <w:lang w:val="en-GB"/>
              </w:rPr>
            </w:pPr>
            <w:r w:rsidRPr="00884D55">
              <w:rPr>
                <w:rFonts w:cs="Arial"/>
                <w:color w:val="0D0D0D" w:themeColor="text1" w:themeTint="F2"/>
                <w:spacing w:val="-4"/>
                <w:sz w:val="14"/>
                <w:szCs w:val="14"/>
                <w:lang w:val="en-GB"/>
              </w:rPr>
              <w:t>**Expresses GDP (in constant prices) related to 1 worker (in natural persons).</w:t>
            </w:r>
          </w:p>
          <w:p w14:paraId="7D7B6972" w14:textId="77777777" w:rsidR="00313B2D" w:rsidRPr="00884D55" w:rsidRDefault="00313B2D" w:rsidP="00313B2D">
            <w:pPr>
              <w:spacing w:after="0" w:line="240" w:lineRule="auto"/>
              <w:rPr>
                <w:rFonts w:cs="Arial"/>
                <w:color w:val="0D0D0D" w:themeColor="text1" w:themeTint="F2"/>
                <w:spacing w:val="-4"/>
                <w:sz w:val="14"/>
                <w:szCs w:val="14"/>
                <w:lang w:val="en-GB"/>
              </w:rPr>
            </w:pPr>
            <w:r w:rsidRPr="00884D55">
              <w:rPr>
                <w:rFonts w:cs="Arial"/>
                <w:color w:val="0D0D0D" w:themeColor="text1" w:themeTint="F2"/>
                <w:spacing w:val="-4"/>
                <w:sz w:val="14"/>
                <w:szCs w:val="14"/>
                <w:lang w:val="en-GB"/>
              </w:rPr>
              <w:t xml:space="preserve"> Source: CZSO</w:t>
            </w:r>
          </w:p>
          <w:p w14:paraId="682C0C78" w14:textId="77777777" w:rsidR="00313B2D" w:rsidRPr="00884D55" w:rsidRDefault="00313B2D" w:rsidP="00313B2D">
            <w:pPr>
              <w:spacing w:after="0"/>
              <w:rPr>
                <w:rFonts w:cs="Arial"/>
                <w:b/>
                <w:color w:val="0D0D0D" w:themeColor="text1" w:themeTint="F2"/>
                <w:spacing w:val="-4"/>
                <w:sz w:val="16"/>
                <w:szCs w:val="16"/>
                <w:lang w:val="en-GB"/>
              </w:rPr>
            </w:pPr>
          </w:p>
          <w:p w14:paraId="7CE736F9" w14:textId="77777777" w:rsidR="00313B2D" w:rsidRPr="00884D55" w:rsidRDefault="00313B2D" w:rsidP="00313B2D">
            <w:pPr>
              <w:spacing w:after="0"/>
              <w:rPr>
                <w:rFonts w:cs="Arial"/>
                <w:b/>
                <w:color w:val="0D0D0D" w:themeColor="text1" w:themeTint="F2"/>
                <w:spacing w:val="-4"/>
                <w:sz w:val="16"/>
                <w:szCs w:val="16"/>
                <w:lang w:val="en-GB"/>
              </w:rPr>
            </w:pPr>
          </w:p>
        </w:tc>
      </w:tr>
    </w:tbl>
    <w:p w14:paraId="0404EBF0" w14:textId="77777777" w:rsidR="00803507" w:rsidRPr="00884D55" w:rsidRDefault="00803507" w:rsidP="00803507">
      <w:pPr>
        <w:spacing w:after="0" w:line="240" w:lineRule="auto"/>
        <w:jc w:val="left"/>
        <w:rPr>
          <w:rFonts w:eastAsia="MS Gothic"/>
          <w:b/>
          <w:bCs/>
          <w:color w:val="86BF5E"/>
          <w:sz w:val="6"/>
          <w:szCs w:val="6"/>
          <w:lang w:val="en-GB"/>
        </w:rPr>
      </w:pPr>
      <w:r w:rsidRPr="00884D55">
        <w:rPr>
          <w:lang w:val="en-GB"/>
        </w:rPr>
        <w:br w:type="page"/>
      </w:r>
    </w:p>
    <w:p w14:paraId="4BDC19C6" w14:textId="77777777" w:rsidR="00803507" w:rsidRPr="00884D55" w:rsidRDefault="00803507" w:rsidP="00803507">
      <w:pPr>
        <w:pStyle w:val="Nadpis1"/>
        <w:rPr>
          <w:lang w:val="en-GB"/>
        </w:rPr>
      </w:pPr>
      <w:bookmarkStart w:id="88" w:name="_Toc196386143"/>
      <w:bookmarkEnd w:id="46"/>
      <w:r w:rsidRPr="00884D55">
        <w:rPr>
          <w:lang w:val="en-GB"/>
        </w:rPr>
        <w:t>7. Monetary Conditions</w:t>
      </w:r>
      <w:bookmarkEnd w:id="88"/>
    </w:p>
    <w:tbl>
      <w:tblPr>
        <w:tblW w:w="9641" w:type="dxa"/>
        <w:tblInd w:w="-15" w:type="dxa"/>
        <w:tblCellMar>
          <w:left w:w="0" w:type="dxa"/>
          <w:right w:w="0" w:type="dxa"/>
        </w:tblCellMar>
        <w:tblLook w:val="00A0" w:firstRow="1" w:lastRow="0" w:firstColumn="1" w:lastColumn="0" w:noHBand="0" w:noVBand="0"/>
      </w:tblPr>
      <w:tblGrid>
        <w:gridCol w:w="1802"/>
        <w:gridCol w:w="229"/>
        <w:gridCol w:w="7610"/>
      </w:tblGrid>
      <w:tr w:rsidR="00803507" w:rsidRPr="00884D55" w14:paraId="223078E6" w14:textId="77777777" w:rsidTr="00803507">
        <w:trPr>
          <w:trHeight w:val="145"/>
        </w:trPr>
        <w:tc>
          <w:tcPr>
            <w:tcW w:w="1802" w:type="dxa"/>
          </w:tcPr>
          <w:p w14:paraId="55D594A0" w14:textId="77777777" w:rsidR="00803507" w:rsidRPr="00884D55" w:rsidRDefault="00803507" w:rsidP="00803507">
            <w:pPr>
              <w:pStyle w:val="Marginlie"/>
              <w:rPr>
                <w:lang w:val="en-GB" w:eastAsia="en-US"/>
              </w:rPr>
            </w:pPr>
            <w:bookmarkStart w:id="89" w:name="_Hlk195362059"/>
            <w:r w:rsidRPr="00884D55">
              <w:rPr>
                <w:lang w:val="en-GB" w:eastAsia="en-US"/>
              </w:rPr>
              <w:t>The decrease of monetary policy-relevant interest rates moderated in the second half of 2024.</w:t>
            </w:r>
            <w:bookmarkEnd w:id="89"/>
          </w:p>
        </w:tc>
        <w:tc>
          <w:tcPr>
            <w:tcW w:w="229" w:type="dxa"/>
          </w:tcPr>
          <w:p w14:paraId="7DB393D7" w14:textId="77777777" w:rsidR="00803507" w:rsidRPr="00884D55" w:rsidRDefault="00803507" w:rsidP="00803507">
            <w:pPr>
              <w:pStyle w:val="Textpoznpodarou"/>
              <w:jc w:val="both"/>
              <w:rPr>
                <w:spacing w:val="-4"/>
                <w:lang w:val="en-GB" w:eastAsia="en-US"/>
              </w:rPr>
            </w:pPr>
          </w:p>
        </w:tc>
        <w:tc>
          <w:tcPr>
            <w:tcW w:w="7610" w:type="dxa"/>
          </w:tcPr>
          <w:p w14:paraId="6D3B9783" w14:textId="7C2794C8" w:rsidR="00803507" w:rsidRPr="00884D55" w:rsidRDefault="00803507" w:rsidP="00C03107">
            <w:pPr>
              <w:rPr>
                <w:spacing w:val="-2"/>
                <w:lang w:val="en-GB" w:eastAsia="en-US"/>
              </w:rPr>
            </w:pPr>
            <w:bookmarkStart w:id="90" w:name="_Hlk195362085"/>
            <w:r w:rsidRPr="00884D55">
              <w:rPr>
                <w:spacing w:val="-2"/>
                <w:lang w:val="en-GB" w:eastAsia="en-US"/>
              </w:rPr>
              <w:t>Monetary policy-relevant rates were cut once during Q4 2024. The two-week repo rate fell by 0.25 p. p. 4.00%</w:t>
            </w:r>
            <w:r w:rsidRPr="00884D55">
              <w:rPr>
                <w:rStyle w:val="Znakapoznpodarou"/>
                <w:spacing w:val="-2"/>
                <w:lang w:val="en-GB" w:eastAsia="en-US"/>
              </w:rPr>
              <w:footnoteReference w:id="106"/>
            </w:r>
            <w:r w:rsidRPr="00884D55">
              <w:rPr>
                <w:spacing w:val="-2"/>
                <w:lang w:val="en-GB" w:eastAsia="en-US"/>
              </w:rPr>
              <w:t xml:space="preserve"> in November, down by a total of 2.75 p. p. since the beginning of the year. The pace of reduction was only moderate at the end of the year compared to H1 (the rate fell by 1 p. p. in both Q1 and Q2). The discount rate was reduced to 3.00% and the Lombard rate to 5.00% in Q4. The koruna foreign exchange per euro averaged 25.25 CZK/EUR in Q4 and remained relatively stable throughout the quarter. It weakened by </w:t>
            </w:r>
            <w:r w:rsidR="00C03107">
              <w:rPr>
                <w:spacing w:val="-2"/>
                <w:lang w:val="en-GB" w:eastAsia="en-US"/>
              </w:rPr>
              <w:t>0.0</w:t>
            </w:r>
            <w:r w:rsidRPr="00884D55">
              <w:rPr>
                <w:spacing w:val="-2"/>
                <w:lang w:val="en-GB" w:eastAsia="en-US"/>
              </w:rPr>
              <w:t xml:space="preserve">5 </w:t>
            </w:r>
            <w:r w:rsidR="00C03107">
              <w:rPr>
                <w:spacing w:val="-2"/>
                <w:lang w:val="en-GB" w:eastAsia="en-US"/>
              </w:rPr>
              <w:t>CZK</w:t>
            </w:r>
            <w:r w:rsidRPr="00884D55">
              <w:rPr>
                <w:spacing w:val="-2"/>
                <w:lang w:val="en-GB" w:eastAsia="en-US"/>
              </w:rPr>
              <w:t xml:space="preserve">, quarter-on-quarter, and by </w:t>
            </w:r>
            <w:r w:rsidR="00C03107">
              <w:rPr>
                <w:spacing w:val="-2"/>
                <w:lang w:val="en-GB" w:eastAsia="en-US"/>
              </w:rPr>
              <w:t>0.</w:t>
            </w:r>
            <w:r w:rsidRPr="00884D55">
              <w:rPr>
                <w:spacing w:val="-2"/>
                <w:lang w:val="en-GB" w:eastAsia="en-US"/>
              </w:rPr>
              <w:t xml:space="preserve">73 </w:t>
            </w:r>
            <w:r w:rsidR="00C03107">
              <w:rPr>
                <w:spacing w:val="-2"/>
                <w:lang w:val="en-GB" w:eastAsia="en-US"/>
              </w:rPr>
              <w:t>CZK</w:t>
            </w:r>
            <w:r w:rsidRPr="00884D55">
              <w:rPr>
                <w:spacing w:val="-2"/>
                <w:lang w:val="en-GB" w:eastAsia="en-US"/>
              </w:rPr>
              <w:t xml:space="preserve">, year-on-year. The koruna foreign exchange per dollar weakened steadily throughout </w:t>
            </w:r>
            <w:r w:rsidR="00C03107">
              <w:rPr>
                <w:spacing w:val="-2"/>
                <w:lang w:val="en-GB" w:eastAsia="en-US"/>
              </w:rPr>
              <w:t>Q4 2024</w:t>
            </w:r>
            <w:r w:rsidRPr="00884D55">
              <w:rPr>
                <w:spacing w:val="-2"/>
                <w:lang w:val="en-GB" w:eastAsia="en-US"/>
              </w:rPr>
              <w:t xml:space="preserve"> (from the level of 22.50 CZK/USD on 30.9. to the 24.24 CZK/USD at the end of December). On average, the koruna foreign exchange per dollar was 23.64 CZK/USD in Q4 and was </w:t>
            </w:r>
            <w:r w:rsidR="00C03107">
              <w:rPr>
                <w:spacing w:val="-2"/>
                <w:lang w:val="en-GB" w:eastAsia="en-US"/>
              </w:rPr>
              <w:t>0.</w:t>
            </w:r>
            <w:r w:rsidRPr="00884D55">
              <w:rPr>
                <w:spacing w:val="-2"/>
                <w:lang w:val="en-GB" w:eastAsia="en-US"/>
              </w:rPr>
              <w:t xml:space="preserve">70 </w:t>
            </w:r>
            <w:r w:rsidR="00C03107">
              <w:rPr>
                <w:spacing w:val="-2"/>
                <w:lang w:val="en-GB" w:eastAsia="en-US"/>
              </w:rPr>
              <w:t>CZK</w:t>
            </w:r>
            <w:r w:rsidRPr="00884D55">
              <w:rPr>
                <w:spacing w:val="-2"/>
                <w:lang w:val="en-GB" w:eastAsia="en-US"/>
              </w:rPr>
              <w:t xml:space="preserve"> weaker, quarter-on-quarter and </w:t>
            </w:r>
            <w:r w:rsidR="00C03107">
              <w:rPr>
                <w:spacing w:val="-2"/>
                <w:lang w:val="en-GB" w:eastAsia="en-US"/>
              </w:rPr>
              <w:t>0.</w:t>
            </w:r>
            <w:r w:rsidRPr="00884D55">
              <w:rPr>
                <w:spacing w:val="-2"/>
                <w:lang w:val="en-GB" w:eastAsia="en-US"/>
              </w:rPr>
              <w:t xml:space="preserve">82 </w:t>
            </w:r>
            <w:r w:rsidR="00C03107">
              <w:rPr>
                <w:spacing w:val="-2"/>
                <w:lang w:val="en-GB" w:eastAsia="en-US"/>
              </w:rPr>
              <w:t>CZK</w:t>
            </w:r>
            <w:r w:rsidRPr="00884D55">
              <w:rPr>
                <w:spacing w:val="-2"/>
                <w:lang w:val="en-GB" w:eastAsia="en-US"/>
              </w:rPr>
              <w:t xml:space="preserve">, year-on-year.   </w:t>
            </w:r>
            <w:bookmarkEnd w:id="90"/>
          </w:p>
        </w:tc>
      </w:tr>
      <w:tr w:rsidR="00803507" w:rsidRPr="00884D55" w14:paraId="3DA06E72" w14:textId="77777777" w:rsidTr="00803507">
        <w:trPr>
          <w:trHeight w:val="145"/>
        </w:trPr>
        <w:tc>
          <w:tcPr>
            <w:tcW w:w="1802" w:type="dxa"/>
          </w:tcPr>
          <w:p w14:paraId="389AD038" w14:textId="77777777" w:rsidR="00803507" w:rsidRPr="00884D55" w:rsidRDefault="00803507" w:rsidP="00803507">
            <w:pPr>
              <w:pStyle w:val="Marginlie"/>
              <w:rPr>
                <w:lang w:val="en-GB" w:eastAsia="en-US"/>
              </w:rPr>
            </w:pPr>
            <w:r w:rsidRPr="00884D55">
              <w:rPr>
                <w:lang w:val="en-GB" w:eastAsia="en-US"/>
              </w:rPr>
              <w:t xml:space="preserve">Government bond yields rose in Q4. </w:t>
            </w:r>
          </w:p>
        </w:tc>
        <w:tc>
          <w:tcPr>
            <w:tcW w:w="229" w:type="dxa"/>
          </w:tcPr>
          <w:p w14:paraId="2632C4D2" w14:textId="77777777" w:rsidR="00803507" w:rsidRPr="00884D55" w:rsidRDefault="00803507" w:rsidP="00803507">
            <w:pPr>
              <w:pStyle w:val="Textpoznpodarou"/>
              <w:jc w:val="both"/>
              <w:rPr>
                <w:spacing w:val="-4"/>
                <w:lang w:val="en-GB" w:eastAsia="en-US"/>
              </w:rPr>
            </w:pPr>
          </w:p>
        </w:tc>
        <w:tc>
          <w:tcPr>
            <w:tcW w:w="7610" w:type="dxa"/>
          </w:tcPr>
          <w:p w14:paraId="04B562EA" w14:textId="77777777" w:rsidR="00803507" w:rsidRPr="00884D55" w:rsidRDefault="00803507" w:rsidP="00803507">
            <w:pPr>
              <w:rPr>
                <w:spacing w:val="-1"/>
                <w:lang w:val="en-GB" w:eastAsia="en-US"/>
              </w:rPr>
            </w:pPr>
            <w:bookmarkStart w:id="91" w:name="_Hlk195363368"/>
            <w:r w:rsidRPr="00884D55">
              <w:rPr>
                <w:spacing w:val="-1"/>
                <w:lang w:val="en-GB" w:eastAsia="en-US"/>
              </w:rPr>
              <w:t>Interbank interest rates also fell in Q4. Rates on deposits with shorter maturities decreased more (three-month PRIBOR by 0.39 p. p. to 3.91% at the end of December, six-month PRIBOR by 0.25 p. p. to 3.79%)</w:t>
            </w:r>
            <w:r w:rsidRPr="00884D55">
              <w:rPr>
                <w:rStyle w:val="Znakapoznpodarou"/>
                <w:spacing w:val="-1"/>
                <w:lang w:val="en-GB" w:eastAsia="en-US"/>
              </w:rPr>
              <w:footnoteReference w:id="107"/>
            </w:r>
            <w:r w:rsidRPr="00884D55">
              <w:rPr>
                <w:spacing w:val="-1"/>
                <w:lang w:val="en-GB" w:eastAsia="en-US"/>
              </w:rPr>
              <w:t xml:space="preserve">, while the annual PRIBOR rate was almost unchanged (−0.04 p. p. to 3.69%). Government bond yields rose. The average interest rate on bonds with a ten-year maturity increased the most (by 0.37 p. p. to 4.13% at the end of December). Yields on medium-term bonds (+0.26 p. p. to 3.73%) and short-term bonds (+0.13 p. p. to 3.63%) rose less.  </w:t>
            </w:r>
            <w:bookmarkEnd w:id="91"/>
          </w:p>
        </w:tc>
      </w:tr>
      <w:tr w:rsidR="00F619C3" w:rsidRPr="00884D55" w14:paraId="3B709EAF" w14:textId="77777777" w:rsidTr="00F619C3">
        <w:trPr>
          <w:trHeight w:val="170"/>
        </w:trPr>
        <w:tc>
          <w:tcPr>
            <w:tcW w:w="1802" w:type="dxa"/>
            <w:vMerge w:val="restart"/>
          </w:tcPr>
          <w:p w14:paraId="15D3CE8C" w14:textId="3040C2DE" w:rsidR="00F619C3" w:rsidRDefault="00F619C3" w:rsidP="00F619C3">
            <w:pPr>
              <w:pStyle w:val="Marginlie"/>
              <w:rPr>
                <w:lang w:val="en-GB" w:eastAsia="en-US"/>
              </w:rPr>
            </w:pPr>
          </w:p>
        </w:tc>
        <w:tc>
          <w:tcPr>
            <w:tcW w:w="229" w:type="dxa"/>
            <w:vMerge w:val="restart"/>
          </w:tcPr>
          <w:p w14:paraId="79A79CE9" w14:textId="77777777" w:rsidR="00F619C3" w:rsidRPr="00884D55" w:rsidRDefault="00F619C3" w:rsidP="00F619C3">
            <w:pPr>
              <w:pStyle w:val="Textpoznpodarou"/>
              <w:jc w:val="both"/>
              <w:rPr>
                <w:spacing w:val="-4"/>
                <w:lang w:val="en-GB" w:eastAsia="en-US"/>
              </w:rPr>
            </w:pPr>
          </w:p>
        </w:tc>
        <w:tc>
          <w:tcPr>
            <w:tcW w:w="7610" w:type="dxa"/>
          </w:tcPr>
          <w:p w14:paraId="2E3B7E7F" w14:textId="00E6C5D9" w:rsidR="00F619C3" w:rsidRPr="00884D55" w:rsidRDefault="00F619C3" w:rsidP="00F619C3">
            <w:pPr>
              <w:spacing w:after="0"/>
              <w:rPr>
                <w:spacing w:val="-3"/>
                <w:lang w:val="en-GB" w:eastAsia="en-US"/>
              </w:rPr>
            </w:pPr>
            <w:r w:rsidRPr="00884D55">
              <w:rPr>
                <w:rFonts w:cs="Arial"/>
                <w:b/>
                <w:bCs/>
                <w:color w:val="000000"/>
                <w:szCs w:val="20"/>
                <w:lang w:val="en-GB" w:eastAsia="en-US"/>
              </w:rPr>
              <w:t xml:space="preserve">Chart 16 Market interest rates </w:t>
            </w:r>
            <w:r w:rsidRPr="00884D55">
              <w:rPr>
                <w:bCs/>
                <w:spacing w:val="-4"/>
                <w:szCs w:val="20"/>
                <w:lang w:val="en-GB" w:eastAsia="en-US"/>
              </w:rPr>
              <w:t>(in %)</w:t>
            </w:r>
          </w:p>
        </w:tc>
      </w:tr>
      <w:tr w:rsidR="00F619C3" w:rsidRPr="00884D55" w14:paraId="520A0D50" w14:textId="77777777" w:rsidTr="00803507">
        <w:trPr>
          <w:trHeight w:val="170"/>
        </w:trPr>
        <w:tc>
          <w:tcPr>
            <w:tcW w:w="1802" w:type="dxa"/>
            <w:vMerge/>
          </w:tcPr>
          <w:p w14:paraId="56B644A6" w14:textId="77777777" w:rsidR="00F619C3" w:rsidRDefault="00F619C3" w:rsidP="00F619C3">
            <w:pPr>
              <w:pStyle w:val="Marginlie"/>
              <w:rPr>
                <w:lang w:val="en-GB" w:eastAsia="en-US"/>
              </w:rPr>
            </w:pPr>
          </w:p>
        </w:tc>
        <w:tc>
          <w:tcPr>
            <w:tcW w:w="229" w:type="dxa"/>
            <w:vMerge/>
          </w:tcPr>
          <w:p w14:paraId="29746707" w14:textId="77777777" w:rsidR="00F619C3" w:rsidRPr="00884D55" w:rsidRDefault="00F619C3" w:rsidP="00F619C3">
            <w:pPr>
              <w:pStyle w:val="Textpoznpodarou"/>
              <w:jc w:val="both"/>
              <w:rPr>
                <w:spacing w:val="-4"/>
                <w:lang w:val="en-GB" w:eastAsia="en-US"/>
              </w:rPr>
            </w:pPr>
          </w:p>
        </w:tc>
        <w:tc>
          <w:tcPr>
            <w:tcW w:w="7610" w:type="dxa"/>
          </w:tcPr>
          <w:p w14:paraId="71A13F66" w14:textId="47E65002" w:rsidR="00F619C3" w:rsidRDefault="00F619C3" w:rsidP="00F619C3">
            <w:pPr>
              <w:spacing w:after="0"/>
              <w:rPr>
                <w:spacing w:val="-3"/>
                <w:lang w:val="en-GB" w:eastAsia="en-US"/>
              </w:rPr>
            </w:pPr>
            <w:r>
              <w:rPr>
                <w:noProof/>
              </w:rPr>
              <w:drawing>
                <wp:inline distT="0" distB="0" distL="0" distR="0" wp14:anchorId="69982AF3" wp14:editId="0DB49E66">
                  <wp:extent cx="4734425" cy="3559550"/>
                  <wp:effectExtent l="0" t="0" r="0" b="3175"/>
                  <wp:docPr id="24" name="Graf 24">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F619C3" w:rsidRPr="00884D55" w14:paraId="60CE2B97" w14:textId="77777777" w:rsidTr="00803507">
        <w:trPr>
          <w:trHeight w:val="170"/>
        </w:trPr>
        <w:tc>
          <w:tcPr>
            <w:tcW w:w="1802" w:type="dxa"/>
            <w:vMerge/>
          </w:tcPr>
          <w:p w14:paraId="66AD8735" w14:textId="77777777" w:rsidR="00F619C3" w:rsidRDefault="00F619C3" w:rsidP="00F619C3">
            <w:pPr>
              <w:pStyle w:val="Marginlie"/>
              <w:rPr>
                <w:lang w:val="en-GB" w:eastAsia="en-US"/>
              </w:rPr>
            </w:pPr>
          </w:p>
        </w:tc>
        <w:tc>
          <w:tcPr>
            <w:tcW w:w="229" w:type="dxa"/>
            <w:vMerge/>
          </w:tcPr>
          <w:p w14:paraId="2A28F198" w14:textId="77777777" w:rsidR="00F619C3" w:rsidRPr="00884D55" w:rsidRDefault="00F619C3" w:rsidP="00F619C3">
            <w:pPr>
              <w:pStyle w:val="Textpoznpodarou"/>
              <w:jc w:val="both"/>
              <w:rPr>
                <w:spacing w:val="-4"/>
                <w:lang w:val="en-GB" w:eastAsia="en-US"/>
              </w:rPr>
            </w:pPr>
          </w:p>
        </w:tc>
        <w:tc>
          <w:tcPr>
            <w:tcW w:w="7610" w:type="dxa"/>
          </w:tcPr>
          <w:p w14:paraId="7FC918ED" w14:textId="17160502" w:rsidR="00F619C3" w:rsidRDefault="00F619C3" w:rsidP="00F619C3">
            <w:pPr>
              <w:rPr>
                <w:spacing w:val="-3"/>
                <w:lang w:val="en-GB" w:eastAsia="en-US"/>
              </w:rPr>
            </w:pPr>
            <w:r w:rsidRPr="00884D55">
              <w:rPr>
                <w:sz w:val="14"/>
                <w:szCs w:val="14"/>
                <w:lang w:val="en-GB" w:eastAsia="en-US"/>
              </w:rPr>
              <w:t>Source: ARAD, CNB</w:t>
            </w:r>
          </w:p>
        </w:tc>
      </w:tr>
      <w:tr w:rsidR="00F619C3" w:rsidRPr="00884D55" w14:paraId="27988788" w14:textId="77777777" w:rsidTr="00803507">
        <w:trPr>
          <w:trHeight w:val="145"/>
        </w:trPr>
        <w:tc>
          <w:tcPr>
            <w:tcW w:w="1802" w:type="dxa"/>
          </w:tcPr>
          <w:p w14:paraId="4EB9D12C" w14:textId="02F15F6F" w:rsidR="00F619C3" w:rsidRPr="00884D55" w:rsidRDefault="00F619C3" w:rsidP="00F619C3">
            <w:pPr>
              <w:pStyle w:val="Marginlie"/>
              <w:rPr>
                <w:lang w:val="en-GB" w:eastAsia="en-US"/>
              </w:rPr>
            </w:pPr>
            <w:r>
              <w:rPr>
                <w:lang w:val="en-GB" w:eastAsia="en-US"/>
              </w:rPr>
              <w:t>renu</w:t>
            </w:r>
            <w:r w:rsidRPr="00884D55">
              <w:rPr>
                <w:lang w:val="en-GB" w:eastAsia="en-US"/>
              </w:rPr>
              <w:t xml:space="preserve">In particular, non-term deposits grew. </w:t>
            </w:r>
          </w:p>
        </w:tc>
        <w:tc>
          <w:tcPr>
            <w:tcW w:w="229" w:type="dxa"/>
          </w:tcPr>
          <w:p w14:paraId="499A62F2" w14:textId="77777777" w:rsidR="00F619C3" w:rsidRPr="00884D55" w:rsidRDefault="00F619C3" w:rsidP="00F619C3">
            <w:pPr>
              <w:pStyle w:val="Textpoznpodarou"/>
              <w:jc w:val="both"/>
              <w:rPr>
                <w:spacing w:val="-4"/>
                <w:lang w:val="en-GB" w:eastAsia="en-US"/>
              </w:rPr>
            </w:pPr>
          </w:p>
        </w:tc>
        <w:tc>
          <w:tcPr>
            <w:tcW w:w="7610" w:type="dxa"/>
          </w:tcPr>
          <w:p w14:paraId="42D2AF36" w14:textId="77777777" w:rsidR="00F619C3" w:rsidRPr="00884D55" w:rsidRDefault="00F619C3" w:rsidP="00F619C3">
            <w:pPr>
              <w:rPr>
                <w:spacing w:val="-3"/>
                <w:lang w:val="en-GB" w:eastAsia="en-US"/>
              </w:rPr>
            </w:pPr>
            <w:bookmarkStart w:id="92" w:name="_Hlk195364423"/>
            <w:r w:rsidRPr="00884D55">
              <w:rPr>
                <w:spacing w:val="-3"/>
                <w:lang w:val="en-GB" w:eastAsia="en-US"/>
              </w:rPr>
              <w:t>The interest rates on household deposits also gradually decreased. Overnight deposits had an average interest rate of 1.19% (−0.12 p. p.) at the end of December. The interest rates on current accounts remained virtually unchanged and amounted to 0.15% on average at the end of December. The average interest rate on deposits with agreed maturity had fallen by 2.53 p. p. since the beginning of the year and by 0.41 p. p. in Q4 and was 3.20% at the end of the year. The remuneration of deposits for non-financial businesses also shrank – deposits with agreed maturity in total were remunerated at 3.28% on average at the end of December (−0.52 p. p.). The year-on-year development of the volume of deposits reflected changes in the interest rate. The total year-on-year increase of the volume of deposits of 520.3 bn CZK was largely due to an increase in the volume of non-term deposits (+510.6 bn). The volume of term deposits increased by 9.8 bn CZK between the end of 2024 and 2023. Households</w:t>
            </w:r>
            <w:r w:rsidRPr="00884D55">
              <w:rPr>
                <w:rStyle w:val="Znakapoznpodarou"/>
                <w:spacing w:val="-3"/>
                <w:lang w:val="en-GB" w:eastAsia="en-US"/>
              </w:rPr>
              <w:footnoteReference w:id="108"/>
            </w:r>
            <w:r w:rsidRPr="00884D55">
              <w:rPr>
                <w:spacing w:val="-3"/>
                <w:lang w:val="en-GB" w:eastAsia="en-US"/>
              </w:rPr>
              <w:t xml:space="preserve"> accounted for half of the year-on-year increase of deposits (+260.8 bn CZK) and deposits of the general government sector were also significantly higher, year-on-year (+143.4 bn CZK). The year-on-year growth of deposits of non-financial businesses accelerated considerably (+128.6 bn CZK) and, conversely, deposits of financial businesses declined (−46.7 bn).   </w:t>
            </w:r>
            <w:bookmarkEnd w:id="92"/>
          </w:p>
        </w:tc>
      </w:tr>
      <w:tr w:rsidR="00F619C3" w:rsidRPr="00884D55" w14:paraId="22060359" w14:textId="77777777" w:rsidTr="00803507">
        <w:trPr>
          <w:trHeight w:val="145"/>
        </w:trPr>
        <w:tc>
          <w:tcPr>
            <w:tcW w:w="1802" w:type="dxa"/>
          </w:tcPr>
          <w:p w14:paraId="219428E0" w14:textId="77777777" w:rsidR="00F619C3" w:rsidRPr="00884D55" w:rsidRDefault="00F619C3" w:rsidP="00F619C3">
            <w:pPr>
              <w:pStyle w:val="Marginlie"/>
              <w:rPr>
                <w:lang w:val="en-GB" w:eastAsia="en-US"/>
              </w:rPr>
            </w:pPr>
            <w:bookmarkStart w:id="93" w:name="_Hlk195364665"/>
            <w:r w:rsidRPr="00884D55">
              <w:rPr>
                <w:lang w:val="en-GB" w:eastAsia="en-US"/>
              </w:rPr>
              <w:t xml:space="preserve">Interest rates on credit to households fell only slowly. </w:t>
            </w:r>
            <w:bookmarkEnd w:id="93"/>
          </w:p>
        </w:tc>
        <w:tc>
          <w:tcPr>
            <w:tcW w:w="229" w:type="dxa"/>
          </w:tcPr>
          <w:p w14:paraId="4BF0E341" w14:textId="77777777" w:rsidR="00F619C3" w:rsidRPr="00884D55" w:rsidRDefault="00F619C3" w:rsidP="00F619C3">
            <w:pPr>
              <w:pStyle w:val="Textpoznpodarou"/>
              <w:jc w:val="both"/>
              <w:rPr>
                <w:spacing w:val="-4"/>
                <w:lang w:val="en-GB" w:eastAsia="en-US"/>
              </w:rPr>
            </w:pPr>
          </w:p>
        </w:tc>
        <w:tc>
          <w:tcPr>
            <w:tcW w:w="7610" w:type="dxa"/>
          </w:tcPr>
          <w:p w14:paraId="734B1232" w14:textId="77777777" w:rsidR="00F619C3" w:rsidRPr="00884D55" w:rsidRDefault="00F619C3" w:rsidP="00F619C3">
            <w:pPr>
              <w:rPr>
                <w:lang w:val="en-GB" w:eastAsia="en-US"/>
              </w:rPr>
            </w:pPr>
            <w:bookmarkStart w:id="94" w:name="_Hlk195364685"/>
            <w:r w:rsidRPr="00884D55">
              <w:rPr>
                <w:lang w:val="en-GB" w:eastAsia="en-US"/>
              </w:rPr>
              <w:t>Interest rates on credit to households decreased only slightly during the year. The average interest rate on consumer credit was 0.65 p. p. lower, year on year, at the end of December and reached 8.63%.</w:t>
            </w:r>
            <w:bookmarkStart w:id="95" w:name="_Hlk195364859"/>
            <w:r w:rsidRPr="00884D55">
              <w:rPr>
                <w:lang w:val="en-GB" w:eastAsia="en-US"/>
              </w:rPr>
              <w:t xml:space="preserve"> The decline of interest rates on consumer credit was minimal (−0.06 p. p.) in Q4 alone. The recovery of domestic demand was evident in the volume of consumer credit. The year-on-year increase of volume accelerated to 9.9% at the end of December. </w:t>
            </w:r>
            <w:bookmarkStart w:id="96" w:name="_Hlk195366597"/>
            <w:bookmarkEnd w:id="94"/>
            <w:bookmarkEnd w:id="95"/>
            <w:r w:rsidRPr="00884D55">
              <w:rPr>
                <w:lang w:val="en-GB" w:eastAsia="en-US"/>
              </w:rPr>
              <w:t>Interest rates on mortgages were closely monitored throughout the year, but their reductions have also been only modest, as banks had already partially adjusted rates in the second half of 2023 in anticipation of the monetary policy-relevant rate cut that came in December 2023. The average interest rate on mortgages was 4.71% at the end of 2024, down by 0.70 p. p., year on year. Rates fell by 0.22 p. p. on average during Q4 alone. The total volume of mortgages was 5.3% higher, year on year, at the end of December 2024. The pace accelerated and was the highest since September 2022, mainly influenced by mortgage loans, the provided volume of which increased by 4.8%. The growth rate of credit from the building society accounts slowed to 19.4%</w:t>
            </w:r>
            <w:r w:rsidRPr="00884D55">
              <w:rPr>
                <w:rStyle w:val="Znakapoznpodarou"/>
                <w:lang w:val="en-GB" w:eastAsia="en-US"/>
              </w:rPr>
              <w:footnoteReference w:id="109"/>
            </w:r>
            <w:r w:rsidRPr="00884D55">
              <w:rPr>
                <w:lang w:val="en-GB" w:eastAsia="en-US"/>
              </w:rPr>
              <w:t>. New mortgage contracts</w:t>
            </w:r>
            <w:r w:rsidRPr="00884D55">
              <w:rPr>
                <w:rStyle w:val="Znakapoznpodarou"/>
                <w:lang w:val="en-GB" w:eastAsia="en-US"/>
              </w:rPr>
              <w:footnoteReference w:id="110"/>
            </w:r>
            <w:r w:rsidRPr="00884D55">
              <w:rPr>
                <w:lang w:val="en-GB" w:eastAsia="en-US"/>
              </w:rPr>
              <w:t xml:space="preserve"> amounted to 130.5 bn CZK in Q4 2024. Of this, 61.0 bn CZK comprised the other new arrangements and 60.4 bn CZK were net new loans. Refinanced loans from new contracts amounted to 9.0 bn CZK. New contracts worth 473.2 bn CZK were concluded for the whole of 2024 (169.1 bn CZK more than in 2023) and other new arrangements accounted for the majority (226.8 bn CZK, +52.7 bn). The volume of net new loans reached 212.7 bn CZK (+101.0 bn) last year. Total household debt reached 2,453.9 bn CZK at the end of 2024.          </w:t>
            </w:r>
            <w:bookmarkEnd w:id="96"/>
          </w:p>
        </w:tc>
      </w:tr>
      <w:tr w:rsidR="00F619C3" w:rsidRPr="00884D55" w14:paraId="234697B8" w14:textId="77777777" w:rsidTr="00803507">
        <w:trPr>
          <w:trHeight w:val="145"/>
        </w:trPr>
        <w:tc>
          <w:tcPr>
            <w:tcW w:w="1802" w:type="dxa"/>
          </w:tcPr>
          <w:p w14:paraId="5BBB387C" w14:textId="77777777" w:rsidR="00F619C3" w:rsidRPr="00884D55" w:rsidRDefault="00F619C3" w:rsidP="00F619C3">
            <w:pPr>
              <w:pStyle w:val="Marginlie"/>
              <w:rPr>
                <w:lang w:val="en-GB" w:eastAsia="en-US"/>
              </w:rPr>
            </w:pPr>
            <w:r w:rsidRPr="00884D55">
              <w:rPr>
                <w:lang w:val="en-GB" w:eastAsia="en-US"/>
              </w:rPr>
              <w:t xml:space="preserve">Businesses borrowed more in foreign currencies. </w:t>
            </w:r>
          </w:p>
        </w:tc>
        <w:tc>
          <w:tcPr>
            <w:tcW w:w="229" w:type="dxa"/>
          </w:tcPr>
          <w:p w14:paraId="3872CE01" w14:textId="77777777" w:rsidR="00F619C3" w:rsidRPr="00884D55" w:rsidRDefault="00F619C3" w:rsidP="00F619C3">
            <w:pPr>
              <w:pStyle w:val="Textpoznpodarou"/>
              <w:jc w:val="both"/>
              <w:rPr>
                <w:spacing w:val="-4"/>
                <w:lang w:val="en-GB" w:eastAsia="en-US"/>
              </w:rPr>
            </w:pPr>
          </w:p>
        </w:tc>
        <w:tc>
          <w:tcPr>
            <w:tcW w:w="7610" w:type="dxa"/>
          </w:tcPr>
          <w:p w14:paraId="2755D7DA" w14:textId="77777777" w:rsidR="00F619C3" w:rsidRPr="00884D55" w:rsidRDefault="00F619C3" w:rsidP="00F619C3">
            <w:pPr>
              <w:rPr>
                <w:lang w:val="en-GB" w:eastAsia="en-US"/>
              </w:rPr>
            </w:pPr>
            <w:bookmarkStart w:id="98" w:name="_Hlk195366768"/>
            <w:r w:rsidRPr="00884D55">
              <w:rPr>
                <w:lang w:val="en-GB" w:eastAsia="en-US"/>
              </w:rPr>
              <w:t>The average interest rate on credit to non-financial businesses fell the most in the case of credit up to 7.5 mil CZK in Q4 (−0.53 p. p. to 5.89% at the end of December). For credit between 7.5 mil CZK and 30 mil CZK, this represented a decrease of 0.30 p. p. to 5.86%. Credit over 30 mil CZK bore an average interest rate of 5.74% at the end of December, which was 0.24 p. p. less than at the end of September 2024. The total volume of credit and claims of non-financial businesses was 5.2% higher, year on year, at the end of December 2024. The pace slowed down throughout the year. As usual, credit denominated in foreign currency grew faster (8.0%), accounting for 52.5% of the total volume of credit and claims of non-financial businesses at the end of December</w:t>
            </w:r>
            <w:r w:rsidRPr="00884D55">
              <w:rPr>
                <w:rStyle w:val="Znakapoznpodarou"/>
                <w:lang w:val="en-GB" w:eastAsia="en-US"/>
              </w:rPr>
              <w:footnoteReference w:id="111"/>
            </w:r>
            <w:r w:rsidRPr="00884D55">
              <w:rPr>
                <w:lang w:val="en-GB" w:eastAsia="en-US"/>
              </w:rPr>
              <w:t xml:space="preserve">. However, growth of koruna credit is also gradually reviving (2.3%). The volume of credit provided increased the most, year-on-year, in professional, scientific, technical and administrative activities (31.1%) and in accommodation, food service and restaurants (13.2%) as of 31 December. Above-average growth of credit was also recorded in real estate activities (7.8%), construction (6.5%) and transportation and storage (5.7%). The largest decrease was recorded in information and communication (−19.8%), electricity, gas, heat, air and water generation and distribution (−14.1%).  </w:t>
            </w:r>
            <w:bookmarkEnd w:id="98"/>
          </w:p>
        </w:tc>
      </w:tr>
    </w:tbl>
    <w:p w14:paraId="654454BF" w14:textId="7640D7F1" w:rsidR="00F619C3" w:rsidRDefault="00F619C3" w:rsidP="00803507">
      <w:pPr>
        <w:spacing w:after="0" w:line="240" w:lineRule="auto"/>
        <w:jc w:val="left"/>
        <w:rPr>
          <w:rFonts w:eastAsia="MS Gothic"/>
          <w:b/>
          <w:bCs/>
          <w:color w:val="71818C"/>
          <w:sz w:val="32"/>
          <w:szCs w:val="32"/>
          <w:highlight w:val="yellow"/>
          <w:lang w:val="en-GB"/>
        </w:rPr>
      </w:pPr>
    </w:p>
    <w:p w14:paraId="30A92F17" w14:textId="77777777" w:rsidR="00F619C3" w:rsidRDefault="00F619C3">
      <w:pPr>
        <w:spacing w:after="0" w:line="240" w:lineRule="auto"/>
        <w:jc w:val="left"/>
        <w:rPr>
          <w:rFonts w:eastAsia="MS Gothic"/>
          <w:b/>
          <w:bCs/>
          <w:color w:val="71818C"/>
          <w:sz w:val="32"/>
          <w:szCs w:val="32"/>
          <w:highlight w:val="yellow"/>
          <w:lang w:val="en-GB"/>
        </w:rPr>
      </w:pPr>
      <w:r>
        <w:rPr>
          <w:rFonts w:eastAsia="MS Gothic"/>
          <w:b/>
          <w:bCs/>
          <w:color w:val="71818C"/>
          <w:sz w:val="32"/>
          <w:szCs w:val="32"/>
          <w:highlight w:val="yellow"/>
          <w:lang w:val="en-GB"/>
        </w:rPr>
        <w:br w:type="page"/>
      </w:r>
    </w:p>
    <w:p w14:paraId="0974204C" w14:textId="77777777" w:rsidR="00803507" w:rsidRPr="00884D55" w:rsidRDefault="00803507" w:rsidP="00803507">
      <w:pPr>
        <w:pStyle w:val="Nadpis1"/>
        <w:rPr>
          <w:lang w:val="en-GB"/>
        </w:rPr>
      </w:pPr>
      <w:bookmarkStart w:id="99" w:name="_Toc196386144"/>
      <w:r w:rsidRPr="00884D55">
        <w:rPr>
          <w:lang w:val="en-GB"/>
        </w:rPr>
        <w:t>8. State Budget</w:t>
      </w:r>
      <w:bookmarkEnd w:id="99"/>
    </w:p>
    <w:tbl>
      <w:tblPr>
        <w:tblW w:w="9669" w:type="dxa"/>
        <w:tblInd w:w="-20" w:type="dxa"/>
        <w:tblLayout w:type="fixed"/>
        <w:tblCellMar>
          <w:left w:w="0" w:type="dxa"/>
          <w:right w:w="0" w:type="dxa"/>
        </w:tblCellMar>
        <w:tblLook w:val="00A0" w:firstRow="1" w:lastRow="0" w:firstColumn="1" w:lastColumn="0" w:noHBand="0" w:noVBand="0"/>
      </w:tblPr>
      <w:tblGrid>
        <w:gridCol w:w="1810"/>
        <w:gridCol w:w="203"/>
        <w:gridCol w:w="7656"/>
      </w:tblGrid>
      <w:tr w:rsidR="00803507" w:rsidRPr="00884D55" w14:paraId="553219BD" w14:textId="77777777" w:rsidTr="00803507">
        <w:trPr>
          <w:trHeight w:val="60"/>
        </w:trPr>
        <w:tc>
          <w:tcPr>
            <w:tcW w:w="1810" w:type="dxa"/>
            <w:shd w:val="clear" w:color="auto" w:fill="auto"/>
            <w:tcMar>
              <w:left w:w="0" w:type="dxa"/>
            </w:tcMar>
          </w:tcPr>
          <w:p w14:paraId="4707AF38" w14:textId="77777777" w:rsidR="00803507" w:rsidRPr="00884D55" w:rsidRDefault="00803507" w:rsidP="00803507">
            <w:pPr>
              <w:pStyle w:val="Marginlie"/>
              <w:rPr>
                <w:lang w:val="en-GB"/>
              </w:rPr>
            </w:pPr>
            <w:bookmarkStart w:id="100" w:name="_Hlk195370550"/>
            <w:r w:rsidRPr="00884D55">
              <w:rPr>
                <w:lang w:val="en-GB"/>
              </w:rPr>
              <w:t xml:space="preserve">The SB deficit decreased slightly last year compared to 2023. Nonetheless, significant deficits weighed on the budget for the fifth year in a row. </w:t>
            </w:r>
            <w:bookmarkEnd w:id="100"/>
          </w:p>
        </w:tc>
        <w:tc>
          <w:tcPr>
            <w:tcW w:w="203" w:type="dxa"/>
            <w:shd w:val="clear" w:color="auto" w:fill="auto"/>
            <w:tcMar>
              <w:left w:w="0" w:type="dxa"/>
            </w:tcMar>
          </w:tcPr>
          <w:p w14:paraId="0CD9C63F"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19971CA1" w14:textId="77777777" w:rsidR="00803507" w:rsidRPr="00884D55" w:rsidRDefault="00803507" w:rsidP="00803507">
            <w:pPr>
              <w:spacing w:after="220"/>
              <w:rPr>
                <w:spacing w:val="-4"/>
                <w:lang w:val="en-GB"/>
              </w:rPr>
            </w:pPr>
            <w:bookmarkStart w:id="101" w:name="_Hlk195370578"/>
            <w:r w:rsidRPr="00884D55">
              <w:rPr>
                <w:spacing w:val="-4"/>
                <w:lang w:val="en-GB"/>
              </w:rPr>
              <w:t>The state budget (SB)</w:t>
            </w:r>
            <w:r w:rsidRPr="00884D55">
              <w:rPr>
                <w:rStyle w:val="Znakapoznpodarou"/>
                <w:spacing w:val="-4"/>
                <w:lang w:val="en-GB"/>
              </w:rPr>
              <w:t xml:space="preserve"> </w:t>
            </w:r>
            <w:r w:rsidRPr="00884D55">
              <w:rPr>
                <w:rStyle w:val="Znakapoznpodarou"/>
                <w:spacing w:val="-4"/>
                <w:lang w:val="en-GB"/>
              </w:rPr>
              <w:footnoteReference w:id="112"/>
            </w:r>
            <w:r w:rsidRPr="00884D55">
              <w:rPr>
                <w:spacing w:val="-4"/>
                <w:lang w:val="en-GB"/>
              </w:rPr>
              <w:t xml:space="preserve"> ended with a deficit of 271.4 bn CZK in 2024. The deep deficit has weighed on state finances for the fifth year in a row, nevertheless the last year's result was relatively the most favourable in this context, as it decreased by 17.1 bn CZK</w:t>
            </w:r>
            <w:r w:rsidRPr="00884D55">
              <w:rPr>
                <w:rStyle w:val="Znakapoznpodarou"/>
                <w:spacing w:val="-4"/>
                <w:lang w:val="en-GB"/>
              </w:rPr>
              <w:footnoteReference w:id="113"/>
            </w:r>
            <w:r w:rsidRPr="00884D55">
              <w:rPr>
                <w:spacing w:val="-4"/>
                <w:lang w:val="en-GB"/>
              </w:rPr>
              <w:t xml:space="preserve"> compared to 2023, primarily due to a noticeable moderation of expenditure growth. Compared to the originally approved SB</w:t>
            </w:r>
            <w:r w:rsidRPr="00884D55">
              <w:rPr>
                <w:rStyle w:val="Znakapoznpodarou"/>
                <w:spacing w:val="-4"/>
                <w:lang w:val="en-GB"/>
              </w:rPr>
              <w:footnoteReference w:id="114"/>
            </w:r>
            <w:r w:rsidRPr="00884D55">
              <w:rPr>
                <w:spacing w:val="-4"/>
                <w:lang w:val="en-GB"/>
              </w:rPr>
              <w:t>, last year's deficit is slightly higher (+19.4 bn CZK), but in relation to the amended SB</w:t>
            </w:r>
            <w:r w:rsidRPr="00884D55">
              <w:rPr>
                <w:rStyle w:val="Znakapoznpodarou"/>
                <w:spacing w:val="-4"/>
                <w:lang w:val="en-GB"/>
              </w:rPr>
              <w:footnoteReference w:id="115"/>
            </w:r>
            <w:r w:rsidRPr="00884D55">
              <w:rPr>
                <w:spacing w:val="-4"/>
                <w:lang w:val="en-GB"/>
              </w:rPr>
              <w:t>, which responded to the need to increase extraordinary expenditure to deal with the consequences of the September floods, it is the opposite (−10.6 bn). In addition to the above, the key factors affecting last year's SB balance consist of the gradual subsiding of the need for extraordinary expenditure for both households and companies hit by the effects of high inflation, persisting very weak economic growth and further various legislative changes (the impacts of the consolidation recovery package approved two years ago, including the change in the budgetary allocation of taxes (BAT), which increases the share of the revenue of some weight-important taxes in favour of the SB from January 2024</w:t>
            </w:r>
            <w:r w:rsidRPr="00884D55">
              <w:rPr>
                <w:rStyle w:val="Znakapoznpodarou"/>
                <w:spacing w:val="-4"/>
                <w:lang w:val="en-GB"/>
              </w:rPr>
              <w:footnoteReference w:id="116"/>
            </w:r>
            <w:r w:rsidRPr="00884D55">
              <w:rPr>
                <w:spacing w:val="-4"/>
                <w:lang w:val="en-GB"/>
              </w:rPr>
              <w:t xml:space="preserve">). </w:t>
            </w:r>
            <w:bookmarkEnd w:id="101"/>
          </w:p>
        </w:tc>
      </w:tr>
      <w:tr w:rsidR="00803507" w:rsidRPr="00884D55" w14:paraId="56A6EF27" w14:textId="77777777" w:rsidTr="00803507">
        <w:trPr>
          <w:trHeight w:val="60"/>
        </w:trPr>
        <w:tc>
          <w:tcPr>
            <w:tcW w:w="1810" w:type="dxa"/>
            <w:shd w:val="clear" w:color="auto" w:fill="auto"/>
            <w:tcMar>
              <w:left w:w="0" w:type="dxa"/>
            </w:tcMar>
          </w:tcPr>
          <w:p w14:paraId="7E124BE9" w14:textId="77777777" w:rsidR="00803507" w:rsidRPr="00884D55" w:rsidRDefault="00803507" w:rsidP="00803507">
            <w:pPr>
              <w:pStyle w:val="Marginlie"/>
              <w:rPr>
                <w:lang w:val="en-GB"/>
              </w:rPr>
            </w:pPr>
            <w:bookmarkStart w:id="103" w:name="_Hlk195371666"/>
            <w:r w:rsidRPr="00884D55">
              <w:rPr>
                <w:lang w:val="en-GB"/>
              </w:rPr>
              <w:t xml:space="preserve">The growth of revenues was supported mainly by higher collection of social security premiums and strengthened tax collection. Lower dividends as well as revenues flowing from the EU budget had the opposite effect. </w:t>
            </w:r>
            <w:bookmarkEnd w:id="103"/>
          </w:p>
        </w:tc>
        <w:tc>
          <w:tcPr>
            <w:tcW w:w="203" w:type="dxa"/>
            <w:shd w:val="clear" w:color="auto" w:fill="auto"/>
            <w:tcMar>
              <w:left w:w="0" w:type="dxa"/>
            </w:tcMar>
          </w:tcPr>
          <w:p w14:paraId="1EF72B33"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0B40F941" w14:textId="77777777" w:rsidR="00803507" w:rsidRPr="00884D55" w:rsidRDefault="00803507" w:rsidP="00803507">
            <w:pPr>
              <w:spacing w:after="220"/>
              <w:rPr>
                <w:color w:val="0D0D0D" w:themeColor="text1" w:themeTint="F2"/>
                <w:spacing w:val="-4"/>
                <w:lang w:val="en-GB"/>
              </w:rPr>
            </w:pPr>
            <w:bookmarkStart w:id="104" w:name="_Hlk195371685"/>
            <w:r w:rsidRPr="00884D55">
              <w:rPr>
                <w:color w:val="0D0D0D" w:themeColor="text1" w:themeTint="F2"/>
                <w:spacing w:val="-4"/>
                <w:lang w:val="en-GB"/>
              </w:rPr>
              <w:t>The total SB revenues increased slightly in line with budget anticipations for the whole last year (+2.7% or 51 bn CZK). This was mainly the result of steadily increasing collection of social security premiums, including active employment policy (+63 bn CZK, +9.2%), which reflects not only the current recovery on the labour market due to slightly enhanced economic performance, but also the impacts of legislative changes</w:t>
            </w:r>
            <w:r w:rsidRPr="00884D55">
              <w:rPr>
                <w:rStyle w:val="Znakapoznpodarou"/>
                <w:spacing w:val="-4"/>
                <w:lang w:val="en-GB"/>
              </w:rPr>
              <w:footnoteReference w:id="117"/>
            </w:r>
            <w:r w:rsidRPr="00884D55">
              <w:rPr>
                <w:spacing w:val="-4"/>
                <w:lang w:val="en-GB"/>
              </w:rPr>
              <w:t xml:space="preserve">. </w:t>
            </w:r>
            <w:r w:rsidRPr="00884D55">
              <w:rPr>
                <w:color w:val="0D0D0D" w:themeColor="text1" w:themeTint="F2"/>
                <w:spacing w:val="-4"/>
                <w:lang w:val="en-GB"/>
              </w:rPr>
              <w:t xml:space="preserve">Tax revenues also had a positive effect (+26 bn CZK). The expected year-on-year decrease of non-tax and capital income transfers had the opposite influence (−38 bn CZK), it was primarily associated with lower transfers of dividend yields and other state equity holdings (−27 bn CZK or 50%, resp.). A decrease of revenues from the EU budget (including financial mechanisms) by 8.2% (−14 bn CZK) also had a significant impact here, which can be explained by the high basis of 2023, which reflected the final payments at the end of the phasing out 2014-2020 programming period. </w:t>
            </w:r>
            <w:bookmarkEnd w:id="104"/>
          </w:p>
        </w:tc>
      </w:tr>
      <w:tr w:rsidR="00803507" w:rsidRPr="00884D55" w14:paraId="1D8F3420" w14:textId="77777777" w:rsidTr="00803507">
        <w:trPr>
          <w:trHeight w:val="60"/>
        </w:trPr>
        <w:tc>
          <w:tcPr>
            <w:tcW w:w="1810" w:type="dxa"/>
            <w:shd w:val="clear" w:color="auto" w:fill="auto"/>
            <w:tcMar>
              <w:left w:w="0" w:type="dxa"/>
            </w:tcMar>
          </w:tcPr>
          <w:p w14:paraId="5D31A261" w14:textId="77777777" w:rsidR="00803507" w:rsidRPr="00884D55" w:rsidRDefault="00803507" w:rsidP="00803507">
            <w:pPr>
              <w:pStyle w:val="Marginlie"/>
              <w:rPr>
                <w:lang w:val="en-GB"/>
              </w:rPr>
            </w:pPr>
            <w:bookmarkStart w:id="106" w:name="_Hlk195374008"/>
            <w:r w:rsidRPr="00884D55">
              <w:rPr>
                <w:lang w:val="en-GB"/>
              </w:rPr>
              <w:t xml:space="preserve">The year-on-year growth of statewide tax collection was moderate and weakened during the year. The effect of last year's higher basis was evident in both current and extraordinary corporate taxes. </w:t>
            </w:r>
            <w:bookmarkEnd w:id="106"/>
          </w:p>
        </w:tc>
        <w:tc>
          <w:tcPr>
            <w:tcW w:w="203" w:type="dxa"/>
            <w:shd w:val="clear" w:color="auto" w:fill="auto"/>
            <w:tcMar>
              <w:left w:w="0" w:type="dxa"/>
            </w:tcMar>
          </w:tcPr>
          <w:p w14:paraId="542F3CB4"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33389A96" w14:textId="77777777" w:rsidR="00803507" w:rsidRPr="00884D55" w:rsidRDefault="00803507" w:rsidP="00803507">
            <w:pPr>
              <w:spacing w:after="220"/>
              <w:rPr>
                <w:color w:val="0D0D0D" w:themeColor="text1" w:themeTint="F2"/>
                <w:spacing w:val="-4"/>
                <w:lang w:val="en-GB"/>
              </w:rPr>
            </w:pPr>
            <w:bookmarkStart w:id="107" w:name="_Hlk195374028"/>
            <w:r w:rsidRPr="00884D55">
              <w:rPr>
                <w:color w:val="0D0D0D" w:themeColor="text1" w:themeTint="F2"/>
                <w:spacing w:val="-4"/>
                <w:lang w:val="en-GB"/>
              </w:rPr>
              <w:t xml:space="preserve">The statewide tax collection excluding insurance premiums (taking into account revenues at the level of all public budgets) increased by only 2.5%, year-on-year, last year, after a double-digit increase in the previous two years. While the growth of this collection through revived household consumption was driven mainly by VAT in 2022 and then mainly by the high collection of corporate tax together with extraordinary corporate taxes the following year, no income item dominated last year (personal income tax of natural persons from dependent activities was the most pronounced – contribution +1.8 p.p.). On the contrary, the collection of corporate tax, including extraordinary temporarily introduced taxes (−3.0 p. p.), had a negative impact. The statewide tax collection (excluding extraordinary taxes) increased by 4.2%, year-on-year, last year (by 12.2% the year before), its growth slowed down during the year and amounted to 1.6% in the second half of the year. </w:t>
            </w:r>
            <w:bookmarkEnd w:id="107"/>
          </w:p>
        </w:tc>
      </w:tr>
      <w:tr w:rsidR="00803507" w:rsidRPr="00884D55" w14:paraId="0A0C7E6E" w14:textId="77777777" w:rsidTr="00803507">
        <w:trPr>
          <w:trHeight w:val="60"/>
        </w:trPr>
        <w:tc>
          <w:tcPr>
            <w:tcW w:w="1810" w:type="dxa"/>
            <w:shd w:val="clear" w:color="auto" w:fill="auto"/>
            <w:tcMar>
              <w:left w:w="0" w:type="dxa"/>
            </w:tcMar>
          </w:tcPr>
          <w:p w14:paraId="19CF7BFB" w14:textId="77777777" w:rsidR="00803507" w:rsidRPr="00884D55" w:rsidRDefault="00803507" w:rsidP="00803507">
            <w:pPr>
              <w:pStyle w:val="Marginlie"/>
              <w:rPr>
                <w:color w:val="0D0D0D" w:themeColor="text1" w:themeTint="F2"/>
                <w:lang w:val="en-GB"/>
              </w:rPr>
            </w:pPr>
            <w:bookmarkStart w:id="108" w:name="_Hlk195375427"/>
            <w:r w:rsidRPr="00884D55">
              <w:rPr>
                <w:lang w:val="en-GB"/>
              </w:rPr>
              <w:t xml:space="preserve">The recovering household consumption supported the dynamics of VAT collection, while the newly introduced extensive changes and shifts in tax rates had the opposite effect. </w:t>
            </w:r>
            <w:bookmarkEnd w:id="108"/>
          </w:p>
        </w:tc>
        <w:tc>
          <w:tcPr>
            <w:tcW w:w="203" w:type="dxa"/>
            <w:shd w:val="clear" w:color="auto" w:fill="auto"/>
            <w:tcMar>
              <w:left w:w="0" w:type="dxa"/>
            </w:tcMar>
          </w:tcPr>
          <w:p w14:paraId="47D4032E" w14:textId="77777777" w:rsidR="00803507" w:rsidRPr="00884D55" w:rsidRDefault="00803507" w:rsidP="00803507">
            <w:pPr>
              <w:pStyle w:val="Textpoznpodarou"/>
              <w:jc w:val="both"/>
              <w:rPr>
                <w:color w:val="0D0D0D" w:themeColor="text1" w:themeTint="F2"/>
                <w:spacing w:val="-4"/>
                <w:lang w:val="en-GB"/>
              </w:rPr>
            </w:pPr>
          </w:p>
        </w:tc>
        <w:tc>
          <w:tcPr>
            <w:tcW w:w="7656" w:type="dxa"/>
            <w:shd w:val="clear" w:color="auto" w:fill="auto"/>
            <w:tcMar>
              <w:left w:w="0" w:type="dxa"/>
            </w:tcMar>
          </w:tcPr>
          <w:p w14:paraId="2B8AE1FD" w14:textId="77777777" w:rsidR="00803507" w:rsidRPr="00884D55" w:rsidRDefault="00803507" w:rsidP="00803507">
            <w:pPr>
              <w:spacing w:after="200"/>
              <w:rPr>
                <w:spacing w:val="-6"/>
                <w:lang w:val="en-GB"/>
              </w:rPr>
            </w:pPr>
            <w:bookmarkStart w:id="109" w:name="_Hlk195375448"/>
            <w:r w:rsidRPr="00884D55">
              <w:rPr>
                <w:spacing w:val="-6"/>
                <w:lang w:val="en-GB"/>
              </w:rPr>
              <w:t>The SB gained 4.5% more (+16 bn CZK) on the weight-dominant tax – VAT – last year. The pace lagged slightly behind the budget plan, even though less notably compared to the previous two years. The collection growth reached 3% at the level of all public budgets and thus increased at half the rate of 2023. This slowdown reflects the stabilisation of the price level in the economy. On the contrary, the slowly recovering household consumption</w:t>
            </w:r>
            <w:r w:rsidRPr="00884D55">
              <w:rPr>
                <w:rStyle w:val="Znakapoznpodarou"/>
                <w:spacing w:val="-6"/>
                <w:lang w:val="en-GB"/>
              </w:rPr>
              <w:footnoteReference w:id="118"/>
            </w:r>
            <w:r w:rsidRPr="00884D55">
              <w:rPr>
                <w:spacing w:val="-6"/>
                <w:lang w:val="en-GB"/>
              </w:rPr>
              <w:t xml:space="preserve"> is positively reflected. </w:t>
            </w:r>
            <w:bookmarkStart w:id="110" w:name="_Hlk195376304"/>
            <w:bookmarkEnd w:id="109"/>
            <w:r w:rsidRPr="00884D55">
              <w:rPr>
                <w:spacing w:val="-6"/>
                <w:lang w:val="en-GB"/>
              </w:rPr>
              <w:t>In addition, the impacts of the tax rate adjustment</w:t>
            </w:r>
            <w:r w:rsidRPr="00884D55">
              <w:rPr>
                <w:rStyle w:val="Znakapoznpodarou"/>
                <w:spacing w:val="-6"/>
                <w:lang w:val="en-GB"/>
              </w:rPr>
              <w:footnoteReference w:id="119"/>
            </w:r>
            <w:r w:rsidRPr="00884D55">
              <w:rPr>
                <w:spacing w:val="-6"/>
                <w:lang w:val="en-GB"/>
              </w:rPr>
              <w:t xml:space="preserve"> in connection with the effectiveness of the consolidation package are starting to manifest at the beginning of the year. </w:t>
            </w:r>
            <w:bookmarkEnd w:id="110"/>
          </w:p>
        </w:tc>
      </w:tr>
      <w:tr w:rsidR="00803507" w:rsidRPr="00884D55" w14:paraId="06DC9703" w14:textId="77777777" w:rsidTr="00803507">
        <w:trPr>
          <w:trHeight w:val="60"/>
        </w:trPr>
        <w:tc>
          <w:tcPr>
            <w:tcW w:w="1810" w:type="dxa"/>
            <w:shd w:val="clear" w:color="auto" w:fill="auto"/>
            <w:tcMar>
              <w:left w:w="0" w:type="dxa"/>
            </w:tcMar>
          </w:tcPr>
          <w:p w14:paraId="1C5AFB6F" w14:textId="77777777" w:rsidR="00803507" w:rsidRPr="00884D55" w:rsidRDefault="00803507" w:rsidP="00803507">
            <w:pPr>
              <w:pStyle w:val="Marginlie"/>
              <w:rPr>
                <w:lang w:val="en-GB"/>
              </w:rPr>
            </w:pPr>
            <w:r w:rsidRPr="00884D55">
              <w:rPr>
                <w:lang w:val="en-GB"/>
              </w:rPr>
              <w:t xml:space="preserve">The rapid growth of consumption tax collection was primarily related to an increase of the rate on key products – mineral oils and tobacco products. The collection did not fully meet budget anticipations, similarly to the previous years. </w:t>
            </w:r>
          </w:p>
        </w:tc>
        <w:tc>
          <w:tcPr>
            <w:tcW w:w="203" w:type="dxa"/>
            <w:shd w:val="clear" w:color="auto" w:fill="auto"/>
            <w:tcMar>
              <w:left w:w="0" w:type="dxa"/>
            </w:tcMar>
          </w:tcPr>
          <w:p w14:paraId="696C9103"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05040911" w14:textId="77777777" w:rsidR="00803507" w:rsidRPr="00884D55" w:rsidRDefault="00803507" w:rsidP="00803507">
            <w:pPr>
              <w:spacing w:after="200"/>
              <w:rPr>
                <w:spacing w:val="-4"/>
                <w:szCs w:val="20"/>
                <w:lang w:val="en-GB"/>
              </w:rPr>
            </w:pPr>
            <w:bookmarkStart w:id="112" w:name="_Hlk195376667"/>
            <w:r w:rsidRPr="00884D55">
              <w:rPr>
                <w:spacing w:val="-4"/>
                <w:szCs w:val="20"/>
                <w:lang w:val="en-GB"/>
              </w:rPr>
              <w:t xml:space="preserve">Although the consumption tax collection (including energy tax) increased by almost a tenth, year-on-year, last year (+15 bn CZK), it did not fully meet budget anticipations (−0.5%). The actual collection thus lagged behind the expected amount according to the approved budget already for the fourth year in a row. </w:t>
            </w:r>
            <w:bookmarkStart w:id="113" w:name="_Hlk195377118"/>
            <w:bookmarkEnd w:id="112"/>
            <w:r w:rsidRPr="00884D55">
              <w:rPr>
                <w:spacing w:val="-4"/>
                <w:szCs w:val="20"/>
                <w:lang w:val="en-GB"/>
              </w:rPr>
              <w:t>There was a year-on-year increase of collections for all key tax items last year, which is mainly related to legislative changes. The key tax on mineral oils, the collection of which grew rapidly (+13.3%), primarily due to the return of the diesel tax rate to the level before the energy crisis</w:t>
            </w:r>
            <w:r w:rsidRPr="00884D55">
              <w:rPr>
                <w:rStyle w:val="Znakapoznpodarou"/>
                <w:color w:val="0D0D0D" w:themeColor="text1" w:themeTint="F2"/>
                <w:spacing w:val="-5"/>
                <w:lang w:val="en-GB"/>
              </w:rPr>
              <w:footnoteReference w:id="120"/>
            </w:r>
            <w:r w:rsidRPr="00884D55">
              <w:rPr>
                <w:spacing w:val="-4"/>
                <w:szCs w:val="20"/>
                <w:lang w:val="en-GB"/>
              </w:rPr>
              <w:t xml:space="preserve"> broke out, influenced the most the development of total collection. However, higher demand for these products also had an impact due to the development of freight transportation and the favourable development of retail fuel prices</w:t>
            </w:r>
            <w:r w:rsidRPr="00884D55">
              <w:rPr>
                <w:rStyle w:val="Znakapoznpodarou"/>
                <w:spacing w:val="-5"/>
                <w:lang w:val="en-GB"/>
              </w:rPr>
              <w:footnoteReference w:id="121"/>
            </w:r>
            <w:r w:rsidRPr="00884D55">
              <w:rPr>
                <w:spacing w:val="-4"/>
                <w:szCs w:val="20"/>
                <w:lang w:val="en-GB"/>
              </w:rPr>
              <w:t>. The SB received 7.1% more from the collection of tax on tobacco products, and although the pace of collection increased slightly during the last year, it remained overall below the budget expectations (unlike the tax on mineral oils). Collections reflected a further increase of the rate as well as an expansion of the range of taxed products (newly e-cigarette refills, nicotine pouches). The collection of taxes on alcohol, beer and sparkling wine stagnated, year-on-year. On the contrary, the collection of energy taxes grew (mainly due to the abolition of some tax exemptions, e.g. in metallurgy), nevertheless at a slower pace than budget anticipations (due to continuing savings by both businesses and households in the area of consumption and the switch to more environmentally friendly types of fuels).</w:t>
            </w:r>
            <w:bookmarkEnd w:id="113"/>
          </w:p>
        </w:tc>
      </w:tr>
      <w:tr w:rsidR="00803507" w:rsidRPr="00884D55" w14:paraId="5C09E971" w14:textId="77777777" w:rsidTr="00803507">
        <w:trPr>
          <w:trHeight w:val="60"/>
        </w:trPr>
        <w:tc>
          <w:tcPr>
            <w:tcW w:w="1810" w:type="dxa"/>
            <w:shd w:val="clear" w:color="auto" w:fill="auto"/>
            <w:tcMar>
              <w:left w:w="0" w:type="dxa"/>
            </w:tcMar>
          </w:tcPr>
          <w:p w14:paraId="579A0CA7" w14:textId="77777777" w:rsidR="00803507" w:rsidRPr="00884D55" w:rsidRDefault="00803507" w:rsidP="00803507">
            <w:pPr>
              <w:pStyle w:val="Marginlie"/>
              <w:rPr>
                <w:lang w:val="en-GB"/>
              </w:rPr>
            </w:pPr>
            <w:r w:rsidRPr="00884D55">
              <w:rPr>
                <w:lang w:val="en-GB"/>
              </w:rPr>
              <w:t>Last year's decline of corporate tax collection reflects the effect of stagnation of economic performance in 2023. A partial calming on the energy market led to a decline of the collection of extraordinary sectoral taxes.</w:t>
            </w:r>
          </w:p>
        </w:tc>
        <w:tc>
          <w:tcPr>
            <w:tcW w:w="203" w:type="dxa"/>
            <w:shd w:val="clear" w:color="auto" w:fill="auto"/>
            <w:tcMar>
              <w:left w:w="0" w:type="dxa"/>
            </w:tcMar>
          </w:tcPr>
          <w:p w14:paraId="4BE45635"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11CC0C8B" w14:textId="77777777" w:rsidR="00803507" w:rsidRPr="00884D55" w:rsidRDefault="00803507" w:rsidP="00803507">
            <w:pPr>
              <w:spacing w:after="200"/>
              <w:rPr>
                <w:spacing w:val="-4"/>
                <w:szCs w:val="20"/>
                <w:lang w:val="en-GB"/>
              </w:rPr>
            </w:pPr>
            <w:bookmarkStart w:id="114" w:name="_Hlk195387126"/>
            <w:r w:rsidRPr="00884D55">
              <w:rPr>
                <w:spacing w:val="-4"/>
                <w:szCs w:val="20"/>
                <w:lang w:val="en-GB"/>
              </w:rPr>
              <w:t>After double-digit growth in the previous three years, the SB acquired on the corporate tax (excluding extraordinary taxes) 11 bn CZK or 5.3% less last year (collection fell by as much as 6.7% at the level of all public budgets). Tax collection also lagged significantly behind budget anticipations (−3.6%). The impact of the halt of economic growth in 2023, which was reflected in the annual settlement of corporate tax liability last year, was evident here in retrospect. Tax collection was also adversely affected by legislative influences (exemption of government bond yields or extension of the effectiveness of extraordinary depreciation)</w:t>
            </w:r>
            <w:r w:rsidRPr="00884D55">
              <w:rPr>
                <w:rStyle w:val="Znakapoznpodarou"/>
                <w:spacing w:val="-5"/>
                <w:lang w:val="en-GB"/>
              </w:rPr>
              <w:footnoteReference w:id="122"/>
            </w:r>
            <w:r w:rsidRPr="00884D55">
              <w:rPr>
                <w:spacing w:val="-4"/>
                <w:szCs w:val="20"/>
                <w:lang w:val="en-GB"/>
              </w:rPr>
              <w:t>. In addition to ordinary corporate tax, the SB income from extraordinary taxes also fell last year. Although the SB received 36.7 bn CZK in windfall tax</w:t>
            </w:r>
            <w:r w:rsidRPr="00884D55">
              <w:rPr>
                <w:spacing w:val="-5"/>
                <w:vertAlign w:val="superscript"/>
                <w:lang w:val="en-GB"/>
              </w:rPr>
              <w:footnoteReference w:id="123"/>
            </w:r>
            <w:r w:rsidRPr="00884D55">
              <w:rPr>
                <w:spacing w:val="-4"/>
                <w:szCs w:val="20"/>
                <w:lang w:val="en-GB"/>
              </w:rPr>
              <w:t xml:space="preserve"> (6% less, year-on-year, but at the same time more than double the expected volume for the whole year</w:t>
            </w:r>
            <w:r w:rsidRPr="00884D55">
              <w:rPr>
                <w:spacing w:val="-5"/>
                <w:vertAlign w:val="superscript"/>
                <w:lang w:val="en-GB"/>
              </w:rPr>
              <w:footnoteReference w:id="124"/>
            </w:r>
            <w:r w:rsidRPr="00884D55">
              <w:rPr>
                <w:spacing w:val="-4"/>
                <w:szCs w:val="20"/>
                <w:lang w:val="en-GB"/>
              </w:rPr>
              <w:t>). In accordance with the approved SB, no income even came from levies on excess income</w:t>
            </w:r>
            <w:r w:rsidRPr="00884D55">
              <w:rPr>
                <w:spacing w:val="-5"/>
                <w:vertAlign w:val="superscript"/>
                <w:lang w:val="en-GB"/>
              </w:rPr>
              <w:footnoteReference w:id="125"/>
            </w:r>
            <w:r w:rsidRPr="00884D55">
              <w:rPr>
                <w:spacing w:val="-4"/>
                <w:szCs w:val="20"/>
                <w:lang w:val="en-GB"/>
              </w:rPr>
              <w:t xml:space="preserve"> last year (however, it was 18.5 bn CZK in 2023).</w:t>
            </w:r>
            <w:bookmarkEnd w:id="114"/>
          </w:p>
        </w:tc>
      </w:tr>
      <w:tr w:rsidR="00803507" w:rsidRPr="00884D55" w14:paraId="769E1CEB" w14:textId="77777777" w:rsidTr="00803507">
        <w:trPr>
          <w:trHeight w:val="60"/>
        </w:trPr>
        <w:tc>
          <w:tcPr>
            <w:tcW w:w="1810" w:type="dxa"/>
            <w:shd w:val="clear" w:color="auto" w:fill="auto"/>
            <w:tcMar>
              <w:left w:w="0" w:type="dxa"/>
            </w:tcMar>
          </w:tcPr>
          <w:p w14:paraId="034D6FB1" w14:textId="77777777" w:rsidR="00803507" w:rsidRPr="00884D55" w:rsidRDefault="00803507" w:rsidP="00803507">
            <w:pPr>
              <w:pStyle w:val="Marginlie"/>
              <w:rPr>
                <w:lang w:val="en-GB"/>
              </w:rPr>
            </w:pPr>
            <w:r w:rsidRPr="00884D55">
              <w:rPr>
                <w:lang w:val="en-GB"/>
              </w:rPr>
              <w:t xml:space="preserve">Both employees and entrepreneurs contributed to the continuing rapid growth of the collection of income tax of natural persons last year. It was the result of higher employment as well as high nominal growth of the average wage in the business sphere. </w:t>
            </w:r>
          </w:p>
        </w:tc>
        <w:tc>
          <w:tcPr>
            <w:tcW w:w="203" w:type="dxa"/>
            <w:shd w:val="clear" w:color="auto" w:fill="auto"/>
            <w:tcMar>
              <w:left w:w="0" w:type="dxa"/>
            </w:tcMar>
          </w:tcPr>
          <w:p w14:paraId="4CC29265"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5F771644" w14:textId="77777777" w:rsidR="00803507" w:rsidRPr="00884D55" w:rsidRDefault="00803507" w:rsidP="00803507">
            <w:pPr>
              <w:spacing w:after="200"/>
              <w:rPr>
                <w:spacing w:val="-4"/>
                <w:szCs w:val="20"/>
                <w:lang w:val="en-GB"/>
              </w:rPr>
            </w:pPr>
            <w:bookmarkStart w:id="118" w:name="_Hlk195389500"/>
            <w:r w:rsidRPr="00884D55">
              <w:rPr>
                <w:spacing w:val="-4"/>
                <w:szCs w:val="20"/>
                <w:lang w:val="en-GB"/>
              </w:rPr>
              <w:t xml:space="preserve">The rapid growth of income tax of natural persons (ITNP) collection continued for the third year in a row last year. The SB thus received 13.4% more, year-on-year, and last year's collection at the same time significantly exceeded the budget anticipations (+8.6%), specifically for all sub-types of tax. The SB thus gained by 15.6% more on the ITNP paid by the payers (employers). </w:t>
            </w:r>
            <w:bookmarkStart w:id="119" w:name="_Hlk195391513"/>
            <w:bookmarkEnd w:id="118"/>
            <w:r w:rsidRPr="00884D55">
              <w:rPr>
                <w:spacing w:val="-4"/>
                <w:szCs w:val="20"/>
                <w:lang w:val="en-GB"/>
              </w:rPr>
              <w:t>It favourably reflected both the enduring good condition of the labour market (higher employment as well as rapid nominal growth of the average wage in the business sphere) and legislative changes (in particular a reduction of the band for the second increased rate of this tax, and to a lesser extent also an adjustment of the taxation of selected non-monetary benefits or the abolition of some tax reliefs, as well as a change of the BAT</w:t>
            </w:r>
            <w:r w:rsidRPr="00884D55">
              <w:rPr>
                <w:rStyle w:val="Znakapoznpodarou"/>
                <w:color w:val="0D0D0D" w:themeColor="text1" w:themeTint="F2"/>
                <w:spacing w:val="-4"/>
                <w:lang w:val="en-GB"/>
              </w:rPr>
              <w:footnoteReference w:id="126"/>
            </w:r>
            <w:r w:rsidRPr="00884D55">
              <w:rPr>
                <w:spacing w:val="-4"/>
                <w:szCs w:val="20"/>
                <w:lang w:val="en-GB"/>
              </w:rPr>
              <w:t>). ITNP collected by deduction continued to grow dynamically (+8.4%), owing to higher interest rates on deposits as well as the persisting high household saving rate.</w:t>
            </w:r>
            <w:bookmarkEnd w:id="119"/>
            <w:r w:rsidRPr="00884D55">
              <w:rPr>
                <w:spacing w:val="-4"/>
                <w:szCs w:val="20"/>
                <w:lang w:val="en-GB"/>
              </w:rPr>
              <w:t xml:space="preserve"> </w:t>
            </w:r>
            <w:bookmarkStart w:id="121" w:name="_Hlk195391885"/>
            <w:r w:rsidRPr="00884D55">
              <w:rPr>
                <w:spacing w:val="-4"/>
                <w:szCs w:val="20"/>
                <w:lang w:val="en-GB"/>
              </w:rPr>
              <w:t>The reduction of the limit for the exemption of income from raffles and gambling also had a positive effect. The collection of ITNP paid by taxpayers (mainly from self-employment) increased more moderately last year (+2.6%). The growth of the number of small entrepreneurs had a positive effect here, while the adjustment for the possibility of entering the flat-rate tax payment regime had a negative effect</w:t>
            </w:r>
            <w:r w:rsidRPr="00884D55">
              <w:rPr>
                <w:rStyle w:val="Znakapoznpodarou"/>
                <w:color w:val="0D0D0D" w:themeColor="text1" w:themeTint="F2"/>
                <w:spacing w:val="-4"/>
                <w:lang w:val="en-GB"/>
              </w:rPr>
              <w:footnoteReference w:id="127"/>
            </w:r>
            <w:r w:rsidRPr="00884D55">
              <w:rPr>
                <w:spacing w:val="-4"/>
                <w:szCs w:val="20"/>
                <w:lang w:val="en-GB"/>
              </w:rPr>
              <w:t xml:space="preserve">. </w:t>
            </w:r>
            <w:bookmarkEnd w:id="121"/>
          </w:p>
        </w:tc>
      </w:tr>
      <w:tr w:rsidR="00803507" w:rsidRPr="00884D55" w14:paraId="531ADD53" w14:textId="77777777" w:rsidTr="00803507">
        <w:trPr>
          <w:trHeight w:val="60"/>
        </w:trPr>
        <w:tc>
          <w:tcPr>
            <w:tcW w:w="1810" w:type="dxa"/>
            <w:shd w:val="clear" w:color="auto" w:fill="auto"/>
            <w:tcMar>
              <w:left w:w="0" w:type="dxa"/>
            </w:tcMar>
          </w:tcPr>
          <w:p w14:paraId="2AC86AFE" w14:textId="77777777" w:rsidR="00803507" w:rsidRPr="00884D55" w:rsidRDefault="00803507" w:rsidP="00803507">
            <w:pPr>
              <w:pStyle w:val="Marginlie"/>
              <w:rPr>
                <w:lang w:val="en-GB"/>
              </w:rPr>
            </w:pPr>
          </w:p>
        </w:tc>
        <w:tc>
          <w:tcPr>
            <w:tcW w:w="203" w:type="dxa"/>
            <w:shd w:val="clear" w:color="auto" w:fill="auto"/>
            <w:tcMar>
              <w:left w:w="0" w:type="dxa"/>
            </w:tcMar>
          </w:tcPr>
          <w:p w14:paraId="65BD636B"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2D9BF536" w14:textId="77777777" w:rsidR="00803507" w:rsidRPr="00884D55" w:rsidRDefault="00803507" w:rsidP="00803507">
            <w:pPr>
              <w:spacing w:after="40"/>
              <w:rPr>
                <w:color w:val="0D0D0D" w:themeColor="text1" w:themeTint="F2"/>
                <w:spacing w:val="-4"/>
                <w:lang w:val="en-GB"/>
              </w:rPr>
            </w:pPr>
            <w:r w:rsidRPr="00884D55">
              <w:rPr>
                <w:rFonts w:cs="Arial"/>
                <w:b/>
                <w:bCs/>
                <w:color w:val="000000"/>
                <w:spacing w:val="-2"/>
                <w:szCs w:val="20"/>
                <w:lang w:val="en-GB"/>
              </w:rPr>
              <w:t xml:space="preserve">Chart 18 Contributed of sub-incomes to year-on-year growth of total statewide </w:t>
            </w:r>
            <w:r>
              <w:rPr>
                <w:rFonts w:cs="Arial"/>
                <w:b/>
                <w:bCs/>
                <w:color w:val="000000"/>
                <w:spacing w:val="-2"/>
                <w:szCs w:val="20"/>
                <w:lang w:val="en-GB"/>
              </w:rPr>
              <w:t>t</w:t>
            </w:r>
            <w:r w:rsidRPr="00884D55">
              <w:rPr>
                <w:rFonts w:cs="Arial"/>
                <w:b/>
                <w:bCs/>
                <w:color w:val="000000"/>
                <w:spacing w:val="-2"/>
                <w:szCs w:val="20"/>
                <w:lang w:val="en-GB"/>
              </w:rPr>
              <w:t xml:space="preserve">ax income collection </w:t>
            </w:r>
            <w:r w:rsidRPr="00884D55">
              <w:rPr>
                <w:rFonts w:cs="Arial"/>
                <w:bCs/>
                <w:color w:val="000000"/>
                <w:spacing w:val="-2"/>
                <w:szCs w:val="20"/>
                <w:lang w:val="en-GB"/>
              </w:rPr>
              <w:t xml:space="preserve">(in p. p.), </w:t>
            </w:r>
            <w:r w:rsidRPr="00884D55">
              <w:rPr>
                <w:rFonts w:cs="Arial"/>
                <w:b/>
                <w:bCs/>
                <w:color w:val="000000"/>
                <w:spacing w:val="-2"/>
                <w:szCs w:val="20"/>
                <w:lang w:val="en-GB"/>
              </w:rPr>
              <w:t xml:space="preserve">year-on-year growth of social security revenues </w:t>
            </w:r>
            <w:r w:rsidRPr="00884D55">
              <w:rPr>
                <w:rFonts w:cs="Arial"/>
                <w:bCs/>
                <w:color w:val="000000"/>
                <w:spacing w:val="-2"/>
                <w:szCs w:val="20"/>
                <w:lang w:val="en-GB"/>
              </w:rPr>
              <w:t xml:space="preserve">(%) </w:t>
            </w:r>
            <w:r w:rsidRPr="00884D55">
              <w:rPr>
                <w:rFonts w:cs="Arial"/>
                <w:b/>
                <w:bCs/>
                <w:color w:val="000000"/>
                <w:spacing w:val="-2"/>
                <w:szCs w:val="20"/>
                <w:lang w:val="en-GB"/>
              </w:rPr>
              <w:t xml:space="preserve">and state budget balance </w:t>
            </w:r>
            <w:r w:rsidRPr="00884D55">
              <w:rPr>
                <w:rFonts w:cs="Arial"/>
                <w:bCs/>
                <w:color w:val="000000"/>
                <w:spacing w:val="-2"/>
                <w:szCs w:val="20"/>
                <w:lang w:val="en-GB"/>
              </w:rPr>
              <w:t xml:space="preserve">(in bn CZK) </w:t>
            </w:r>
            <w:r w:rsidRPr="00884D55">
              <w:rPr>
                <w:rFonts w:cs="Arial"/>
                <w:b/>
                <w:bCs/>
                <w:lang w:val="en-GB"/>
              </w:rPr>
              <w:t>in annual perspective</w:t>
            </w:r>
          </w:p>
        </w:tc>
      </w:tr>
      <w:tr w:rsidR="00803507" w:rsidRPr="00884D55" w14:paraId="573CA3B4" w14:textId="77777777" w:rsidTr="001A542B">
        <w:tblPrEx>
          <w:tblCellMar>
            <w:left w:w="70" w:type="dxa"/>
            <w:right w:w="70" w:type="dxa"/>
          </w:tblCellMar>
        </w:tblPrEx>
        <w:trPr>
          <w:trHeight w:val="170"/>
        </w:trPr>
        <w:tc>
          <w:tcPr>
            <w:tcW w:w="1810" w:type="dxa"/>
            <w:shd w:val="clear" w:color="auto" w:fill="auto"/>
          </w:tcPr>
          <w:p w14:paraId="48A9A8A5" w14:textId="77777777" w:rsidR="00803507" w:rsidRPr="00884D55" w:rsidRDefault="00803507" w:rsidP="00803507">
            <w:pPr>
              <w:pStyle w:val="Marginlie"/>
              <w:rPr>
                <w:lang w:val="en-GB"/>
              </w:rPr>
            </w:pPr>
          </w:p>
        </w:tc>
        <w:tc>
          <w:tcPr>
            <w:tcW w:w="203" w:type="dxa"/>
            <w:shd w:val="clear" w:color="auto" w:fill="auto"/>
          </w:tcPr>
          <w:p w14:paraId="2FB7A692" w14:textId="77777777" w:rsidR="00803507" w:rsidRPr="00884D55" w:rsidRDefault="00803507" w:rsidP="00803507">
            <w:pPr>
              <w:pStyle w:val="Textpoznpodarou"/>
              <w:jc w:val="both"/>
              <w:rPr>
                <w:spacing w:val="-4"/>
                <w:lang w:val="en-GB"/>
              </w:rPr>
            </w:pPr>
          </w:p>
          <w:p w14:paraId="337E06B5" w14:textId="77777777" w:rsidR="00803507" w:rsidRPr="00884D55" w:rsidRDefault="00803507" w:rsidP="00803507">
            <w:pPr>
              <w:pStyle w:val="Textpoznpodarou"/>
              <w:jc w:val="both"/>
              <w:rPr>
                <w:spacing w:val="-4"/>
                <w:lang w:val="en-GB"/>
              </w:rPr>
            </w:pPr>
          </w:p>
        </w:tc>
        <w:tc>
          <w:tcPr>
            <w:tcW w:w="7656" w:type="dxa"/>
            <w:shd w:val="clear" w:color="auto" w:fill="auto"/>
          </w:tcPr>
          <w:p w14:paraId="04D4152A" w14:textId="2BF1833D" w:rsidR="00803507" w:rsidRPr="00884D55" w:rsidRDefault="001A542B" w:rsidP="00803507">
            <w:pPr>
              <w:spacing w:after="40"/>
              <w:rPr>
                <w:rFonts w:cs="Arial"/>
                <w:b/>
                <w:bCs/>
                <w:color w:val="000000"/>
                <w:spacing w:val="-2"/>
                <w:szCs w:val="20"/>
                <w:lang w:val="en-GB"/>
              </w:rPr>
            </w:pPr>
            <w:r>
              <w:rPr>
                <w:noProof/>
              </w:rPr>
              <w:drawing>
                <wp:inline distT="0" distB="0" distL="0" distR="0" wp14:anchorId="6B448317" wp14:editId="3E65F195">
                  <wp:extent cx="4772660" cy="3118485"/>
                  <wp:effectExtent l="0" t="0" r="8890" b="5715"/>
                  <wp:docPr id="903942453" name="Graf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803507" w:rsidRPr="00884D55" w14:paraId="75DA593A" w14:textId="77777777" w:rsidTr="00803507">
        <w:trPr>
          <w:trHeight w:val="170"/>
        </w:trPr>
        <w:tc>
          <w:tcPr>
            <w:tcW w:w="1810" w:type="dxa"/>
            <w:shd w:val="clear" w:color="auto" w:fill="auto"/>
            <w:tcMar>
              <w:left w:w="0" w:type="dxa"/>
            </w:tcMar>
          </w:tcPr>
          <w:p w14:paraId="4C611A1D" w14:textId="77777777" w:rsidR="00803507" w:rsidRPr="00884D55" w:rsidRDefault="00803507" w:rsidP="00803507">
            <w:pPr>
              <w:pStyle w:val="Marginlie"/>
              <w:rPr>
                <w:lang w:val="en-GB"/>
              </w:rPr>
            </w:pPr>
          </w:p>
        </w:tc>
        <w:tc>
          <w:tcPr>
            <w:tcW w:w="203" w:type="dxa"/>
            <w:shd w:val="clear" w:color="auto" w:fill="auto"/>
            <w:tcMar>
              <w:left w:w="0" w:type="dxa"/>
            </w:tcMar>
          </w:tcPr>
          <w:p w14:paraId="4433AFB0"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0DE7D506" w14:textId="77777777" w:rsidR="00803507" w:rsidRPr="00884D55" w:rsidRDefault="00803507" w:rsidP="00803507">
            <w:pPr>
              <w:pStyle w:val="Textpoznpodarou"/>
              <w:jc w:val="both"/>
              <w:rPr>
                <w:spacing w:val="-4"/>
                <w:sz w:val="14"/>
                <w:szCs w:val="14"/>
                <w:lang w:val="en-GB"/>
              </w:rPr>
            </w:pPr>
            <w:r w:rsidRPr="00884D55">
              <w:rPr>
                <w:spacing w:val="-2"/>
                <w:sz w:val="14"/>
                <w:szCs w:val="14"/>
                <w:lang w:val="en-GB"/>
              </w:rPr>
              <w:t>*</w:t>
            </w:r>
            <w:r w:rsidRPr="00884D55">
              <w:rPr>
                <w:spacing w:val="-6"/>
                <w:sz w:val="14"/>
                <w:szCs w:val="14"/>
                <w:lang w:val="en-GB"/>
              </w:rPr>
              <w:t xml:space="preserve"> Also includes contributions to state employment policy. </w:t>
            </w:r>
          </w:p>
          <w:p w14:paraId="11E3F1BE" w14:textId="77777777" w:rsidR="00803507" w:rsidRPr="00884D55" w:rsidRDefault="00803507" w:rsidP="00803507">
            <w:pPr>
              <w:pStyle w:val="Textpoznpodarou"/>
              <w:jc w:val="both"/>
              <w:rPr>
                <w:spacing w:val="-6"/>
                <w:sz w:val="14"/>
                <w:szCs w:val="14"/>
                <w:lang w:val="en-GB"/>
              </w:rPr>
            </w:pPr>
            <w:r w:rsidRPr="00884D55">
              <w:rPr>
                <w:spacing w:val="-6"/>
                <w:sz w:val="14"/>
                <w:szCs w:val="14"/>
                <w:lang w:val="en-GB"/>
              </w:rPr>
              <w:t xml:space="preserve">**Balance adjusted for funds on programmes/projects from the EU and FM budgets, which were pre-financed from the SB and are subsequently paid for by the EU and FM budget. Annual figures are available starting year 2010. </w:t>
            </w:r>
          </w:p>
          <w:p w14:paraId="70BDC017" w14:textId="37B646DB" w:rsidR="00803507" w:rsidRPr="00884D55" w:rsidRDefault="00803507" w:rsidP="00803507">
            <w:pPr>
              <w:tabs>
                <w:tab w:val="right" w:pos="7683"/>
              </w:tabs>
              <w:spacing w:after="0" w:line="240" w:lineRule="auto"/>
              <w:rPr>
                <w:sz w:val="16"/>
                <w:szCs w:val="16"/>
                <w:lang w:val="en-GB"/>
              </w:rPr>
            </w:pPr>
            <w:r w:rsidRPr="00884D55">
              <w:rPr>
                <w:spacing w:val="-2"/>
                <w:sz w:val="14"/>
                <w:szCs w:val="14"/>
                <w:lang w:val="en-GB"/>
              </w:rPr>
              <w:t>N</w:t>
            </w:r>
            <w:r w:rsidR="007F255D">
              <w:rPr>
                <w:spacing w:val="-2"/>
                <w:sz w:val="14"/>
                <w:szCs w:val="14"/>
                <w:lang w:val="en-GB"/>
              </w:rPr>
              <w:t>P</w:t>
            </w:r>
            <w:r w:rsidRPr="00884D55">
              <w:rPr>
                <w:spacing w:val="-2"/>
                <w:sz w:val="14"/>
                <w:szCs w:val="14"/>
                <w:lang w:val="en-GB"/>
              </w:rPr>
              <w:t xml:space="preserve"> = natural persons. Other income taxes of NP consist of taxes paid by payers (mainly from small enterprises) and further taxes collected by deduction (e.g. bank deposits, work agreements).</w:t>
            </w:r>
          </w:p>
          <w:p w14:paraId="250CC47B" w14:textId="35F8E1EC" w:rsidR="00803507" w:rsidRPr="001A542B" w:rsidRDefault="00803507" w:rsidP="001A542B">
            <w:pPr>
              <w:spacing w:after="200"/>
              <w:rPr>
                <w:sz w:val="14"/>
                <w:szCs w:val="14"/>
                <w:lang w:val="en-GB"/>
              </w:rPr>
            </w:pPr>
            <w:r w:rsidRPr="00884D55">
              <w:rPr>
                <w:sz w:val="14"/>
                <w:szCs w:val="14"/>
                <w:lang w:val="en-GB"/>
              </w:rPr>
              <w:t xml:space="preserve">Other taxes and fees include especially </w:t>
            </w:r>
            <w:bookmarkStart w:id="123" w:name="_Hlk195394127"/>
            <w:r w:rsidRPr="00884D55">
              <w:rPr>
                <w:sz w:val="14"/>
                <w:szCs w:val="14"/>
                <w:lang w:val="en-GB"/>
              </w:rPr>
              <w:t xml:space="preserve">state taxes and fees, in particular, real estate tax, gambling tax, motorway toll, tolls and, from 2023, also a levy on excess income and windfall profits. </w:t>
            </w:r>
            <w:bookmarkEnd w:id="123"/>
            <w:r w:rsidRPr="00884D55">
              <w:rPr>
                <w:sz w:val="14"/>
                <w:szCs w:val="14"/>
                <w:lang w:val="en-GB"/>
              </w:rPr>
              <w:t xml:space="preserve">                                                      </w:t>
            </w:r>
            <w:r w:rsidR="001A542B">
              <w:rPr>
                <w:sz w:val="14"/>
                <w:szCs w:val="14"/>
                <w:lang w:val="en-GB"/>
              </w:rPr>
              <w:t xml:space="preserve">           </w:t>
            </w:r>
            <w:r w:rsidRPr="00884D55">
              <w:rPr>
                <w:sz w:val="14"/>
                <w:szCs w:val="14"/>
                <w:lang w:val="en-GB"/>
              </w:rPr>
              <w:t>Source: MF CR</w:t>
            </w:r>
          </w:p>
        </w:tc>
      </w:tr>
      <w:tr w:rsidR="00803507" w:rsidRPr="00884D55" w14:paraId="644EDC54" w14:textId="77777777" w:rsidTr="00803507">
        <w:trPr>
          <w:trHeight w:val="170"/>
        </w:trPr>
        <w:tc>
          <w:tcPr>
            <w:tcW w:w="1810" w:type="dxa"/>
            <w:shd w:val="clear" w:color="auto" w:fill="auto"/>
            <w:tcMar>
              <w:left w:w="0" w:type="dxa"/>
            </w:tcMar>
          </w:tcPr>
          <w:p w14:paraId="549E0F43" w14:textId="77777777" w:rsidR="00803507" w:rsidRPr="00884D55" w:rsidRDefault="00803507" w:rsidP="00803507">
            <w:pPr>
              <w:pStyle w:val="Marginlie"/>
              <w:rPr>
                <w:lang w:val="en-GB"/>
              </w:rPr>
            </w:pPr>
            <w:r w:rsidRPr="00884D55">
              <w:rPr>
                <w:lang w:val="en-GB"/>
              </w:rPr>
              <w:t xml:space="preserve">The total expenditure of the SB grew last year at the lowest rate in the last eight years. The gradual calming of prices in the economy has subdued the need for both the targeted subsidies and the indexation of social benefits. </w:t>
            </w:r>
          </w:p>
        </w:tc>
        <w:tc>
          <w:tcPr>
            <w:tcW w:w="203" w:type="dxa"/>
            <w:shd w:val="clear" w:color="auto" w:fill="auto"/>
            <w:tcMar>
              <w:left w:w="0" w:type="dxa"/>
            </w:tcMar>
          </w:tcPr>
          <w:p w14:paraId="4EBC6DA8"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2DC7AA96" w14:textId="77777777" w:rsidR="00803507" w:rsidRPr="00884D55" w:rsidRDefault="00803507" w:rsidP="00803507">
            <w:pPr>
              <w:spacing w:after="0"/>
              <w:rPr>
                <w:color w:val="0D0D0D" w:themeColor="text1" w:themeTint="F2"/>
                <w:spacing w:val="-4"/>
                <w:szCs w:val="20"/>
                <w:lang w:val="en-GB"/>
              </w:rPr>
            </w:pPr>
            <w:bookmarkStart w:id="124" w:name="_Hlk195393601"/>
            <w:r w:rsidRPr="00884D55">
              <w:rPr>
                <w:color w:val="0D0D0D" w:themeColor="text1" w:themeTint="F2"/>
                <w:spacing w:val="-4"/>
                <w:szCs w:val="20"/>
                <w:lang w:val="en-GB"/>
              </w:rPr>
              <w:t>The growth of total expenditure of the SB slowed to 1.6% last year (the lowest rate in the last eight years) and its volume (2,237 bn CZK) did not deviate significantly from the expected level stated in the amended SB. The growth of expenditure was only due to current expenditure, which increased by only 1.7% (+34.5 bn CZK) last year after double-digit growth in 2023. This sharp slowdown was mainly due to the expected year-on-year reduction of support in the energy sector (which actually reached 67 bn CZK) made possible by favourable energy prices on world markets. The calming of price growth in the economy was also reflected in lower pressure on the indexation of a wide range of social benefits. This has been further mitigated for pensions by legislative changes to the regular as well as extraordinary indexation or by tightening the conditions for granting early retirement.</w:t>
            </w:r>
            <w:bookmarkEnd w:id="124"/>
          </w:p>
          <w:p w14:paraId="5FE80D30" w14:textId="77777777" w:rsidR="00803507" w:rsidRPr="00884D55" w:rsidRDefault="00803507" w:rsidP="00803507">
            <w:pPr>
              <w:spacing w:after="0"/>
              <w:rPr>
                <w:color w:val="0D0D0D" w:themeColor="text1" w:themeTint="F2"/>
                <w:spacing w:val="-4"/>
                <w:szCs w:val="20"/>
                <w:lang w:val="en-GB"/>
              </w:rPr>
            </w:pPr>
          </w:p>
        </w:tc>
      </w:tr>
      <w:tr w:rsidR="00803507" w:rsidRPr="00884D55" w14:paraId="37CBCBEE" w14:textId="77777777" w:rsidTr="00803507">
        <w:trPr>
          <w:trHeight w:val="170"/>
        </w:trPr>
        <w:tc>
          <w:tcPr>
            <w:tcW w:w="1810" w:type="dxa"/>
            <w:shd w:val="clear" w:color="auto" w:fill="auto"/>
            <w:tcMar>
              <w:left w:w="0" w:type="dxa"/>
            </w:tcMar>
          </w:tcPr>
          <w:p w14:paraId="40675FF4" w14:textId="77777777" w:rsidR="00803507" w:rsidRPr="00884D55" w:rsidRDefault="00803507" w:rsidP="00803507">
            <w:pPr>
              <w:pStyle w:val="Marginlie"/>
              <w:rPr>
                <w:spacing w:val="-5"/>
                <w:lang w:val="en-GB"/>
              </w:rPr>
            </w:pPr>
            <w:r w:rsidRPr="00884D55">
              <w:rPr>
                <w:spacing w:val="-5"/>
                <w:lang w:val="en-GB"/>
              </w:rPr>
              <w:t xml:space="preserve">The growth of the SB current expenditure continued to be driven mainly by social benefits. Pension expenditure increased last year at a relatively lowest rate in the last eight years. </w:t>
            </w:r>
          </w:p>
          <w:p w14:paraId="58D8DA86" w14:textId="77777777" w:rsidR="00803507" w:rsidRPr="00884D55" w:rsidRDefault="00803507" w:rsidP="00803507">
            <w:pPr>
              <w:pStyle w:val="Marginlie"/>
              <w:rPr>
                <w:spacing w:val="-5"/>
                <w:lang w:val="en-GB"/>
              </w:rPr>
            </w:pPr>
          </w:p>
          <w:p w14:paraId="12441A14" w14:textId="77777777" w:rsidR="00803507" w:rsidRPr="00884D55" w:rsidRDefault="00803507" w:rsidP="00803507">
            <w:pPr>
              <w:pStyle w:val="Marginlie"/>
              <w:rPr>
                <w:spacing w:val="-5"/>
                <w:lang w:val="en-GB"/>
              </w:rPr>
            </w:pPr>
          </w:p>
          <w:p w14:paraId="59A92B1C" w14:textId="77777777" w:rsidR="00803507" w:rsidRPr="00884D55" w:rsidRDefault="00803507" w:rsidP="00803507">
            <w:pPr>
              <w:pStyle w:val="Marginlie"/>
              <w:rPr>
                <w:spacing w:val="-5"/>
                <w:lang w:val="en-GB"/>
              </w:rPr>
            </w:pPr>
          </w:p>
          <w:p w14:paraId="49E7B3B4" w14:textId="77777777" w:rsidR="00803507" w:rsidRPr="00884D55" w:rsidRDefault="00803507" w:rsidP="00803507">
            <w:pPr>
              <w:pStyle w:val="Marginlie"/>
              <w:rPr>
                <w:spacing w:val="-5"/>
                <w:lang w:val="en-GB"/>
              </w:rPr>
            </w:pPr>
          </w:p>
          <w:p w14:paraId="58E5D4C2" w14:textId="77777777" w:rsidR="00803507" w:rsidRPr="00884D55" w:rsidRDefault="00803507" w:rsidP="00803507">
            <w:pPr>
              <w:pStyle w:val="Marginlie"/>
              <w:rPr>
                <w:spacing w:val="-5"/>
                <w:lang w:val="en-GB"/>
              </w:rPr>
            </w:pPr>
          </w:p>
          <w:p w14:paraId="0420048D" w14:textId="77777777" w:rsidR="00803507" w:rsidRPr="00884D55" w:rsidRDefault="00803507" w:rsidP="00803507">
            <w:pPr>
              <w:pStyle w:val="Marginlie"/>
              <w:rPr>
                <w:lang w:val="en-GB"/>
              </w:rPr>
            </w:pPr>
            <w:bookmarkStart w:id="125" w:name="_Hlk195394828"/>
            <w:r w:rsidRPr="00884D55">
              <w:rPr>
                <w:spacing w:val="-5"/>
                <w:lang w:val="en-GB"/>
              </w:rPr>
              <w:t xml:space="preserve">The pension account deficit fell by a quarter, year-on-year, last year. </w:t>
            </w:r>
            <w:bookmarkEnd w:id="125"/>
          </w:p>
        </w:tc>
        <w:tc>
          <w:tcPr>
            <w:tcW w:w="203" w:type="dxa"/>
            <w:shd w:val="clear" w:color="auto" w:fill="auto"/>
            <w:tcMar>
              <w:left w:w="0" w:type="dxa"/>
            </w:tcMar>
          </w:tcPr>
          <w:p w14:paraId="5B5B422E"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5706B7F3" w14:textId="77777777" w:rsidR="00803507" w:rsidRPr="00884D55" w:rsidRDefault="00803507" w:rsidP="00803507">
            <w:pPr>
              <w:spacing w:after="200"/>
              <w:rPr>
                <w:color w:val="0D0D0D" w:themeColor="text1" w:themeTint="F2"/>
                <w:spacing w:val="-4"/>
                <w:lang w:val="en-GB"/>
              </w:rPr>
            </w:pPr>
            <w:bookmarkStart w:id="126" w:name="_Hlk195394586"/>
            <w:r w:rsidRPr="00884D55">
              <w:rPr>
                <w:color w:val="0D0D0D" w:themeColor="text1" w:themeTint="F2"/>
                <w:spacing w:val="-4"/>
                <w:lang w:val="en-GB"/>
              </w:rPr>
              <w:t>Despite the above, social benefits contributed the most to last year's growth of current expenditure (+36.6 bn CZK), which, despite slowing down their year-on-year growth, already accounted for 40.5% of all SB expenditures – the most in the last seven years</w:t>
            </w:r>
            <w:r w:rsidRPr="00884D55">
              <w:rPr>
                <w:rStyle w:val="Znakapoznpodarou"/>
                <w:color w:val="0D0D0D" w:themeColor="text1" w:themeTint="F2"/>
                <w:spacing w:val="-4"/>
                <w:lang w:val="en-GB"/>
              </w:rPr>
              <w:footnoteReference w:id="128"/>
            </w:r>
            <w:r w:rsidRPr="00884D55">
              <w:rPr>
                <w:color w:val="0D0D0D" w:themeColor="text1" w:themeTint="F2"/>
                <w:spacing w:val="-4"/>
                <w:lang w:val="en-GB"/>
              </w:rPr>
              <w:t>. The growth of social benefits was traditionally linked to the pension expenditure, which increased by 3.6% last year after a record increase in 2023 (+16.5%). Due to the retreat of inflation and a change of the indexation mechanism</w:t>
            </w:r>
            <w:r w:rsidRPr="00884D55">
              <w:rPr>
                <w:spacing w:val="-4"/>
                <w:vertAlign w:val="superscript"/>
                <w:lang w:val="en-GB"/>
              </w:rPr>
              <w:footnoteReference w:id="129"/>
            </w:r>
            <w:r w:rsidRPr="00884D55">
              <w:rPr>
                <w:color w:val="0D0D0D" w:themeColor="text1" w:themeTint="F2"/>
                <w:spacing w:val="-4"/>
                <w:lang w:val="en-GB"/>
              </w:rPr>
              <w:t>, this was the lowest rate after 2016. At the same time, however, the number of pension recipients (after a decline in the previous four years) started to increase very slightly again – by 0.1%, year-on-year, in December 2024 (by 0.3% for the whole year). Despite the slowdown in dynamics, the number of people interested in early pensions</w:t>
            </w:r>
            <w:r w:rsidRPr="00884D55">
              <w:rPr>
                <w:rStyle w:val="Znakapoznpodarou"/>
                <w:color w:val="0D0D0D" w:themeColor="text1" w:themeTint="F2"/>
                <w:spacing w:val="-4"/>
                <w:lang w:val="en-GB"/>
              </w:rPr>
              <w:footnoteReference w:id="130"/>
            </w:r>
            <w:r w:rsidRPr="00884D55">
              <w:rPr>
                <w:color w:val="0D0D0D" w:themeColor="text1" w:themeTint="F2"/>
                <w:spacing w:val="-4"/>
                <w:lang w:val="en-GB"/>
              </w:rPr>
              <w:t xml:space="preserve"> continued to increase. The pension expenditure grew more slowly than pension insurance income for the first time in three years. The deficit of the pension insurance system</w:t>
            </w:r>
            <w:r w:rsidRPr="00884D55">
              <w:rPr>
                <w:rStyle w:val="Znakapoznpodarou"/>
                <w:color w:val="0D0D0D" w:themeColor="text1" w:themeTint="F2"/>
                <w:spacing w:val="-4"/>
                <w:lang w:val="en-GB"/>
              </w:rPr>
              <w:footnoteReference w:id="131"/>
            </w:r>
            <w:r w:rsidRPr="00884D55">
              <w:rPr>
                <w:color w:val="0D0D0D" w:themeColor="text1" w:themeTint="F2"/>
                <w:spacing w:val="-4"/>
                <w:lang w:val="en-GB"/>
              </w:rPr>
              <w:t xml:space="preserve"> thus narrowed to 55 bn CZK last year (from a record 73 bn in 2023), yet it was the second highest in the modern history of the Czech Republic. </w:t>
            </w:r>
            <w:r w:rsidRPr="00884D55">
              <w:rPr>
                <w:spacing w:val="-4"/>
                <w:lang w:val="en-GB"/>
              </w:rPr>
              <w:t xml:space="preserve"> </w:t>
            </w:r>
            <w:bookmarkEnd w:id="126"/>
          </w:p>
        </w:tc>
      </w:tr>
      <w:tr w:rsidR="00803507" w:rsidRPr="00884D55" w14:paraId="6C7D2DBB" w14:textId="77777777" w:rsidTr="00803507">
        <w:trPr>
          <w:trHeight w:val="170"/>
        </w:trPr>
        <w:tc>
          <w:tcPr>
            <w:tcW w:w="1810" w:type="dxa"/>
            <w:shd w:val="clear" w:color="auto" w:fill="auto"/>
            <w:tcMar>
              <w:left w:w="0" w:type="dxa"/>
            </w:tcMar>
          </w:tcPr>
          <w:p w14:paraId="205B3D75" w14:textId="77777777" w:rsidR="00803507" w:rsidRPr="00884D55" w:rsidRDefault="00803507" w:rsidP="00803507">
            <w:pPr>
              <w:pStyle w:val="Marginlie"/>
              <w:rPr>
                <w:color w:val="0D0D0D" w:themeColor="text1" w:themeTint="F2"/>
                <w:lang w:val="en-GB"/>
              </w:rPr>
            </w:pPr>
            <w:r w:rsidRPr="00884D55">
              <w:rPr>
                <w:color w:val="0D0D0D" w:themeColor="text1" w:themeTint="F2"/>
                <w:lang w:val="en-GB"/>
              </w:rPr>
              <w:t xml:space="preserve">Growth of expenditure on non-pension social benefits accelerated, mainly due to higher contributions to care, housing, unemployment benefits as well as material deprivation assistance benefits and sickness benefits.  </w:t>
            </w:r>
          </w:p>
          <w:p w14:paraId="67517CBB" w14:textId="77777777" w:rsidR="00803507" w:rsidRPr="00884D55" w:rsidRDefault="00803507" w:rsidP="00803507">
            <w:pPr>
              <w:pStyle w:val="Marginlie"/>
              <w:rPr>
                <w:color w:val="0D0D0D" w:themeColor="text1" w:themeTint="F2"/>
                <w:lang w:val="en-GB"/>
              </w:rPr>
            </w:pPr>
          </w:p>
          <w:p w14:paraId="3C2AF9DC" w14:textId="77777777" w:rsidR="00803507" w:rsidRPr="00884D55" w:rsidRDefault="00803507" w:rsidP="00803507">
            <w:pPr>
              <w:pStyle w:val="Marginlie"/>
              <w:rPr>
                <w:color w:val="0D0D0D" w:themeColor="text1" w:themeTint="F2"/>
                <w:lang w:val="en-GB"/>
              </w:rPr>
            </w:pPr>
          </w:p>
          <w:p w14:paraId="57C0444A" w14:textId="77777777" w:rsidR="00803507" w:rsidRPr="00884D55" w:rsidRDefault="00803507" w:rsidP="00803507">
            <w:pPr>
              <w:pStyle w:val="Marginlie"/>
              <w:rPr>
                <w:color w:val="0D0D0D" w:themeColor="text1" w:themeTint="F2"/>
                <w:lang w:val="en-GB"/>
              </w:rPr>
            </w:pPr>
          </w:p>
          <w:p w14:paraId="06089CC9" w14:textId="77777777" w:rsidR="00803507" w:rsidRPr="00884D55" w:rsidRDefault="00803507" w:rsidP="00803507">
            <w:pPr>
              <w:pStyle w:val="Marginlie"/>
              <w:rPr>
                <w:color w:val="0D0D0D" w:themeColor="text1" w:themeTint="F2"/>
                <w:lang w:val="en-GB"/>
              </w:rPr>
            </w:pPr>
          </w:p>
          <w:p w14:paraId="13736C97" w14:textId="77777777" w:rsidR="00803507" w:rsidRPr="00884D55" w:rsidRDefault="00803507" w:rsidP="00803507">
            <w:pPr>
              <w:pStyle w:val="Marginlie"/>
              <w:rPr>
                <w:color w:val="0D0D0D" w:themeColor="text1" w:themeTint="F2"/>
                <w:lang w:val="en-GB"/>
              </w:rPr>
            </w:pPr>
          </w:p>
          <w:p w14:paraId="4E199EB8" w14:textId="77777777" w:rsidR="00803507" w:rsidRPr="00884D55" w:rsidRDefault="00803507" w:rsidP="00803507">
            <w:pPr>
              <w:pStyle w:val="Marginlie"/>
              <w:rPr>
                <w:color w:val="0D0D0D" w:themeColor="text1" w:themeTint="F2"/>
                <w:lang w:val="en-GB"/>
              </w:rPr>
            </w:pPr>
          </w:p>
          <w:p w14:paraId="47EAC5B8" w14:textId="77777777" w:rsidR="00803507" w:rsidRPr="00884D55" w:rsidRDefault="00803507" w:rsidP="00803507">
            <w:pPr>
              <w:pStyle w:val="Marginlie"/>
              <w:rPr>
                <w:color w:val="0D0D0D" w:themeColor="text1" w:themeTint="F2"/>
                <w:lang w:val="en-GB"/>
              </w:rPr>
            </w:pPr>
            <w:bookmarkStart w:id="130" w:name="_Hlk195395446"/>
            <w:r w:rsidRPr="00884D55">
              <w:rPr>
                <w:color w:val="0D0D0D" w:themeColor="text1" w:themeTint="F2"/>
                <w:lang w:val="en-GB"/>
              </w:rPr>
              <w:t xml:space="preserve">The persistent reduction in the drawing of maternity benefits and parental allowance results from the declining birth rate in recent years. </w:t>
            </w:r>
          </w:p>
          <w:bookmarkEnd w:id="130"/>
          <w:p w14:paraId="14B00B9F" w14:textId="77777777" w:rsidR="00803507" w:rsidRPr="00884D55" w:rsidRDefault="00803507" w:rsidP="00803507">
            <w:pPr>
              <w:pStyle w:val="Marginlie"/>
              <w:rPr>
                <w:color w:val="0D0D0D" w:themeColor="text1" w:themeTint="F2"/>
                <w:lang w:val="en-GB"/>
              </w:rPr>
            </w:pPr>
          </w:p>
        </w:tc>
        <w:tc>
          <w:tcPr>
            <w:tcW w:w="203" w:type="dxa"/>
            <w:shd w:val="clear" w:color="auto" w:fill="auto"/>
            <w:tcMar>
              <w:left w:w="0" w:type="dxa"/>
            </w:tcMar>
          </w:tcPr>
          <w:p w14:paraId="40BA9C31" w14:textId="77777777" w:rsidR="00803507" w:rsidRPr="00884D55" w:rsidRDefault="00803507" w:rsidP="00803507">
            <w:pPr>
              <w:pStyle w:val="Textpoznpodarou"/>
              <w:jc w:val="both"/>
              <w:rPr>
                <w:color w:val="0D0D0D" w:themeColor="text1" w:themeTint="F2"/>
                <w:spacing w:val="-4"/>
                <w:lang w:val="en-GB"/>
              </w:rPr>
            </w:pPr>
          </w:p>
        </w:tc>
        <w:tc>
          <w:tcPr>
            <w:tcW w:w="7656" w:type="dxa"/>
            <w:shd w:val="clear" w:color="auto" w:fill="auto"/>
            <w:tcMar>
              <w:left w:w="0" w:type="dxa"/>
            </w:tcMar>
          </w:tcPr>
          <w:p w14:paraId="5206DDF0" w14:textId="77777777" w:rsidR="00803507" w:rsidRPr="00884D55" w:rsidRDefault="00803507" w:rsidP="00803507">
            <w:pPr>
              <w:spacing w:after="210"/>
              <w:rPr>
                <w:color w:val="0D0D0D" w:themeColor="text1" w:themeTint="F2"/>
                <w:spacing w:val="-6"/>
                <w:lang w:val="en-GB"/>
              </w:rPr>
            </w:pPr>
            <w:bookmarkStart w:id="131" w:name="_Hlk195395084"/>
            <w:r w:rsidRPr="00884D55">
              <w:rPr>
                <w:color w:val="0D0D0D" w:themeColor="text1" w:themeTint="F2"/>
                <w:spacing w:val="-6"/>
                <w:lang w:val="en-GB"/>
              </w:rPr>
              <w:t>The growth of expenditure on other (non-pension) social benefits accelerated last year and reached 6.5%, year-on-year (+11.9 bn CZK). Drawing increased for the vast majority of individual types of benefits, with contributions for care for the long-term ill, significant by volume, adding the most to the growth (+4.1 bn CZK, +11%)</w:t>
            </w:r>
            <w:r w:rsidRPr="00884D55">
              <w:rPr>
                <w:rStyle w:val="Znakapoznpodarou"/>
                <w:color w:val="0D0D0D" w:themeColor="text1" w:themeTint="F2"/>
                <w:spacing w:val="-6"/>
                <w:lang w:val="en-GB"/>
              </w:rPr>
              <w:footnoteReference w:id="132"/>
            </w:r>
            <w:r w:rsidRPr="00884D55">
              <w:rPr>
                <w:color w:val="0D0D0D" w:themeColor="text1" w:themeTint="F2"/>
                <w:spacing w:val="-6"/>
                <w:lang w:val="en-GB"/>
              </w:rPr>
              <w:t xml:space="preserve">. In terms of the number of recipients, the most important item – sickness insurance benefits – had a major impact, with their drawdown increasing for the first time in the last four years (+4.6%). Compared to 2023, more was paid out in sickness benefits (+ 2.4 bn CZK) and long-term care allowances here, while the volume of maternity benefits decreased, specifically due to the falling birth rate for the third year in a row. The SB paid more support to the unemployed for the second year in a row, it was almost a quarter more, year-on-year, last year (+2.4 bn CZK). </w:t>
            </w:r>
            <w:bookmarkEnd w:id="131"/>
            <w:r w:rsidRPr="00884D55">
              <w:rPr>
                <w:color w:val="0D0D0D" w:themeColor="text1" w:themeTint="F2"/>
                <w:spacing w:val="-6"/>
                <w:lang w:val="en-GB"/>
              </w:rPr>
              <w:t>Both an increase in the average monthly amount of support (it was 11.5 thousand CZK in December 2024) and a slight increase in the number of job applicants eligible for support manifested (93 thousand, 30% of all registered job applicants). After a one-year hiatus, material deprivation assistance benefits increased again last year (+13.5%), mainly due to higher payments of humanitarian benefits to Ukrainian refugees and now also the extraordinary assistance to citizens affected by the September floods. The growth of benefits of significant volume – state social support – slowed down last year (to 0.7%) amid a different development of partial benefits. 13.6% (+2.4 bn CZK) more was paid out on housing benefits</w:t>
            </w:r>
            <w:r w:rsidRPr="00884D55">
              <w:rPr>
                <w:rStyle w:val="Znakapoznpodarou"/>
                <w:color w:val="0D0D0D" w:themeColor="text1" w:themeTint="F2"/>
                <w:spacing w:val="-6"/>
                <w:lang w:val="en-GB"/>
              </w:rPr>
              <w:footnoteReference w:id="133"/>
            </w:r>
            <w:r w:rsidRPr="00884D55">
              <w:rPr>
                <w:color w:val="0D0D0D" w:themeColor="text1" w:themeTint="F2"/>
                <w:spacing w:val="-6"/>
                <w:lang w:val="en-GB"/>
              </w:rPr>
              <w:t xml:space="preserve">, expenditure grew for the third year in a row (from 6.6 bn CZK in 2021 to 20.3 bn CZK last year). The impact of increased energy prices, as well as the growing awareness of the possibility of drawing this assistance in the population and the simplification of the procedure for applying for benefits, continued to be felt here. </w:t>
            </w:r>
            <w:bookmarkStart w:id="133" w:name="_Hlk195396440"/>
            <w:r w:rsidRPr="00884D55">
              <w:rPr>
                <w:color w:val="0D0D0D" w:themeColor="text1" w:themeTint="F2"/>
                <w:spacing w:val="-6"/>
                <w:lang w:val="en-GB"/>
              </w:rPr>
              <w:t>On the contrary, the drawing of another income-tested benefit – child allowance – decreased (−2%). The volume of parental allowances decreased more (−6%), falling for the fourth year in a row (by 25% in total)</w:t>
            </w:r>
            <w:r w:rsidRPr="00884D55">
              <w:rPr>
                <w:rStyle w:val="Znakapoznpodarou"/>
                <w:color w:val="0D0D0D" w:themeColor="text1" w:themeTint="F2"/>
                <w:spacing w:val="-4"/>
                <w:lang w:val="en-GB"/>
              </w:rPr>
              <w:t xml:space="preserve"> </w:t>
            </w:r>
            <w:r w:rsidRPr="00884D55">
              <w:rPr>
                <w:rStyle w:val="Znakapoznpodarou"/>
                <w:color w:val="0D0D0D" w:themeColor="text1" w:themeTint="F2"/>
                <w:spacing w:val="-4"/>
                <w:lang w:val="en-GB"/>
              </w:rPr>
              <w:footnoteReference w:id="134"/>
            </w:r>
            <w:r w:rsidRPr="00884D55">
              <w:rPr>
                <w:color w:val="0D0D0D" w:themeColor="text1" w:themeTint="F2"/>
                <w:spacing w:val="-4"/>
                <w:lang w:val="en-GB"/>
              </w:rPr>
              <w:t>,</w:t>
            </w:r>
            <w:r w:rsidRPr="00884D55">
              <w:rPr>
                <w:color w:val="0D0D0D" w:themeColor="text1" w:themeTint="F2"/>
                <w:spacing w:val="-6"/>
                <w:lang w:val="en-GB"/>
              </w:rPr>
              <w:t xml:space="preserve"> mainly due to unfavourable demographic developments. </w:t>
            </w:r>
            <w:bookmarkEnd w:id="133"/>
          </w:p>
        </w:tc>
      </w:tr>
      <w:tr w:rsidR="00803507" w:rsidRPr="00884D55" w14:paraId="1EA1DFD0" w14:textId="77777777" w:rsidTr="00803507">
        <w:trPr>
          <w:trHeight w:val="170"/>
        </w:trPr>
        <w:tc>
          <w:tcPr>
            <w:tcW w:w="1810" w:type="dxa"/>
            <w:shd w:val="clear" w:color="auto" w:fill="auto"/>
            <w:tcMar>
              <w:left w:w="0" w:type="dxa"/>
            </w:tcMar>
          </w:tcPr>
          <w:p w14:paraId="19504E34" w14:textId="77777777" w:rsidR="00803507" w:rsidRPr="00884D55" w:rsidRDefault="00803507" w:rsidP="00803507">
            <w:pPr>
              <w:pStyle w:val="Marginlie"/>
              <w:rPr>
                <w:lang w:val="en-GB"/>
              </w:rPr>
            </w:pPr>
            <w:r w:rsidRPr="00884D55">
              <w:rPr>
                <w:lang w:val="en-GB"/>
              </w:rPr>
              <w:t xml:space="preserve">Higher subsidies to state funds also contributed significantly to the growth of current expenditure. Expenditure on servicing the state debt and other non-investment purchases were at record level. </w:t>
            </w:r>
          </w:p>
          <w:p w14:paraId="38D4F0B1" w14:textId="77777777" w:rsidR="00803507" w:rsidRPr="00884D55" w:rsidRDefault="00803507" w:rsidP="00803507">
            <w:pPr>
              <w:pStyle w:val="Marginlie"/>
              <w:rPr>
                <w:lang w:val="en-GB"/>
              </w:rPr>
            </w:pPr>
          </w:p>
          <w:p w14:paraId="5C227AEF" w14:textId="77777777" w:rsidR="00803507" w:rsidRPr="00884D55" w:rsidRDefault="00803507" w:rsidP="00803507">
            <w:pPr>
              <w:pStyle w:val="Marginlie"/>
              <w:rPr>
                <w:lang w:val="en-GB"/>
              </w:rPr>
            </w:pPr>
          </w:p>
          <w:p w14:paraId="31D30B5A" w14:textId="77777777" w:rsidR="00803507" w:rsidRPr="00884D55" w:rsidRDefault="00803507" w:rsidP="00803507">
            <w:pPr>
              <w:pStyle w:val="Marginlie"/>
              <w:rPr>
                <w:lang w:val="en-GB"/>
              </w:rPr>
            </w:pPr>
            <w:bookmarkStart w:id="135" w:name="_Hlk195437784"/>
            <w:r w:rsidRPr="00884D55">
              <w:rPr>
                <w:lang w:val="en-GB"/>
              </w:rPr>
              <w:t xml:space="preserve">Higher payments for state-insured persons significantly strengthened the revenue side of the sickness insurance system. It thus ended up in surplus for the first time in the last six years. </w:t>
            </w:r>
          </w:p>
          <w:bookmarkEnd w:id="135"/>
          <w:p w14:paraId="08673E16" w14:textId="77777777" w:rsidR="00803507" w:rsidRPr="00884D55" w:rsidRDefault="00803507" w:rsidP="00803507">
            <w:pPr>
              <w:pStyle w:val="Marginlie"/>
              <w:rPr>
                <w:lang w:val="en-GB"/>
              </w:rPr>
            </w:pPr>
            <w:r w:rsidRPr="00884D55">
              <w:rPr>
                <w:lang w:val="en-GB"/>
              </w:rPr>
              <w:t xml:space="preserve"> </w:t>
            </w:r>
          </w:p>
        </w:tc>
        <w:tc>
          <w:tcPr>
            <w:tcW w:w="203" w:type="dxa"/>
            <w:shd w:val="clear" w:color="auto" w:fill="auto"/>
            <w:tcMar>
              <w:left w:w="0" w:type="dxa"/>
            </w:tcMar>
          </w:tcPr>
          <w:p w14:paraId="7BC582EB"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633C62A9" w14:textId="77777777" w:rsidR="00803507" w:rsidRPr="00884D55" w:rsidRDefault="00803507" w:rsidP="00803507">
            <w:pPr>
              <w:spacing w:after="210"/>
              <w:rPr>
                <w:color w:val="0D0D0D" w:themeColor="text1" w:themeTint="F2"/>
                <w:spacing w:val="-6"/>
                <w:lang w:val="en-GB"/>
              </w:rPr>
            </w:pPr>
            <w:bookmarkStart w:id="136" w:name="_Hlk195437750"/>
            <w:r w:rsidRPr="00884D55">
              <w:rPr>
                <w:color w:val="0D0D0D" w:themeColor="text1" w:themeTint="F2"/>
                <w:spacing w:val="-6"/>
                <w:lang w:val="en-GB"/>
              </w:rPr>
              <w:t>Subsidies to state funds, which were higher by 21 bn CZK (+39%), year-on-year, also contributed significantly to the growth of the SB current expenditure last year. They reflected in particular a higher allocation to transport to cover the deficit of the State Fund for Transport Infrastructure (SFTI), and to a lesser extent also to agriculture, the environment or culture. Similarly, the growth was also due to more rapidly strengthening expenditure on state debt service, which grew for the fifth year in a row and climbed to 88.5 bn CZK last year (more than doubling in the last three years). Expenditure on other non-investment purchases and related expenditure was also record-breaking last year (94.7 bn CZK</w:t>
            </w:r>
            <w:r w:rsidRPr="00884D55">
              <w:rPr>
                <w:rStyle w:val="Znakapoznpodarou"/>
                <w:color w:val="0D0D0D" w:themeColor="text1" w:themeTint="F2"/>
                <w:spacing w:val="-6"/>
                <w:lang w:val="en-GB"/>
              </w:rPr>
              <w:footnoteReference w:id="135"/>
            </w:r>
            <w:r w:rsidRPr="00884D55">
              <w:rPr>
                <w:color w:val="0D0D0D" w:themeColor="text1" w:themeTint="F2"/>
                <w:spacing w:val="-6"/>
                <w:lang w:val="en-GB"/>
              </w:rPr>
              <w:t>), and their year-on-year growth (+13 bn CZK) was largely due to defence spending, and higher expenditure on energy purchases (electricity, gas) also played a marginal role. In line with the budget anticipations, expenditure on public health insurance payments for the so-called state insured person increased by almost a tenth (+13 bn CZK) due to automatic indexation</w:t>
            </w:r>
            <w:r w:rsidRPr="00884D55">
              <w:rPr>
                <w:rStyle w:val="Znakapoznpodarou"/>
                <w:color w:val="0D0D0D" w:themeColor="text1" w:themeTint="F2"/>
                <w:spacing w:val="-6"/>
                <w:lang w:val="en-GB"/>
              </w:rPr>
              <w:footnoteReference w:id="136"/>
            </w:r>
            <w:r w:rsidRPr="00884D55">
              <w:rPr>
                <w:color w:val="0D0D0D" w:themeColor="text1" w:themeTint="F2"/>
                <w:spacing w:val="-6"/>
                <w:lang w:val="en-GB"/>
              </w:rPr>
              <w:t>. Thanks to this strengthening, relatively the highest in the last three years, the total balance of sickness insurance</w:t>
            </w:r>
            <w:r w:rsidRPr="00884D55">
              <w:rPr>
                <w:rStyle w:val="Znakapoznpodarou"/>
                <w:color w:val="0D0D0D" w:themeColor="text1" w:themeTint="F2"/>
                <w:spacing w:val="-5"/>
                <w:lang w:val="en-GB"/>
              </w:rPr>
              <w:footnoteReference w:id="137"/>
            </w:r>
            <w:r w:rsidRPr="00884D55">
              <w:rPr>
                <w:color w:val="0D0D0D" w:themeColor="text1" w:themeTint="F2"/>
                <w:spacing w:val="-6"/>
                <w:lang w:val="en-GB"/>
              </w:rPr>
              <w:t xml:space="preserve"> ended in surplus last year (+10 bn CZK) for the first time since 2018. Only a very slight increase of expenditure (up to 4%) occurred both in contributory organisations (especially public universities and research institutions) and in non-profit institutions (especially for sports, other leisure activities and social services). Expenditure on salaries in the organisational units of the state last year, as in 2021 and 2022, was de facto stagnating, year-on-year. Last year's expenditure reflected an across-the-board reduction of 2% related to the implementation of the consolidation package</w:t>
            </w:r>
            <w:r w:rsidRPr="00884D55">
              <w:rPr>
                <w:rStyle w:val="Znakapoznpodarou"/>
                <w:color w:val="0D0D0D" w:themeColor="text1" w:themeTint="F2"/>
                <w:spacing w:val="-6"/>
                <w:lang w:val="en-GB"/>
              </w:rPr>
              <w:footnoteReference w:id="138"/>
            </w:r>
            <w:r w:rsidRPr="00884D55">
              <w:rPr>
                <w:color w:val="0D0D0D" w:themeColor="text1" w:themeTint="F2"/>
                <w:spacing w:val="-6"/>
                <w:lang w:val="en-GB"/>
              </w:rPr>
              <w:t xml:space="preserve">. </w:t>
            </w:r>
            <w:bookmarkEnd w:id="136"/>
          </w:p>
        </w:tc>
      </w:tr>
      <w:tr w:rsidR="00803507" w:rsidRPr="00884D55" w14:paraId="5D250BB6" w14:textId="77777777" w:rsidTr="00803507">
        <w:trPr>
          <w:trHeight w:val="170"/>
        </w:trPr>
        <w:tc>
          <w:tcPr>
            <w:tcW w:w="1810" w:type="dxa"/>
            <w:shd w:val="clear" w:color="auto" w:fill="auto"/>
            <w:tcMar>
              <w:left w:w="0" w:type="dxa"/>
            </w:tcMar>
          </w:tcPr>
          <w:p w14:paraId="4313F00D" w14:textId="77777777" w:rsidR="00803507" w:rsidRPr="00884D55" w:rsidRDefault="00803507" w:rsidP="00803507">
            <w:pPr>
              <w:pStyle w:val="Marginlie"/>
              <w:rPr>
                <w:spacing w:val="-5"/>
                <w:lang w:val="en-GB"/>
              </w:rPr>
            </w:pPr>
            <w:bookmarkStart w:id="139" w:name="_Hlk195454392"/>
            <w:r w:rsidRPr="00884D55">
              <w:rPr>
                <w:spacing w:val="-5"/>
                <w:lang w:val="en-GB"/>
              </w:rPr>
              <w:t xml:space="preserve">Subsidies to entrepreneurs fell by half, year-on-year, and their volume was at a five-year low. </w:t>
            </w:r>
            <w:bookmarkEnd w:id="139"/>
          </w:p>
        </w:tc>
        <w:tc>
          <w:tcPr>
            <w:tcW w:w="203" w:type="dxa"/>
            <w:shd w:val="clear" w:color="auto" w:fill="auto"/>
            <w:tcMar>
              <w:left w:w="0" w:type="dxa"/>
            </w:tcMar>
          </w:tcPr>
          <w:p w14:paraId="6EECF31E"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1337C248" w14:textId="77777777" w:rsidR="00803507" w:rsidRPr="00884D55" w:rsidRDefault="00803507" w:rsidP="00803507">
            <w:pPr>
              <w:spacing w:after="210"/>
              <w:rPr>
                <w:color w:val="0D0D0D" w:themeColor="text1" w:themeTint="F2"/>
                <w:spacing w:val="-6"/>
                <w:lang w:val="en-GB"/>
              </w:rPr>
            </w:pPr>
            <w:bookmarkStart w:id="140" w:name="_Hlk195454416"/>
            <w:r w:rsidRPr="00884D55">
              <w:rPr>
                <w:color w:val="0D0D0D" w:themeColor="text1" w:themeTint="F2"/>
                <w:spacing w:val="-6"/>
                <w:lang w:val="en-GB"/>
              </w:rPr>
              <w:t xml:space="preserve">The expenditure side of the SB was most affected by current transfers to businesses last year, which fell by 52% compared to the record level of 2023 (138 bn CZK). At the same time, their last year's volume slightly exceeded (+15%) the drawing from the pre-crisis years of 2018 and 2019. The sharp decrease of most energy subsidies largely stood behind the slump in year 2024. These, including support for renewable energy sources (RES), reached 27 bn CZK last year, compared to 94 bn CZK a year earlier. The largest year-on-year savings on the SB side were recorded in compensation for the supply of electricity and gas to customers and losses flowing from the ceiling on their prices (45 bn CZK), while expenditure on advance subsidies to support RES decreased by only 0.4 bn CZK (−2%). In addition, last year's decrease of subsidies to entrepreneurs is related to lower support for joint EU-Czech programmes (−4.4 bn CZK), solely due to the end of the previous EU programming period. </w:t>
            </w:r>
            <w:bookmarkEnd w:id="140"/>
          </w:p>
        </w:tc>
      </w:tr>
      <w:tr w:rsidR="00803507" w:rsidRPr="00884D55" w14:paraId="70C8FEB7" w14:textId="77777777" w:rsidTr="00803507">
        <w:trPr>
          <w:trHeight w:val="170"/>
        </w:trPr>
        <w:tc>
          <w:tcPr>
            <w:tcW w:w="1810" w:type="dxa"/>
            <w:shd w:val="clear" w:color="auto" w:fill="auto"/>
            <w:tcMar>
              <w:left w:w="0" w:type="dxa"/>
            </w:tcMar>
          </w:tcPr>
          <w:p w14:paraId="713F30DD" w14:textId="77777777" w:rsidR="00803507" w:rsidRPr="00884D55" w:rsidRDefault="00803507" w:rsidP="00803507">
            <w:pPr>
              <w:pStyle w:val="Marginlie"/>
              <w:rPr>
                <w:spacing w:val="-5"/>
                <w:lang w:val="en-GB"/>
              </w:rPr>
            </w:pPr>
            <w:bookmarkStart w:id="141" w:name="_Hlk195457058"/>
            <w:r w:rsidRPr="00884D55">
              <w:rPr>
                <w:lang w:val="en-GB"/>
              </w:rPr>
              <w:t>Total current subsidies to regional budgets decreased, despite a slight increase of expenditure on the salaries of workers in regional education.</w:t>
            </w:r>
            <w:bookmarkStart w:id="142" w:name="_Hlk195457066"/>
            <w:bookmarkEnd w:id="141"/>
            <w:r w:rsidRPr="00884D55">
              <w:rPr>
                <w:lang w:val="en-GB"/>
              </w:rPr>
              <w:t xml:space="preserve"> </w:t>
            </w:r>
            <w:bookmarkEnd w:id="142"/>
          </w:p>
        </w:tc>
        <w:tc>
          <w:tcPr>
            <w:tcW w:w="203" w:type="dxa"/>
            <w:shd w:val="clear" w:color="auto" w:fill="auto"/>
            <w:tcMar>
              <w:left w:w="0" w:type="dxa"/>
            </w:tcMar>
          </w:tcPr>
          <w:p w14:paraId="20426FC5"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2FC6982F" w14:textId="77777777" w:rsidR="00803507" w:rsidRPr="00884D55" w:rsidRDefault="00803507" w:rsidP="00803507">
            <w:pPr>
              <w:spacing w:after="210"/>
              <w:rPr>
                <w:color w:val="0D0D0D" w:themeColor="text1" w:themeTint="F2"/>
                <w:spacing w:val="-6"/>
                <w:lang w:val="en-GB"/>
              </w:rPr>
            </w:pPr>
            <w:bookmarkStart w:id="143" w:name="_Hlk195457304"/>
            <w:r w:rsidRPr="00884D55">
              <w:rPr>
                <w:color w:val="0D0D0D" w:themeColor="text1" w:themeTint="F2"/>
                <w:spacing w:val="-5"/>
                <w:lang w:val="en-GB"/>
              </w:rPr>
              <w:t>Current transfers to regional budgets with a significant weight</w:t>
            </w:r>
            <w:r w:rsidRPr="00884D55">
              <w:rPr>
                <w:rStyle w:val="Znakapoznpodarou"/>
                <w:color w:val="0D0D0D" w:themeColor="text1" w:themeTint="F2"/>
                <w:spacing w:val="-5"/>
                <w:lang w:val="en-GB"/>
              </w:rPr>
              <w:footnoteReference w:id="139"/>
            </w:r>
            <w:r w:rsidRPr="00884D55">
              <w:rPr>
                <w:color w:val="0D0D0D" w:themeColor="text1" w:themeTint="F2"/>
                <w:spacing w:val="-5"/>
                <w:lang w:val="en-GB"/>
              </w:rPr>
              <w:t xml:space="preserve"> also decreased last year (−2.4% and −6.3 bn CZK, respectively), which occurred for the first time in the last 12 years</w:t>
            </w:r>
            <w:r w:rsidRPr="00884D55">
              <w:rPr>
                <w:rStyle w:val="Znakapoznpodarou"/>
                <w:color w:val="0D0D0D" w:themeColor="text1" w:themeTint="F2"/>
                <w:spacing w:val="-5"/>
                <w:lang w:val="en-GB"/>
              </w:rPr>
              <w:footnoteReference w:id="140"/>
            </w:r>
            <w:r w:rsidRPr="00884D55">
              <w:rPr>
                <w:color w:val="0D0D0D" w:themeColor="text1" w:themeTint="F2"/>
                <w:spacing w:val="-5"/>
                <w:lang w:val="en-GB"/>
              </w:rPr>
              <w:t>. Last year's decrease was mainly caused by the lower expenditure on European projects, especially in the area of education (−8.4 bn CZK) and a decreasing contribution to the accommodation of persons under temporary protection (−5.1 bn).</w:t>
            </w:r>
            <w:bookmarkEnd w:id="143"/>
            <w:r w:rsidRPr="00884D55">
              <w:rPr>
                <w:color w:val="0D0D0D" w:themeColor="text1" w:themeTint="F2"/>
                <w:spacing w:val="-5"/>
                <w:lang w:val="en-GB"/>
              </w:rPr>
              <w:t xml:space="preserve"> </w:t>
            </w:r>
            <w:bookmarkStart w:id="146" w:name="_Hlk195458111"/>
            <w:r w:rsidRPr="00884D55">
              <w:rPr>
                <w:color w:val="0D0D0D" w:themeColor="text1" w:themeTint="F2"/>
                <w:spacing w:val="-5"/>
                <w:lang w:val="en-GB"/>
              </w:rPr>
              <w:t xml:space="preserve">Expenditure on the co-financing of social services remained at the level of year 2023. On the contrary, the key item – subsidies for regional education – comprising mainly expenditure on the salaries of its employees, continued to grow (+3%, +6 bn CZK), which, however, was more moderate than in previous years. </w:t>
            </w:r>
            <w:bookmarkEnd w:id="146"/>
          </w:p>
        </w:tc>
      </w:tr>
      <w:tr w:rsidR="00803507" w:rsidRPr="00884D55" w14:paraId="09172C45" w14:textId="77777777" w:rsidTr="00803507">
        <w:trPr>
          <w:trHeight w:val="170"/>
        </w:trPr>
        <w:tc>
          <w:tcPr>
            <w:tcW w:w="1810" w:type="dxa"/>
            <w:shd w:val="clear" w:color="auto" w:fill="auto"/>
            <w:tcMar>
              <w:left w:w="0" w:type="dxa"/>
            </w:tcMar>
          </w:tcPr>
          <w:p w14:paraId="69E0A2CC" w14:textId="77777777" w:rsidR="00803507" w:rsidRPr="00884D55" w:rsidRDefault="00803507" w:rsidP="00803507">
            <w:pPr>
              <w:pStyle w:val="Marginlie"/>
              <w:rPr>
                <w:lang w:val="en-GB"/>
              </w:rPr>
            </w:pPr>
            <w:bookmarkStart w:id="147" w:name="_Hlk195457514"/>
            <w:r w:rsidRPr="00884D55">
              <w:rPr>
                <w:lang w:val="en-GB"/>
              </w:rPr>
              <w:t xml:space="preserve">The long-term growth of the Czech Republic's contributions to the EU budget stopped last year. </w:t>
            </w:r>
          </w:p>
          <w:bookmarkEnd w:id="147"/>
          <w:p w14:paraId="69D250BC" w14:textId="77777777" w:rsidR="00803507" w:rsidRPr="00884D55" w:rsidRDefault="00803507" w:rsidP="00803507">
            <w:pPr>
              <w:pStyle w:val="Marginlie"/>
              <w:rPr>
                <w:lang w:val="en-GB"/>
              </w:rPr>
            </w:pPr>
          </w:p>
          <w:p w14:paraId="44703A54" w14:textId="77777777" w:rsidR="00803507" w:rsidRPr="00884D55" w:rsidRDefault="00803507" w:rsidP="00803507">
            <w:pPr>
              <w:pStyle w:val="Marginlie"/>
              <w:rPr>
                <w:lang w:val="en-GB"/>
              </w:rPr>
            </w:pPr>
          </w:p>
          <w:p w14:paraId="207A6FED" w14:textId="77777777" w:rsidR="00803507" w:rsidRPr="00884D55" w:rsidRDefault="00803507" w:rsidP="00803507">
            <w:pPr>
              <w:pStyle w:val="Marginlie"/>
              <w:rPr>
                <w:lang w:val="en-GB"/>
              </w:rPr>
            </w:pPr>
          </w:p>
          <w:p w14:paraId="14248E8C" w14:textId="77777777" w:rsidR="00803507" w:rsidRPr="00884D55" w:rsidRDefault="00803507" w:rsidP="00803507">
            <w:pPr>
              <w:pStyle w:val="Marginlie"/>
              <w:rPr>
                <w:lang w:val="en-GB"/>
              </w:rPr>
            </w:pPr>
          </w:p>
          <w:p w14:paraId="597D5438" w14:textId="77777777" w:rsidR="00803507" w:rsidRPr="00884D55" w:rsidRDefault="00803507" w:rsidP="00803507">
            <w:pPr>
              <w:pStyle w:val="Marginlie"/>
              <w:rPr>
                <w:spacing w:val="-5"/>
                <w:lang w:val="en-GB"/>
              </w:rPr>
            </w:pPr>
            <w:bookmarkStart w:id="148" w:name="_Hlk195458324"/>
            <w:r w:rsidRPr="00884D55">
              <w:rPr>
                <w:lang w:val="en-GB"/>
              </w:rPr>
              <w:t xml:space="preserve">More than 15 bn CZK had been paid out as extraordinary expenditure on dealing with the consequences of the floods by the end of the year. </w:t>
            </w:r>
            <w:bookmarkEnd w:id="148"/>
            <w:r w:rsidRPr="00884D55">
              <w:rPr>
                <w:lang w:val="en-GB"/>
              </w:rPr>
              <w:t xml:space="preserve"> </w:t>
            </w:r>
          </w:p>
        </w:tc>
        <w:tc>
          <w:tcPr>
            <w:tcW w:w="203" w:type="dxa"/>
            <w:shd w:val="clear" w:color="auto" w:fill="auto"/>
            <w:tcMar>
              <w:left w:w="0" w:type="dxa"/>
            </w:tcMar>
          </w:tcPr>
          <w:p w14:paraId="3814CD7F"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111C6339" w14:textId="77777777" w:rsidR="00803507" w:rsidRPr="00884D55" w:rsidRDefault="00803507" w:rsidP="00803507">
            <w:pPr>
              <w:spacing w:after="210"/>
              <w:rPr>
                <w:color w:val="0D0D0D" w:themeColor="text1" w:themeTint="F2"/>
                <w:spacing w:val="-6"/>
                <w:lang w:val="en-GB"/>
              </w:rPr>
            </w:pPr>
            <w:bookmarkStart w:id="149" w:name="_Hlk195457538"/>
            <w:r w:rsidRPr="00884D55">
              <w:rPr>
                <w:color w:val="0D0D0D" w:themeColor="text1" w:themeTint="F2"/>
                <w:spacing w:val="-5"/>
                <w:lang w:val="en-GB"/>
              </w:rPr>
              <w:t>Contrary to budgetary anticipations, the Czech Republic's own resources contributions to the EU budget also fell, year-on-year, last year (−12%, −7 bn CZK). The SB "saved" an order of magnitude less on the support of building savings and contributions to supplementary pension insurance (expenditure on both of these instruments decreased for the second year in a row, while their decline deepened last year (to -9% and -10%, respectively). The total allocation to these instruments stagnated in the last decade (around 11 bn CZK per year). Other current expenditure, covering a diverse range of items, in contrast increased last year. The unplanned expenditure on dealing with the consequences of the September floods were the cause. The SB spent 15.4 bn CZK on these purposes by the end of last year (out of a total of 30 bn CZK, by which the total expenditure in the amended budget was increased), half was directed to the renewal of transport and technical infrastructure, the rest mainly to mitigate damage to other state property or targeted assistance to both households and businesses.</w:t>
            </w:r>
            <w:bookmarkEnd w:id="149"/>
          </w:p>
        </w:tc>
      </w:tr>
      <w:tr w:rsidR="00803507" w:rsidRPr="00884D55" w14:paraId="7348863B" w14:textId="77777777" w:rsidTr="00803507">
        <w:trPr>
          <w:trHeight w:val="170"/>
        </w:trPr>
        <w:tc>
          <w:tcPr>
            <w:tcW w:w="1810" w:type="dxa"/>
            <w:shd w:val="clear" w:color="auto" w:fill="auto"/>
            <w:tcMar>
              <w:left w:w="0" w:type="dxa"/>
            </w:tcMar>
          </w:tcPr>
          <w:p w14:paraId="590A0D22" w14:textId="77777777" w:rsidR="00803507" w:rsidRPr="00884D55" w:rsidRDefault="00803507" w:rsidP="00803507">
            <w:pPr>
              <w:pStyle w:val="Marginlie"/>
              <w:rPr>
                <w:lang w:val="en-GB"/>
              </w:rPr>
            </w:pPr>
            <w:r w:rsidRPr="00884D55">
              <w:rPr>
                <w:lang w:val="en-GB"/>
              </w:rPr>
              <w:t xml:space="preserve">Capital outlays fell only negligibly last year, thanks to intensive drawdown at the end of the year. Investment purchases increased dramatically, especially in the defence area. Subsidies to state funds, regional budgets as well as entrepreneurs decreased, mainly due to a slower launch of the drawing of European funds. </w:t>
            </w:r>
          </w:p>
        </w:tc>
        <w:tc>
          <w:tcPr>
            <w:tcW w:w="203" w:type="dxa"/>
            <w:shd w:val="clear" w:color="auto" w:fill="auto"/>
            <w:tcMar>
              <w:left w:w="0" w:type="dxa"/>
            </w:tcMar>
          </w:tcPr>
          <w:p w14:paraId="71A6C8C9"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704D799E" w14:textId="77777777" w:rsidR="00803507" w:rsidRDefault="00803507" w:rsidP="00803507">
            <w:pPr>
              <w:spacing w:after="210"/>
              <w:rPr>
                <w:color w:val="0D0D0D" w:themeColor="text1" w:themeTint="F2"/>
                <w:spacing w:val="-5"/>
                <w:lang w:val="en-GB"/>
              </w:rPr>
            </w:pPr>
            <w:bookmarkStart w:id="150" w:name="_Hlk195459328"/>
            <w:r w:rsidRPr="00884D55">
              <w:rPr>
                <w:color w:val="0D0D0D" w:themeColor="text1" w:themeTint="F2"/>
                <w:spacing w:val="-5"/>
                <w:lang w:val="en-GB"/>
              </w:rPr>
              <w:t>The SB's capital outlays decreased slightly last year after double-digit growth in 2023, falling, year-on-year, for the first time in seven years. Although last year's decline of investment was anticipated in the budget</w:t>
            </w:r>
            <w:r w:rsidRPr="00884D55">
              <w:rPr>
                <w:rStyle w:val="Znakapoznpodarou"/>
                <w:color w:val="0D0D0D" w:themeColor="text1" w:themeTint="F2"/>
                <w:spacing w:val="-5"/>
                <w:lang w:val="en-GB"/>
              </w:rPr>
              <w:footnoteReference w:id="141"/>
            </w:r>
            <w:r w:rsidRPr="00884D55">
              <w:rPr>
                <w:color w:val="0D0D0D" w:themeColor="text1" w:themeTint="F2"/>
                <w:spacing w:val="-5"/>
                <w:lang w:val="en-GB"/>
              </w:rPr>
              <w:t>, its actual depth was only 0.2% (−0.3 bn CZK). There was an unusually intensive drawdown at the very end of the year</w:t>
            </w:r>
            <w:r w:rsidRPr="00884D55">
              <w:rPr>
                <w:rStyle w:val="Znakapoznpodarou"/>
                <w:color w:val="0D0D0D" w:themeColor="text1" w:themeTint="F2"/>
                <w:spacing w:val="-5"/>
                <w:lang w:val="en-GB"/>
              </w:rPr>
              <w:footnoteReference w:id="142"/>
            </w:r>
            <w:r w:rsidRPr="00884D55">
              <w:rPr>
                <w:color w:val="0D0D0D" w:themeColor="text1" w:themeTint="F2"/>
                <w:spacing w:val="-5"/>
                <w:lang w:val="en-GB"/>
              </w:rPr>
              <w:t>. Given the transition to the new EU programming period, it is not surprising that the investments for which the Czech Republic is expected to be reimbursed by the EU in the future fell to 82 bn CZK (−17 bn) for the whole of last year. On the contrary, investments purely from national sources similarly strengthened (from 111 bn CZK to 128 bn CZK). The increase of the weight of national resources is closely related to the sharp increase in defence spending in order to meet the obligations arising from the Czech Republic's membership in NATO</w:t>
            </w:r>
            <w:r w:rsidRPr="00884D55">
              <w:rPr>
                <w:rStyle w:val="Znakapoznpodarou"/>
                <w:color w:val="0D0D0D" w:themeColor="text1" w:themeTint="F2"/>
                <w:spacing w:val="-5"/>
                <w:lang w:val="en-GB"/>
              </w:rPr>
              <w:footnoteReference w:id="143"/>
            </w:r>
            <w:r w:rsidRPr="00884D55">
              <w:rPr>
                <w:color w:val="0D0D0D" w:themeColor="text1" w:themeTint="F2"/>
                <w:spacing w:val="-5"/>
                <w:lang w:val="en-GB"/>
              </w:rPr>
              <w:t xml:space="preserve">. Investments in this area rose to 64 bn CZK (+37 bn, year-on-year), mainly comprising of military purchases. 57 bn CZK went to transportation, of which the decisive part was investment subsidies to the SFTI, the amount of which, however, decreased by 12%, year-on-year. In terms of type breakdown, the total investment of the SB directed to state funds (−16.7 bn CZK), regional budgets (−5.4 bn), entrepreneurs (−4.5 bn) as well as non-profit organizations decreased last year. The total investments of the SB formed 9.4% of all budget expenditures last year, i.e. comparably to the previous six years. This represents an average share in the long-term context (over the last two decades). </w:t>
            </w:r>
            <w:bookmarkEnd w:id="150"/>
          </w:p>
          <w:p w14:paraId="2671B564" w14:textId="0322FCEB" w:rsidR="00556A6D" w:rsidRPr="00884D55" w:rsidRDefault="00556A6D" w:rsidP="00803507">
            <w:pPr>
              <w:spacing w:after="210"/>
              <w:rPr>
                <w:color w:val="0D0D0D" w:themeColor="text1" w:themeTint="F2"/>
                <w:spacing w:val="-5"/>
                <w:lang w:val="en-GB"/>
              </w:rPr>
            </w:pPr>
          </w:p>
        </w:tc>
      </w:tr>
      <w:tr w:rsidR="00803507" w:rsidRPr="00884D55" w14:paraId="1C4BE46A" w14:textId="77777777" w:rsidTr="00803507">
        <w:trPr>
          <w:trHeight w:val="170"/>
        </w:trPr>
        <w:tc>
          <w:tcPr>
            <w:tcW w:w="1810" w:type="dxa"/>
            <w:shd w:val="clear" w:color="auto" w:fill="auto"/>
            <w:tcMar>
              <w:left w:w="0" w:type="dxa"/>
            </w:tcMar>
          </w:tcPr>
          <w:p w14:paraId="40527B85" w14:textId="77777777" w:rsidR="00803507" w:rsidRPr="00884D55" w:rsidRDefault="00803507" w:rsidP="00803507">
            <w:pPr>
              <w:pStyle w:val="Marginlie"/>
              <w:rPr>
                <w:lang w:val="en-GB"/>
              </w:rPr>
            </w:pPr>
          </w:p>
        </w:tc>
        <w:tc>
          <w:tcPr>
            <w:tcW w:w="203" w:type="dxa"/>
            <w:shd w:val="clear" w:color="auto" w:fill="auto"/>
            <w:tcMar>
              <w:left w:w="0" w:type="dxa"/>
            </w:tcMar>
          </w:tcPr>
          <w:p w14:paraId="37598159"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7FC3F99C" w14:textId="77777777" w:rsidR="00803507" w:rsidRPr="00884D55" w:rsidRDefault="00803507" w:rsidP="00803507">
            <w:pPr>
              <w:spacing w:after="0"/>
              <w:rPr>
                <w:color w:val="0D0D0D" w:themeColor="text1" w:themeTint="F2"/>
                <w:spacing w:val="-3"/>
                <w:lang w:val="en-GB"/>
              </w:rPr>
            </w:pPr>
            <w:r w:rsidRPr="00884D55">
              <w:rPr>
                <w:b/>
                <w:lang w:val="en-GB"/>
              </w:rPr>
              <w:t xml:space="preserve">Chart 19 </w:t>
            </w:r>
            <w:r w:rsidRPr="00884D55">
              <w:rPr>
                <w:rFonts w:cs="Arial"/>
                <w:b/>
                <w:bCs/>
                <w:spacing w:val="-6"/>
                <w:lang w:val="en-GB"/>
              </w:rPr>
              <w:t>Selected expenditures of the state budget in the annual perspective</w:t>
            </w:r>
          </w:p>
        </w:tc>
      </w:tr>
      <w:tr w:rsidR="00803507" w:rsidRPr="00884D55" w14:paraId="727A905C" w14:textId="77777777" w:rsidTr="00ED4FDC">
        <w:tblPrEx>
          <w:tblCellMar>
            <w:left w:w="70" w:type="dxa"/>
            <w:right w:w="70" w:type="dxa"/>
          </w:tblCellMar>
        </w:tblPrEx>
        <w:trPr>
          <w:trHeight w:val="170"/>
        </w:trPr>
        <w:tc>
          <w:tcPr>
            <w:tcW w:w="1810" w:type="dxa"/>
            <w:shd w:val="clear" w:color="auto" w:fill="auto"/>
          </w:tcPr>
          <w:p w14:paraId="26866B09" w14:textId="77777777" w:rsidR="00803507" w:rsidRPr="00884D55" w:rsidRDefault="00803507" w:rsidP="00803507">
            <w:pPr>
              <w:pStyle w:val="Marginlie"/>
              <w:rPr>
                <w:lang w:val="en-GB"/>
              </w:rPr>
            </w:pPr>
          </w:p>
        </w:tc>
        <w:tc>
          <w:tcPr>
            <w:tcW w:w="203" w:type="dxa"/>
            <w:shd w:val="clear" w:color="auto" w:fill="auto"/>
          </w:tcPr>
          <w:p w14:paraId="0DC4F869" w14:textId="77777777" w:rsidR="00803507" w:rsidRPr="00884D55" w:rsidRDefault="00803507" w:rsidP="00803507">
            <w:pPr>
              <w:pStyle w:val="Textpoznpodarou"/>
              <w:jc w:val="both"/>
              <w:rPr>
                <w:spacing w:val="-4"/>
                <w:lang w:val="en-GB"/>
              </w:rPr>
            </w:pPr>
          </w:p>
        </w:tc>
        <w:tc>
          <w:tcPr>
            <w:tcW w:w="7656" w:type="dxa"/>
            <w:shd w:val="clear" w:color="auto" w:fill="auto"/>
          </w:tcPr>
          <w:p w14:paraId="587A9A34" w14:textId="0160CCB1" w:rsidR="00803507" w:rsidRPr="00884D55" w:rsidRDefault="00ED4FDC" w:rsidP="00803507">
            <w:pPr>
              <w:spacing w:before="40" w:after="0"/>
              <w:rPr>
                <w:color w:val="0D0D0D" w:themeColor="text1" w:themeTint="F2"/>
                <w:spacing w:val="-3"/>
                <w:lang w:val="en-GB"/>
              </w:rPr>
            </w:pPr>
            <w:r>
              <w:rPr>
                <w:noProof/>
              </w:rPr>
              <w:drawing>
                <wp:inline distT="0" distB="0" distL="0" distR="0" wp14:anchorId="79994D15" wp14:editId="092F13F9">
                  <wp:extent cx="4772660" cy="3220085"/>
                  <wp:effectExtent l="0" t="0" r="8890" b="0"/>
                  <wp:docPr id="1221468730" name="Graf 1">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803507" w:rsidRPr="00884D55" w14:paraId="48E12690" w14:textId="77777777" w:rsidTr="00803507">
        <w:trPr>
          <w:trHeight w:val="170"/>
        </w:trPr>
        <w:tc>
          <w:tcPr>
            <w:tcW w:w="1810" w:type="dxa"/>
            <w:shd w:val="clear" w:color="auto" w:fill="auto"/>
            <w:tcMar>
              <w:left w:w="0" w:type="dxa"/>
            </w:tcMar>
          </w:tcPr>
          <w:p w14:paraId="63010099" w14:textId="77777777" w:rsidR="00803507" w:rsidRPr="00884D55" w:rsidRDefault="00803507" w:rsidP="00803507">
            <w:pPr>
              <w:pStyle w:val="Marginlie"/>
              <w:rPr>
                <w:lang w:val="en-GB"/>
              </w:rPr>
            </w:pPr>
          </w:p>
        </w:tc>
        <w:tc>
          <w:tcPr>
            <w:tcW w:w="203" w:type="dxa"/>
            <w:shd w:val="clear" w:color="auto" w:fill="auto"/>
            <w:tcMar>
              <w:left w:w="0" w:type="dxa"/>
            </w:tcMar>
          </w:tcPr>
          <w:p w14:paraId="3880CC11"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402183E3" w14:textId="77777777" w:rsidR="00803507" w:rsidRPr="00884D55" w:rsidRDefault="00803507" w:rsidP="00803507">
            <w:pPr>
              <w:pStyle w:val="Textpoznpodarou"/>
              <w:jc w:val="both"/>
              <w:rPr>
                <w:spacing w:val="-4"/>
                <w:sz w:val="14"/>
                <w:szCs w:val="14"/>
                <w:lang w:val="en-GB"/>
              </w:rPr>
            </w:pPr>
            <w:r w:rsidRPr="00884D55">
              <w:rPr>
                <w:sz w:val="14"/>
                <w:szCs w:val="14"/>
                <w:lang w:val="en-GB"/>
              </w:rPr>
              <w:t xml:space="preserve">* </w:t>
            </w:r>
            <w:r w:rsidRPr="00884D55">
              <w:rPr>
                <w:spacing w:val="-6"/>
                <w:sz w:val="14"/>
                <w:szCs w:val="14"/>
                <w:lang w:val="en-GB"/>
              </w:rPr>
              <w:t>Covers expenditures on salaries in central government institutions. Does not include e.g. wage costs of regional education.</w:t>
            </w:r>
          </w:p>
          <w:p w14:paraId="60CD81E4" w14:textId="77777777" w:rsidR="00803507" w:rsidRPr="00884D55" w:rsidRDefault="00803507" w:rsidP="00803507">
            <w:pPr>
              <w:pStyle w:val="Textpoznpodarou"/>
              <w:jc w:val="both"/>
              <w:rPr>
                <w:spacing w:val="-6"/>
                <w:sz w:val="14"/>
                <w:szCs w:val="14"/>
                <w:lang w:val="en-GB"/>
              </w:rPr>
            </w:pPr>
            <w:r w:rsidRPr="00884D55">
              <w:rPr>
                <w:spacing w:val="-6"/>
                <w:sz w:val="14"/>
                <w:szCs w:val="14"/>
                <w:lang w:val="en-GB"/>
              </w:rPr>
              <w:t>**Also includes the foster care benefits.</w:t>
            </w:r>
          </w:p>
          <w:p w14:paraId="46FCED48" w14:textId="77777777" w:rsidR="00803507" w:rsidRPr="00884D55" w:rsidRDefault="00803507" w:rsidP="00803507">
            <w:pPr>
              <w:pStyle w:val="Textpoznpodarou"/>
              <w:jc w:val="both"/>
              <w:rPr>
                <w:spacing w:val="-6"/>
                <w:sz w:val="14"/>
                <w:szCs w:val="14"/>
                <w:lang w:val="en-GB"/>
              </w:rPr>
            </w:pPr>
            <w:r w:rsidRPr="00884D55">
              <w:rPr>
                <w:spacing w:val="-6"/>
                <w:sz w:val="14"/>
                <w:szCs w:val="14"/>
                <w:lang w:val="en-GB"/>
              </w:rPr>
              <w:t>***Include Material deprivation assistance benefits, Benefits for people with disabilities, Care benefits based on Act on State Social Support. Humanitarian aid provided for citizens of Ukraine is also included here.</w:t>
            </w:r>
          </w:p>
          <w:p w14:paraId="7027BABF" w14:textId="77777777" w:rsidR="00803507" w:rsidRPr="00884D55" w:rsidRDefault="00803507" w:rsidP="00803507">
            <w:pPr>
              <w:pStyle w:val="Textpoznpodarou"/>
              <w:jc w:val="both"/>
              <w:rPr>
                <w:spacing w:val="-6"/>
                <w:sz w:val="14"/>
                <w:szCs w:val="14"/>
                <w:lang w:val="en-GB"/>
              </w:rPr>
            </w:pPr>
            <w:r w:rsidRPr="00884D55">
              <w:rPr>
                <w:spacing w:val="-6"/>
                <w:sz w:val="14"/>
                <w:szCs w:val="14"/>
                <w:lang w:val="en-GB"/>
              </w:rPr>
              <w:t>****Contains mainly expenditures on purchase of services, materials, energies or other services (e.g. expenditures on repairs and maintenance).</w:t>
            </w:r>
          </w:p>
          <w:p w14:paraId="3F341830" w14:textId="77777777" w:rsidR="00803507" w:rsidRPr="00884D55" w:rsidRDefault="00803507" w:rsidP="00803507">
            <w:pPr>
              <w:pStyle w:val="Textpoznpodarou"/>
              <w:jc w:val="both"/>
              <w:rPr>
                <w:spacing w:val="-4"/>
                <w:sz w:val="14"/>
                <w:szCs w:val="14"/>
                <w:lang w:val="en-GB"/>
              </w:rPr>
            </w:pPr>
            <w:r w:rsidRPr="00884D55">
              <w:rPr>
                <w:spacing w:val="-6"/>
                <w:sz w:val="14"/>
                <w:szCs w:val="14"/>
                <w:lang w:val="en-GB"/>
              </w:rPr>
              <w:t>*****Net expenditures correspond to the balance of the budget chapter State debt (No. 396).</w:t>
            </w:r>
          </w:p>
          <w:p w14:paraId="3EA130FD" w14:textId="38C1020A" w:rsidR="00803507" w:rsidRPr="00273170" w:rsidRDefault="00803507" w:rsidP="00273170">
            <w:pPr>
              <w:pStyle w:val="Textpoznpodarou"/>
              <w:spacing w:after="180"/>
              <w:rPr>
                <w:sz w:val="14"/>
                <w:szCs w:val="14"/>
                <w:lang w:val="en-GB"/>
              </w:rPr>
            </w:pPr>
            <w:r w:rsidRPr="00884D55">
              <w:rPr>
                <w:sz w:val="14"/>
                <w:szCs w:val="14"/>
                <w:lang w:val="en-GB"/>
              </w:rPr>
              <w:t>Source: MF CR</w:t>
            </w:r>
          </w:p>
        </w:tc>
      </w:tr>
      <w:tr w:rsidR="00803507" w:rsidRPr="00884D55" w14:paraId="3B590B4A" w14:textId="77777777" w:rsidTr="00803507">
        <w:trPr>
          <w:trHeight w:val="170"/>
        </w:trPr>
        <w:tc>
          <w:tcPr>
            <w:tcW w:w="1810" w:type="dxa"/>
            <w:shd w:val="clear" w:color="auto" w:fill="auto"/>
            <w:tcMar>
              <w:left w:w="0" w:type="dxa"/>
            </w:tcMar>
          </w:tcPr>
          <w:p w14:paraId="00913530" w14:textId="77777777" w:rsidR="00803507" w:rsidRPr="00884D55" w:rsidRDefault="00803507" w:rsidP="00803507">
            <w:pPr>
              <w:pStyle w:val="Marginlie"/>
              <w:rPr>
                <w:lang w:val="en-GB"/>
              </w:rPr>
            </w:pPr>
            <w:bookmarkStart w:id="151" w:name="_Hlk195463436"/>
            <w:r w:rsidRPr="00884D55">
              <w:rPr>
                <w:lang w:val="en-GB"/>
              </w:rPr>
              <w:t xml:space="preserve">Despite the sharp decrease of revenues from the EU budget, the Czech Republic remains in the position of a net beneficiary in relation to the EU. </w:t>
            </w:r>
          </w:p>
          <w:bookmarkEnd w:id="151"/>
          <w:p w14:paraId="5DB221DE" w14:textId="77777777" w:rsidR="00803507" w:rsidRPr="00884D55" w:rsidRDefault="00803507" w:rsidP="00803507">
            <w:pPr>
              <w:pStyle w:val="Marginlie"/>
              <w:rPr>
                <w:lang w:val="en-GB"/>
              </w:rPr>
            </w:pPr>
          </w:p>
          <w:p w14:paraId="15CA1AAB" w14:textId="77777777" w:rsidR="00803507" w:rsidRPr="00884D55" w:rsidRDefault="00803507" w:rsidP="00803507">
            <w:pPr>
              <w:pStyle w:val="Marginlie"/>
              <w:rPr>
                <w:lang w:val="en-GB"/>
              </w:rPr>
            </w:pPr>
          </w:p>
          <w:p w14:paraId="056DC8F9" w14:textId="77777777" w:rsidR="00803507" w:rsidRPr="00884D55" w:rsidRDefault="00803507" w:rsidP="00803507">
            <w:pPr>
              <w:pStyle w:val="Marginlie"/>
              <w:rPr>
                <w:lang w:val="en-GB"/>
              </w:rPr>
            </w:pPr>
          </w:p>
          <w:p w14:paraId="5FC3AA6F" w14:textId="77777777" w:rsidR="00803507" w:rsidRPr="00884D55" w:rsidRDefault="00803507" w:rsidP="00803507">
            <w:pPr>
              <w:pStyle w:val="Marginlie"/>
              <w:rPr>
                <w:lang w:val="en-GB"/>
              </w:rPr>
            </w:pPr>
            <w:r w:rsidRPr="00884D55">
              <w:rPr>
                <w:lang w:val="en-GB"/>
              </w:rPr>
              <w:t>The funds received from the EU Recovery Instrument almost doubled last year.</w:t>
            </w:r>
          </w:p>
        </w:tc>
        <w:tc>
          <w:tcPr>
            <w:tcW w:w="203" w:type="dxa"/>
            <w:shd w:val="clear" w:color="auto" w:fill="auto"/>
            <w:tcMar>
              <w:left w:w="0" w:type="dxa"/>
            </w:tcMar>
          </w:tcPr>
          <w:p w14:paraId="706E4414" w14:textId="77777777" w:rsidR="00803507" w:rsidRPr="00884D55" w:rsidRDefault="00803507" w:rsidP="00803507">
            <w:pPr>
              <w:pStyle w:val="Textpoznpodarou"/>
              <w:jc w:val="both"/>
              <w:rPr>
                <w:spacing w:val="-4"/>
                <w:lang w:val="en-GB"/>
              </w:rPr>
            </w:pPr>
          </w:p>
        </w:tc>
        <w:tc>
          <w:tcPr>
            <w:tcW w:w="7656" w:type="dxa"/>
            <w:shd w:val="clear" w:color="auto" w:fill="auto"/>
            <w:tcMar>
              <w:left w:w="0" w:type="dxa"/>
            </w:tcMar>
          </w:tcPr>
          <w:p w14:paraId="5136B8B6" w14:textId="77777777" w:rsidR="00803507" w:rsidRPr="00884D55" w:rsidRDefault="00803507" w:rsidP="00803507">
            <w:pPr>
              <w:spacing w:after="220"/>
              <w:rPr>
                <w:color w:val="0D0D0D" w:themeColor="text1" w:themeTint="F2"/>
                <w:spacing w:val="-4"/>
                <w:lang w:val="en-GB"/>
              </w:rPr>
            </w:pPr>
            <w:bookmarkStart w:id="152" w:name="_Hlk195463414"/>
            <w:r w:rsidRPr="00884D55">
              <w:rPr>
                <w:color w:val="0D0D0D" w:themeColor="text1" w:themeTint="F2"/>
                <w:spacing w:val="-4"/>
                <w:lang w:val="en-GB"/>
              </w:rPr>
              <w:t>Last year, as in all previous years of its membership, the Czech Republic remained a net beneficiary in relation to the EU budget (+9 bn CZK). This occurred despite the expected year-on-year drop of revenues (by 41% to 69 bn CZK), which was mainly due to the Structural Fund (−30 bn), the Cohesion Fund (−15 bn) and also the Rural Development Fund (−3.5 bn). The Czech Republic's total payments to the EU budget fell at the same time (−10%, to 60 bn CZK). In addition to revenues from the EU budget, the Czech Republic also received additional Cohesion Funds last year (React-EU and the Just Transition Fund), the National Recovery Plan and selected investment programmes from the EU Recovery Instrument (NGEU)</w:t>
            </w:r>
            <w:r w:rsidRPr="00884D55">
              <w:rPr>
                <w:rStyle w:val="Znakapoznpodarou"/>
                <w:lang w:val="en-GB"/>
              </w:rPr>
              <w:footnoteReference w:id="144"/>
            </w:r>
            <w:r w:rsidRPr="00884D55">
              <w:rPr>
                <w:color w:val="0D0D0D" w:themeColor="text1" w:themeTint="F2"/>
                <w:spacing w:val="-4"/>
                <w:lang w:val="en-GB"/>
              </w:rPr>
              <w:t xml:space="preserve"> in the amount of 74.2 bn CZK (up 88%, year-on-year). The Czech Republic has been drawing these funds since 2021, with their inflow rising sharply in 2023 and 2024. Including the NGEU Funds, its net position towards the EU budget reached 83 bn CZK last year and was essentially comparable to years 2021 and 2023. </w:t>
            </w:r>
            <w:bookmarkEnd w:id="152"/>
          </w:p>
        </w:tc>
      </w:tr>
      <w:tr w:rsidR="00556A6D" w:rsidRPr="00884D55" w14:paraId="2BFEC09D" w14:textId="77777777" w:rsidTr="00803507">
        <w:trPr>
          <w:trHeight w:val="170"/>
        </w:trPr>
        <w:tc>
          <w:tcPr>
            <w:tcW w:w="1810" w:type="dxa"/>
            <w:shd w:val="clear" w:color="auto" w:fill="auto"/>
            <w:tcMar>
              <w:left w:w="0" w:type="dxa"/>
            </w:tcMar>
          </w:tcPr>
          <w:p w14:paraId="72CE64EA" w14:textId="538DB911" w:rsidR="00556A6D" w:rsidRPr="00884D55" w:rsidRDefault="00556A6D" w:rsidP="00556A6D">
            <w:pPr>
              <w:pStyle w:val="Marginlie"/>
              <w:rPr>
                <w:lang w:val="en-GB"/>
              </w:rPr>
            </w:pPr>
            <w:r w:rsidRPr="00884D55">
              <w:rPr>
                <w:lang w:val="en-GB"/>
              </w:rPr>
              <w:t xml:space="preserve">The relative growth of the level of state debt accelerated last year for the first time in three years. Both internal and external debt increased, year-on-year. </w:t>
            </w:r>
          </w:p>
        </w:tc>
        <w:tc>
          <w:tcPr>
            <w:tcW w:w="203" w:type="dxa"/>
            <w:shd w:val="clear" w:color="auto" w:fill="auto"/>
            <w:tcMar>
              <w:left w:w="0" w:type="dxa"/>
            </w:tcMar>
          </w:tcPr>
          <w:p w14:paraId="73026249" w14:textId="77777777" w:rsidR="00556A6D" w:rsidRPr="00884D55" w:rsidRDefault="00556A6D" w:rsidP="00556A6D">
            <w:pPr>
              <w:pStyle w:val="Textpoznpodarou"/>
              <w:jc w:val="both"/>
              <w:rPr>
                <w:spacing w:val="-4"/>
                <w:lang w:val="en-GB"/>
              </w:rPr>
            </w:pPr>
          </w:p>
        </w:tc>
        <w:tc>
          <w:tcPr>
            <w:tcW w:w="7656" w:type="dxa"/>
            <w:shd w:val="clear" w:color="auto" w:fill="auto"/>
            <w:tcMar>
              <w:left w:w="0" w:type="dxa"/>
            </w:tcMar>
          </w:tcPr>
          <w:p w14:paraId="3D817F55" w14:textId="7F019804" w:rsidR="00556A6D" w:rsidRPr="00884D55" w:rsidRDefault="00556A6D" w:rsidP="00556A6D">
            <w:pPr>
              <w:rPr>
                <w:b/>
                <w:lang w:val="en-GB"/>
              </w:rPr>
            </w:pPr>
            <w:r w:rsidRPr="00884D55">
              <w:rPr>
                <w:color w:val="0D0D0D" w:themeColor="text1" w:themeTint="F2"/>
                <w:spacing w:val="-5"/>
                <w:lang w:val="en-GB"/>
              </w:rPr>
              <w:t>The ongoing deficit of the SB was reflected in the state debt. It rose to 3,365 bn CZK at the end of Q4 2024. It has increased, year-on-year, already for 22 quarters in a row. It increased by 8.2% for the whole last year, which was slightly more than in the previous year (+7.5%). The relative growth of debt thus accelerated for the first time in three years. The last year's debt growth was driven unlike in 2023 not only by internal indebtedness (+223 bn CZK), but also by external indebtedness (+31 bn CZK) due to a higher volume of loans received. The internal indebtedness traditionally increased mainly as a result of the issue of medium- and long-term government bonds (+191 bn CZK, to 3,017 bn CZK) and, to a lesser extent, the issue of treasury bills (+37 bn, to 82 bn CZK). The largest share of all medium- and long-term government bonds</w:t>
            </w:r>
            <w:r w:rsidRPr="00884D55">
              <w:rPr>
                <w:rStyle w:val="Znakapoznpodarou"/>
                <w:color w:val="0D0D0D" w:themeColor="text1" w:themeTint="F2"/>
                <w:spacing w:val="-5"/>
                <w:lang w:val="en-GB"/>
              </w:rPr>
              <w:footnoteReference w:id="145"/>
            </w:r>
            <w:r w:rsidRPr="00884D55">
              <w:rPr>
                <w:color w:val="0D0D0D" w:themeColor="text1" w:themeTint="F2"/>
                <w:spacing w:val="-5"/>
                <w:lang w:val="en-GB"/>
              </w:rPr>
              <w:t xml:space="preserve"> in circulation had maturities of between 10 and 15 years at the end of last year (53%). In terms of ownership structure, domestic banks held the largest share of all government bonds (41.1%), followed by pension funds (12.0%), investment funds other than money market funds (6.2%), insurance corporations (5.4%) and households (3.8%). The share of non-residents was 27.9% and their weight among all bondholders gradually decreased last year (by 7.5 p. p. in total) to the benefit of domestic banks and investment funds.</w:t>
            </w:r>
          </w:p>
        </w:tc>
      </w:tr>
      <w:tr w:rsidR="00556A6D" w:rsidRPr="00884D55" w14:paraId="7EF35DEA" w14:textId="77777777" w:rsidTr="00803507">
        <w:trPr>
          <w:trHeight w:val="170"/>
        </w:trPr>
        <w:tc>
          <w:tcPr>
            <w:tcW w:w="1810" w:type="dxa"/>
            <w:shd w:val="clear" w:color="auto" w:fill="auto"/>
            <w:tcMar>
              <w:left w:w="0" w:type="dxa"/>
            </w:tcMar>
          </w:tcPr>
          <w:p w14:paraId="6212E24F" w14:textId="77777777" w:rsidR="00556A6D" w:rsidRPr="00884D55" w:rsidRDefault="00556A6D" w:rsidP="00556A6D">
            <w:pPr>
              <w:pStyle w:val="Marginlie"/>
              <w:rPr>
                <w:lang w:val="en-GB"/>
              </w:rPr>
            </w:pPr>
          </w:p>
        </w:tc>
        <w:tc>
          <w:tcPr>
            <w:tcW w:w="203" w:type="dxa"/>
            <w:shd w:val="clear" w:color="auto" w:fill="auto"/>
            <w:tcMar>
              <w:left w:w="0" w:type="dxa"/>
            </w:tcMar>
          </w:tcPr>
          <w:p w14:paraId="0980D508" w14:textId="77777777" w:rsidR="00556A6D" w:rsidRPr="00884D55" w:rsidRDefault="00556A6D" w:rsidP="00556A6D">
            <w:pPr>
              <w:pStyle w:val="Textpoznpodarou"/>
              <w:jc w:val="both"/>
              <w:rPr>
                <w:spacing w:val="-4"/>
                <w:lang w:val="en-GB"/>
              </w:rPr>
            </w:pPr>
          </w:p>
        </w:tc>
        <w:tc>
          <w:tcPr>
            <w:tcW w:w="7656" w:type="dxa"/>
            <w:shd w:val="clear" w:color="auto" w:fill="auto"/>
            <w:tcMar>
              <w:left w:w="0" w:type="dxa"/>
            </w:tcMar>
          </w:tcPr>
          <w:p w14:paraId="2E794FB3" w14:textId="22D3BD17" w:rsidR="00556A6D" w:rsidRPr="00884D55" w:rsidRDefault="00556A6D" w:rsidP="00556A6D">
            <w:pPr>
              <w:spacing w:after="0"/>
              <w:rPr>
                <w:color w:val="0D0D0D" w:themeColor="text1" w:themeTint="F2"/>
                <w:spacing w:val="-6"/>
                <w:lang w:val="en-GB"/>
              </w:rPr>
            </w:pPr>
            <w:r w:rsidRPr="00884D55">
              <w:rPr>
                <w:b/>
                <w:lang w:val="en-GB"/>
              </w:rPr>
              <w:t xml:space="preserve">Chart 20 </w:t>
            </w:r>
            <w:r w:rsidRPr="00884D55">
              <w:rPr>
                <w:rFonts w:cs="Arial"/>
                <w:b/>
                <w:bCs/>
                <w:lang w:val="en-GB"/>
              </w:rPr>
              <w:t>Budget balance and debt r</w:t>
            </w:r>
            <w:r>
              <w:rPr>
                <w:rFonts w:cs="Arial"/>
                <w:b/>
                <w:bCs/>
                <w:lang w:val="en-GB"/>
              </w:rPr>
              <w:t>atio</w:t>
            </w:r>
            <w:r w:rsidRPr="00884D55">
              <w:rPr>
                <w:rFonts w:cs="Arial"/>
                <w:b/>
                <w:bCs/>
                <w:lang w:val="en-GB"/>
              </w:rPr>
              <w:t xml:space="preserve"> of the </w:t>
            </w:r>
            <w:r>
              <w:rPr>
                <w:rFonts w:cs="Arial"/>
                <w:b/>
                <w:bCs/>
                <w:lang w:val="en-GB"/>
              </w:rPr>
              <w:t xml:space="preserve">general </w:t>
            </w:r>
            <w:r w:rsidRPr="00884D55">
              <w:rPr>
                <w:rFonts w:cs="Arial"/>
                <w:b/>
                <w:bCs/>
                <w:lang w:val="en-GB"/>
              </w:rPr>
              <w:t xml:space="preserve">government institution sector in selected EU states </w:t>
            </w:r>
            <w:r w:rsidRPr="00884D55">
              <w:rPr>
                <w:rFonts w:cs="Arial"/>
                <w:bCs/>
                <w:lang w:val="en-GB"/>
              </w:rPr>
              <w:t>(in % of GDP)</w:t>
            </w:r>
          </w:p>
        </w:tc>
      </w:tr>
      <w:tr w:rsidR="00556A6D" w:rsidRPr="00884D55" w14:paraId="3F020559" w14:textId="77777777" w:rsidTr="00107BC8">
        <w:tblPrEx>
          <w:tblCellMar>
            <w:left w:w="70" w:type="dxa"/>
            <w:right w:w="70" w:type="dxa"/>
          </w:tblCellMar>
        </w:tblPrEx>
        <w:trPr>
          <w:trHeight w:val="170"/>
        </w:trPr>
        <w:tc>
          <w:tcPr>
            <w:tcW w:w="1810" w:type="dxa"/>
            <w:shd w:val="clear" w:color="auto" w:fill="auto"/>
          </w:tcPr>
          <w:p w14:paraId="5966DCAE" w14:textId="77777777" w:rsidR="00556A6D" w:rsidRPr="00884D55" w:rsidRDefault="00556A6D" w:rsidP="00556A6D">
            <w:pPr>
              <w:pStyle w:val="Marginlie"/>
              <w:rPr>
                <w:lang w:val="en-GB"/>
              </w:rPr>
            </w:pPr>
          </w:p>
        </w:tc>
        <w:tc>
          <w:tcPr>
            <w:tcW w:w="203" w:type="dxa"/>
            <w:shd w:val="clear" w:color="auto" w:fill="auto"/>
          </w:tcPr>
          <w:p w14:paraId="5A2CF705" w14:textId="77777777" w:rsidR="00556A6D" w:rsidRPr="00884D55" w:rsidRDefault="00556A6D" w:rsidP="00556A6D">
            <w:pPr>
              <w:pStyle w:val="Textpoznpodarou"/>
              <w:jc w:val="both"/>
              <w:rPr>
                <w:spacing w:val="-4"/>
                <w:lang w:val="en-GB"/>
              </w:rPr>
            </w:pPr>
          </w:p>
        </w:tc>
        <w:tc>
          <w:tcPr>
            <w:tcW w:w="7656" w:type="dxa"/>
            <w:shd w:val="clear" w:color="auto" w:fill="auto"/>
          </w:tcPr>
          <w:p w14:paraId="0A0D65AB" w14:textId="06E3A51F" w:rsidR="00556A6D" w:rsidRPr="00884D55" w:rsidRDefault="00556A6D" w:rsidP="00556A6D">
            <w:pPr>
              <w:spacing w:before="40" w:after="0"/>
              <w:rPr>
                <w:color w:val="0D0D0D" w:themeColor="text1" w:themeTint="F2"/>
                <w:spacing w:val="-6"/>
                <w:lang w:val="en-GB"/>
              </w:rPr>
            </w:pPr>
            <w:r>
              <w:rPr>
                <w:noProof/>
              </w:rPr>
              <w:drawing>
                <wp:inline distT="0" distB="0" distL="0" distR="0" wp14:anchorId="664252A7" wp14:editId="1969B9F2">
                  <wp:extent cx="4772660" cy="3343275"/>
                  <wp:effectExtent l="0" t="0" r="8890" b="0"/>
                  <wp:docPr id="1478424556" name="Graf 1">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556A6D" w:rsidRPr="00884D55" w14:paraId="1AA27E95" w14:textId="77777777" w:rsidTr="00803507">
        <w:trPr>
          <w:trHeight w:val="170"/>
        </w:trPr>
        <w:tc>
          <w:tcPr>
            <w:tcW w:w="1810" w:type="dxa"/>
            <w:shd w:val="clear" w:color="auto" w:fill="auto"/>
            <w:tcMar>
              <w:left w:w="0" w:type="dxa"/>
            </w:tcMar>
          </w:tcPr>
          <w:p w14:paraId="4B93F1F6" w14:textId="77777777" w:rsidR="00556A6D" w:rsidRPr="00884D55" w:rsidRDefault="00556A6D" w:rsidP="00556A6D">
            <w:pPr>
              <w:pStyle w:val="Marginlie"/>
              <w:rPr>
                <w:lang w:val="en-GB"/>
              </w:rPr>
            </w:pPr>
          </w:p>
        </w:tc>
        <w:tc>
          <w:tcPr>
            <w:tcW w:w="203" w:type="dxa"/>
            <w:shd w:val="clear" w:color="auto" w:fill="auto"/>
            <w:tcMar>
              <w:left w:w="0" w:type="dxa"/>
            </w:tcMar>
          </w:tcPr>
          <w:p w14:paraId="05B640EA" w14:textId="77777777" w:rsidR="00556A6D" w:rsidRPr="00884D55" w:rsidRDefault="00556A6D" w:rsidP="00556A6D">
            <w:pPr>
              <w:pStyle w:val="Textpoznpodarou"/>
              <w:jc w:val="both"/>
              <w:rPr>
                <w:spacing w:val="-4"/>
                <w:lang w:val="en-GB"/>
              </w:rPr>
            </w:pPr>
          </w:p>
        </w:tc>
        <w:tc>
          <w:tcPr>
            <w:tcW w:w="7656" w:type="dxa"/>
            <w:shd w:val="clear" w:color="auto" w:fill="auto"/>
            <w:tcMar>
              <w:left w:w="0" w:type="dxa"/>
            </w:tcMar>
          </w:tcPr>
          <w:p w14:paraId="261BFC15" w14:textId="52821032" w:rsidR="00556A6D" w:rsidRPr="00107BC8" w:rsidRDefault="00556A6D" w:rsidP="00556A6D">
            <w:pPr>
              <w:spacing w:after="200"/>
              <w:rPr>
                <w:color w:val="0D0D0D" w:themeColor="text1" w:themeTint="F2"/>
                <w:sz w:val="14"/>
                <w:szCs w:val="14"/>
                <w:lang w:val="en-GB"/>
              </w:rPr>
            </w:pPr>
            <w:r w:rsidRPr="00884D55">
              <w:rPr>
                <w:color w:val="0D0D0D" w:themeColor="text1" w:themeTint="F2"/>
                <w:sz w:val="14"/>
                <w:szCs w:val="14"/>
                <w:lang w:val="en-GB"/>
              </w:rPr>
              <w:t>Note: Budget balance is se</w:t>
            </w:r>
            <w:r>
              <w:rPr>
                <w:color w:val="0D0D0D" w:themeColor="text1" w:themeTint="F2"/>
                <w:sz w:val="14"/>
                <w:szCs w:val="14"/>
                <w:lang w:val="en-GB"/>
              </w:rPr>
              <w:t>asonally adjusted. The debt ratio expresses the status</w:t>
            </w:r>
            <w:r w:rsidRPr="00884D55">
              <w:rPr>
                <w:color w:val="0D0D0D" w:themeColor="text1" w:themeTint="F2"/>
                <w:sz w:val="14"/>
                <w:szCs w:val="14"/>
                <w:lang w:val="en-GB"/>
              </w:rPr>
              <w:t xml:space="preserve"> at the end of quarter. </w:t>
            </w:r>
          </w:p>
        </w:tc>
      </w:tr>
      <w:tr w:rsidR="00556A6D" w:rsidRPr="00884D55" w14:paraId="12E29683" w14:textId="77777777" w:rsidTr="00803507">
        <w:trPr>
          <w:trHeight w:val="170"/>
        </w:trPr>
        <w:tc>
          <w:tcPr>
            <w:tcW w:w="1810" w:type="dxa"/>
            <w:shd w:val="clear" w:color="auto" w:fill="auto"/>
            <w:tcMar>
              <w:left w:w="0" w:type="dxa"/>
            </w:tcMar>
          </w:tcPr>
          <w:p w14:paraId="031E3F32" w14:textId="77777777" w:rsidR="00556A6D" w:rsidRPr="00884D55" w:rsidRDefault="00556A6D" w:rsidP="00556A6D">
            <w:pPr>
              <w:pStyle w:val="Marginlie"/>
              <w:rPr>
                <w:color w:val="0D0D0D" w:themeColor="text1" w:themeTint="F2"/>
                <w:lang w:val="en-GB"/>
              </w:rPr>
            </w:pPr>
            <w:bookmarkStart w:id="153" w:name="_Hlk195469436"/>
            <w:r w:rsidRPr="00884D55">
              <w:rPr>
                <w:color w:val="0D0D0D" w:themeColor="text1" w:themeTint="F2"/>
                <w:lang w:val="en-GB"/>
              </w:rPr>
              <w:t>The general government deficit reduced by almost a half, year-on-year. This was mainly due to a significant slowdown in the pace of expenditure.</w:t>
            </w:r>
          </w:p>
          <w:bookmarkEnd w:id="153"/>
          <w:p w14:paraId="3A6B0C66" w14:textId="77777777" w:rsidR="00556A6D" w:rsidRPr="00884D55" w:rsidRDefault="00556A6D" w:rsidP="00556A6D">
            <w:pPr>
              <w:pStyle w:val="Marginlie"/>
              <w:rPr>
                <w:lang w:val="en-GB"/>
              </w:rPr>
            </w:pPr>
          </w:p>
        </w:tc>
        <w:tc>
          <w:tcPr>
            <w:tcW w:w="203" w:type="dxa"/>
            <w:shd w:val="clear" w:color="auto" w:fill="auto"/>
            <w:tcMar>
              <w:left w:w="0" w:type="dxa"/>
            </w:tcMar>
          </w:tcPr>
          <w:p w14:paraId="37C7777B" w14:textId="77777777" w:rsidR="00556A6D" w:rsidRPr="00884D55" w:rsidRDefault="00556A6D" w:rsidP="00556A6D">
            <w:pPr>
              <w:pStyle w:val="Textpoznpodarou"/>
              <w:jc w:val="both"/>
              <w:rPr>
                <w:spacing w:val="-4"/>
                <w:lang w:val="en-GB"/>
              </w:rPr>
            </w:pPr>
          </w:p>
        </w:tc>
        <w:tc>
          <w:tcPr>
            <w:tcW w:w="7656" w:type="dxa"/>
            <w:shd w:val="clear" w:color="auto" w:fill="auto"/>
            <w:tcMar>
              <w:left w:w="0" w:type="dxa"/>
            </w:tcMar>
          </w:tcPr>
          <w:p w14:paraId="7A3F6CAB" w14:textId="77777777" w:rsidR="00556A6D" w:rsidRPr="00884D55" w:rsidRDefault="00556A6D" w:rsidP="00556A6D">
            <w:pPr>
              <w:spacing w:after="0"/>
              <w:rPr>
                <w:color w:val="0D0D0D" w:themeColor="text1" w:themeTint="F2"/>
                <w:spacing w:val="-3"/>
                <w:lang w:val="en-GB"/>
              </w:rPr>
            </w:pPr>
            <w:bookmarkStart w:id="154" w:name="_Hlk195469454"/>
            <w:r w:rsidRPr="00884D55">
              <w:rPr>
                <w:color w:val="0D0D0D" w:themeColor="text1" w:themeTint="F2"/>
                <w:spacing w:val="-3"/>
                <w:lang w:val="en-GB"/>
              </w:rPr>
              <w:t>The general government sector (VI) in Czechia ran a deficit of 95 bn CZK</w:t>
            </w:r>
            <w:r w:rsidRPr="00884D55">
              <w:rPr>
                <w:rStyle w:val="Znakapoznpodarou"/>
                <w:color w:val="0D0D0D" w:themeColor="text1" w:themeTint="F2"/>
                <w:spacing w:val="-3"/>
                <w:lang w:val="en-GB"/>
              </w:rPr>
              <w:footnoteReference w:id="146"/>
            </w:r>
            <w:r w:rsidRPr="00884D55">
              <w:rPr>
                <w:color w:val="0D0D0D" w:themeColor="text1" w:themeTint="F2"/>
                <w:spacing w:val="-3"/>
                <w:lang w:val="en-GB"/>
              </w:rPr>
              <w:t>, in Q1 to Q3 2024</w:t>
            </w:r>
            <w:r w:rsidRPr="00884D55">
              <w:rPr>
                <w:rStyle w:val="Znakapoznpodarou"/>
                <w:color w:val="0D0D0D" w:themeColor="text1" w:themeTint="F2"/>
                <w:spacing w:val="-3"/>
                <w:lang w:val="en-GB"/>
              </w:rPr>
              <w:footnoteReference w:id="147"/>
            </w:r>
            <w:r w:rsidRPr="00884D55">
              <w:rPr>
                <w:color w:val="0D0D0D" w:themeColor="text1" w:themeTint="F2"/>
                <w:spacing w:val="-3"/>
                <w:lang w:val="en-GB"/>
              </w:rPr>
              <w:t xml:space="preserve">, which fell by almost half, year-on-year (by 82 bn CZK) and also presented the lowest deficit in the last five years. The year-on-year reduction of the deficit was primarily due to a noticeable slowdown of the growth of total expenditure (to 3.2%, compared to 10.8% a year earlier), as the growth rate of revenues (7.1%) did not decrease significantly compared to the figure. The growth of revenues was driven mainly by net social contributions (also by the higher household payments on sickness insurance), strengthening collection of current taxes from income and wealth and, to a lesser extent, indirect taxes (especially taxes on products). On the contrary, mainly the property income had a negative effect, primarily due to a decrease of dividend income. The growth of total expenditure was traditionally driven mainly by social benefits (including social transfers in kind), despite the fact that their growth slowed down sharply (to 6.1%). The year-on-year growth of compensations paid to employees also decreased by about half (+4.5%). The most significant change was the expected deep decrease of subsidies paid out (−20%). Expenditure on fixed investment formation slowed sharply (+0.5%), its growth rate in Q1 through Q3 was the lowest in eight years.  </w:t>
            </w:r>
          </w:p>
          <w:bookmarkEnd w:id="154"/>
          <w:p w14:paraId="6E38C4CB" w14:textId="77777777" w:rsidR="00556A6D" w:rsidRPr="00884D55" w:rsidRDefault="00556A6D" w:rsidP="00556A6D">
            <w:pPr>
              <w:spacing w:after="0"/>
              <w:rPr>
                <w:color w:val="0D0D0D" w:themeColor="text1" w:themeTint="F2"/>
                <w:spacing w:val="-5"/>
                <w:lang w:val="en-GB"/>
              </w:rPr>
            </w:pPr>
          </w:p>
        </w:tc>
      </w:tr>
      <w:tr w:rsidR="00556A6D" w:rsidRPr="00884D55" w14:paraId="39A225F2" w14:textId="77777777" w:rsidTr="00803507">
        <w:trPr>
          <w:trHeight w:val="170"/>
        </w:trPr>
        <w:tc>
          <w:tcPr>
            <w:tcW w:w="1810" w:type="dxa"/>
            <w:shd w:val="clear" w:color="auto" w:fill="auto"/>
            <w:tcMar>
              <w:left w:w="0" w:type="dxa"/>
            </w:tcMar>
          </w:tcPr>
          <w:p w14:paraId="19B4CF52" w14:textId="77777777" w:rsidR="00556A6D" w:rsidRPr="00884D55" w:rsidRDefault="00556A6D" w:rsidP="00556A6D">
            <w:pPr>
              <w:pStyle w:val="Marginlie"/>
              <w:rPr>
                <w:color w:val="0D0D0D" w:themeColor="text1" w:themeTint="F2"/>
                <w:lang w:val="en-GB"/>
              </w:rPr>
            </w:pPr>
            <w:r w:rsidRPr="00884D55">
              <w:rPr>
                <w:color w:val="0D0D0D" w:themeColor="text1" w:themeTint="F2"/>
                <w:lang w:val="en-GB"/>
              </w:rPr>
              <w:t>The seasonally adjusted deficit of the general government sector reached 2.4% of GDP in the Czech Republic for the first three quarters of last year. Together with Germany, it ranked among the average member states.</w:t>
            </w:r>
          </w:p>
          <w:p w14:paraId="48824B50" w14:textId="77777777" w:rsidR="00556A6D" w:rsidRPr="00884D55" w:rsidRDefault="00556A6D" w:rsidP="00556A6D">
            <w:pPr>
              <w:pStyle w:val="Marginlie"/>
              <w:rPr>
                <w:color w:val="0D0D0D" w:themeColor="text1" w:themeTint="F2"/>
                <w:lang w:val="en-GB"/>
              </w:rPr>
            </w:pPr>
          </w:p>
          <w:p w14:paraId="499023B0" w14:textId="77777777" w:rsidR="00556A6D" w:rsidRPr="00884D55" w:rsidRDefault="00556A6D" w:rsidP="00556A6D">
            <w:pPr>
              <w:pStyle w:val="Marginlie"/>
              <w:rPr>
                <w:color w:val="0D0D0D" w:themeColor="text1" w:themeTint="F2"/>
                <w:lang w:val="en-GB"/>
              </w:rPr>
            </w:pPr>
          </w:p>
          <w:p w14:paraId="39B5F8CB" w14:textId="77777777" w:rsidR="00556A6D" w:rsidRPr="00884D55" w:rsidRDefault="00556A6D" w:rsidP="00556A6D">
            <w:pPr>
              <w:pStyle w:val="Marginlie"/>
              <w:rPr>
                <w:color w:val="0D0D0D" w:themeColor="text1" w:themeTint="F2"/>
                <w:lang w:val="en-GB"/>
              </w:rPr>
            </w:pPr>
          </w:p>
          <w:p w14:paraId="15166621" w14:textId="77777777" w:rsidR="00556A6D" w:rsidRPr="00884D55" w:rsidRDefault="00556A6D" w:rsidP="00556A6D">
            <w:pPr>
              <w:pStyle w:val="Marginlie"/>
              <w:rPr>
                <w:color w:val="0D0D0D" w:themeColor="text1" w:themeTint="F2"/>
                <w:lang w:val="en-GB"/>
              </w:rPr>
            </w:pPr>
          </w:p>
          <w:p w14:paraId="1758C66C" w14:textId="77777777" w:rsidR="00556A6D" w:rsidRPr="00884D55" w:rsidRDefault="00556A6D" w:rsidP="00556A6D">
            <w:pPr>
              <w:pStyle w:val="Marginlie"/>
              <w:rPr>
                <w:color w:val="0D0D0D" w:themeColor="text1" w:themeTint="F2"/>
                <w:lang w:val="en-GB"/>
              </w:rPr>
            </w:pPr>
          </w:p>
          <w:p w14:paraId="43C0ED2F" w14:textId="77777777" w:rsidR="00556A6D" w:rsidRPr="00884D55" w:rsidRDefault="00556A6D" w:rsidP="00556A6D">
            <w:pPr>
              <w:pStyle w:val="Marginlie"/>
              <w:rPr>
                <w:color w:val="0D0D0D" w:themeColor="text1" w:themeTint="F2"/>
                <w:lang w:val="en-GB"/>
              </w:rPr>
            </w:pPr>
          </w:p>
          <w:p w14:paraId="5B57F6A5" w14:textId="77777777" w:rsidR="00556A6D" w:rsidRPr="00884D55" w:rsidRDefault="00556A6D" w:rsidP="00556A6D">
            <w:pPr>
              <w:pStyle w:val="Marginlie"/>
              <w:rPr>
                <w:color w:val="0D0D0D" w:themeColor="text1" w:themeTint="F2"/>
                <w:lang w:val="en-GB"/>
              </w:rPr>
            </w:pPr>
          </w:p>
          <w:p w14:paraId="589DF839" w14:textId="77777777" w:rsidR="00556A6D" w:rsidRPr="00884D55" w:rsidRDefault="00556A6D" w:rsidP="00556A6D">
            <w:pPr>
              <w:pStyle w:val="Marginlie"/>
              <w:rPr>
                <w:color w:val="0D0D0D" w:themeColor="text1" w:themeTint="F2"/>
                <w:lang w:val="en-GB"/>
              </w:rPr>
            </w:pPr>
            <w:r w:rsidRPr="00884D55">
              <w:rPr>
                <w:color w:val="0D0D0D" w:themeColor="text1" w:themeTint="F2"/>
                <w:lang w:val="en-GB"/>
              </w:rPr>
              <w:t xml:space="preserve">The debt ratio in the Czech Republic reached the ninth lowest value in the EU at the end of Q3. As in the EU, it increased very slightly, year-on-year.  </w:t>
            </w:r>
          </w:p>
        </w:tc>
        <w:tc>
          <w:tcPr>
            <w:tcW w:w="203" w:type="dxa"/>
            <w:shd w:val="clear" w:color="auto" w:fill="auto"/>
            <w:tcMar>
              <w:left w:w="0" w:type="dxa"/>
            </w:tcMar>
          </w:tcPr>
          <w:p w14:paraId="3F488C35" w14:textId="77777777" w:rsidR="00556A6D" w:rsidRPr="00884D55" w:rsidRDefault="00556A6D" w:rsidP="00556A6D">
            <w:pPr>
              <w:pStyle w:val="Textpoznpodarou"/>
              <w:jc w:val="both"/>
              <w:rPr>
                <w:spacing w:val="-4"/>
                <w:lang w:val="en-GB"/>
              </w:rPr>
            </w:pPr>
          </w:p>
        </w:tc>
        <w:tc>
          <w:tcPr>
            <w:tcW w:w="7656" w:type="dxa"/>
            <w:shd w:val="clear" w:color="auto" w:fill="auto"/>
            <w:tcMar>
              <w:left w:w="0" w:type="dxa"/>
            </w:tcMar>
          </w:tcPr>
          <w:p w14:paraId="5D379D80" w14:textId="77777777" w:rsidR="00556A6D" w:rsidRPr="00884D55" w:rsidRDefault="00556A6D" w:rsidP="00556A6D">
            <w:pPr>
              <w:spacing w:after="200"/>
              <w:rPr>
                <w:color w:val="0D0D0D" w:themeColor="text1" w:themeTint="F2"/>
                <w:spacing w:val="-3"/>
                <w:lang w:val="en-GB"/>
              </w:rPr>
            </w:pPr>
            <w:bookmarkStart w:id="155" w:name="_Hlk195469849"/>
            <w:r w:rsidRPr="00884D55">
              <w:rPr>
                <w:color w:val="0D0D0D" w:themeColor="text1" w:themeTint="F2"/>
                <w:spacing w:val="-3"/>
                <w:lang w:val="en-GB"/>
              </w:rPr>
              <w:t xml:space="preserve">The seasonally adjusted general government deficit reached 2.7% of GDP in the Czech Republic in Q3 last year. Compared to the previous quarter, it was practically unchanged, nevertheless it decreased in the year-on-year perspective (by 1.1 p.p.). The deficit reached 2.9% of GDP in the EU as a whole, and decreased, year-on-year, in half of the countries (by 0.7 p. p. in total). Romania (−8.1% of GDP), France (−5.9%), Bulgaria (5.9%), Poland (−5.6%) and Hungary (−5.1%) had the largest deficits in total for Q1 to Q3 2024. A total of 10 countries had deficits deeper than 3%. It reached 2.4% of GDP in the Czech Republic and, as in Germany, was average among the member states. On the contrary, only six countries, all small or smaller economies, recorded a surplus: Ireland (+6.4% of GDP). Cyprus (+4.6%), Denmark (+3.9%), Portugal (+2.1%), Greece (+1.5%) and Luxembourg (+0.5%). The trend of a quarter-on-quarter decrease of the debt ratio of sector VI in the EU (and the euro area), lasting almost three years, halted at the beginning of 2024, and this turnaround was confirmed by both Q2 and Q3. </w:t>
            </w:r>
            <w:bookmarkStart w:id="156" w:name="_Hlk195470904"/>
            <w:bookmarkEnd w:id="155"/>
            <w:r w:rsidRPr="00884D55">
              <w:rPr>
                <w:color w:val="0D0D0D" w:themeColor="text1" w:themeTint="F2"/>
                <w:spacing w:val="-3"/>
                <w:lang w:val="en-GB"/>
              </w:rPr>
              <w:t xml:space="preserve">The debt ratio was 81.6% of GDP (or 88.2%) at the end of Q3 2024 and was stagnating, quarter-on-quarter. The debt reached 43.6% of GDP In the Czech Republic (the ninth lowest level among the EU countries) and increased by 0.8 p. p., year-on-year. The indebtedness increased only negligibly (+0.1 p. p.) in the whole Union. It increased the most in Finland (+6.7 p. p.), Estonia (+5.3 p. p.), Poland (+4.9 p. p.) and Austria (+4.6 p. p.), and among the highly indebted countries then in France (+2.3 p. p., to 113.8% of GDP). In contrast, eleven countries managed to reduce their debt, mainly from the Southern wing of the euro area: Portugal (−8.8 p. p.), Cyprus (−5.4 p. p.), Slovenia (−4.1 p. p.) and especially Greece (−9.9 p. p.), which have long held the position of the most indebted EU country (158.2% of GDP). The debt ratio was currently kept below 60% of GDP by 14 countries (including 8 euro area members), it was analogously 15 countries at the end of 2019 (and 9 current euro area members). </w:t>
            </w:r>
            <w:bookmarkEnd w:id="156"/>
          </w:p>
        </w:tc>
      </w:tr>
    </w:tbl>
    <w:p w14:paraId="1C9684B7" w14:textId="77777777" w:rsidR="00803507" w:rsidRDefault="00803507" w:rsidP="00803507">
      <w:pPr>
        <w:spacing w:after="0"/>
      </w:pPr>
    </w:p>
    <w:p w14:paraId="5F7A972C" w14:textId="2A09AF7F" w:rsidR="00803507" w:rsidRPr="00803507" w:rsidRDefault="00803507" w:rsidP="00803507"/>
    <w:sectPr w:rsidR="00803507" w:rsidRPr="00803507" w:rsidSect="006F5416">
      <w:headerReference w:type="even" r:id="rId37"/>
      <w:headerReference w:type="default" r:id="rId38"/>
      <w:footerReference w:type="even" r:id="rId39"/>
      <w:footerReference w:type="default" r:id="rId40"/>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EB545" w14:textId="77777777" w:rsidR="006145FA" w:rsidRDefault="006145FA" w:rsidP="00E71A58">
      <w:r>
        <w:separator/>
      </w:r>
    </w:p>
  </w:endnote>
  <w:endnote w:type="continuationSeparator" w:id="0">
    <w:p w14:paraId="3C0B90D9" w14:textId="77777777" w:rsidR="006145FA" w:rsidRDefault="006145FA" w:rsidP="00E71A58">
      <w:r>
        <w:continuationSeparator/>
      </w:r>
    </w:p>
  </w:endnote>
  <w:endnote w:type="continuationNotice" w:id="1">
    <w:p w14:paraId="1EBDFB32" w14:textId="77777777" w:rsidR="006145FA" w:rsidRDefault="00614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6145FA" w14:paraId="367EE109" w14:textId="77777777" w:rsidTr="7BDB84E4">
      <w:trPr>
        <w:trHeight w:val="300"/>
      </w:trPr>
      <w:tc>
        <w:tcPr>
          <w:tcW w:w="3210" w:type="dxa"/>
        </w:tcPr>
        <w:p w14:paraId="1A362016" w14:textId="77777777" w:rsidR="006145FA" w:rsidRDefault="006145FA" w:rsidP="7BDB84E4">
          <w:pPr>
            <w:pStyle w:val="Zhlav"/>
            <w:ind w:left="-115"/>
          </w:pPr>
        </w:p>
      </w:tc>
      <w:tc>
        <w:tcPr>
          <w:tcW w:w="3210" w:type="dxa"/>
        </w:tcPr>
        <w:p w14:paraId="2979AB29" w14:textId="77777777" w:rsidR="006145FA" w:rsidRDefault="006145FA" w:rsidP="7BDB84E4">
          <w:pPr>
            <w:pStyle w:val="Zhlav"/>
            <w:jc w:val="center"/>
          </w:pPr>
        </w:p>
      </w:tc>
      <w:tc>
        <w:tcPr>
          <w:tcW w:w="3210" w:type="dxa"/>
        </w:tcPr>
        <w:p w14:paraId="3BA7FC17" w14:textId="77777777" w:rsidR="006145FA" w:rsidRDefault="006145FA" w:rsidP="7BDB84E4">
          <w:pPr>
            <w:pStyle w:val="Zhlav"/>
            <w:ind w:right="-115"/>
            <w:jc w:val="right"/>
          </w:pPr>
        </w:p>
      </w:tc>
    </w:tr>
  </w:tbl>
  <w:p w14:paraId="3C8BF893" w14:textId="77777777" w:rsidR="006145FA" w:rsidRDefault="006145FA" w:rsidP="7BDB84E4">
    <w:pPr>
      <w:pStyle w:val="Zpat"/>
    </w:pPr>
  </w:p>
  <w:p w14:paraId="5AFA8C44" w14:textId="77777777" w:rsidR="006145FA" w:rsidRDefault="006145F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6145FA" w14:paraId="7369575A" w14:textId="77777777" w:rsidTr="7BDB84E4">
      <w:trPr>
        <w:trHeight w:val="300"/>
      </w:trPr>
      <w:tc>
        <w:tcPr>
          <w:tcW w:w="3210" w:type="dxa"/>
        </w:tcPr>
        <w:p w14:paraId="0DF17C82" w14:textId="77777777" w:rsidR="006145FA" w:rsidRDefault="006145FA" w:rsidP="7BDB84E4">
          <w:pPr>
            <w:pStyle w:val="Zhlav"/>
            <w:ind w:left="-115"/>
          </w:pPr>
        </w:p>
      </w:tc>
      <w:tc>
        <w:tcPr>
          <w:tcW w:w="3210" w:type="dxa"/>
        </w:tcPr>
        <w:p w14:paraId="04423310" w14:textId="77777777" w:rsidR="006145FA" w:rsidRDefault="006145FA" w:rsidP="7BDB84E4">
          <w:pPr>
            <w:pStyle w:val="Zhlav"/>
            <w:jc w:val="center"/>
          </w:pPr>
        </w:p>
      </w:tc>
      <w:tc>
        <w:tcPr>
          <w:tcW w:w="3210" w:type="dxa"/>
        </w:tcPr>
        <w:p w14:paraId="7AADAA40" w14:textId="77777777" w:rsidR="006145FA" w:rsidRDefault="006145FA" w:rsidP="7BDB84E4">
          <w:pPr>
            <w:pStyle w:val="Zhlav"/>
            <w:ind w:right="-115"/>
            <w:jc w:val="right"/>
          </w:pPr>
        </w:p>
      </w:tc>
    </w:tr>
  </w:tbl>
  <w:p w14:paraId="2B490C83" w14:textId="77777777" w:rsidR="006145FA" w:rsidRDefault="006145FA" w:rsidP="7BDB84E4">
    <w:pPr>
      <w:pStyle w:val="Zpat"/>
    </w:pPr>
  </w:p>
  <w:p w14:paraId="64771C81" w14:textId="77777777" w:rsidR="006145FA" w:rsidRDefault="006145F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8" w14:textId="3C523922" w:rsidR="006145FA" w:rsidRPr="00932443" w:rsidRDefault="006145FA"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F5617E">
      <w:rPr>
        <w:szCs w:val="16"/>
      </w:rPr>
      <w:t>4</w:t>
    </w:r>
    <w:r w:rsidRPr="00932443">
      <w:rPr>
        <w:szCs w:val="16"/>
      </w:rPr>
      <w:fldChar w:fldCharType="end"/>
    </w:r>
    <w:r w:rsidRPr="00932443">
      <w:rPr>
        <w:szCs w:val="16"/>
      </w:rPr>
      <w:tab/>
    </w:r>
    <w:r>
      <w:rPr>
        <w:szCs w:val="16"/>
      </w:rPr>
      <w:t>Year 2024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9" w14:textId="3F668A6D" w:rsidR="006145FA" w:rsidRPr="00932443" w:rsidRDefault="006145FA"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Year 2024</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F5617E">
      <w:rPr>
        <w:rStyle w:val="ZpatChar"/>
        <w:szCs w:val="16"/>
      </w:rPr>
      <w:t>3</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C6EFC" w14:textId="77777777" w:rsidR="006145FA" w:rsidRDefault="006145FA" w:rsidP="00EA4302">
      <w:pPr>
        <w:spacing w:after="0"/>
      </w:pPr>
      <w:r>
        <w:separator/>
      </w:r>
    </w:p>
  </w:footnote>
  <w:footnote w:type="continuationSeparator" w:id="0">
    <w:p w14:paraId="1A4436FD" w14:textId="77777777" w:rsidR="006145FA" w:rsidRDefault="006145FA" w:rsidP="00E71A58">
      <w:r>
        <w:continuationSeparator/>
      </w:r>
    </w:p>
  </w:footnote>
  <w:footnote w:type="continuationNotice" w:id="1">
    <w:p w14:paraId="4F32D3FB" w14:textId="77777777" w:rsidR="006145FA" w:rsidRDefault="006145FA">
      <w:pPr>
        <w:spacing w:after="0" w:line="240" w:lineRule="auto"/>
      </w:pPr>
    </w:p>
  </w:footnote>
  <w:footnote w:id="2">
    <w:p w14:paraId="583CA55C" w14:textId="77777777" w:rsidR="006145FA" w:rsidRDefault="006145FA" w:rsidP="00803507">
      <w:pPr>
        <w:pStyle w:val="Textpoznpodarou"/>
        <w:jc w:val="both"/>
        <w:rPr>
          <w:spacing w:val="-2"/>
          <w:sz w:val="16"/>
          <w:szCs w:val="16"/>
        </w:rPr>
      </w:pPr>
      <w:r>
        <w:rPr>
          <w:rStyle w:val="Znakapoznpodarou"/>
          <w:spacing w:val="-2"/>
          <w:sz w:val="16"/>
          <w:szCs w:val="16"/>
        </w:rPr>
        <w:footnoteRef/>
      </w:r>
      <w:r>
        <w:rPr>
          <w:spacing w:val="-2"/>
          <w:sz w:val="16"/>
          <w:szCs w:val="16"/>
        </w:rPr>
        <w:t xml:space="preserve"> </w:t>
      </w:r>
      <w:r w:rsidRPr="0037480D">
        <w:rPr>
          <w:spacing w:val="-2"/>
          <w:sz w:val="16"/>
          <w:szCs w:val="16"/>
          <w:lang w:val="en-GB"/>
        </w:rPr>
        <w:t xml:space="preserve">Data regarding the GDP, gross value added and their components are expressed in constant prices and adjusted for seasonal and calendar effects. </w:t>
      </w:r>
    </w:p>
  </w:footnote>
  <w:footnote w:id="3">
    <w:p w14:paraId="29A09B3B" w14:textId="77777777" w:rsidR="006145FA" w:rsidRDefault="006145FA" w:rsidP="00803507">
      <w:pPr>
        <w:pStyle w:val="Textpoznpodarou"/>
        <w:jc w:val="both"/>
        <w:rPr>
          <w:sz w:val="16"/>
          <w:szCs w:val="16"/>
        </w:rPr>
      </w:pPr>
      <w:r>
        <w:rPr>
          <w:rStyle w:val="Znakapoznpodarou"/>
          <w:sz w:val="16"/>
          <w:szCs w:val="16"/>
        </w:rPr>
        <w:footnoteRef/>
      </w:r>
      <w:r>
        <w:rPr>
          <w:sz w:val="16"/>
          <w:szCs w:val="16"/>
        </w:rPr>
        <w:t xml:space="preserve"> </w:t>
      </w:r>
      <w:r w:rsidRPr="0037480D">
        <w:rPr>
          <w:sz w:val="16"/>
          <w:szCs w:val="16"/>
          <w:lang w:val="en-GB"/>
        </w:rPr>
        <w:t>According to the methodology of quarterly national accounts (export and import in FOB/FOB prices).</w:t>
      </w:r>
    </w:p>
  </w:footnote>
  <w:footnote w:id="4">
    <w:p w14:paraId="116FF3FD" w14:textId="77777777" w:rsidR="006145FA" w:rsidRDefault="006145FA" w:rsidP="00803507">
      <w:pPr>
        <w:pStyle w:val="Textpoznpodarou"/>
        <w:jc w:val="both"/>
        <w:rPr>
          <w:sz w:val="16"/>
          <w:szCs w:val="16"/>
        </w:rPr>
      </w:pPr>
      <w:r>
        <w:rPr>
          <w:rStyle w:val="Znakapoznpodarou"/>
          <w:spacing w:val="-2"/>
          <w:sz w:val="16"/>
          <w:szCs w:val="16"/>
        </w:rPr>
        <w:footnoteRef/>
      </w:r>
      <w:r>
        <w:rPr>
          <w:spacing w:val="-2"/>
          <w:sz w:val="16"/>
          <w:szCs w:val="16"/>
        </w:rPr>
        <w:t xml:space="preserve"> </w:t>
      </w:r>
      <w:r w:rsidRPr="0037480D">
        <w:rPr>
          <w:sz w:val="16"/>
          <w:szCs w:val="16"/>
          <w:lang w:val="en-GB"/>
        </w:rPr>
        <w:t xml:space="preserve">Employment data are in the national accounts conception and adjusted for seasonal effects. </w:t>
      </w:r>
    </w:p>
  </w:footnote>
  <w:footnote w:id="5">
    <w:p w14:paraId="0EEFE450" w14:textId="77777777" w:rsidR="006145FA" w:rsidRPr="005A2AF2" w:rsidRDefault="006145FA" w:rsidP="00803507">
      <w:pPr>
        <w:pStyle w:val="Textpoznpodarou"/>
        <w:jc w:val="both"/>
        <w:rPr>
          <w:sz w:val="16"/>
          <w:szCs w:val="16"/>
          <w:lang w:val="en-GB"/>
        </w:rPr>
      </w:pPr>
      <w:r w:rsidRPr="000348AF">
        <w:rPr>
          <w:rStyle w:val="Znakapoznpodarou"/>
          <w:sz w:val="16"/>
          <w:szCs w:val="16"/>
        </w:rPr>
        <w:footnoteRef/>
      </w:r>
      <w:r w:rsidRPr="000348AF">
        <w:rPr>
          <w:sz w:val="16"/>
          <w:szCs w:val="16"/>
        </w:rPr>
        <w:t xml:space="preserve"> </w:t>
      </w:r>
      <w:r w:rsidRPr="005A2AF2">
        <w:rPr>
          <w:sz w:val="16"/>
          <w:szCs w:val="16"/>
          <w:lang w:val="en-GB"/>
        </w:rPr>
        <w:t>The development of the GDP, gross value added and their components is expressed with the help of the volume indices (i.e. adjusted for changes in prices) and adjusted for seasonal and calendar effects. Data are valid as of 2</w:t>
      </w:r>
      <w:r w:rsidRPr="005A2AF2">
        <w:rPr>
          <w:sz w:val="16"/>
          <w:szCs w:val="16"/>
          <w:vertAlign w:val="superscript"/>
          <w:lang w:val="en-GB"/>
        </w:rPr>
        <w:t>nd</w:t>
      </w:r>
      <w:r w:rsidRPr="005A2AF2">
        <w:rPr>
          <w:sz w:val="16"/>
          <w:szCs w:val="16"/>
          <w:lang w:val="en-GB"/>
        </w:rPr>
        <w:t xml:space="preserve"> February 2025.</w:t>
      </w:r>
    </w:p>
  </w:footnote>
  <w:footnote w:id="6">
    <w:p w14:paraId="24169BC5" w14:textId="77777777" w:rsidR="006145FA" w:rsidRPr="005A2AF2" w:rsidRDefault="006145FA" w:rsidP="00803507">
      <w:pPr>
        <w:pStyle w:val="Textpoznpodarou"/>
        <w:jc w:val="both"/>
        <w:rPr>
          <w:sz w:val="16"/>
          <w:szCs w:val="16"/>
          <w:lang w:val="en-GB"/>
        </w:rPr>
      </w:pPr>
      <w:r w:rsidRPr="005A2AF2">
        <w:rPr>
          <w:rStyle w:val="Znakapoznpodarou"/>
          <w:sz w:val="16"/>
          <w:szCs w:val="16"/>
          <w:lang w:val="en-GB"/>
        </w:rPr>
        <w:footnoteRef/>
      </w:r>
      <w:r w:rsidRPr="005A2AF2">
        <w:rPr>
          <w:sz w:val="16"/>
          <w:szCs w:val="16"/>
          <w:lang w:val="en-GB"/>
        </w:rPr>
        <w:t xml:space="preserve"> Figure was not available for Greece and Luxembourg. </w:t>
      </w:r>
    </w:p>
  </w:footnote>
  <w:footnote w:id="7">
    <w:p w14:paraId="12628BB7" w14:textId="77777777" w:rsidR="006145FA" w:rsidRPr="009C40F9" w:rsidRDefault="006145FA" w:rsidP="00803507">
      <w:pPr>
        <w:pStyle w:val="Textpoznpodarou"/>
        <w:jc w:val="both"/>
        <w:rPr>
          <w:lang w:val="en-GB"/>
        </w:rPr>
      </w:pPr>
      <w:r w:rsidRPr="009C40F9">
        <w:rPr>
          <w:rStyle w:val="Znakapoznpodarou"/>
          <w:sz w:val="16"/>
          <w:szCs w:val="16"/>
          <w:lang w:val="en-GB"/>
        </w:rPr>
        <w:footnoteRef/>
      </w:r>
      <w:r w:rsidRPr="009C40F9">
        <w:rPr>
          <w:sz w:val="16"/>
          <w:szCs w:val="16"/>
          <w:lang w:val="en-GB"/>
        </w:rPr>
        <w:t xml:space="preserve"> </w:t>
      </w:r>
      <w:r>
        <w:rPr>
          <w:sz w:val="16"/>
          <w:szCs w:val="16"/>
          <w:lang w:val="en-GB"/>
        </w:rPr>
        <w:t xml:space="preserve">Without Bulgaria, Greece, Luxembourg, Romania and Slovakia. </w:t>
      </w:r>
    </w:p>
  </w:footnote>
  <w:footnote w:id="8">
    <w:p w14:paraId="6996B954" w14:textId="77777777" w:rsidR="006145FA" w:rsidRPr="009C40F9" w:rsidRDefault="006145FA" w:rsidP="00803507">
      <w:pPr>
        <w:pStyle w:val="Textpoznpodarou"/>
        <w:jc w:val="both"/>
        <w:rPr>
          <w:lang w:val="en-GB"/>
        </w:rPr>
      </w:pPr>
      <w:r w:rsidRPr="009C40F9">
        <w:rPr>
          <w:rStyle w:val="Znakapoznpodarou"/>
          <w:sz w:val="16"/>
          <w:szCs w:val="16"/>
          <w:lang w:val="en-GB"/>
        </w:rPr>
        <w:footnoteRef/>
      </w:r>
      <w:r w:rsidRPr="009C40F9">
        <w:rPr>
          <w:sz w:val="16"/>
          <w:szCs w:val="16"/>
          <w:lang w:val="en-GB"/>
        </w:rPr>
        <w:t xml:space="preserve"> Employment data in the national accounts conception (persons), figure seasonally adjusted.  </w:t>
      </w:r>
    </w:p>
  </w:footnote>
  <w:footnote w:id="9">
    <w:p w14:paraId="5650C127" w14:textId="77777777" w:rsidR="006145FA" w:rsidRPr="009C40F9" w:rsidRDefault="006145FA" w:rsidP="00803507">
      <w:pPr>
        <w:pStyle w:val="Textpoznpodarou"/>
        <w:jc w:val="both"/>
        <w:rPr>
          <w:sz w:val="16"/>
          <w:szCs w:val="16"/>
          <w:lang w:val="en-GB"/>
        </w:rPr>
      </w:pPr>
      <w:r w:rsidRPr="009C40F9">
        <w:rPr>
          <w:rStyle w:val="Znakapoznpodarou"/>
          <w:sz w:val="16"/>
          <w:szCs w:val="16"/>
          <w:lang w:val="en-GB"/>
        </w:rPr>
        <w:footnoteRef/>
      </w:r>
      <w:r w:rsidRPr="009C40F9">
        <w:rPr>
          <w:sz w:val="16"/>
          <w:szCs w:val="16"/>
          <w:lang w:val="en-GB"/>
        </w:rPr>
        <w:t xml:space="preserve"> Converted into the real expression using the deflator of household consumption. </w:t>
      </w:r>
    </w:p>
  </w:footnote>
  <w:footnote w:id="10">
    <w:p w14:paraId="730ED5BF" w14:textId="77777777" w:rsidR="006145FA" w:rsidRPr="009C40F9" w:rsidRDefault="006145FA" w:rsidP="00803507">
      <w:pPr>
        <w:pStyle w:val="Textpoznpodarou"/>
        <w:jc w:val="both"/>
        <w:rPr>
          <w:sz w:val="16"/>
          <w:szCs w:val="16"/>
          <w:lang w:val="en-GB"/>
        </w:rPr>
      </w:pPr>
      <w:r w:rsidRPr="009C40F9">
        <w:rPr>
          <w:rStyle w:val="Znakapoznpodarou"/>
          <w:sz w:val="16"/>
          <w:szCs w:val="16"/>
          <w:lang w:val="en-GB"/>
        </w:rPr>
        <w:footnoteRef/>
      </w:r>
      <w:r w:rsidRPr="009C40F9">
        <w:rPr>
          <w:sz w:val="16"/>
          <w:szCs w:val="16"/>
          <w:lang w:val="en-GB"/>
        </w:rPr>
        <w:t xml:space="preserve"> </w:t>
      </w:r>
      <w:r w:rsidRPr="00FD125F">
        <w:rPr>
          <w:sz w:val="16"/>
          <w:szCs w:val="16"/>
          <w:lang w:val="en-GB"/>
        </w:rPr>
        <w:t>T</w:t>
      </w:r>
      <w:r>
        <w:rPr>
          <w:sz w:val="16"/>
          <w:szCs w:val="16"/>
          <w:lang w:val="en-GB"/>
        </w:rPr>
        <w:t xml:space="preserve">his section includes activities of organisations uniting persons for the purpose of advancing their common interests, repairs of computers and personal and household goods and number of other personal services </w:t>
      </w:r>
      <w:r w:rsidRPr="00FD125F">
        <w:rPr>
          <w:sz w:val="16"/>
          <w:szCs w:val="16"/>
          <w:lang w:val="en-GB"/>
        </w:rPr>
        <w:t>(</w:t>
      </w:r>
      <w:r>
        <w:rPr>
          <w:sz w:val="16"/>
          <w:szCs w:val="16"/>
          <w:lang w:val="en-GB"/>
        </w:rPr>
        <w:t>hairdressing and other beauty treatment etc.</w:t>
      </w:r>
      <w:r w:rsidRPr="00FD125F">
        <w:rPr>
          <w:sz w:val="16"/>
          <w:szCs w:val="16"/>
          <w:lang w:val="en-GB"/>
        </w:rPr>
        <w:t>).</w:t>
      </w:r>
    </w:p>
  </w:footnote>
  <w:footnote w:id="11">
    <w:p w14:paraId="1B2B05C3" w14:textId="77777777" w:rsidR="006145FA" w:rsidRPr="00B224D0" w:rsidRDefault="006145FA" w:rsidP="00803507">
      <w:pPr>
        <w:pStyle w:val="Textpoznpodarou"/>
        <w:jc w:val="both"/>
        <w:rPr>
          <w:sz w:val="16"/>
          <w:szCs w:val="16"/>
          <w:lang w:val="en-GB"/>
        </w:rPr>
      </w:pPr>
      <w:r w:rsidRPr="009C6EA8">
        <w:rPr>
          <w:rStyle w:val="Znakapoznpodarou"/>
          <w:sz w:val="16"/>
          <w:szCs w:val="16"/>
        </w:rPr>
        <w:footnoteRef/>
      </w:r>
      <w:r w:rsidRPr="009C6EA8">
        <w:rPr>
          <w:sz w:val="16"/>
          <w:szCs w:val="16"/>
        </w:rPr>
        <w:t xml:space="preserve"> </w:t>
      </w:r>
      <w:r w:rsidRPr="00B224D0">
        <w:rPr>
          <w:sz w:val="16"/>
          <w:szCs w:val="16"/>
          <w:lang w:val="en-GB"/>
        </w:rPr>
        <w:t xml:space="preserve">Additions to the GDP change after exclusion of imports for final use. </w:t>
      </w:r>
    </w:p>
  </w:footnote>
  <w:footnote w:id="12">
    <w:p w14:paraId="5C88C99A" w14:textId="77777777" w:rsidR="006145FA" w:rsidRPr="00B224D0" w:rsidRDefault="006145FA" w:rsidP="00803507">
      <w:pPr>
        <w:pStyle w:val="Textpoznpodarou"/>
        <w:jc w:val="both"/>
        <w:rPr>
          <w:sz w:val="16"/>
          <w:szCs w:val="16"/>
          <w:lang w:val="en-GB"/>
        </w:rPr>
      </w:pPr>
      <w:r w:rsidRPr="00B224D0">
        <w:rPr>
          <w:rStyle w:val="Znakapoznpodarou"/>
          <w:sz w:val="16"/>
          <w:szCs w:val="16"/>
          <w:lang w:val="en-GB"/>
        </w:rPr>
        <w:footnoteRef/>
      </w:r>
      <w:r w:rsidRPr="00B224D0">
        <w:rPr>
          <w:sz w:val="16"/>
          <w:szCs w:val="16"/>
          <w:lang w:val="en-GB"/>
        </w:rPr>
        <w:t xml:space="preserve"> Data regarding consumption based on durability are in domestic conception.</w:t>
      </w:r>
    </w:p>
  </w:footnote>
  <w:footnote w:id="13">
    <w:p w14:paraId="0B305222" w14:textId="77777777" w:rsidR="006145FA" w:rsidRPr="00B224D0" w:rsidRDefault="006145FA" w:rsidP="00803507">
      <w:pPr>
        <w:pStyle w:val="Textpoznpodarou"/>
        <w:jc w:val="both"/>
        <w:rPr>
          <w:sz w:val="16"/>
          <w:szCs w:val="16"/>
          <w:lang w:val="en-GB"/>
        </w:rPr>
      </w:pPr>
      <w:r w:rsidRPr="00B224D0">
        <w:rPr>
          <w:rStyle w:val="Znakapoznpodarou"/>
          <w:sz w:val="16"/>
          <w:szCs w:val="16"/>
          <w:lang w:val="en-GB"/>
        </w:rPr>
        <w:footnoteRef/>
      </w:r>
      <w:r w:rsidRPr="00B224D0">
        <w:rPr>
          <w:sz w:val="16"/>
          <w:szCs w:val="16"/>
          <w:lang w:val="en-GB"/>
        </w:rPr>
        <w:t xml:space="preserve"> Change in inventories (in current prices and not seasonally adjusted) attained in total -27.6 bn CZK last year and it was +45.5 bn in 2023. It arrived at −79.5 bn CZK in Q4 and it was −89.9 bn in the same period of year 2023.  </w:t>
      </w:r>
    </w:p>
  </w:footnote>
  <w:footnote w:id="14">
    <w:p w14:paraId="6A80D48A" w14:textId="77777777" w:rsidR="006145FA" w:rsidRPr="00167B30" w:rsidRDefault="006145FA" w:rsidP="00803507">
      <w:pPr>
        <w:pStyle w:val="Textpoznpodarou"/>
        <w:jc w:val="both"/>
        <w:rPr>
          <w:sz w:val="16"/>
          <w:szCs w:val="16"/>
        </w:rPr>
      </w:pPr>
      <w:r w:rsidRPr="00167B30">
        <w:rPr>
          <w:rStyle w:val="Znakapoznpodarou"/>
          <w:sz w:val="16"/>
          <w:szCs w:val="16"/>
        </w:rPr>
        <w:footnoteRef/>
      </w:r>
      <w:r w:rsidRPr="00167B30">
        <w:rPr>
          <w:sz w:val="16"/>
          <w:szCs w:val="16"/>
        </w:rPr>
        <w:t xml:space="preserve"> </w:t>
      </w:r>
      <w:r w:rsidRPr="0037480D">
        <w:rPr>
          <w:sz w:val="16"/>
          <w:szCs w:val="16"/>
          <w:lang w:val="en-GB"/>
        </w:rPr>
        <w:t>According to the methodology of quarterly national accounts (export and import in FOB/FOB prices).</w:t>
      </w:r>
      <w:r>
        <w:rPr>
          <w:sz w:val="16"/>
          <w:szCs w:val="16"/>
          <w:lang w:val="en-GB"/>
        </w:rPr>
        <w:t xml:space="preserve"> International trade balance in current prices and seasonally adjusted. </w:t>
      </w:r>
    </w:p>
  </w:footnote>
  <w:footnote w:id="15">
    <w:p w14:paraId="6B66976F" w14:textId="77777777" w:rsidR="006145FA" w:rsidRPr="0083364A" w:rsidRDefault="006145FA" w:rsidP="00803507">
      <w:pPr>
        <w:pStyle w:val="Textpoznpodarou"/>
        <w:rPr>
          <w:sz w:val="16"/>
          <w:szCs w:val="16"/>
        </w:rPr>
      </w:pPr>
      <w:r w:rsidRPr="0083364A">
        <w:rPr>
          <w:rStyle w:val="Znakapoznpodarou"/>
          <w:sz w:val="16"/>
          <w:szCs w:val="16"/>
        </w:rPr>
        <w:footnoteRef/>
      </w:r>
      <w:r w:rsidRPr="0083364A">
        <w:rPr>
          <w:sz w:val="16"/>
          <w:szCs w:val="16"/>
        </w:rPr>
        <w:t xml:space="preserve"> </w:t>
      </w:r>
      <w:bookmarkStart w:id="7" w:name="_Hlk193656376"/>
      <w:r w:rsidRPr="008723E5">
        <w:rPr>
          <w:sz w:val="16"/>
          <w:szCs w:val="16"/>
          <w:lang w:val="en-GB"/>
        </w:rPr>
        <w:t xml:space="preserve">The difference between </w:t>
      </w:r>
      <w:r>
        <w:rPr>
          <w:sz w:val="16"/>
          <w:szCs w:val="16"/>
          <w:lang w:val="en-GB"/>
        </w:rPr>
        <w:t xml:space="preserve">the </w:t>
      </w:r>
      <w:r w:rsidRPr="008723E5">
        <w:rPr>
          <w:sz w:val="16"/>
          <w:szCs w:val="16"/>
          <w:lang w:val="en-GB"/>
        </w:rPr>
        <w:t xml:space="preserve">GDP and GVA </w:t>
      </w:r>
      <w:r>
        <w:rPr>
          <w:sz w:val="16"/>
          <w:szCs w:val="16"/>
          <w:lang w:val="en-GB"/>
        </w:rPr>
        <w:t xml:space="preserve">dynamics </w:t>
      </w:r>
      <w:r w:rsidRPr="008723E5">
        <w:rPr>
          <w:sz w:val="16"/>
          <w:szCs w:val="16"/>
          <w:lang w:val="en-GB"/>
        </w:rPr>
        <w:t xml:space="preserve">was deepened by rising tax revenues related to the recovery </w:t>
      </w:r>
      <w:r>
        <w:rPr>
          <w:sz w:val="16"/>
          <w:szCs w:val="16"/>
          <w:lang w:val="en-GB"/>
        </w:rPr>
        <w:t>of</w:t>
      </w:r>
      <w:r w:rsidRPr="008723E5">
        <w:rPr>
          <w:sz w:val="16"/>
          <w:szCs w:val="16"/>
          <w:lang w:val="en-GB"/>
        </w:rPr>
        <w:t xml:space="preserve"> consumption and</w:t>
      </w:r>
      <w:r>
        <w:rPr>
          <w:sz w:val="16"/>
          <w:szCs w:val="16"/>
          <w:lang w:val="en-GB"/>
        </w:rPr>
        <w:t xml:space="preserve"> </w:t>
      </w:r>
      <w:r w:rsidRPr="008723E5">
        <w:rPr>
          <w:sz w:val="16"/>
          <w:szCs w:val="16"/>
          <w:lang w:val="en-GB"/>
        </w:rPr>
        <w:t xml:space="preserve">a drop </w:t>
      </w:r>
      <w:r>
        <w:rPr>
          <w:sz w:val="16"/>
          <w:szCs w:val="16"/>
          <w:lang w:val="en-GB"/>
        </w:rPr>
        <w:t xml:space="preserve">of </w:t>
      </w:r>
      <w:r w:rsidRPr="008723E5">
        <w:rPr>
          <w:sz w:val="16"/>
          <w:szCs w:val="16"/>
          <w:lang w:val="en-GB"/>
        </w:rPr>
        <w:t>subsidies</w:t>
      </w:r>
      <w:r>
        <w:rPr>
          <w:sz w:val="16"/>
          <w:szCs w:val="16"/>
          <w:lang w:val="en-GB"/>
        </w:rPr>
        <w:t xml:space="preserve"> on the other side</w:t>
      </w:r>
      <w:r w:rsidRPr="008723E5">
        <w:rPr>
          <w:sz w:val="16"/>
          <w:szCs w:val="16"/>
          <w:lang w:val="en-GB"/>
        </w:rPr>
        <w:t xml:space="preserve">, which reflected </w:t>
      </w:r>
      <w:r>
        <w:rPr>
          <w:sz w:val="16"/>
          <w:szCs w:val="16"/>
          <w:lang w:val="en-GB"/>
        </w:rPr>
        <w:t xml:space="preserve">the </w:t>
      </w:r>
      <w:r w:rsidRPr="008723E5">
        <w:rPr>
          <w:sz w:val="16"/>
          <w:szCs w:val="16"/>
          <w:lang w:val="en-GB"/>
        </w:rPr>
        <w:t xml:space="preserve">electricity price caps in 2023. </w:t>
      </w:r>
    </w:p>
    <w:bookmarkEnd w:id="7"/>
    <w:p w14:paraId="59CC6D57" w14:textId="77777777" w:rsidR="006145FA" w:rsidRPr="008723E5" w:rsidRDefault="006145FA" w:rsidP="00803507">
      <w:pPr>
        <w:pStyle w:val="Textpoznpodarou"/>
        <w:jc w:val="both"/>
        <w:rPr>
          <w:sz w:val="16"/>
          <w:szCs w:val="16"/>
          <w:lang w:val="en-GB"/>
        </w:rPr>
      </w:pPr>
    </w:p>
  </w:footnote>
  <w:footnote w:id="16">
    <w:p w14:paraId="4AE753D5" w14:textId="77777777" w:rsidR="006145FA" w:rsidRPr="007163BD" w:rsidRDefault="006145FA" w:rsidP="00803507">
      <w:pPr>
        <w:pStyle w:val="Textpoznpodarou"/>
        <w:jc w:val="both"/>
        <w:rPr>
          <w:rFonts w:cs="Arial"/>
          <w:color w:val="0D0D0D" w:themeColor="text1" w:themeTint="F2"/>
          <w:spacing w:val="-2"/>
          <w:sz w:val="16"/>
          <w:szCs w:val="16"/>
        </w:rPr>
      </w:pPr>
      <w:r w:rsidRPr="007163BD">
        <w:rPr>
          <w:rStyle w:val="Znakapoznpodarou"/>
          <w:rFonts w:cs="Arial"/>
          <w:color w:val="0D0D0D" w:themeColor="text1" w:themeTint="F2"/>
          <w:spacing w:val="-2"/>
          <w:sz w:val="16"/>
          <w:szCs w:val="16"/>
        </w:rPr>
        <w:footnoteRef/>
      </w:r>
      <w:r w:rsidRPr="007163BD">
        <w:rPr>
          <w:rFonts w:cs="Arial"/>
          <w:color w:val="0D0D0D" w:themeColor="text1" w:themeTint="F2"/>
          <w:spacing w:val="-2"/>
          <w:sz w:val="16"/>
          <w:szCs w:val="16"/>
        </w:rPr>
        <w:t xml:space="preserve"> </w:t>
      </w:r>
      <w:r w:rsidRPr="008E7039">
        <w:rPr>
          <w:rFonts w:cs="Arial"/>
          <w:color w:val="0D0D0D" w:themeColor="text1" w:themeTint="F2"/>
          <w:spacing w:val="-2"/>
          <w:sz w:val="16"/>
          <w:szCs w:val="16"/>
          <w:lang w:val="en-GB"/>
        </w:rPr>
        <w:t>Data regarding GVA are expressed in constant prices and adjusted for both seasonal and calendar effects</w:t>
      </w:r>
      <w:r>
        <w:rPr>
          <w:rFonts w:cs="Arial"/>
          <w:color w:val="0D0D0D" w:themeColor="text1" w:themeTint="F2"/>
          <w:spacing w:val="-2"/>
          <w:sz w:val="16"/>
          <w:szCs w:val="16"/>
          <w:lang w:val="en-GB"/>
        </w:rPr>
        <w:t xml:space="preserve">. </w:t>
      </w:r>
    </w:p>
  </w:footnote>
  <w:footnote w:id="17">
    <w:p w14:paraId="2787FDFB" w14:textId="77777777" w:rsidR="006145FA" w:rsidRPr="004E09A6" w:rsidRDefault="006145FA" w:rsidP="00803507">
      <w:pPr>
        <w:pStyle w:val="Textpoznpodarou"/>
        <w:jc w:val="both"/>
        <w:rPr>
          <w:sz w:val="16"/>
          <w:szCs w:val="16"/>
          <w:lang w:val="en-GB"/>
        </w:rPr>
      </w:pPr>
      <w:r w:rsidRPr="006B6ECC">
        <w:rPr>
          <w:rStyle w:val="Znakapoznpodarou"/>
          <w:sz w:val="16"/>
          <w:szCs w:val="16"/>
        </w:rPr>
        <w:footnoteRef/>
      </w:r>
      <w:r w:rsidRPr="006B6ECC">
        <w:rPr>
          <w:sz w:val="16"/>
          <w:szCs w:val="16"/>
        </w:rPr>
        <w:t xml:space="preserve"> </w:t>
      </w:r>
      <w:r w:rsidRPr="00D41971">
        <w:rPr>
          <w:sz w:val="16"/>
          <w:szCs w:val="16"/>
        </w:rPr>
        <w:t xml:space="preserve">GVA exceeded the pre-crisis level by 29% in information and communication, by 15% in </w:t>
      </w:r>
      <w:r>
        <w:rPr>
          <w:sz w:val="16"/>
          <w:szCs w:val="16"/>
        </w:rPr>
        <w:t xml:space="preserve">financial </w:t>
      </w:r>
      <w:r w:rsidRPr="00D41971">
        <w:rPr>
          <w:sz w:val="16"/>
          <w:szCs w:val="16"/>
        </w:rPr>
        <w:t xml:space="preserve">and insurance activities, and by 6% in business services (professional, scientific, technical and administrative activities). On the </w:t>
      </w:r>
      <w:r>
        <w:rPr>
          <w:sz w:val="16"/>
          <w:szCs w:val="16"/>
        </w:rPr>
        <w:t>contrary</w:t>
      </w:r>
      <w:r w:rsidRPr="00D41971">
        <w:rPr>
          <w:sz w:val="16"/>
          <w:szCs w:val="16"/>
        </w:rPr>
        <w:t>, the performance of industry lagged behind</w:t>
      </w:r>
      <w:r>
        <w:rPr>
          <w:sz w:val="16"/>
          <w:szCs w:val="16"/>
        </w:rPr>
        <w:t xml:space="preserve"> Q4 2019</w:t>
      </w:r>
      <w:r w:rsidRPr="00D41971">
        <w:rPr>
          <w:sz w:val="16"/>
          <w:szCs w:val="16"/>
        </w:rPr>
        <w:t xml:space="preserve"> by 6%, the primary sector of the economy by 11% and the construction sector by 16%.</w:t>
      </w:r>
      <w:r>
        <w:rPr>
          <w:sz w:val="16"/>
          <w:szCs w:val="16"/>
        </w:rPr>
        <w:t xml:space="preserve"> </w:t>
      </w:r>
      <w:r w:rsidRPr="004E09A6">
        <w:rPr>
          <w:sz w:val="16"/>
          <w:szCs w:val="16"/>
          <w:lang w:val="en-GB"/>
        </w:rPr>
        <w:t xml:space="preserve"> </w:t>
      </w:r>
    </w:p>
  </w:footnote>
  <w:footnote w:id="18">
    <w:p w14:paraId="60FE43C1" w14:textId="77777777" w:rsidR="006145FA" w:rsidRPr="004E09A6" w:rsidRDefault="006145FA" w:rsidP="00803507">
      <w:pPr>
        <w:pStyle w:val="Textpoznpodarou"/>
        <w:jc w:val="both"/>
        <w:rPr>
          <w:sz w:val="16"/>
          <w:szCs w:val="16"/>
          <w:lang w:val="en-GB"/>
        </w:rPr>
      </w:pPr>
      <w:r w:rsidRPr="004E09A6">
        <w:rPr>
          <w:rStyle w:val="Znakapoznpodarou"/>
          <w:sz w:val="16"/>
          <w:szCs w:val="16"/>
          <w:lang w:val="en-GB"/>
        </w:rPr>
        <w:footnoteRef/>
      </w:r>
      <w:r w:rsidRPr="004E09A6">
        <w:rPr>
          <w:sz w:val="16"/>
          <w:szCs w:val="16"/>
          <w:lang w:val="en-GB"/>
        </w:rPr>
        <w:t xml:space="preserve"> </w:t>
      </w:r>
      <w:r>
        <w:rPr>
          <w:sz w:val="16"/>
          <w:szCs w:val="16"/>
          <w:lang w:val="en-GB"/>
        </w:rPr>
        <w:t xml:space="preserve">The </w:t>
      </w:r>
      <w:r w:rsidRPr="0030346C">
        <w:rPr>
          <w:sz w:val="16"/>
          <w:szCs w:val="16"/>
        </w:rPr>
        <w:t xml:space="preserve">GVA increased by 1% </w:t>
      </w:r>
      <w:r>
        <w:rPr>
          <w:sz w:val="16"/>
          <w:szCs w:val="16"/>
        </w:rPr>
        <w:t xml:space="preserve">in the EU </w:t>
      </w:r>
      <w:r w:rsidRPr="0030346C">
        <w:rPr>
          <w:sz w:val="16"/>
          <w:szCs w:val="16"/>
        </w:rPr>
        <w:t xml:space="preserve">last year (the aggregate output of the </w:t>
      </w:r>
      <w:r>
        <w:rPr>
          <w:sz w:val="16"/>
          <w:szCs w:val="16"/>
        </w:rPr>
        <w:t xml:space="preserve">branch </w:t>
      </w:r>
      <w:r w:rsidRPr="0030346C">
        <w:rPr>
          <w:sz w:val="16"/>
          <w:szCs w:val="16"/>
        </w:rPr>
        <w:t xml:space="preserve">grew more dynamically than in the Czech Republic for the fourth year in a row). In both the EU and the euro area, only services contributed to growth (public services were the most important last year), while performance declined in the entire primary and secondary sectors. The total GVA increased the most in Denmark (+3.9%), Malta (3.8%) and Spain (+3.6%), and </w:t>
      </w:r>
      <w:r>
        <w:rPr>
          <w:sz w:val="16"/>
          <w:szCs w:val="16"/>
        </w:rPr>
        <w:t>within</w:t>
      </w:r>
      <w:r w:rsidRPr="0030346C">
        <w:rPr>
          <w:sz w:val="16"/>
          <w:szCs w:val="16"/>
        </w:rPr>
        <w:t xml:space="preserve"> Central Europe in Poland (+2.1%) – the performance of the economy was also supported by industry</w:t>
      </w:r>
      <w:r>
        <w:rPr>
          <w:sz w:val="16"/>
          <w:szCs w:val="16"/>
        </w:rPr>
        <w:t xml:space="preserve"> in these countries</w:t>
      </w:r>
      <w:r w:rsidRPr="0030346C">
        <w:rPr>
          <w:sz w:val="16"/>
          <w:szCs w:val="16"/>
        </w:rPr>
        <w:t xml:space="preserve">. </w:t>
      </w:r>
      <w:r>
        <w:rPr>
          <w:sz w:val="16"/>
          <w:szCs w:val="16"/>
        </w:rPr>
        <w:t>In contrast</w:t>
      </w:r>
      <w:r w:rsidRPr="0030346C">
        <w:rPr>
          <w:sz w:val="16"/>
          <w:szCs w:val="16"/>
        </w:rPr>
        <w:t xml:space="preserve">, </w:t>
      </w:r>
      <w:r>
        <w:rPr>
          <w:sz w:val="16"/>
          <w:szCs w:val="16"/>
        </w:rPr>
        <w:t xml:space="preserve">the </w:t>
      </w:r>
      <w:r w:rsidRPr="0030346C">
        <w:rPr>
          <w:sz w:val="16"/>
          <w:szCs w:val="16"/>
        </w:rPr>
        <w:t>total GVA decreased in five countries – Germany (−0.3%), Latvia (−0.6%)</w:t>
      </w:r>
      <w:r>
        <w:rPr>
          <w:sz w:val="16"/>
          <w:szCs w:val="16"/>
        </w:rPr>
        <w:t xml:space="preserve"> and also in </w:t>
      </w:r>
      <w:r w:rsidRPr="0030346C">
        <w:rPr>
          <w:sz w:val="16"/>
          <w:szCs w:val="16"/>
        </w:rPr>
        <w:t>Finland (−0.2%), Estonia (−1.1%) and Austria (−1.4%), where the</w:t>
      </w:r>
      <w:r>
        <w:rPr>
          <w:sz w:val="16"/>
          <w:szCs w:val="16"/>
        </w:rPr>
        <w:t xml:space="preserve"> downturn occurred also in</w:t>
      </w:r>
      <w:r w:rsidRPr="0030346C">
        <w:rPr>
          <w:sz w:val="16"/>
          <w:szCs w:val="16"/>
        </w:rPr>
        <w:t xml:space="preserve"> 2023</w:t>
      </w:r>
      <w:r>
        <w:rPr>
          <w:sz w:val="16"/>
          <w:szCs w:val="16"/>
        </w:rPr>
        <w:t xml:space="preserve">. </w:t>
      </w:r>
      <w:r w:rsidRPr="004E09A6">
        <w:rPr>
          <w:sz w:val="16"/>
          <w:szCs w:val="16"/>
          <w:lang w:val="en-GB"/>
        </w:rPr>
        <w:t xml:space="preserve"> </w:t>
      </w:r>
    </w:p>
  </w:footnote>
  <w:footnote w:id="19">
    <w:p w14:paraId="157A39CD" w14:textId="0CBD36ED" w:rsidR="006145FA" w:rsidRPr="004E09A6" w:rsidRDefault="006145FA" w:rsidP="00803507">
      <w:pPr>
        <w:pStyle w:val="Textpoznpodarou"/>
        <w:jc w:val="both"/>
        <w:rPr>
          <w:color w:val="0D0D0D" w:themeColor="text1" w:themeTint="F2"/>
          <w:sz w:val="16"/>
          <w:szCs w:val="16"/>
          <w:lang w:val="en-GB"/>
        </w:rPr>
      </w:pPr>
      <w:r w:rsidRPr="004E09A6">
        <w:rPr>
          <w:rStyle w:val="Znakapoznpodarou"/>
          <w:sz w:val="16"/>
          <w:szCs w:val="16"/>
          <w:lang w:val="en-GB"/>
        </w:rPr>
        <w:footnoteRef/>
      </w:r>
      <w:r w:rsidRPr="004E09A6">
        <w:rPr>
          <w:sz w:val="16"/>
          <w:szCs w:val="16"/>
          <w:lang w:val="en-GB"/>
        </w:rPr>
        <w:t xml:space="preserve"> </w:t>
      </w:r>
      <w:r w:rsidRPr="008A23E7">
        <w:rPr>
          <w:sz w:val="16"/>
          <w:szCs w:val="16"/>
        </w:rPr>
        <w:t>Last year's cereal harvest of 7 521 thousand tons was lower in a year-on-year comparison (−5.9%) and against the five-year average (−6.5%)</w:t>
      </w:r>
      <w:r>
        <w:rPr>
          <w:sz w:val="16"/>
          <w:szCs w:val="16"/>
        </w:rPr>
        <w:t xml:space="preserve"> as well</w:t>
      </w:r>
      <w:r w:rsidRPr="008A23E7">
        <w:rPr>
          <w:sz w:val="16"/>
          <w:szCs w:val="16"/>
        </w:rPr>
        <w:t>. </w:t>
      </w:r>
      <w:r>
        <w:rPr>
          <w:sz w:val="16"/>
          <w:szCs w:val="16"/>
        </w:rPr>
        <w:t xml:space="preserve">It presents </w:t>
      </w:r>
      <w:r w:rsidRPr="008A23E7">
        <w:rPr>
          <w:sz w:val="16"/>
          <w:szCs w:val="16"/>
        </w:rPr>
        <w:t xml:space="preserve">the lowest cereal harvest in the last five years. Spring cereals were more successful, with the exception of spring wheat, while the harvest of winter cereals was significantly lower. The </w:t>
      </w:r>
      <w:r>
        <w:rPr>
          <w:sz w:val="16"/>
          <w:szCs w:val="16"/>
        </w:rPr>
        <w:t xml:space="preserve">oilseed </w:t>
      </w:r>
      <w:r w:rsidRPr="008A23E7">
        <w:rPr>
          <w:sz w:val="16"/>
          <w:szCs w:val="16"/>
        </w:rPr>
        <w:t>rape</w:t>
      </w:r>
      <w:r>
        <w:rPr>
          <w:sz w:val="16"/>
          <w:szCs w:val="16"/>
        </w:rPr>
        <w:t xml:space="preserve"> </w:t>
      </w:r>
      <w:r w:rsidRPr="008A23E7">
        <w:rPr>
          <w:sz w:val="16"/>
          <w:szCs w:val="16"/>
        </w:rPr>
        <w:t>harvest fell by more than a quarter</w:t>
      </w:r>
      <w:r>
        <w:rPr>
          <w:sz w:val="16"/>
          <w:szCs w:val="16"/>
        </w:rPr>
        <w:t>,</w:t>
      </w:r>
      <w:r w:rsidRPr="008A23E7">
        <w:rPr>
          <w:sz w:val="16"/>
          <w:szCs w:val="16"/>
        </w:rPr>
        <w:t xml:space="preserve"> year-on-year</w:t>
      </w:r>
      <w:r>
        <w:rPr>
          <w:sz w:val="16"/>
          <w:szCs w:val="16"/>
        </w:rPr>
        <w:t xml:space="preserve"> </w:t>
      </w:r>
      <w:r w:rsidRPr="008A23E7">
        <w:rPr>
          <w:sz w:val="16"/>
          <w:szCs w:val="16"/>
        </w:rPr>
        <w:t>to 947 thousand tons</w:t>
      </w:r>
      <w:r>
        <w:rPr>
          <w:sz w:val="16"/>
          <w:szCs w:val="16"/>
        </w:rPr>
        <w:t xml:space="preserve"> in 2024</w:t>
      </w:r>
      <w:r w:rsidRPr="008A23E7">
        <w:rPr>
          <w:sz w:val="16"/>
          <w:szCs w:val="16"/>
        </w:rPr>
        <w:t>. Compared to the five-year average, it was 20% lower.</w:t>
      </w:r>
      <w:r>
        <w:rPr>
          <w:sz w:val="16"/>
          <w:szCs w:val="16"/>
        </w:rPr>
        <w:t xml:space="preserve"> T</w:t>
      </w:r>
      <w:r w:rsidRPr="008A23E7">
        <w:rPr>
          <w:sz w:val="16"/>
          <w:szCs w:val="16"/>
        </w:rPr>
        <w:t xml:space="preserve">he </w:t>
      </w:r>
      <w:r>
        <w:rPr>
          <w:sz w:val="16"/>
          <w:szCs w:val="16"/>
        </w:rPr>
        <w:t xml:space="preserve">oilseed </w:t>
      </w:r>
      <w:r w:rsidRPr="008A23E7">
        <w:rPr>
          <w:sz w:val="16"/>
          <w:szCs w:val="16"/>
        </w:rPr>
        <w:t>rape</w:t>
      </w:r>
      <w:r>
        <w:rPr>
          <w:sz w:val="16"/>
          <w:szCs w:val="16"/>
        </w:rPr>
        <w:t xml:space="preserve"> </w:t>
      </w:r>
      <w:r w:rsidRPr="008A23E7">
        <w:rPr>
          <w:sz w:val="16"/>
          <w:szCs w:val="16"/>
        </w:rPr>
        <w:t xml:space="preserve">harvest </w:t>
      </w:r>
      <w:r>
        <w:rPr>
          <w:sz w:val="16"/>
          <w:szCs w:val="16"/>
        </w:rPr>
        <w:t xml:space="preserve">droped </w:t>
      </w:r>
      <w:r w:rsidRPr="008A23E7">
        <w:rPr>
          <w:sz w:val="16"/>
          <w:szCs w:val="16"/>
        </w:rPr>
        <w:t>below one million tons</w:t>
      </w:r>
      <w:r>
        <w:rPr>
          <w:sz w:val="16"/>
          <w:szCs w:val="16"/>
        </w:rPr>
        <w:t xml:space="preserve"> f</w:t>
      </w:r>
      <w:r w:rsidRPr="008A23E7">
        <w:rPr>
          <w:sz w:val="16"/>
          <w:szCs w:val="16"/>
        </w:rPr>
        <w:t xml:space="preserve">or the first time since 2007. On the </w:t>
      </w:r>
      <w:r>
        <w:rPr>
          <w:sz w:val="16"/>
          <w:szCs w:val="16"/>
        </w:rPr>
        <w:t>contrary</w:t>
      </w:r>
      <w:r w:rsidRPr="008A23E7">
        <w:rPr>
          <w:sz w:val="16"/>
          <w:szCs w:val="16"/>
        </w:rPr>
        <w:t>, the harvest of root crops was higher</w:t>
      </w:r>
      <w:r>
        <w:rPr>
          <w:sz w:val="16"/>
          <w:szCs w:val="16"/>
        </w:rPr>
        <w:t>,</w:t>
      </w:r>
      <w:r w:rsidRPr="008A23E7">
        <w:rPr>
          <w:sz w:val="16"/>
          <w:szCs w:val="16"/>
        </w:rPr>
        <w:t xml:space="preserve"> year-on-year</w:t>
      </w:r>
      <w:r>
        <w:rPr>
          <w:sz w:val="16"/>
          <w:szCs w:val="16"/>
        </w:rPr>
        <w:t>,</w:t>
      </w:r>
      <w:r w:rsidRPr="008A23E7">
        <w:rPr>
          <w:sz w:val="16"/>
          <w:szCs w:val="16"/>
        </w:rPr>
        <w:t xml:space="preserve"> last year, mainly due to the expansion of the sowing area and favourable yields per hectare. The harvest was also higher </w:t>
      </w:r>
      <w:r>
        <w:rPr>
          <w:sz w:val="16"/>
          <w:szCs w:val="16"/>
        </w:rPr>
        <w:t xml:space="preserve">in relation to </w:t>
      </w:r>
      <w:r w:rsidRPr="008A23E7">
        <w:rPr>
          <w:sz w:val="16"/>
          <w:szCs w:val="16"/>
        </w:rPr>
        <w:t>the five-year average, by 2% for potatoes and by 18% for sugar beet</w:t>
      </w:r>
      <w:r>
        <w:rPr>
          <w:sz w:val="16"/>
          <w:szCs w:val="16"/>
        </w:rPr>
        <w:t>. Most other industrial</w:t>
      </w:r>
      <w:r w:rsidRPr="008A23E7">
        <w:rPr>
          <w:sz w:val="16"/>
          <w:szCs w:val="16"/>
        </w:rPr>
        <w:t xml:space="preserve"> crops also </w:t>
      </w:r>
      <w:r>
        <w:rPr>
          <w:sz w:val="16"/>
          <w:szCs w:val="16"/>
        </w:rPr>
        <w:t xml:space="preserve">fared </w:t>
      </w:r>
      <w:r w:rsidRPr="008A23E7">
        <w:rPr>
          <w:sz w:val="16"/>
          <w:szCs w:val="16"/>
        </w:rPr>
        <w:t>well. Mainly due to the expansion of sowing, the poppy crop (+51%) a</w:t>
      </w:r>
      <w:r>
        <w:rPr>
          <w:sz w:val="16"/>
          <w:szCs w:val="16"/>
        </w:rPr>
        <w:t xml:space="preserve">s well as </w:t>
      </w:r>
      <w:r w:rsidRPr="008A23E7">
        <w:rPr>
          <w:sz w:val="16"/>
          <w:szCs w:val="16"/>
        </w:rPr>
        <w:t>soybean (+16%) increased</w:t>
      </w:r>
      <w:r>
        <w:rPr>
          <w:sz w:val="16"/>
          <w:szCs w:val="16"/>
        </w:rPr>
        <w:t>,</w:t>
      </w:r>
      <w:r w:rsidRPr="008A23E7">
        <w:rPr>
          <w:sz w:val="16"/>
          <w:szCs w:val="16"/>
        </w:rPr>
        <w:t xml:space="preserve"> year-on-year. Sufficient rainfall for most of the growing season was positively reflected in a solid harvest of most fo</w:t>
      </w:r>
      <w:r>
        <w:rPr>
          <w:sz w:val="16"/>
          <w:szCs w:val="16"/>
        </w:rPr>
        <w:t xml:space="preserve">rage </w:t>
      </w:r>
      <w:r w:rsidRPr="00C80736">
        <w:rPr>
          <w:sz w:val="16"/>
          <w:szCs w:val="16"/>
        </w:rPr>
        <w:t>crops (g</w:t>
      </w:r>
      <w:r>
        <w:rPr>
          <w:sz w:val="16"/>
          <w:szCs w:val="16"/>
        </w:rPr>
        <w:t xml:space="preserve">rain </w:t>
      </w:r>
      <w:r w:rsidRPr="00C80736">
        <w:rPr>
          <w:sz w:val="16"/>
          <w:szCs w:val="16"/>
        </w:rPr>
        <w:t>maize, clover). The hop harvest decreased compared to th</w:t>
      </w:r>
      <w:r>
        <w:rPr>
          <w:sz w:val="16"/>
          <w:szCs w:val="16"/>
        </w:rPr>
        <w:t>e above-average year 2023</w:t>
      </w:r>
      <w:r w:rsidRPr="00C80736">
        <w:rPr>
          <w:sz w:val="16"/>
          <w:szCs w:val="16"/>
        </w:rPr>
        <w:t xml:space="preserve"> (by 7%), and the harvest of both grapes and vegetable</w:t>
      </w:r>
      <w:r w:rsidRPr="008A23E7">
        <w:rPr>
          <w:sz w:val="16"/>
          <w:szCs w:val="16"/>
        </w:rPr>
        <w:t xml:space="preserve"> pr</w:t>
      </w:r>
      <w:r>
        <w:rPr>
          <w:sz w:val="16"/>
          <w:szCs w:val="16"/>
        </w:rPr>
        <w:t>oduction also decreased by a tenth. The f</w:t>
      </w:r>
      <w:r w:rsidRPr="008A23E7">
        <w:rPr>
          <w:sz w:val="16"/>
          <w:szCs w:val="16"/>
        </w:rPr>
        <w:t>rosts</w:t>
      </w:r>
      <w:r>
        <w:rPr>
          <w:sz w:val="16"/>
          <w:szCs w:val="16"/>
        </w:rPr>
        <w:t xml:space="preserve"> in April 2024</w:t>
      </w:r>
      <w:r w:rsidRPr="008A23E7">
        <w:rPr>
          <w:sz w:val="16"/>
          <w:szCs w:val="16"/>
        </w:rPr>
        <w:t xml:space="preserve"> affected the fruit harvest. It </w:t>
      </w:r>
      <w:r>
        <w:rPr>
          <w:sz w:val="16"/>
          <w:szCs w:val="16"/>
        </w:rPr>
        <w:t xml:space="preserve">plummeted </w:t>
      </w:r>
      <w:r w:rsidRPr="008A23E7">
        <w:rPr>
          <w:sz w:val="16"/>
          <w:szCs w:val="16"/>
        </w:rPr>
        <w:t>by 58%</w:t>
      </w:r>
      <w:r>
        <w:rPr>
          <w:sz w:val="16"/>
          <w:szCs w:val="16"/>
        </w:rPr>
        <w:t>,</w:t>
      </w:r>
      <w:r w:rsidRPr="008A23E7">
        <w:rPr>
          <w:sz w:val="16"/>
          <w:szCs w:val="16"/>
        </w:rPr>
        <w:t xml:space="preserve"> year-on-year</w:t>
      </w:r>
      <w:r>
        <w:rPr>
          <w:sz w:val="16"/>
          <w:szCs w:val="16"/>
        </w:rPr>
        <w:t xml:space="preserve"> </w:t>
      </w:r>
      <w:r w:rsidRPr="008A23E7">
        <w:rPr>
          <w:sz w:val="16"/>
          <w:szCs w:val="16"/>
        </w:rPr>
        <w:t>(and was 63% lower than the five-year average</w:t>
      </w:r>
      <w:r>
        <w:rPr>
          <w:sz w:val="16"/>
          <w:szCs w:val="16"/>
        </w:rPr>
        <w:t>)</w:t>
      </w:r>
      <w:r w:rsidRPr="008A23E7">
        <w:rPr>
          <w:sz w:val="16"/>
          <w:szCs w:val="16"/>
        </w:rPr>
        <w:t xml:space="preserve">. With the exception of peaches and apricots, the year-on-year drop </w:t>
      </w:r>
      <w:r>
        <w:rPr>
          <w:sz w:val="16"/>
          <w:szCs w:val="16"/>
        </w:rPr>
        <w:t xml:space="preserve">of </w:t>
      </w:r>
      <w:r w:rsidRPr="008A23E7">
        <w:rPr>
          <w:sz w:val="16"/>
          <w:szCs w:val="16"/>
        </w:rPr>
        <w:t>the harvest concerned all the main types of fruit.</w:t>
      </w:r>
      <w:r>
        <w:rPr>
          <w:sz w:val="16"/>
          <w:szCs w:val="16"/>
        </w:rPr>
        <w:t xml:space="preserve"> </w:t>
      </w:r>
    </w:p>
  </w:footnote>
  <w:footnote w:id="20">
    <w:p w14:paraId="0D083C87" w14:textId="77777777" w:rsidR="006145FA" w:rsidRPr="004E09A6" w:rsidRDefault="006145FA" w:rsidP="00803507">
      <w:pPr>
        <w:pStyle w:val="paragraph"/>
        <w:spacing w:before="0" w:beforeAutospacing="0" w:after="0" w:afterAutospacing="0"/>
        <w:jc w:val="both"/>
        <w:textAlignment w:val="baseline"/>
        <w:rPr>
          <w:rFonts w:ascii="Arial" w:eastAsia="MS Gothic" w:hAnsi="Arial" w:cs="Arial"/>
          <w:color w:val="000000"/>
          <w:sz w:val="16"/>
          <w:szCs w:val="16"/>
          <w:shd w:val="clear" w:color="auto" w:fill="FFFFFF"/>
          <w:lang w:val="en-GB"/>
        </w:rPr>
      </w:pPr>
      <w:r w:rsidRPr="004E09A6">
        <w:rPr>
          <w:rStyle w:val="Znakapoznpodarou"/>
          <w:rFonts w:ascii="Arial" w:hAnsi="Arial" w:cs="Arial"/>
          <w:sz w:val="16"/>
          <w:szCs w:val="16"/>
          <w:lang w:val="en-GB"/>
        </w:rPr>
        <w:footnoteRef/>
      </w:r>
      <w:r w:rsidRPr="004E09A6">
        <w:rPr>
          <w:rFonts w:ascii="Arial" w:hAnsi="Arial" w:cs="Arial"/>
          <w:sz w:val="16"/>
          <w:szCs w:val="16"/>
          <w:lang w:val="en-GB"/>
        </w:rPr>
        <w:t xml:space="preserve"> </w:t>
      </w:r>
      <w:r w:rsidRPr="00AC30EF">
        <w:rPr>
          <w:rFonts w:ascii="Arial" w:hAnsi="Arial" w:cs="Arial"/>
          <w:sz w:val="16"/>
          <w:szCs w:val="16"/>
        </w:rPr>
        <w:t>450 thousand tons of meat were produced in slaughterhouses in the Czech Republic</w:t>
      </w:r>
      <w:r>
        <w:rPr>
          <w:rFonts w:ascii="Arial" w:hAnsi="Arial" w:cs="Arial"/>
          <w:sz w:val="16"/>
          <w:szCs w:val="16"/>
        </w:rPr>
        <w:t xml:space="preserve"> for the whole year 2024</w:t>
      </w:r>
      <w:r w:rsidRPr="00AC30EF">
        <w:rPr>
          <w:rFonts w:ascii="Arial" w:hAnsi="Arial" w:cs="Arial"/>
          <w:sz w:val="16"/>
          <w:szCs w:val="16"/>
        </w:rPr>
        <w:t>. Production increased for the first time in the last three years, by 3.3%</w:t>
      </w:r>
      <w:r>
        <w:rPr>
          <w:rFonts w:ascii="Arial" w:hAnsi="Arial" w:cs="Arial"/>
          <w:sz w:val="16"/>
          <w:szCs w:val="16"/>
        </w:rPr>
        <w:t>,</w:t>
      </w:r>
      <w:r w:rsidRPr="00AC30EF">
        <w:rPr>
          <w:rFonts w:ascii="Arial" w:hAnsi="Arial" w:cs="Arial"/>
          <w:sz w:val="16"/>
          <w:szCs w:val="16"/>
        </w:rPr>
        <w:t xml:space="preserve"> year-on-year. The production volume was comparable to </w:t>
      </w:r>
      <w:r>
        <w:rPr>
          <w:rFonts w:ascii="Arial" w:hAnsi="Arial" w:cs="Arial"/>
          <w:sz w:val="16"/>
          <w:szCs w:val="16"/>
        </w:rPr>
        <w:t xml:space="preserve">year </w:t>
      </w:r>
      <w:r w:rsidRPr="00AC30EF">
        <w:rPr>
          <w:rFonts w:ascii="Arial" w:hAnsi="Arial" w:cs="Arial"/>
          <w:sz w:val="16"/>
          <w:szCs w:val="16"/>
        </w:rPr>
        <w:t xml:space="preserve">2020. Last year's increase was largely due to pork (with a growth by 6.9%), poultry production also strengthened more moderately (+1.1%), while </w:t>
      </w:r>
      <w:r>
        <w:rPr>
          <w:rFonts w:ascii="Arial" w:hAnsi="Arial" w:cs="Arial"/>
          <w:sz w:val="16"/>
          <w:szCs w:val="16"/>
        </w:rPr>
        <w:t xml:space="preserve">2% less </w:t>
      </w:r>
      <w:r w:rsidRPr="00AC30EF">
        <w:rPr>
          <w:rFonts w:ascii="Arial" w:hAnsi="Arial" w:cs="Arial"/>
          <w:sz w:val="16"/>
          <w:szCs w:val="16"/>
        </w:rPr>
        <w:t xml:space="preserve">beef (including veal) was produced. Direct milk purchases from producers increased by 1.7%, </w:t>
      </w:r>
      <w:r>
        <w:rPr>
          <w:rFonts w:ascii="Arial" w:hAnsi="Arial" w:cs="Arial"/>
          <w:sz w:val="16"/>
          <w:szCs w:val="16"/>
        </w:rPr>
        <w:t xml:space="preserve">thus </w:t>
      </w:r>
      <w:r w:rsidRPr="00AC30EF">
        <w:rPr>
          <w:rFonts w:ascii="Arial" w:hAnsi="Arial" w:cs="Arial"/>
          <w:sz w:val="16"/>
          <w:szCs w:val="16"/>
        </w:rPr>
        <w:t>continuing a similar long-term trend.</w:t>
      </w:r>
      <w:r w:rsidRPr="004E09A6">
        <w:rPr>
          <w:rFonts w:ascii="Arial" w:eastAsia="Calibri" w:hAnsi="Arial" w:cs="Arial"/>
          <w:color w:val="0D0D0D" w:themeColor="text1" w:themeTint="F2"/>
          <w:sz w:val="16"/>
          <w:szCs w:val="16"/>
          <w:lang w:val="en-GB"/>
        </w:rPr>
        <w:t xml:space="preserve"> </w:t>
      </w:r>
    </w:p>
  </w:footnote>
  <w:footnote w:id="21">
    <w:p w14:paraId="50D01BF9" w14:textId="77777777" w:rsidR="006145FA" w:rsidRPr="00875F74" w:rsidRDefault="006145FA" w:rsidP="00803507">
      <w:pPr>
        <w:spacing w:after="0" w:line="240" w:lineRule="auto"/>
        <w:rPr>
          <w:rFonts w:cs="Arial"/>
          <w:color w:val="0D0D0D" w:themeColor="text1" w:themeTint="F2"/>
          <w:spacing w:val="-4"/>
          <w:sz w:val="16"/>
          <w:szCs w:val="16"/>
          <w:lang w:val="en-GB"/>
        </w:rPr>
      </w:pPr>
      <w:r w:rsidRPr="008C2F46">
        <w:rPr>
          <w:rStyle w:val="Znakapoznpodarou"/>
          <w:spacing w:val="-4"/>
          <w:sz w:val="16"/>
          <w:szCs w:val="16"/>
        </w:rPr>
        <w:footnoteRef/>
      </w:r>
      <w:r w:rsidRPr="008C2F46">
        <w:rPr>
          <w:spacing w:val="-4"/>
          <w:sz w:val="16"/>
          <w:szCs w:val="16"/>
        </w:rPr>
        <w:t xml:space="preserve"> </w:t>
      </w:r>
      <w:r w:rsidRPr="00B73D35">
        <w:rPr>
          <w:rFonts w:cs="Arial"/>
          <w:color w:val="0D0D0D" w:themeColor="text1" w:themeTint="F2"/>
          <w:spacing w:val="-2"/>
          <w:sz w:val="16"/>
          <w:szCs w:val="16"/>
          <w:lang w:val="en-GB"/>
        </w:rPr>
        <w:t xml:space="preserve">Includes branches of mining and quarrying, manufacturing and also energetics (here as activities of </w:t>
      </w:r>
      <w:r>
        <w:rPr>
          <w:rFonts w:cs="Arial"/>
          <w:color w:val="0D0D0D" w:themeColor="text1" w:themeTint="F2"/>
          <w:spacing w:val="-2"/>
          <w:sz w:val="16"/>
          <w:szCs w:val="16"/>
          <w:lang w:val="en-GB"/>
        </w:rPr>
        <w:t xml:space="preserve">generation </w:t>
      </w:r>
      <w:r w:rsidRPr="00B73D35">
        <w:rPr>
          <w:rFonts w:cs="Arial"/>
          <w:color w:val="0D0D0D" w:themeColor="text1" w:themeTint="F2"/>
          <w:spacing w:val="-2"/>
          <w:sz w:val="16"/>
          <w:szCs w:val="16"/>
          <w:lang w:val="en-GB"/>
        </w:rPr>
        <w:t>and distribution of electricity, gas, heat and air conditioning supply). All year-on-year rates of growth of output are adjusted for calendar effects, quarter-on-quarter rates then also for seasonal effects.</w:t>
      </w:r>
    </w:p>
  </w:footnote>
  <w:footnote w:id="22">
    <w:p w14:paraId="5ACDFB3E" w14:textId="77777777" w:rsidR="006145FA" w:rsidRPr="00187B31" w:rsidRDefault="006145FA" w:rsidP="00803507">
      <w:pPr>
        <w:pStyle w:val="Textpoznpodarou"/>
        <w:jc w:val="both"/>
        <w:rPr>
          <w:color w:val="0D0D0D" w:themeColor="text1" w:themeTint="F2"/>
          <w:spacing w:val="-1"/>
          <w:sz w:val="16"/>
          <w:szCs w:val="16"/>
          <w:lang w:val="en-GB"/>
        </w:rPr>
      </w:pPr>
      <w:r w:rsidRPr="00875F74">
        <w:rPr>
          <w:rStyle w:val="Znakapoznpodarou"/>
          <w:sz w:val="16"/>
          <w:szCs w:val="16"/>
          <w:lang w:val="en-GB"/>
        </w:rPr>
        <w:footnoteRef/>
      </w:r>
      <w:r w:rsidRPr="00875F74">
        <w:rPr>
          <w:sz w:val="16"/>
          <w:szCs w:val="16"/>
          <w:lang w:val="en-GB"/>
        </w:rPr>
        <w:t xml:space="preserve"> </w:t>
      </w:r>
      <w:r w:rsidRPr="00D6567B">
        <w:rPr>
          <w:sz w:val="16"/>
          <w:szCs w:val="16"/>
        </w:rPr>
        <w:t xml:space="preserve">Two-thirds of the main industries lagged behind their peak from </w:t>
      </w:r>
      <w:r>
        <w:rPr>
          <w:sz w:val="16"/>
          <w:szCs w:val="16"/>
        </w:rPr>
        <w:t xml:space="preserve">time period </w:t>
      </w:r>
      <w:r w:rsidRPr="00D6567B">
        <w:rPr>
          <w:sz w:val="16"/>
          <w:szCs w:val="16"/>
        </w:rPr>
        <w:t xml:space="preserve">2015 to 2019 in Q4 last year – especially those linked to the energy sector (-24%) and those focused on durable consumption production (-19%). At the level of individual sectors, </w:t>
      </w:r>
      <w:r>
        <w:rPr>
          <w:sz w:val="16"/>
          <w:szCs w:val="16"/>
        </w:rPr>
        <w:t xml:space="preserve">it represented </w:t>
      </w:r>
      <w:r w:rsidRPr="00D6567B">
        <w:rPr>
          <w:sz w:val="16"/>
          <w:szCs w:val="16"/>
        </w:rPr>
        <w:t xml:space="preserve">mainly coal mining (by 59%), metal </w:t>
      </w:r>
      <w:r>
        <w:rPr>
          <w:sz w:val="16"/>
          <w:szCs w:val="16"/>
        </w:rPr>
        <w:t>manufacturing</w:t>
      </w:r>
      <w:r w:rsidRPr="00D6567B">
        <w:rPr>
          <w:sz w:val="16"/>
          <w:szCs w:val="16"/>
        </w:rPr>
        <w:t>, metallurgy and foundry (−32%), textile industry (−23%), footwear and leather</w:t>
      </w:r>
      <w:r>
        <w:rPr>
          <w:sz w:val="16"/>
          <w:szCs w:val="16"/>
        </w:rPr>
        <w:t>working</w:t>
      </w:r>
      <w:r w:rsidRPr="00D6567B">
        <w:rPr>
          <w:sz w:val="16"/>
          <w:szCs w:val="16"/>
        </w:rPr>
        <w:t xml:space="preserve"> industr</w:t>
      </w:r>
      <w:r>
        <w:rPr>
          <w:sz w:val="16"/>
          <w:szCs w:val="16"/>
        </w:rPr>
        <w:t xml:space="preserve">ies </w:t>
      </w:r>
      <w:r w:rsidRPr="00D6567B">
        <w:rPr>
          <w:sz w:val="16"/>
          <w:szCs w:val="16"/>
        </w:rPr>
        <w:t>(−22</w:t>
      </w:r>
      <w:r w:rsidRPr="00187B31">
        <w:rPr>
          <w:color w:val="0D0D0D" w:themeColor="text1" w:themeTint="F2"/>
          <w:sz w:val="16"/>
          <w:szCs w:val="16"/>
        </w:rPr>
        <w:t>%), printing (−20%) and energy industry (−20%). Among larger sectors further engineering (−15%), chemical industry (−14%), manfuacturing of building materials (−12%) and the rubber and plastic industry (−9%) were also included. On the contrary, production of capital goods (+6%) and non-durable goods (+5%) were currently situated above the pre-crisis level of output. Specifically the individual sectors were primarily the manufacturing of motor vehicles (+15%), pharmaceutical industry (+13%) and other manufacturing industry (+12%), paper (+11%) and food industries (+6%).</w:t>
      </w:r>
    </w:p>
  </w:footnote>
  <w:footnote w:id="23">
    <w:p w14:paraId="2B2C66EC" w14:textId="77777777" w:rsidR="006145FA" w:rsidRPr="00187B31" w:rsidRDefault="006145FA" w:rsidP="00803507">
      <w:pPr>
        <w:pStyle w:val="Textpoznpodarou"/>
        <w:jc w:val="both"/>
        <w:rPr>
          <w:color w:val="0D0D0D" w:themeColor="text1" w:themeTint="F2"/>
          <w:sz w:val="16"/>
          <w:szCs w:val="16"/>
          <w:lang w:val="en-GB"/>
        </w:rPr>
      </w:pPr>
      <w:r w:rsidRPr="00187B31">
        <w:rPr>
          <w:rStyle w:val="Znakapoznpodarou"/>
          <w:color w:val="0D0D0D" w:themeColor="text1" w:themeTint="F2"/>
          <w:sz w:val="16"/>
          <w:szCs w:val="16"/>
          <w:lang w:val="en-GB"/>
        </w:rPr>
        <w:footnoteRef/>
      </w:r>
      <w:r w:rsidRPr="00187B31">
        <w:rPr>
          <w:color w:val="0D0D0D" w:themeColor="text1" w:themeTint="F2"/>
          <w:sz w:val="16"/>
          <w:szCs w:val="16"/>
          <w:lang w:val="en-GB"/>
        </w:rPr>
        <w:t xml:space="preserve"> </w:t>
      </w:r>
      <w:r w:rsidRPr="00187B31">
        <w:rPr>
          <w:color w:val="0D0D0D" w:themeColor="text1" w:themeTint="F2"/>
          <w:sz w:val="16"/>
          <w:szCs w:val="16"/>
        </w:rPr>
        <w:t xml:space="preserve">It was only the second time in the modern history of the Czech Republic last year, that engineering contributed to the decline of the total industrial production the most of all its fields. The first time this happened was during the global financial crisis in 2009. </w:t>
      </w:r>
      <w:r w:rsidRPr="00187B31">
        <w:rPr>
          <w:color w:val="0D0D0D" w:themeColor="text1" w:themeTint="F2"/>
          <w:sz w:val="16"/>
          <w:szCs w:val="16"/>
          <w:lang w:val="en-GB"/>
        </w:rPr>
        <w:t xml:space="preserve"> </w:t>
      </w:r>
    </w:p>
  </w:footnote>
  <w:footnote w:id="24">
    <w:p w14:paraId="617526B4" w14:textId="5B2B40A9" w:rsidR="006145FA" w:rsidRPr="00AF606D" w:rsidRDefault="006145FA" w:rsidP="00803507">
      <w:pPr>
        <w:pStyle w:val="Textpoznpodarou"/>
        <w:jc w:val="both"/>
        <w:rPr>
          <w:color w:val="0D0D0D" w:themeColor="text1" w:themeTint="F2"/>
          <w:sz w:val="16"/>
          <w:szCs w:val="16"/>
          <w:lang w:val="en-GB"/>
        </w:rPr>
      </w:pPr>
      <w:r w:rsidRPr="00187B31">
        <w:rPr>
          <w:rStyle w:val="Znakapoznpodarou"/>
          <w:color w:val="0D0D0D" w:themeColor="text1" w:themeTint="F2"/>
          <w:sz w:val="16"/>
          <w:szCs w:val="16"/>
          <w:lang w:val="en-GB"/>
        </w:rPr>
        <w:footnoteRef/>
      </w:r>
      <w:r w:rsidRPr="00187B31">
        <w:rPr>
          <w:color w:val="0D0D0D" w:themeColor="text1" w:themeTint="F2"/>
          <w:sz w:val="16"/>
          <w:szCs w:val="16"/>
          <w:lang w:val="en-GB"/>
        </w:rPr>
        <w:t xml:space="preserve"> </w:t>
      </w:r>
      <w:r w:rsidRPr="00187B31">
        <w:rPr>
          <w:color w:val="0D0D0D" w:themeColor="text1" w:themeTint="F2"/>
          <w:spacing w:val="-3"/>
          <w:sz w:val="16"/>
          <w:szCs w:val="16"/>
          <w:lang w:val="en-GB"/>
        </w:rPr>
        <w:t xml:space="preserve">According to the Czech Automobile Industry Association, 1.453 mil personal vehicles were manufactured locally in year 2024, by 4% more, year-on-year (and at the same time by 1% more than in the so far record year 2018). </w:t>
      </w:r>
      <w:r w:rsidRPr="00187B31">
        <w:rPr>
          <w:color w:val="0D0D0D" w:themeColor="text1" w:themeTint="F2"/>
          <w:spacing w:val="-3"/>
          <w:sz w:val="16"/>
          <w:szCs w:val="16"/>
        </w:rPr>
        <w:t xml:space="preserve">This was due to the brisk pace of production at the very beginning of the year and at the end of Q3, while the pace of production weakened in November and December. A year-on-year decline was recorded in the segment of manfuacturing of electric vehicles (including hybrid vehicles), which accounted for 10.4% of the total manfuacturing </w:t>
      </w:r>
      <w:r w:rsidRPr="00AF606D">
        <w:rPr>
          <w:color w:val="0D0D0D" w:themeColor="text1" w:themeTint="F2"/>
          <w:spacing w:val="-3"/>
          <w:sz w:val="16"/>
          <w:szCs w:val="16"/>
        </w:rPr>
        <w:t>of passenger cars last year (12.9% a year earlier). In contrast, the production of most producers of other types of road motor vehicles strenghtened (motorcycles, commercial vehicles).</w:t>
      </w:r>
    </w:p>
  </w:footnote>
  <w:footnote w:id="25">
    <w:p w14:paraId="665A9F5B" w14:textId="3848A9ED" w:rsidR="006145FA" w:rsidRPr="00875F74" w:rsidRDefault="006145FA" w:rsidP="00803507">
      <w:pPr>
        <w:pStyle w:val="Textpoznpodarou"/>
        <w:jc w:val="both"/>
        <w:rPr>
          <w:lang w:val="en-GB"/>
        </w:rPr>
      </w:pPr>
      <w:r w:rsidRPr="00AF606D">
        <w:rPr>
          <w:rStyle w:val="Znakapoznpodarou"/>
          <w:color w:val="0D0D0D" w:themeColor="text1" w:themeTint="F2"/>
          <w:sz w:val="16"/>
          <w:szCs w:val="16"/>
          <w:lang w:val="en-GB"/>
        </w:rPr>
        <w:footnoteRef/>
      </w:r>
      <w:r w:rsidRPr="00AF606D">
        <w:rPr>
          <w:color w:val="0D0D0D" w:themeColor="text1" w:themeTint="F2"/>
          <w:sz w:val="16"/>
          <w:szCs w:val="16"/>
          <w:lang w:val="en-GB"/>
        </w:rPr>
        <w:t xml:space="preserve"> Produciotn in manufacturing of </w:t>
      </w:r>
      <w:r w:rsidRPr="00AF606D">
        <w:rPr>
          <w:color w:val="0D0D0D" w:themeColor="text1" w:themeTint="F2"/>
          <w:sz w:val="16"/>
          <w:szCs w:val="16"/>
        </w:rPr>
        <w:t xml:space="preserve">motor vehicles fell by 8.2%, year-on-year, in the whole EU last year (9.1% in the euro area). It fell by about a fifth in Belgium, the Netherlands and Italy, and it also decreased significantly in France (−14%) or Germany (−7%). </w:t>
      </w:r>
    </w:p>
  </w:footnote>
  <w:footnote w:id="26">
    <w:p w14:paraId="3DA04957" w14:textId="74CED656" w:rsidR="006145FA" w:rsidRPr="00B40C84" w:rsidRDefault="006145FA" w:rsidP="00803507">
      <w:pPr>
        <w:pStyle w:val="Textpoznpodarou"/>
        <w:jc w:val="both"/>
        <w:rPr>
          <w:sz w:val="16"/>
          <w:szCs w:val="16"/>
          <w:lang w:val="en-GB"/>
        </w:rPr>
      </w:pPr>
      <w:r w:rsidRPr="00B40C84">
        <w:rPr>
          <w:rStyle w:val="Znakapoznpodarou"/>
          <w:sz w:val="16"/>
          <w:szCs w:val="16"/>
          <w:lang w:val="en-GB"/>
        </w:rPr>
        <w:footnoteRef/>
      </w:r>
      <w:r w:rsidRPr="00B40C84">
        <w:rPr>
          <w:sz w:val="16"/>
          <w:szCs w:val="16"/>
          <w:lang w:val="en-GB"/>
        </w:rPr>
        <w:t xml:space="preserve"> The output increased by almost a tenth, quarter-on-quarter, in the mining of building materials in Q4 2024 and grew similarly </w:t>
      </w:r>
      <w:r>
        <w:rPr>
          <w:sz w:val="16"/>
          <w:szCs w:val="16"/>
          <w:lang w:val="en-GB"/>
        </w:rPr>
        <w:t xml:space="preserve">also </w:t>
      </w:r>
      <w:r w:rsidRPr="00B40C84">
        <w:rPr>
          <w:sz w:val="16"/>
          <w:szCs w:val="16"/>
          <w:lang w:val="en-GB"/>
        </w:rPr>
        <w:t xml:space="preserve">in the year-on-year comparison (growing for the first time in the last eleven quarters). </w:t>
      </w:r>
    </w:p>
  </w:footnote>
  <w:footnote w:id="27">
    <w:p w14:paraId="492A5BEE" w14:textId="2DE08AE9" w:rsidR="006145FA" w:rsidRPr="00B40C84" w:rsidRDefault="006145FA" w:rsidP="00803507">
      <w:pPr>
        <w:pStyle w:val="Textpoznpodarou"/>
        <w:jc w:val="both"/>
        <w:rPr>
          <w:spacing w:val="-2"/>
          <w:sz w:val="16"/>
          <w:szCs w:val="16"/>
          <w:lang w:val="en-GB"/>
        </w:rPr>
      </w:pPr>
      <w:r w:rsidRPr="00B40C84">
        <w:rPr>
          <w:rStyle w:val="Znakapoznpodarou"/>
          <w:spacing w:val="-2"/>
          <w:sz w:val="16"/>
          <w:szCs w:val="16"/>
          <w:lang w:val="en-GB"/>
        </w:rPr>
        <w:footnoteRef/>
      </w:r>
      <w:r w:rsidRPr="00B40C84">
        <w:rPr>
          <w:spacing w:val="-2"/>
          <w:sz w:val="16"/>
          <w:szCs w:val="16"/>
          <w:lang w:val="en-GB"/>
        </w:rPr>
        <w:t xml:space="preserve"> According to preliminary data from the Energy Regulatory Office, the total net electricity production (i.e. apart from intermediate consumption, including production losses) reached 69.0 TWh in the Czech Republic last year (the lowest since 2001) and decreased by 3.9%, year-on-year (half less than in 2023). The decrease of the production of steam power plants (−9.8%) was the most noticeable, while a more moderate decline also manifested due to outages at nuclear power plants (−2.4%), which still produced the most of all types of facilities (28 TWh). On the contrary, the development of photovoltaic power plants accelerated, their last year's increase of production (+24%, to 3.6 </w:t>
      </w:r>
      <w:r>
        <w:rPr>
          <w:spacing w:val="-2"/>
          <w:sz w:val="16"/>
          <w:szCs w:val="16"/>
          <w:lang w:val="en-GB"/>
        </w:rPr>
        <w:t>TWh) can be explained by</w:t>
      </w:r>
      <w:r w:rsidRPr="00B40C84">
        <w:rPr>
          <w:spacing w:val="-2"/>
          <w:sz w:val="16"/>
          <w:szCs w:val="16"/>
          <w:lang w:val="en-GB"/>
        </w:rPr>
        <w:t xml:space="preserve"> the increase in their installed capacity. The rainier year 2024 was mirrored in higher hydroelectric power plants production (+12%, to 2.7 TWh).</w:t>
      </w:r>
    </w:p>
  </w:footnote>
  <w:footnote w:id="28">
    <w:p w14:paraId="7915A4AE" w14:textId="09C2D491" w:rsidR="006145FA" w:rsidRPr="00B40C84" w:rsidRDefault="006145FA" w:rsidP="00803507">
      <w:pPr>
        <w:pStyle w:val="Textpoznpodarou"/>
        <w:jc w:val="both"/>
        <w:rPr>
          <w:sz w:val="16"/>
          <w:szCs w:val="16"/>
          <w:lang w:val="en-GB"/>
        </w:rPr>
      </w:pPr>
      <w:r w:rsidRPr="00B40C84">
        <w:rPr>
          <w:rStyle w:val="Znakapoznpodarou"/>
          <w:sz w:val="16"/>
          <w:szCs w:val="16"/>
          <w:lang w:val="en-GB"/>
        </w:rPr>
        <w:footnoteRef/>
      </w:r>
      <w:r w:rsidRPr="00B40C84">
        <w:rPr>
          <w:sz w:val="16"/>
          <w:szCs w:val="16"/>
          <w:lang w:val="en-GB"/>
        </w:rPr>
        <w:t xml:space="preserve"> Net electricity consumption arrived at 58 TWh in the Czech Republic last year (the lowest </w:t>
      </w:r>
      <w:r>
        <w:rPr>
          <w:sz w:val="16"/>
          <w:szCs w:val="16"/>
          <w:lang w:val="en-GB"/>
        </w:rPr>
        <w:t xml:space="preserve">level </w:t>
      </w:r>
      <w:r w:rsidRPr="00B40C84">
        <w:rPr>
          <w:sz w:val="16"/>
          <w:szCs w:val="16"/>
          <w:lang w:val="en-GB"/>
        </w:rPr>
        <w:t xml:space="preserve">since 2009). Its negligible year-on-year decrease </w:t>
      </w:r>
      <w:r>
        <w:rPr>
          <w:sz w:val="16"/>
          <w:szCs w:val="16"/>
          <w:lang w:val="en-GB"/>
        </w:rPr>
        <w:t xml:space="preserve">in 2024 </w:t>
      </w:r>
      <w:r w:rsidRPr="00B40C84">
        <w:rPr>
          <w:sz w:val="16"/>
          <w:szCs w:val="16"/>
          <w:lang w:val="en-GB"/>
        </w:rPr>
        <w:t xml:space="preserve">(−0.6%) was almost exclusively caused </w:t>
      </w:r>
      <w:r>
        <w:rPr>
          <w:sz w:val="16"/>
          <w:szCs w:val="16"/>
          <w:lang w:val="en-GB"/>
        </w:rPr>
        <w:t xml:space="preserve">by </w:t>
      </w:r>
      <w:r w:rsidRPr="00B40C84">
        <w:rPr>
          <w:sz w:val="16"/>
          <w:szCs w:val="16"/>
          <w:lang w:val="en-GB"/>
        </w:rPr>
        <w:t xml:space="preserve">the smaller segment of local consumption (i.e. entities directly connected to the plant) of several larger </w:t>
      </w:r>
      <w:r>
        <w:rPr>
          <w:sz w:val="16"/>
          <w:szCs w:val="16"/>
          <w:lang w:val="en-GB"/>
        </w:rPr>
        <w:t xml:space="preserve">businesses </w:t>
      </w:r>
      <w:r w:rsidRPr="00B40C84">
        <w:rPr>
          <w:sz w:val="16"/>
          <w:szCs w:val="16"/>
          <w:lang w:val="en-GB"/>
        </w:rPr>
        <w:t xml:space="preserve">that suspended operations last year. On the </w:t>
      </w:r>
      <w:r>
        <w:rPr>
          <w:sz w:val="16"/>
          <w:szCs w:val="16"/>
          <w:lang w:val="en-GB"/>
        </w:rPr>
        <w:t xml:space="preserve">contrary, </w:t>
      </w:r>
      <w:r w:rsidRPr="00B40C84">
        <w:rPr>
          <w:sz w:val="16"/>
          <w:szCs w:val="16"/>
          <w:lang w:val="en-GB"/>
        </w:rPr>
        <w:t>there was an increase of 1.4%</w:t>
      </w:r>
      <w:r>
        <w:rPr>
          <w:sz w:val="16"/>
          <w:szCs w:val="16"/>
          <w:lang w:val="en-GB"/>
        </w:rPr>
        <w:t xml:space="preserve"> </w:t>
      </w:r>
      <w:r w:rsidRPr="00B40C84">
        <w:rPr>
          <w:sz w:val="16"/>
          <w:szCs w:val="16"/>
          <w:lang w:val="en-GB"/>
        </w:rPr>
        <w:t>in the c</w:t>
      </w:r>
      <w:r>
        <w:rPr>
          <w:sz w:val="16"/>
          <w:szCs w:val="16"/>
          <w:lang w:val="en-GB"/>
        </w:rPr>
        <w:t xml:space="preserve">ategory of wholesale customers </w:t>
      </w:r>
      <w:r w:rsidRPr="00B40C84">
        <w:rPr>
          <w:sz w:val="16"/>
          <w:szCs w:val="16"/>
          <w:lang w:val="en-GB"/>
        </w:rPr>
        <w:t xml:space="preserve">(of which consumption grew by 5.6% for customers at the very high voltage level – i.e. basically the largest enterprises). </w:t>
      </w:r>
      <w:r>
        <w:rPr>
          <w:sz w:val="16"/>
          <w:szCs w:val="16"/>
          <w:lang w:val="en-GB"/>
        </w:rPr>
        <w:t>S</w:t>
      </w:r>
      <w:r w:rsidRPr="00B40C84">
        <w:rPr>
          <w:sz w:val="16"/>
          <w:szCs w:val="16"/>
          <w:lang w:val="en-GB"/>
        </w:rPr>
        <w:t>mall customers (+0.2%) and households (+1.1%)</w:t>
      </w:r>
      <w:r>
        <w:rPr>
          <w:sz w:val="16"/>
          <w:szCs w:val="16"/>
          <w:lang w:val="en-GB"/>
        </w:rPr>
        <w:t xml:space="preserve"> also consumed slightly more electricity last year. </w:t>
      </w:r>
      <w:r w:rsidRPr="00B40C84">
        <w:rPr>
          <w:sz w:val="16"/>
          <w:szCs w:val="16"/>
          <w:lang w:val="en-GB"/>
        </w:rPr>
        <w:t xml:space="preserve">Compared to 2019, when </w:t>
      </w:r>
      <w:r>
        <w:rPr>
          <w:sz w:val="16"/>
          <w:szCs w:val="16"/>
          <w:lang w:val="en-GB"/>
        </w:rPr>
        <w:t xml:space="preserve">the </w:t>
      </w:r>
      <w:r w:rsidRPr="00B40C84">
        <w:rPr>
          <w:sz w:val="16"/>
          <w:szCs w:val="16"/>
          <w:lang w:val="en-GB"/>
        </w:rPr>
        <w:t xml:space="preserve">total net </w:t>
      </w:r>
      <w:r>
        <w:rPr>
          <w:sz w:val="16"/>
          <w:szCs w:val="16"/>
          <w:lang w:val="en-GB"/>
        </w:rPr>
        <w:t xml:space="preserve">electricity </w:t>
      </w:r>
      <w:r w:rsidRPr="00B40C84">
        <w:rPr>
          <w:sz w:val="16"/>
          <w:szCs w:val="16"/>
          <w:lang w:val="en-GB"/>
        </w:rPr>
        <w:t xml:space="preserve">consumption </w:t>
      </w:r>
      <w:r>
        <w:rPr>
          <w:sz w:val="16"/>
          <w:szCs w:val="16"/>
          <w:lang w:val="en-GB"/>
        </w:rPr>
        <w:t xml:space="preserve">approached </w:t>
      </w:r>
      <w:r w:rsidRPr="00B40C84">
        <w:rPr>
          <w:sz w:val="16"/>
          <w:szCs w:val="16"/>
          <w:lang w:val="en-GB"/>
        </w:rPr>
        <w:t xml:space="preserve">the long-term maximum, consumption was lower by 6.9% last year, mainly due to a decrease </w:t>
      </w:r>
      <w:r>
        <w:rPr>
          <w:sz w:val="16"/>
          <w:szCs w:val="16"/>
          <w:lang w:val="en-GB"/>
        </w:rPr>
        <w:t xml:space="preserve">for wholesale </w:t>
      </w:r>
      <w:r w:rsidRPr="00B40C84">
        <w:rPr>
          <w:sz w:val="16"/>
          <w:szCs w:val="16"/>
          <w:lang w:val="en-GB"/>
        </w:rPr>
        <w:t xml:space="preserve">customers (-7.7%), while only households (+2.5%) increased their consumption, which is related to the growth </w:t>
      </w:r>
      <w:r>
        <w:rPr>
          <w:sz w:val="16"/>
          <w:szCs w:val="16"/>
          <w:lang w:val="en-GB"/>
        </w:rPr>
        <w:t>of</w:t>
      </w:r>
      <w:r w:rsidRPr="00B40C84">
        <w:rPr>
          <w:sz w:val="16"/>
          <w:szCs w:val="16"/>
          <w:lang w:val="en-GB"/>
        </w:rPr>
        <w:t xml:space="preserve"> their number </w:t>
      </w:r>
      <w:r>
        <w:rPr>
          <w:sz w:val="16"/>
          <w:szCs w:val="16"/>
          <w:lang w:val="en-GB"/>
        </w:rPr>
        <w:t xml:space="preserve">(population growth) as well as wider spread of home office work. </w:t>
      </w:r>
      <w:r w:rsidRPr="00B40C84">
        <w:rPr>
          <w:sz w:val="16"/>
          <w:szCs w:val="16"/>
          <w:lang w:val="en-GB"/>
        </w:rPr>
        <w:t xml:space="preserve"> </w:t>
      </w:r>
    </w:p>
  </w:footnote>
  <w:footnote w:id="29">
    <w:p w14:paraId="4E5BA4A4" w14:textId="77777777" w:rsidR="006145FA" w:rsidRPr="00B40C84" w:rsidRDefault="006145FA" w:rsidP="00803507">
      <w:pPr>
        <w:pStyle w:val="Textpoznpodarou"/>
        <w:jc w:val="both"/>
        <w:rPr>
          <w:lang w:val="en-GB"/>
        </w:rPr>
      </w:pPr>
      <w:r w:rsidRPr="00B40C84">
        <w:rPr>
          <w:rStyle w:val="Znakapoznpodarou"/>
          <w:sz w:val="16"/>
          <w:szCs w:val="16"/>
          <w:lang w:val="en-GB"/>
        </w:rPr>
        <w:footnoteRef/>
      </w:r>
      <w:r w:rsidRPr="00B40C84">
        <w:rPr>
          <w:sz w:val="16"/>
          <w:szCs w:val="16"/>
          <w:lang w:val="en-GB"/>
        </w:rPr>
        <w:t xml:space="preserve"> </w:t>
      </w:r>
      <w:r w:rsidRPr="001151A6">
        <w:rPr>
          <w:sz w:val="16"/>
          <w:szCs w:val="16"/>
          <w:lang w:val="en"/>
        </w:rPr>
        <w:t>Total gas consumption in the Czech Republic stagnated last year and was 28% lower than its 2021 peak (however, consumption converted to the long-term t</w:t>
      </w:r>
      <w:r>
        <w:rPr>
          <w:sz w:val="16"/>
          <w:szCs w:val="16"/>
          <w:lang w:val="en"/>
        </w:rPr>
        <w:t xml:space="preserve">hermal standard </w:t>
      </w:r>
      <w:r w:rsidRPr="001151A6">
        <w:rPr>
          <w:sz w:val="16"/>
          <w:szCs w:val="16"/>
          <w:lang w:val="en"/>
        </w:rPr>
        <w:t>increased</w:t>
      </w:r>
      <w:r>
        <w:rPr>
          <w:sz w:val="16"/>
          <w:szCs w:val="16"/>
          <w:lang w:val="en"/>
        </w:rPr>
        <w:t>,</w:t>
      </w:r>
      <w:r w:rsidRPr="001151A6">
        <w:rPr>
          <w:sz w:val="16"/>
          <w:szCs w:val="16"/>
          <w:lang w:val="en"/>
        </w:rPr>
        <w:t xml:space="preserve"> year-on-year</w:t>
      </w:r>
      <w:r>
        <w:rPr>
          <w:sz w:val="16"/>
          <w:szCs w:val="16"/>
          <w:lang w:val="en"/>
        </w:rPr>
        <w:t xml:space="preserve">, </w:t>
      </w:r>
      <w:r w:rsidRPr="001151A6">
        <w:rPr>
          <w:sz w:val="16"/>
          <w:szCs w:val="16"/>
          <w:lang w:val="en"/>
        </w:rPr>
        <w:t>for the first time in three years /by 1.8%/</w:t>
      </w:r>
      <w:r>
        <w:rPr>
          <w:sz w:val="16"/>
          <w:szCs w:val="16"/>
          <w:lang w:val="en"/>
        </w:rPr>
        <w:t xml:space="preserve"> last year</w:t>
      </w:r>
      <w:r w:rsidRPr="001151A6">
        <w:rPr>
          <w:sz w:val="16"/>
          <w:szCs w:val="16"/>
          <w:lang w:val="en"/>
        </w:rPr>
        <w:t xml:space="preserve">, </w:t>
      </w:r>
      <w:r>
        <w:rPr>
          <w:sz w:val="16"/>
          <w:szCs w:val="16"/>
          <w:lang w:val="en"/>
        </w:rPr>
        <w:t xml:space="preserve">in that </w:t>
      </w:r>
      <w:r w:rsidRPr="001151A6">
        <w:rPr>
          <w:sz w:val="16"/>
          <w:szCs w:val="16"/>
          <w:lang w:val="en"/>
        </w:rPr>
        <w:t xml:space="preserve">by 7.1% in Q4 2024). A slight increase in consumption (up to 2%) was recorded by all key customers </w:t>
      </w:r>
      <w:r>
        <w:rPr>
          <w:sz w:val="16"/>
          <w:szCs w:val="16"/>
          <w:lang w:val="en"/>
        </w:rPr>
        <w:t xml:space="preserve">last year </w:t>
      </w:r>
      <w:r w:rsidRPr="001151A6">
        <w:rPr>
          <w:sz w:val="16"/>
          <w:szCs w:val="16"/>
          <w:lang w:val="en"/>
        </w:rPr>
        <w:t xml:space="preserve">except households, which consumed 1.7% less gas (31% less </w:t>
      </w:r>
      <w:r>
        <w:rPr>
          <w:sz w:val="16"/>
          <w:szCs w:val="16"/>
          <w:lang w:val="en"/>
        </w:rPr>
        <w:t xml:space="preserve">compared to </w:t>
      </w:r>
      <w:r w:rsidRPr="001151A6">
        <w:rPr>
          <w:sz w:val="16"/>
          <w:szCs w:val="16"/>
          <w:lang w:val="en"/>
        </w:rPr>
        <w:t xml:space="preserve">2021). </w:t>
      </w:r>
    </w:p>
  </w:footnote>
  <w:footnote w:id="30">
    <w:p w14:paraId="2CC8041E" w14:textId="39F131B1" w:rsidR="006145FA" w:rsidRPr="00B40C84" w:rsidRDefault="006145FA" w:rsidP="00803507">
      <w:pPr>
        <w:pStyle w:val="Textpoznpodarou"/>
        <w:jc w:val="both"/>
        <w:rPr>
          <w:sz w:val="16"/>
          <w:szCs w:val="16"/>
          <w:lang w:val="en-GB"/>
        </w:rPr>
      </w:pPr>
      <w:r w:rsidRPr="00B40C84">
        <w:rPr>
          <w:rStyle w:val="Znakapoznpodarou"/>
          <w:sz w:val="16"/>
          <w:szCs w:val="16"/>
          <w:lang w:val="en-GB"/>
        </w:rPr>
        <w:footnoteRef/>
      </w:r>
      <w:r w:rsidRPr="00B40C84">
        <w:rPr>
          <w:sz w:val="16"/>
          <w:szCs w:val="16"/>
          <w:lang w:val="en-GB"/>
        </w:rPr>
        <w:t xml:space="preserve"> </w:t>
      </w:r>
      <w:r w:rsidRPr="001151A6">
        <w:rPr>
          <w:sz w:val="16"/>
          <w:szCs w:val="16"/>
          <w:lang w:val="en"/>
        </w:rPr>
        <w:t xml:space="preserve">According to the Czech Hydrometeorological Institute, the average air temperature </w:t>
      </w:r>
      <w:r>
        <w:rPr>
          <w:sz w:val="16"/>
          <w:szCs w:val="16"/>
          <w:lang w:val="en"/>
        </w:rPr>
        <w:t xml:space="preserve">attained </w:t>
      </w:r>
      <w:r w:rsidRPr="001151A6">
        <w:rPr>
          <w:sz w:val="16"/>
          <w:szCs w:val="16"/>
          <w:lang w:val="en"/>
        </w:rPr>
        <w:t>10.5 degrees Celsius in the Czech Republic</w:t>
      </w:r>
      <w:r>
        <w:rPr>
          <w:sz w:val="16"/>
          <w:szCs w:val="16"/>
          <w:lang w:val="en"/>
        </w:rPr>
        <w:t xml:space="preserve"> </w:t>
      </w:r>
      <w:r w:rsidRPr="001151A6">
        <w:rPr>
          <w:sz w:val="16"/>
          <w:szCs w:val="16"/>
          <w:lang w:val="en"/>
        </w:rPr>
        <w:t>last year and was higher</w:t>
      </w:r>
      <w:r>
        <w:rPr>
          <w:sz w:val="16"/>
          <w:szCs w:val="16"/>
          <w:lang w:val="en"/>
        </w:rPr>
        <w:t>,</w:t>
      </w:r>
      <w:r w:rsidRPr="001151A6">
        <w:rPr>
          <w:sz w:val="16"/>
          <w:szCs w:val="16"/>
          <w:lang w:val="en"/>
        </w:rPr>
        <w:t xml:space="preserve"> year-on-year (+0.6 degrees) even compared to the long-term </w:t>
      </w:r>
      <w:r>
        <w:rPr>
          <w:sz w:val="16"/>
          <w:szCs w:val="16"/>
          <w:lang w:val="en"/>
        </w:rPr>
        <w:t xml:space="preserve">standard </w:t>
      </w:r>
      <w:r w:rsidRPr="001151A6">
        <w:rPr>
          <w:sz w:val="16"/>
          <w:szCs w:val="16"/>
          <w:lang w:val="en"/>
        </w:rPr>
        <w:t xml:space="preserve">(+1.9). </w:t>
      </w:r>
      <w:r>
        <w:rPr>
          <w:sz w:val="16"/>
          <w:szCs w:val="16"/>
          <w:lang w:val="en"/>
        </w:rPr>
        <w:t xml:space="preserve">Nevertheless, it was lower last January (by </w:t>
      </w:r>
      <w:r w:rsidRPr="001151A6">
        <w:rPr>
          <w:sz w:val="16"/>
          <w:szCs w:val="16"/>
          <w:lang w:val="en"/>
        </w:rPr>
        <w:t>2.5 degrees)</w:t>
      </w:r>
      <w:r>
        <w:rPr>
          <w:sz w:val="16"/>
          <w:szCs w:val="16"/>
          <w:lang w:val="en"/>
        </w:rPr>
        <w:t xml:space="preserve"> </w:t>
      </w:r>
      <w:r w:rsidRPr="001151A6">
        <w:rPr>
          <w:sz w:val="16"/>
          <w:szCs w:val="16"/>
          <w:lang w:val="en"/>
        </w:rPr>
        <w:t>compared to the very warm year of 2023 and throughout the period from September to December (by an average of 1.3 degrees).</w:t>
      </w:r>
      <w:r>
        <w:rPr>
          <w:sz w:val="16"/>
          <w:szCs w:val="16"/>
          <w:lang w:val="en"/>
        </w:rPr>
        <w:t xml:space="preserve"> </w:t>
      </w:r>
    </w:p>
  </w:footnote>
  <w:footnote w:id="31">
    <w:p w14:paraId="1052B2E4" w14:textId="77777777" w:rsidR="006145FA" w:rsidRPr="00B40C84" w:rsidRDefault="006145FA" w:rsidP="00803507">
      <w:pPr>
        <w:pStyle w:val="Textpoznpodarou"/>
        <w:jc w:val="both"/>
        <w:rPr>
          <w:sz w:val="16"/>
          <w:szCs w:val="16"/>
          <w:lang w:val="en-GB"/>
        </w:rPr>
      </w:pPr>
      <w:r w:rsidRPr="00B40C84">
        <w:rPr>
          <w:rStyle w:val="Znakapoznpodarou"/>
          <w:sz w:val="16"/>
          <w:szCs w:val="16"/>
          <w:lang w:val="en-GB"/>
        </w:rPr>
        <w:footnoteRef/>
      </w:r>
      <w:r w:rsidRPr="00B40C84">
        <w:rPr>
          <w:sz w:val="16"/>
          <w:szCs w:val="16"/>
          <w:lang w:val="en-GB"/>
        </w:rPr>
        <w:t xml:space="preserve"> </w:t>
      </w:r>
      <w:bookmarkStart w:id="13" w:name="_Hlk194272074"/>
      <w:r>
        <w:rPr>
          <w:sz w:val="16"/>
          <w:szCs w:val="16"/>
          <w:lang w:val="en-GB"/>
        </w:rPr>
        <w:t>T</w:t>
      </w:r>
      <w:r w:rsidRPr="000B6D4D">
        <w:rPr>
          <w:sz w:val="16"/>
          <w:szCs w:val="16"/>
        </w:rPr>
        <w:t xml:space="preserve">he food industry had the highest growth impact on the </w:t>
      </w:r>
      <w:r>
        <w:rPr>
          <w:sz w:val="16"/>
          <w:szCs w:val="16"/>
        </w:rPr>
        <w:t xml:space="preserve">total </w:t>
      </w:r>
      <w:r w:rsidRPr="000B6D4D">
        <w:rPr>
          <w:sz w:val="16"/>
          <w:szCs w:val="16"/>
        </w:rPr>
        <w:t>industry of all industr</w:t>
      </w:r>
      <w:r>
        <w:rPr>
          <w:sz w:val="16"/>
          <w:szCs w:val="16"/>
        </w:rPr>
        <w:t>y sectors last year</w:t>
      </w:r>
      <w:r w:rsidRPr="000B6D4D">
        <w:rPr>
          <w:sz w:val="16"/>
          <w:szCs w:val="16"/>
        </w:rPr>
        <w:t xml:space="preserve">, which occurred for the first time in a comparable time series after </w:t>
      </w:r>
      <w:r>
        <w:rPr>
          <w:sz w:val="16"/>
          <w:szCs w:val="16"/>
        </w:rPr>
        <w:t xml:space="preserve">year </w:t>
      </w:r>
      <w:r w:rsidRPr="000B6D4D">
        <w:rPr>
          <w:sz w:val="16"/>
          <w:szCs w:val="16"/>
        </w:rPr>
        <w:t>2000.</w:t>
      </w:r>
      <w:r>
        <w:rPr>
          <w:sz w:val="16"/>
          <w:szCs w:val="16"/>
        </w:rPr>
        <w:t xml:space="preserve"> </w:t>
      </w:r>
      <w:r w:rsidRPr="00B40C84">
        <w:rPr>
          <w:sz w:val="16"/>
          <w:szCs w:val="16"/>
          <w:lang w:val="en-GB"/>
        </w:rPr>
        <w:t xml:space="preserve"> </w:t>
      </w:r>
      <w:bookmarkEnd w:id="13"/>
    </w:p>
  </w:footnote>
  <w:footnote w:id="32">
    <w:p w14:paraId="4FA58CF3" w14:textId="59C0B45F" w:rsidR="006145FA" w:rsidRPr="000B6D4D" w:rsidRDefault="006145FA" w:rsidP="00803507">
      <w:pPr>
        <w:pStyle w:val="Textpoznpodarou"/>
        <w:jc w:val="both"/>
        <w:rPr>
          <w:sz w:val="16"/>
          <w:szCs w:val="16"/>
          <w:lang w:val="en-GB"/>
        </w:rPr>
      </w:pPr>
      <w:r w:rsidRPr="008B130F">
        <w:rPr>
          <w:rStyle w:val="Znakapoznpodarou"/>
          <w:sz w:val="16"/>
          <w:szCs w:val="16"/>
        </w:rPr>
        <w:footnoteRef/>
      </w:r>
      <w:r w:rsidRPr="008B130F">
        <w:rPr>
          <w:sz w:val="16"/>
          <w:szCs w:val="16"/>
        </w:rPr>
        <w:t xml:space="preserve"> </w:t>
      </w:r>
      <w:bookmarkStart w:id="14" w:name="_Hlk194272197"/>
      <w:r w:rsidRPr="000B6D4D">
        <w:rPr>
          <w:sz w:val="16"/>
          <w:szCs w:val="16"/>
          <w:lang w:val="en-GB"/>
        </w:rPr>
        <w:t xml:space="preserve">Output of furniture manufacturing decreased by 2% last year, and even by 12.6% in the last two years. While </w:t>
      </w:r>
      <w:r>
        <w:rPr>
          <w:sz w:val="16"/>
          <w:szCs w:val="16"/>
          <w:lang w:val="en-GB"/>
        </w:rPr>
        <w:t xml:space="preserve">in 2023 mainly the </w:t>
      </w:r>
      <w:r w:rsidRPr="000B6D4D">
        <w:rPr>
          <w:sz w:val="16"/>
          <w:szCs w:val="16"/>
          <w:lang w:val="en-GB"/>
        </w:rPr>
        <w:t xml:space="preserve">sales </w:t>
      </w:r>
      <w:r>
        <w:rPr>
          <w:sz w:val="16"/>
          <w:szCs w:val="16"/>
          <w:lang w:val="en-GB"/>
        </w:rPr>
        <w:t xml:space="preserve">abroad </w:t>
      </w:r>
      <w:r w:rsidRPr="000B6D4D">
        <w:rPr>
          <w:sz w:val="16"/>
          <w:szCs w:val="16"/>
          <w:lang w:val="en-GB"/>
        </w:rPr>
        <w:t xml:space="preserve">were slow, </w:t>
      </w:r>
      <w:r>
        <w:rPr>
          <w:sz w:val="16"/>
          <w:szCs w:val="16"/>
          <w:lang w:val="en-GB"/>
        </w:rPr>
        <w:t xml:space="preserve">domestic </w:t>
      </w:r>
      <w:r w:rsidRPr="000B6D4D">
        <w:rPr>
          <w:sz w:val="16"/>
          <w:szCs w:val="16"/>
          <w:lang w:val="en-GB"/>
        </w:rPr>
        <w:t xml:space="preserve">weaker demand </w:t>
      </w:r>
      <w:r>
        <w:rPr>
          <w:sz w:val="16"/>
          <w:szCs w:val="16"/>
          <w:lang w:val="en-GB"/>
        </w:rPr>
        <w:t xml:space="preserve">manifested adversely in 2024. </w:t>
      </w:r>
      <w:r w:rsidRPr="000B6D4D">
        <w:rPr>
          <w:sz w:val="16"/>
          <w:szCs w:val="16"/>
          <w:lang w:val="en-GB"/>
        </w:rPr>
        <w:t xml:space="preserve"> </w:t>
      </w:r>
      <w:bookmarkEnd w:id="14"/>
    </w:p>
  </w:footnote>
  <w:footnote w:id="33">
    <w:p w14:paraId="1D1D21FE" w14:textId="55B90EAF" w:rsidR="006145FA" w:rsidRPr="0031148C" w:rsidRDefault="006145FA" w:rsidP="00803507">
      <w:pPr>
        <w:pStyle w:val="Textpoznpodarou"/>
        <w:jc w:val="both"/>
        <w:rPr>
          <w:rFonts w:cs="Arial"/>
          <w:color w:val="0D0D0D" w:themeColor="text1" w:themeTint="F2"/>
          <w:spacing w:val="-2"/>
          <w:sz w:val="16"/>
          <w:szCs w:val="16"/>
          <w:lang w:val="en-GB"/>
        </w:rPr>
      </w:pPr>
      <w:r w:rsidRPr="00F33536">
        <w:rPr>
          <w:rStyle w:val="Znakapoznpodarou"/>
          <w:rFonts w:cs="Arial"/>
          <w:color w:val="0D0D0D" w:themeColor="text1" w:themeTint="F2"/>
          <w:spacing w:val="-2"/>
          <w:sz w:val="16"/>
          <w:szCs w:val="16"/>
        </w:rPr>
        <w:footnoteRef/>
      </w:r>
      <w:r>
        <w:rPr>
          <w:rFonts w:cs="Arial"/>
          <w:color w:val="0D0D0D" w:themeColor="text1" w:themeTint="F2"/>
          <w:spacing w:val="-2"/>
          <w:sz w:val="16"/>
          <w:szCs w:val="16"/>
        </w:rPr>
        <w:t xml:space="preserve"> </w:t>
      </w:r>
      <w:r>
        <w:rPr>
          <w:rFonts w:cs="Arial"/>
          <w:color w:val="0D0D0D" w:themeColor="text1" w:themeTint="F2"/>
          <w:spacing w:val="-2"/>
          <w:sz w:val="16"/>
          <w:szCs w:val="16"/>
          <w:lang w:val="en-GB"/>
        </w:rPr>
        <w:t xml:space="preserve">New orders are monitored only in twelve manufacturing branches </w:t>
      </w:r>
      <w:r>
        <w:rPr>
          <w:rFonts w:cs="Arial"/>
          <w:color w:val="0D0D0D" w:themeColor="text1" w:themeTint="F2"/>
          <w:sz w:val="16"/>
          <w:szCs w:val="16"/>
          <w:lang w:val="en-GB"/>
        </w:rPr>
        <w:t xml:space="preserve">producing mostly custom-made products, with longer production cycle and larger stocks of orders. Year-on-year growth rates of orders are adjusted for calendar effects, quarter-on-quarter rates also for seasonal effects. </w:t>
      </w:r>
    </w:p>
  </w:footnote>
  <w:footnote w:id="34">
    <w:p w14:paraId="3AF53E2F" w14:textId="77777777" w:rsidR="006145FA" w:rsidRPr="007A5CBD" w:rsidRDefault="006145FA" w:rsidP="00803507">
      <w:pPr>
        <w:pStyle w:val="Textpoznpodarou"/>
        <w:jc w:val="both"/>
        <w:rPr>
          <w:color w:val="0D0D0D" w:themeColor="text1" w:themeTint="F2"/>
          <w:sz w:val="16"/>
          <w:szCs w:val="16"/>
          <w:lang w:val="en-GB"/>
        </w:rPr>
      </w:pPr>
      <w:r w:rsidRPr="007A5CBD">
        <w:rPr>
          <w:rStyle w:val="Znakapoznpodarou"/>
          <w:color w:val="0D0D0D" w:themeColor="text1" w:themeTint="F2"/>
          <w:sz w:val="16"/>
          <w:szCs w:val="16"/>
        </w:rPr>
        <w:footnoteRef/>
      </w:r>
      <w:r w:rsidRPr="007A5CBD">
        <w:rPr>
          <w:color w:val="0D0D0D" w:themeColor="text1" w:themeTint="F2"/>
          <w:sz w:val="16"/>
          <w:szCs w:val="16"/>
        </w:rPr>
        <w:t xml:space="preserve"> However, it still represented a significant barrier, exceptionally it comprised a dominant growth restriction (leatherworking, manufacturing of other transport equipment, repair and installation of machinery and equipment) in some sectors (food, beverage and metal</w:t>
      </w:r>
      <w:r>
        <w:rPr>
          <w:color w:val="0D0D0D" w:themeColor="text1" w:themeTint="F2"/>
          <w:sz w:val="16"/>
          <w:szCs w:val="16"/>
        </w:rPr>
        <w:t>working</w:t>
      </w:r>
      <w:r w:rsidRPr="007A5CBD">
        <w:rPr>
          <w:color w:val="0D0D0D" w:themeColor="text1" w:themeTint="F2"/>
          <w:sz w:val="16"/>
          <w:szCs w:val="16"/>
        </w:rPr>
        <w:t xml:space="preserve"> industry or subcontractor branches of motor vehicle manufacturing</w:t>
      </w:r>
      <w:r>
        <w:rPr>
          <w:color w:val="0D0D0D" w:themeColor="text1" w:themeTint="F2"/>
          <w:sz w:val="16"/>
          <w:szCs w:val="16"/>
        </w:rPr>
        <w:t>).</w:t>
      </w:r>
    </w:p>
  </w:footnote>
  <w:footnote w:id="35">
    <w:p w14:paraId="6D5F70C1" w14:textId="77777777" w:rsidR="006145FA" w:rsidRPr="007A5CBD" w:rsidRDefault="006145FA" w:rsidP="007A5CBD">
      <w:pPr>
        <w:pStyle w:val="Textpoznpodarou"/>
        <w:jc w:val="both"/>
        <w:rPr>
          <w:color w:val="0D0D0D" w:themeColor="text1" w:themeTint="F2"/>
          <w:sz w:val="16"/>
          <w:szCs w:val="16"/>
          <w:lang w:val="en-GB"/>
        </w:rPr>
      </w:pPr>
      <w:r w:rsidRPr="007A5CBD">
        <w:rPr>
          <w:rStyle w:val="Znakapoznpodarou"/>
          <w:color w:val="0D0D0D" w:themeColor="text1" w:themeTint="F2"/>
          <w:sz w:val="16"/>
          <w:szCs w:val="16"/>
          <w:lang w:val="en-GB"/>
        </w:rPr>
        <w:footnoteRef/>
      </w:r>
      <w:r w:rsidRPr="007A5CBD">
        <w:rPr>
          <w:color w:val="0D0D0D" w:themeColor="text1" w:themeTint="F2"/>
          <w:sz w:val="16"/>
          <w:szCs w:val="16"/>
          <w:lang w:val="en-GB"/>
        </w:rPr>
        <w:t xml:space="preserve"> </w:t>
      </w:r>
      <w:r w:rsidRPr="007A5CBD">
        <w:rPr>
          <w:color w:val="0D0D0D" w:themeColor="text1" w:themeTint="F2"/>
          <w:sz w:val="16"/>
          <w:szCs w:val="16"/>
        </w:rPr>
        <w:t>This barrier has been most evident in the chemical and petrochemical industries in recent months, and motor vehicle manufacturers have also still struggled with occasional outages of production components.</w:t>
      </w:r>
    </w:p>
  </w:footnote>
  <w:footnote w:id="36">
    <w:p w14:paraId="01759A99" w14:textId="77777777" w:rsidR="006145FA" w:rsidRPr="007A5CBD" w:rsidRDefault="006145FA" w:rsidP="00803507">
      <w:pPr>
        <w:pStyle w:val="Textpoznpodarou"/>
        <w:jc w:val="both"/>
        <w:rPr>
          <w:color w:val="0D0D0D" w:themeColor="text1" w:themeTint="F2"/>
          <w:sz w:val="16"/>
          <w:szCs w:val="16"/>
          <w:lang w:val="en-GB"/>
        </w:rPr>
      </w:pPr>
      <w:r w:rsidRPr="007A5CBD">
        <w:rPr>
          <w:rStyle w:val="Znakapoznpodarou"/>
          <w:color w:val="0D0D0D" w:themeColor="text1" w:themeTint="F2"/>
          <w:sz w:val="16"/>
          <w:szCs w:val="16"/>
          <w:lang w:val="en-GB"/>
        </w:rPr>
        <w:footnoteRef/>
      </w:r>
      <w:r w:rsidRPr="007A5CBD">
        <w:rPr>
          <w:color w:val="0D0D0D" w:themeColor="text1" w:themeTint="F2"/>
          <w:sz w:val="16"/>
          <w:szCs w:val="16"/>
          <w:lang w:val="en-GB"/>
        </w:rPr>
        <w:t xml:space="preserve"> </w:t>
      </w:r>
      <w:r>
        <w:rPr>
          <w:color w:val="0D0D0D" w:themeColor="text1" w:themeTint="F2"/>
          <w:sz w:val="16"/>
          <w:szCs w:val="16"/>
          <w:lang w:val="en-GB"/>
        </w:rPr>
        <w:t xml:space="preserve">According to the survey from February 2025, </w:t>
      </w:r>
      <w:r w:rsidRPr="007A5CBD">
        <w:rPr>
          <w:color w:val="0D0D0D" w:themeColor="text1" w:themeTint="F2"/>
          <w:sz w:val="16"/>
          <w:szCs w:val="16"/>
        </w:rPr>
        <w:t xml:space="preserve">21% of </w:t>
      </w:r>
      <w:r>
        <w:rPr>
          <w:color w:val="0D0D0D" w:themeColor="text1" w:themeTint="F2"/>
          <w:sz w:val="16"/>
          <w:szCs w:val="16"/>
        </w:rPr>
        <w:t xml:space="preserve">industrail </w:t>
      </w:r>
      <w:r w:rsidRPr="007A5CBD">
        <w:rPr>
          <w:color w:val="0D0D0D" w:themeColor="text1" w:themeTint="F2"/>
          <w:sz w:val="16"/>
          <w:szCs w:val="16"/>
        </w:rPr>
        <w:t xml:space="preserve">enterprises planned to raise prices of their production in the short term outlook, while only 2% planned to reduce prices. </w:t>
      </w:r>
    </w:p>
  </w:footnote>
  <w:footnote w:id="37">
    <w:p w14:paraId="17B88413" w14:textId="77777777" w:rsidR="006145FA" w:rsidRPr="007A5CBD" w:rsidRDefault="006145FA" w:rsidP="00803507">
      <w:pPr>
        <w:pStyle w:val="Textpoznpodarou"/>
        <w:jc w:val="both"/>
        <w:rPr>
          <w:color w:val="0D0D0D" w:themeColor="text1" w:themeTint="F2"/>
          <w:sz w:val="16"/>
          <w:szCs w:val="16"/>
          <w:lang w:val="en-GB"/>
        </w:rPr>
      </w:pPr>
      <w:r w:rsidRPr="007A5CBD">
        <w:rPr>
          <w:rStyle w:val="Znakapoznpodarou"/>
          <w:color w:val="0D0D0D" w:themeColor="text1" w:themeTint="F2"/>
          <w:sz w:val="16"/>
          <w:szCs w:val="16"/>
          <w:lang w:val="en-GB"/>
        </w:rPr>
        <w:footnoteRef/>
      </w:r>
      <w:r w:rsidRPr="007A5CBD">
        <w:rPr>
          <w:color w:val="0D0D0D" w:themeColor="text1" w:themeTint="F2"/>
          <w:sz w:val="16"/>
          <w:szCs w:val="16"/>
          <w:lang w:val="en-GB"/>
        </w:rPr>
        <w:t xml:space="preserve"> </w:t>
      </w:r>
      <w:r w:rsidRPr="007A5CBD">
        <w:rPr>
          <w:color w:val="0D0D0D" w:themeColor="text1" w:themeTint="F2"/>
          <w:sz w:val="16"/>
          <w:szCs w:val="16"/>
        </w:rPr>
        <w:t>In the three-month horizon, 22% of businesses expected its increase, while 16% expected a downturn</w:t>
      </w:r>
      <w:r>
        <w:rPr>
          <w:color w:val="0D0D0D" w:themeColor="text1" w:themeTint="F2"/>
          <w:sz w:val="16"/>
          <w:szCs w:val="16"/>
        </w:rPr>
        <w:t xml:space="preserve"> (February survey)</w:t>
      </w:r>
    </w:p>
  </w:footnote>
  <w:footnote w:id="38">
    <w:p w14:paraId="1CAF91FD" w14:textId="77777777" w:rsidR="006145FA" w:rsidRPr="00FB6648" w:rsidRDefault="006145FA" w:rsidP="00803507">
      <w:pPr>
        <w:pStyle w:val="Textpoznpodarou"/>
        <w:jc w:val="both"/>
        <w:rPr>
          <w:sz w:val="16"/>
          <w:szCs w:val="16"/>
          <w:lang w:val="en-GB"/>
        </w:rPr>
      </w:pPr>
      <w:r w:rsidRPr="007A5CBD">
        <w:rPr>
          <w:rStyle w:val="Znakapoznpodarou"/>
          <w:color w:val="0D0D0D" w:themeColor="text1" w:themeTint="F2"/>
          <w:sz w:val="16"/>
          <w:szCs w:val="16"/>
          <w:lang w:val="en-GB"/>
        </w:rPr>
        <w:footnoteRef/>
      </w:r>
      <w:r w:rsidRPr="007A5CBD">
        <w:rPr>
          <w:color w:val="0D0D0D" w:themeColor="text1" w:themeTint="F2"/>
          <w:sz w:val="16"/>
          <w:szCs w:val="16"/>
          <w:lang w:val="en-GB"/>
        </w:rPr>
        <w:t xml:space="preserve"> </w:t>
      </w:r>
      <w:r w:rsidRPr="007A5CBD">
        <w:rPr>
          <w:color w:val="0D0D0D" w:themeColor="text1" w:themeTint="F2"/>
          <w:sz w:val="16"/>
          <w:szCs w:val="16"/>
        </w:rPr>
        <w:t>According to a survey from February 2025, only 5% of businesses planned to hire workers in the three-month horizon, and 17% planned to lay off workers.</w:t>
      </w:r>
    </w:p>
  </w:footnote>
  <w:footnote w:id="39">
    <w:p w14:paraId="7B076A47" w14:textId="520EBFFF" w:rsidR="006145FA" w:rsidRPr="00FB6648" w:rsidRDefault="006145FA" w:rsidP="00803507">
      <w:pPr>
        <w:pStyle w:val="Textpoznpodarou"/>
        <w:jc w:val="both"/>
        <w:rPr>
          <w:lang w:val="en-GB"/>
        </w:rPr>
      </w:pPr>
      <w:r w:rsidRPr="00FB6648">
        <w:rPr>
          <w:rStyle w:val="Znakapoznpodarou"/>
          <w:sz w:val="16"/>
          <w:szCs w:val="16"/>
          <w:lang w:val="en-GB"/>
        </w:rPr>
        <w:footnoteRef/>
      </w:r>
      <w:r w:rsidRPr="00FB6648">
        <w:rPr>
          <w:sz w:val="16"/>
          <w:szCs w:val="16"/>
          <w:lang w:val="en-GB"/>
        </w:rPr>
        <w:t xml:space="preserve"> </w:t>
      </w:r>
      <w:r>
        <w:rPr>
          <w:sz w:val="16"/>
          <w:szCs w:val="16"/>
          <w:lang w:val="en-GB"/>
        </w:rPr>
        <w:t>H</w:t>
      </w:r>
      <w:r w:rsidRPr="00D8384D">
        <w:rPr>
          <w:sz w:val="16"/>
          <w:szCs w:val="16"/>
        </w:rPr>
        <w:t xml:space="preserve">owever, this effect was not nearly as pronounced as in </w:t>
      </w:r>
      <w:r>
        <w:rPr>
          <w:sz w:val="16"/>
          <w:szCs w:val="16"/>
        </w:rPr>
        <w:t xml:space="preserve">year </w:t>
      </w:r>
      <w:r w:rsidRPr="00D8384D">
        <w:rPr>
          <w:sz w:val="16"/>
          <w:szCs w:val="16"/>
        </w:rPr>
        <w:t>2016</w:t>
      </w:r>
      <w:r>
        <w:rPr>
          <w:sz w:val="16"/>
          <w:szCs w:val="16"/>
        </w:rPr>
        <w:t xml:space="preserve"> (i.e. the previous transition to the new funding period)</w:t>
      </w:r>
      <w:r w:rsidRPr="00D8384D">
        <w:rPr>
          <w:sz w:val="16"/>
          <w:szCs w:val="16"/>
        </w:rPr>
        <w:t xml:space="preserve">. </w:t>
      </w:r>
      <w:r>
        <w:rPr>
          <w:sz w:val="16"/>
          <w:szCs w:val="16"/>
        </w:rPr>
        <w:t>T</w:t>
      </w:r>
      <w:r w:rsidRPr="00D8384D">
        <w:rPr>
          <w:sz w:val="16"/>
          <w:szCs w:val="16"/>
        </w:rPr>
        <w:t xml:space="preserve">he total capital </w:t>
      </w:r>
      <w:r>
        <w:rPr>
          <w:sz w:val="16"/>
          <w:szCs w:val="16"/>
        </w:rPr>
        <w:t xml:space="preserve">outlays </w:t>
      </w:r>
      <w:r w:rsidRPr="00D8384D">
        <w:rPr>
          <w:sz w:val="16"/>
          <w:szCs w:val="16"/>
        </w:rPr>
        <w:t>of the state budget of the Czech Republic fell by only 0.2%</w:t>
      </w:r>
      <w:r>
        <w:rPr>
          <w:sz w:val="16"/>
          <w:szCs w:val="16"/>
        </w:rPr>
        <w:t>,</w:t>
      </w:r>
      <w:r w:rsidRPr="00D8384D">
        <w:rPr>
          <w:sz w:val="16"/>
          <w:szCs w:val="16"/>
        </w:rPr>
        <w:t xml:space="preserve"> year-on-year</w:t>
      </w:r>
      <w:r>
        <w:rPr>
          <w:sz w:val="16"/>
          <w:szCs w:val="16"/>
        </w:rPr>
        <w:t>,</w:t>
      </w:r>
      <w:r w:rsidRPr="00D8384D">
        <w:rPr>
          <w:sz w:val="16"/>
          <w:szCs w:val="16"/>
        </w:rPr>
        <w:t xml:space="preserve"> due to intensive drawing at the very end of the year</w:t>
      </w:r>
      <w:r>
        <w:rPr>
          <w:sz w:val="16"/>
          <w:szCs w:val="16"/>
        </w:rPr>
        <w:t xml:space="preserve"> in 2024</w:t>
      </w:r>
      <w:r w:rsidRPr="00D8384D">
        <w:rPr>
          <w:sz w:val="16"/>
          <w:szCs w:val="16"/>
        </w:rPr>
        <w:t xml:space="preserve">. The State Fund for Transport Infrastructure </w:t>
      </w:r>
      <w:r>
        <w:rPr>
          <w:sz w:val="16"/>
          <w:szCs w:val="16"/>
        </w:rPr>
        <w:t xml:space="preserve">anticipated </w:t>
      </w:r>
      <w:r w:rsidRPr="00D8384D">
        <w:rPr>
          <w:sz w:val="16"/>
          <w:szCs w:val="16"/>
        </w:rPr>
        <w:t>expenditures</w:t>
      </w:r>
      <w:r>
        <w:rPr>
          <w:sz w:val="16"/>
          <w:szCs w:val="16"/>
        </w:rPr>
        <w:t xml:space="preserve"> in the amount of </w:t>
      </w:r>
      <w:r w:rsidRPr="00D8384D">
        <w:rPr>
          <w:sz w:val="16"/>
          <w:szCs w:val="16"/>
        </w:rPr>
        <w:t xml:space="preserve">150 </w:t>
      </w:r>
      <w:r>
        <w:rPr>
          <w:sz w:val="16"/>
          <w:szCs w:val="16"/>
        </w:rPr>
        <w:t xml:space="preserve">bn CZK </w:t>
      </w:r>
      <w:r w:rsidRPr="00D8384D">
        <w:rPr>
          <w:sz w:val="16"/>
          <w:szCs w:val="16"/>
        </w:rPr>
        <w:t xml:space="preserve">for the whole last year (with the continuation of the multi-source financing model), which is only slightly less </w:t>
      </w:r>
      <w:r>
        <w:rPr>
          <w:sz w:val="16"/>
          <w:szCs w:val="16"/>
        </w:rPr>
        <w:t xml:space="preserve">compared to the record </w:t>
      </w:r>
      <w:r w:rsidRPr="00D8384D">
        <w:rPr>
          <w:sz w:val="16"/>
          <w:szCs w:val="16"/>
        </w:rPr>
        <w:t xml:space="preserve">year </w:t>
      </w:r>
      <w:r>
        <w:rPr>
          <w:sz w:val="16"/>
          <w:szCs w:val="16"/>
        </w:rPr>
        <w:t xml:space="preserve">2023 </w:t>
      </w:r>
      <w:r w:rsidRPr="00D8384D">
        <w:rPr>
          <w:sz w:val="16"/>
          <w:szCs w:val="16"/>
        </w:rPr>
        <w:t>(151 b</w:t>
      </w:r>
      <w:r>
        <w:rPr>
          <w:sz w:val="16"/>
          <w:szCs w:val="16"/>
        </w:rPr>
        <w:t>n CZK</w:t>
      </w:r>
      <w:r w:rsidRPr="00D8384D">
        <w:rPr>
          <w:sz w:val="16"/>
          <w:szCs w:val="16"/>
        </w:rPr>
        <w:t xml:space="preserve">). In the future, the construction industry should also benefit more and more from funds from the National Recovery Plan intended for </w:t>
      </w:r>
      <w:r>
        <w:rPr>
          <w:sz w:val="16"/>
          <w:szCs w:val="16"/>
        </w:rPr>
        <w:t xml:space="preserve">instance </w:t>
      </w:r>
      <w:r w:rsidRPr="00D8384D">
        <w:rPr>
          <w:sz w:val="16"/>
          <w:szCs w:val="16"/>
        </w:rPr>
        <w:t xml:space="preserve">to reduce the energy </w:t>
      </w:r>
      <w:r>
        <w:rPr>
          <w:sz w:val="16"/>
          <w:szCs w:val="16"/>
        </w:rPr>
        <w:t xml:space="preserve">intensity </w:t>
      </w:r>
      <w:r w:rsidRPr="00D8384D">
        <w:rPr>
          <w:sz w:val="16"/>
          <w:szCs w:val="16"/>
        </w:rPr>
        <w:t>of buildings.</w:t>
      </w:r>
    </w:p>
  </w:footnote>
  <w:footnote w:id="40">
    <w:p w14:paraId="66853175" w14:textId="77777777" w:rsidR="006145FA" w:rsidRPr="00FB6648" w:rsidRDefault="006145FA" w:rsidP="00803507">
      <w:pPr>
        <w:pStyle w:val="Textpoznpodarou"/>
        <w:jc w:val="both"/>
        <w:rPr>
          <w:sz w:val="16"/>
          <w:szCs w:val="16"/>
          <w:lang w:val="en-GB"/>
        </w:rPr>
      </w:pPr>
      <w:r w:rsidRPr="00FB6648">
        <w:rPr>
          <w:rStyle w:val="Znakapoznpodarou"/>
          <w:rFonts w:cs="Arial"/>
          <w:color w:val="0D0D0D" w:themeColor="text1" w:themeTint="F2"/>
          <w:sz w:val="16"/>
          <w:szCs w:val="16"/>
          <w:lang w:val="en-GB"/>
        </w:rPr>
        <w:footnoteRef/>
      </w:r>
      <w:r w:rsidRPr="00FB6648">
        <w:rPr>
          <w:rFonts w:cs="Arial"/>
          <w:color w:val="0D0D0D" w:themeColor="text1" w:themeTint="F2"/>
          <w:sz w:val="16"/>
          <w:szCs w:val="16"/>
          <w:lang w:val="en-GB"/>
        </w:rPr>
        <w:t xml:space="preserve"> </w:t>
      </w:r>
      <w:r>
        <w:rPr>
          <w:rFonts w:cs="Arial"/>
          <w:color w:val="0D0D0D" w:themeColor="text1" w:themeTint="F2"/>
          <w:sz w:val="16"/>
          <w:szCs w:val="16"/>
          <w:lang w:val="en-GB"/>
        </w:rPr>
        <w:t xml:space="preserve">Data regarding the construction output are in constant prices, year-on-year rates of growth are adjusted for calendar effects, quarter-on-quarter rates also for seasonality effects. </w:t>
      </w:r>
    </w:p>
  </w:footnote>
  <w:footnote w:id="41">
    <w:p w14:paraId="1EC74586" w14:textId="4A9E7B4B" w:rsidR="006145FA" w:rsidRPr="00FB6648" w:rsidRDefault="006145FA" w:rsidP="00803507">
      <w:pPr>
        <w:pStyle w:val="Textpoznpodarou"/>
        <w:jc w:val="both"/>
        <w:rPr>
          <w:sz w:val="16"/>
          <w:szCs w:val="16"/>
          <w:lang w:val="en-GB"/>
        </w:rPr>
      </w:pPr>
      <w:r w:rsidRPr="00FB6648">
        <w:rPr>
          <w:rStyle w:val="Znakapoznpodarou"/>
          <w:sz w:val="16"/>
          <w:szCs w:val="16"/>
          <w:lang w:val="en-GB"/>
        </w:rPr>
        <w:footnoteRef/>
      </w:r>
      <w:r w:rsidRPr="00FB6648">
        <w:rPr>
          <w:sz w:val="16"/>
          <w:szCs w:val="16"/>
          <w:lang w:val="en-GB"/>
        </w:rPr>
        <w:t xml:space="preserve"> </w:t>
      </w:r>
      <w:r w:rsidRPr="002B0638">
        <w:rPr>
          <w:sz w:val="16"/>
          <w:szCs w:val="16"/>
        </w:rPr>
        <w:t xml:space="preserve">These activities include, for example, </w:t>
      </w:r>
      <w:r>
        <w:rPr>
          <w:sz w:val="16"/>
          <w:szCs w:val="16"/>
        </w:rPr>
        <w:t>compilation, finishing e</w:t>
      </w:r>
      <w:r w:rsidRPr="00703C9A">
        <w:rPr>
          <w:sz w:val="16"/>
          <w:szCs w:val="16"/>
        </w:rPr>
        <w:t>lectrical, plumbing and other construction installation activities</w:t>
      </w:r>
      <w:r>
        <w:rPr>
          <w:sz w:val="16"/>
          <w:szCs w:val="16"/>
        </w:rPr>
        <w:t xml:space="preserve"> </w:t>
      </w:r>
      <w:r w:rsidRPr="002B0638">
        <w:rPr>
          <w:sz w:val="16"/>
          <w:szCs w:val="16"/>
        </w:rPr>
        <w:t xml:space="preserve">and are more the domain of smaller construction companies. </w:t>
      </w:r>
      <w:r>
        <w:rPr>
          <w:sz w:val="16"/>
          <w:szCs w:val="16"/>
        </w:rPr>
        <w:t xml:space="preserve">They </w:t>
      </w:r>
      <w:r w:rsidRPr="002B0638">
        <w:rPr>
          <w:sz w:val="16"/>
          <w:szCs w:val="16"/>
        </w:rPr>
        <w:t xml:space="preserve">benefited from a slight increase </w:t>
      </w:r>
      <w:r>
        <w:rPr>
          <w:sz w:val="16"/>
          <w:szCs w:val="16"/>
        </w:rPr>
        <w:t xml:space="preserve">of </w:t>
      </w:r>
      <w:r w:rsidRPr="002B0638">
        <w:rPr>
          <w:sz w:val="16"/>
          <w:szCs w:val="16"/>
        </w:rPr>
        <w:t>demand</w:t>
      </w:r>
      <w:r>
        <w:rPr>
          <w:sz w:val="16"/>
          <w:szCs w:val="16"/>
        </w:rPr>
        <w:t xml:space="preserve"> in year 2023</w:t>
      </w:r>
      <w:r w:rsidRPr="002B0638">
        <w:rPr>
          <w:sz w:val="16"/>
          <w:szCs w:val="16"/>
        </w:rPr>
        <w:t>.</w:t>
      </w:r>
    </w:p>
  </w:footnote>
  <w:footnote w:id="42">
    <w:p w14:paraId="5DC2EE5C" w14:textId="63C478FE" w:rsidR="006145FA" w:rsidRPr="009D6234" w:rsidRDefault="006145FA" w:rsidP="00803507">
      <w:pPr>
        <w:pStyle w:val="Textpoznpodarou"/>
        <w:jc w:val="both"/>
        <w:rPr>
          <w:sz w:val="16"/>
          <w:szCs w:val="16"/>
          <w:lang w:val="en-GB"/>
        </w:rPr>
      </w:pPr>
      <w:r w:rsidRPr="00224C0C">
        <w:rPr>
          <w:rStyle w:val="Znakapoznpodarou"/>
          <w:sz w:val="16"/>
          <w:szCs w:val="16"/>
        </w:rPr>
        <w:footnoteRef/>
      </w:r>
      <w:r>
        <w:rPr>
          <w:sz w:val="16"/>
          <w:szCs w:val="16"/>
        </w:rPr>
        <w:t xml:space="preserve"> </w:t>
      </w:r>
      <w:r>
        <w:rPr>
          <w:color w:val="0D0D0D" w:themeColor="text1" w:themeTint="F2"/>
          <w:sz w:val="16"/>
          <w:szCs w:val="16"/>
          <w:lang w:val="en-GB"/>
        </w:rPr>
        <w:t xml:space="preserve">According to the survey from February 2025, </w:t>
      </w:r>
      <w:r w:rsidRPr="00127C3C">
        <w:rPr>
          <w:sz w:val="16"/>
          <w:szCs w:val="16"/>
        </w:rPr>
        <w:t xml:space="preserve">11% of </w:t>
      </w:r>
      <w:r>
        <w:rPr>
          <w:sz w:val="16"/>
          <w:szCs w:val="16"/>
        </w:rPr>
        <w:t xml:space="preserve">construction </w:t>
      </w:r>
      <w:r w:rsidRPr="00127C3C">
        <w:rPr>
          <w:sz w:val="16"/>
          <w:szCs w:val="16"/>
        </w:rPr>
        <w:t>companies planned to hire workers within a three-month horizon</w:t>
      </w:r>
      <w:r>
        <w:rPr>
          <w:sz w:val="16"/>
          <w:szCs w:val="16"/>
        </w:rPr>
        <w:t xml:space="preserve"> </w:t>
      </w:r>
      <w:r w:rsidRPr="00127C3C">
        <w:rPr>
          <w:sz w:val="16"/>
          <w:szCs w:val="16"/>
        </w:rPr>
        <w:t xml:space="preserve">and 6% </w:t>
      </w:r>
      <w:r>
        <w:rPr>
          <w:sz w:val="16"/>
          <w:szCs w:val="16"/>
        </w:rPr>
        <w:t xml:space="preserve">then </w:t>
      </w:r>
      <w:r w:rsidRPr="00127C3C">
        <w:rPr>
          <w:sz w:val="16"/>
          <w:szCs w:val="16"/>
        </w:rPr>
        <w:t xml:space="preserve">to lay off. </w:t>
      </w:r>
      <w:r>
        <w:rPr>
          <w:sz w:val="16"/>
          <w:szCs w:val="16"/>
        </w:rPr>
        <w:t xml:space="preserve">Businesses </w:t>
      </w:r>
      <w:r w:rsidRPr="00127C3C">
        <w:rPr>
          <w:sz w:val="16"/>
          <w:szCs w:val="16"/>
        </w:rPr>
        <w:t>in the building construction segment were the most optimistic in this respect.</w:t>
      </w:r>
      <w:r>
        <w:rPr>
          <w:sz w:val="16"/>
          <w:szCs w:val="16"/>
        </w:rPr>
        <w:t xml:space="preserve"> </w:t>
      </w:r>
    </w:p>
  </w:footnote>
  <w:footnote w:id="43">
    <w:p w14:paraId="1A3F209B" w14:textId="77777777" w:rsidR="006145FA" w:rsidRPr="009D6234" w:rsidRDefault="006145FA" w:rsidP="00803507">
      <w:pPr>
        <w:pStyle w:val="Textpoznpodarou"/>
        <w:jc w:val="both"/>
        <w:rPr>
          <w:sz w:val="16"/>
          <w:szCs w:val="16"/>
          <w:lang w:val="en-GB"/>
        </w:rPr>
      </w:pPr>
      <w:r w:rsidRPr="009D6234">
        <w:rPr>
          <w:rStyle w:val="Znakapoznpodarou"/>
          <w:sz w:val="16"/>
          <w:szCs w:val="16"/>
          <w:lang w:val="en-GB"/>
        </w:rPr>
        <w:footnoteRef/>
      </w:r>
      <w:r>
        <w:rPr>
          <w:sz w:val="16"/>
          <w:szCs w:val="16"/>
        </w:rPr>
        <w:t xml:space="preserve"> </w:t>
      </w:r>
      <w:r w:rsidRPr="00215529">
        <w:rPr>
          <w:sz w:val="16"/>
          <w:szCs w:val="16"/>
        </w:rPr>
        <w:t xml:space="preserve">17% of </w:t>
      </w:r>
      <w:r>
        <w:rPr>
          <w:sz w:val="16"/>
          <w:szCs w:val="16"/>
        </w:rPr>
        <w:t xml:space="preserve">businesses </w:t>
      </w:r>
      <w:r w:rsidRPr="00215529">
        <w:rPr>
          <w:sz w:val="16"/>
          <w:szCs w:val="16"/>
        </w:rPr>
        <w:t xml:space="preserve">expected an improvement </w:t>
      </w:r>
      <w:r>
        <w:rPr>
          <w:sz w:val="16"/>
          <w:szCs w:val="16"/>
        </w:rPr>
        <w:t>i</w:t>
      </w:r>
      <w:r w:rsidRPr="00215529">
        <w:rPr>
          <w:sz w:val="16"/>
          <w:szCs w:val="16"/>
        </w:rPr>
        <w:t>n the six-month outlook in February this year, while 7% expected a deterioration.</w:t>
      </w:r>
    </w:p>
  </w:footnote>
  <w:footnote w:id="44">
    <w:p w14:paraId="02D2A458" w14:textId="77777777" w:rsidR="006145FA" w:rsidRPr="009D6234" w:rsidRDefault="006145FA" w:rsidP="00803507">
      <w:pPr>
        <w:pStyle w:val="Textpoznpodarou"/>
        <w:jc w:val="both"/>
        <w:rPr>
          <w:sz w:val="16"/>
          <w:szCs w:val="16"/>
          <w:lang w:val="en-GB"/>
        </w:rPr>
      </w:pPr>
      <w:r w:rsidRPr="009D6234">
        <w:rPr>
          <w:rStyle w:val="Znakapoznpodarou"/>
          <w:sz w:val="16"/>
          <w:szCs w:val="16"/>
          <w:lang w:val="en-GB"/>
        </w:rPr>
        <w:footnoteRef/>
      </w:r>
      <w:r w:rsidRPr="009D6234">
        <w:rPr>
          <w:sz w:val="16"/>
          <w:szCs w:val="16"/>
          <w:lang w:val="en-GB"/>
        </w:rPr>
        <w:t xml:space="preserve"> </w:t>
      </w:r>
      <w:r w:rsidRPr="00A92330">
        <w:rPr>
          <w:sz w:val="16"/>
          <w:szCs w:val="16"/>
        </w:rPr>
        <w:t xml:space="preserve">The exception was the </w:t>
      </w:r>
      <w:r>
        <w:rPr>
          <w:sz w:val="16"/>
          <w:szCs w:val="16"/>
        </w:rPr>
        <w:t>shortage o</w:t>
      </w:r>
      <w:r w:rsidRPr="00A92330">
        <w:rPr>
          <w:sz w:val="16"/>
          <w:szCs w:val="16"/>
        </w:rPr>
        <w:t xml:space="preserve">f materials or equipment, which plagued 15% of </w:t>
      </w:r>
      <w:r>
        <w:rPr>
          <w:sz w:val="16"/>
          <w:szCs w:val="16"/>
        </w:rPr>
        <w:t xml:space="preserve">businesses </w:t>
      </w:r>
      <w:r w:rsidRPr="00A92330">
        <w:rPr>
          <w:sz w:val="16"/>
          <w:szCs w:val="16"/>
        </w:rPr>
        <w:t>in February this year, compared to 22% a year ago.</w:t>
      </w:r>
      <w:r>
        <w:rPr>
          <w:sz w:val="16"/>
          <w:szCs w:val="16"/>
        </w:rPr>
        <w:t xml:space="preserve"> </w:t>
      </w:r>
      <w:r w:rsidRPr="009D6234">
        <w:rPr>
          <w:sz w:val="16"/>
          <w:szCs w:val="16"/>
          <w:lang w:val="en-GB"/>
        </w:rPr>
        <w:t xml:space="preserve">  </w:t>
      </w:r>
    </w:p>
  </w:footnote>
  <w:footnote w:id="45">
    <w:p w14:paraId="65F762C3" w14:textId="77777777" w:rsidR="006145FA" w:rsidRPr="009D6234" w:rsidRDefault="006145FA" w:rsidP="00803507">
      <w:pPr>
        <w:pStyle w:val="paragraph"/>
        <w:spacing w:before="0" w:beforeAutospacing="0" w:after="0" w:afterAutospacing="0"/>
        <w:jc w:val="both"/>
        <w:textAlignment w:val="baseline"/>
        <w:rPr>
          <w:rFonts w:ascii="Arial" w:eastAsia="Calibri" w:hAnsi="Arial" w:cs="Arial"/>
          <w:sz w:val="16"/>
          <w:szCs w:val="16"/>
          <w:lang w:val="en-GB"/>
        </w:rPr>
      </w:pPr>
      <w:r w:rsidRPr="009D6234">
        <w:rPr>
          <w:rStyle w:val="Znakapoznpodarou"/>
          <w:rFonts w:ascii="Arial" w:hAnsi="Arial" w:cs="Arial"/>
          <w:sz w:val="16"/>
          <w:szCs w:val="16"/>
          <w:lang w:val="en-GB"/>
        </w:rPr>
        <w:footnoteRef/>
      </w:r>
      <w:r w:rsidRPr="009D6234">
        <w:rPr>
          <w:rFonts w:ascii="Arial" w:hAnsi="Arial" w:cs="Arial"/>
          <w:sz w:val="16"/>
          <w:szCs w:val="16"/>
          <w:lang w:val="en-GB"/>
        </w:rPr>
        <w:t xml:space="preserve"> </w:t>
      </w:r>
      <w:r w:rsidRPr="00A21E67">
        <w:rPr>
          <w:rFonts w:ascii="Arial" w:hAnsi="Arial" w:cs="Arial"/>
          <w:sz w:val="16"/>
          <w:szCs w:val="16"/>
        </w:rPr>
        <w:t xml:space="preserve">Compared to </w:t>
      </w:r>
      <w:r>
        <w:rPr>
          <w:rFonts w:ascii="Arial" w:hAnsi="Arial" w:cs="Arial"/>
          <w:sz w:val="16"/>
          <w:szCs w:val="16"/>
        </w:rPr>
        <w:t xml:space="preserve">year </w:t>
      </w:r>
      <w:r w:rsidRPr="00A21E67">
        <w:rPr>
          <w:rFonts w:ascii="Arial" w:hAnsi="Arial" w:cs="Arial"/>
          <w:sz w:val="16"/>
          <w:szCs w:val="16"/>
        </w:rPr>
        <w:t xml:space="preserve">2019, the volume of construction output in the EU (and the euro area) was higher by 3.7% last year (all segments of the industry except for the construction of buildings were </w:t>
      </w:r>
      <w:r>
        <w:rPr>
          <w:rFonts w:ascii="Arial" w:hAnsi="Arial" w:cs="Arial"/>
          <w:sz w:val="16"/>
          <w:szCs w:val="16"/>
        </w:rPr>
        <w:t xml:space="preserve">situated </w:t>
      </w:r>
      <w:r w:rsidRPr="00A21E67">
        <w:rPr>
          <w:rFonts w:ascii="Arial" w:hAnsi="Arial" w:cs="Arial"/>
          <w:sz w:val="16"/>
          <w:szCs w:val="16"/>
        </w:rPr>
        <w:t xml:space="preserve">above the pre-crisis level). </w:t>
      </w:r>
      <w:r>
        <w:rPr>
          <w:rFonts w:ascii="Arial" w:hAnsi="Arial" w:cs="Arial"/>
          <w:sz w:val="16"/>
          <w:szCs w:val="16"/>
        </w:rPr>
        <w:t>O</w:t>
      </w:r>
      <w:r w:rsidRPr="00A21E67">
        <w:rPr>
          <w:rFonts w:ascii="Arial" w:hAnsi="Arial" w:cs="Arial"/>
          <w:sz w:val="16"/>
          <w:szCs w:val="16"/>
        </w:rPr>
        <w:t xml:space="preserve">n the </w:t>
      </w:r>
      <w:r>
        <w:rPr>
          <w:rFonts w:ascii="Arial" w:hAnsi="Arial" w:cs="Arial"/>
          <w:sz w:val="16"/>
          <w:szCs w:val="16"/>
        </w:rPr>
        <w:t>contrary</w:t>
      </w:r>
      <w:r w:rsidRPr="00A21E67">
        <w:rPr>
          <w:rFonts w:ascii="Arial" w:hAnsi="Arial" w:cs="Arial"/>
          <w:sz w:val="16"/>
          <w:szCs w:val="16"/>
        </w:rPr>
        <w:t>, construction lagged behind by 6.5%</w:t>
      </w:r>
      <w:r>
        <w:rPr>
          <w:rFonts w:ascii="Arial" w:hAnsi="Arial" w:cs="Arial"/>
          <w:sz w:val="16"/>
          <w:szCs w:val="16"/>
        </w:rPr>
        <w:t xml:space="preserve"> in the Czech Republic</w:t>
      </w:r>
      <w:r w:rsidRPr="00A21E67">
        <w:rPr>
          <w:rFonts w:ascii="Arial" w:hAnsi="Arial" w:cs="Arial"/>
          <w:sz w:val="16"/>
          <w:szCs w:val="16"/>
        </w:rPr>
        <w:t xml:space="preserve"> (of which</w:t>
      </w:r>
      <w:r>
        <w:rPr>
          <w:rFonts w:ascii="Arial" w:hAnsi="Arial" w:cs="Arial"/>
          <w:sz w:val="16"/>
          <w:szCs w:val="16"/>
        </w:rPr>
        <w:t xml:space="preserve"> building </w:t>
      </w:r>
      <w:r w:rsidRPr="00A21E67">
        <w:rPr>
          <w:rFonts w:ascii="Arial" w:hAnsi="Arial" w:cs="Arial"/>
          <w:sz w:val="16"/>
          <w:szCs w:val="16"/>
        </w:rPr>
        <w:t>construction</w:t>
      </w:r>
      <w:r>
        <w:rPr>
          <w:rFonts w:ascii="Arial" w:hAnsi="Arial" w:cs="Arial"/>
          <w:sz w:val="16"/>
          <w:szCs w:val="16"/>
        </w:rPr>
        <w:t xml:space="preserve"> </w:t>
      </w:r>
      <w:r w:rsidRPr="00A21E67">
        <w:rPr>
          <w:rFonts w:ascii="Arial" w:hAnsi="Arial" w:cs="Arial"/>
          <w:sz w:val="16"/>
          <w:szCs w:val="16"/>
        </w:rPr>
        <w:t xml:space="preserve">by 16% and specialized construction activities by 5%), similar to Germany. Slovakia (-32%) and, despite the current recovery, Spain (-18%) were the most lagging behind. On the other hand, production was above the 2019 level in about </w:t>
      </w:r>
      <w:r>
        <w:rPr>
          <w:rFonts w:ascii="Arial" w:hAnsi="Arial" w:cs="Arial"/>
          <w:sz w:val="16"/>
          <w:szCs w:val="16"/>
        </w:rPr>
        <w:t xml:space="preserve">one </w:t>
      </w:r>
      <w:r w:rsidRPr="00A21E67">
        <w:rPr>
          <w:rFonts w:ascii="Arial" w:hAnsi="Arial" w:cs="Arial"/>
          <w:sz w:val="16"/>
          <w:szCs w:val="16"/>
        </w:rPr>
        <w:t>half of the Member States</w:t>
      </w:r>
      <w:r>
        <w:rPr>
          <w:rFonts w:ascii="Arial" w:hAnsi="Arial" w:cs="Arial"/>
          <w:sz w:val="16"/>
          <w:szCs w:val="16"/>
        </w:rPr>
        <w:t xml:space="preserve"> - the</w:t>
      </w:r>
      <w:r w:rsidRPr="00A21E67">
        <w:rPr>
          <w:rFonts w:ascii="Arial" w:hAnsi="Arial" w:cs="Arial"/>
          <w:sz w:val="16"/>
          <w:szCs w:val="16"/>
        </w:rPr>
        <w:t xml:space="preserve"> most notably in Italy (+58%), Romania (+42%) and Slovenia (+31%).</w:t>
      </w:r>
      <w:r>
        <w:rPr>
          <w:rFonts w:ascii="Arial" w:hAnsi="Arial" w:cs="Arial"/>
          <w:sz w:val="16"/>
          <w:szCs w:val="16"/>
        </w:rPr>
        <w:t xml:space="preserve"> </w:t>
      </w:r>
    </w:p>
  </w:footnote>
  <w:footnote w:id="46">
    <w:p w14:paraId="5E94C5C8" w14:textId="77777777" w:rsidR="006145FA" w:rsidRPr="00282736" w:rsidRDefault="006145FA" w:rsidP="00803507">
      <w:pPr>
        <w:spacing w:after="0" w:line="240" w:lineRule="auto"/>
        <w:rPr>
          <w:lang w:val="en-GB"/>
        </w:rPr>
      </w:pPr>
      <w:r w:rsidRPr="0097315A">
        <w:rPr>
          <w:rStyle w:val="Znakapoznpodarou"/>
          <w:color w:val="0D0D0D" w:themeColor="text1" w:themeTint="F2"/>
          <w:sz w:val="16"/>
          <w:szCs w:val="16"/>
        </w:rPr>
        <w:footnoteRef/>
      </w:r>
      <w:r w:rsidRPr="0097315A">
        <w:rPr>
          <w:color w:val="0D0D0D" w:themeColor="text1" w:themeTint="F2"/>
          <w:sz w:val="16"/>
          <w:szCs w:val="16"/>
        </w:rPr>
        <w:t xml:space="preserve"> </w:t>
      </w:r>
      <w:r w:rsidRPr="00282736">
        <w:rPr>
          <w:color w:val="0D0D0D" w:themeColor="text1" w:themeTint="F2"/>
          <w:spacing w:val="-6"/>
          <w:sz w:val="16"/>
          <w:szCs w:val="16"/>
          <w:lang w:val="en-GB"/>
        </w:rPr>
        <w:t xml:space="preserve">Without trade, financial and insurance activities, science, research and public services. All data for services are in constant prices, year-on-year data are adjusted for calendar effects, quarter-on-quarter data are adjusted for seasonal effects (including the effect of the number of working days). </w:t>
      </w:r>
    </w:p>
  </w:footnote>
  <w:footnote w:id="47">
    <w:p w14:paraId="0C746C91" w14:textId="768A9924" w:rsidR="006145FA" w:rsidRPr="00282736" w:rsidRDefault="006145FA" w:rsidP="00803507">
      <w:pPr>
        <w:pStyle w:val="Textpoznpodarou"/>
        <w:jc w:val="both"/>
        <w:rPr>
          <w:sz w:val="16"/>
          <w:szCs w:val="16"/>
          <w:lang w:val="en-GB"/>
        </w:rPr>
      </w:pPr>
      <w:r w:rsidRPr="00282736">
        <w:rPr>
          <w:rStyle w:val="Znakapoznpodarou"/>
          <w:sz w:val="16"/>
          <w:szCs w:val="16"/>
          <w:lang w:val="en-GB"/>
        </w:rPr>
        <w:footnoteRef/>
      </w:r>
      <w:r w:rsidRPr="00282736">
        <w:rPr>
          <w:sz w:val="16"/>
          <w:szCs w:val="16"/>
          <w:lang w:val="en-GB"/>
        </w:rPr>
        <w:t xml:space="preserve"> </w:t>
      </w:r>
      <w:bookmarkStart w:id="16" w:name="_Hlk194769596"/>
      <w:r w:rsidRPr="00282736">
        <w:rPr>
          <w:sz w:val="16"/>
          <w:szCs w:val="16"/>
        </w:rPr>
        <w:t xml:space="preserve">Of the main economic activities, information and communication exceeded their sales level from Q4 2019 the most at the end of last year (+9.7%). On the </w:t>
      </w:r>
      <w:r>
        <w:rPr>
          <w:sz w:val="16"/>
          <w:szCs w:val="16"/>
        </w:rPr>
        <w:t>contrary</w:t>
      </w:r>
      <w:r w:rsidRPr="00282736">
        <w:rPr>
          <w:sz w:val="16"/>
          <w:szCs w:val="16"/>
        </w:rPr>
        <w:t xml:space="preserve">, </w:t>
      </w:r>
      <w:r>
        <w:rPr>
          <w:sz w:val="16"/>
          <w:szCs w:val="16"/>
        </w:rPr>
        <w:t xml:space="preserve">mainly </w:t>
      </w:r>
      <w:r w:rsidRPr="00282736">
        <w:rPr>
          <w:sz w:val="16"/>
          <w:szCs w:val="16"/>
        </w:rPr>
        <w:t>accommodation</w:t>
      </w:r>
      <w:r>
        <w:rPr>
          <w:sz w:val="16"/>
          <w:szCs w:val="16"/>
        </w:rPr>
        <w:t xml:space="preserve">, </w:t>
      </w:r>
      <w:r w:rsidRPr="00282736">
        <w:rPr>
          <w:sz w:val="16"/>
          <w:szCs w:val="16"/>
        </w:rPr>
        <w:t>food service</w:t>
      </w:r>
      <w:r>
        <w:rPr>
          <w:sz w:val="16"/>
          <w:szCs w:val="16"/>
        </w:rPr>
        <w:t xml:space="preserve"> and restaurants </w:t>
      </w:r>
      <w:r w:rsidRPr="00282736">
        <w:rPr>
          <w:sz w:val="16"/>
          <w:szCs w:val="16"/>
        </w:rPr>
        <w:t>(−</w:t>
      </w:r>
      <w:r>
        <w:rPr>
          <w:sz w:val="16"/>
          <w:szCs w:val="16"/>
        </w:rPr>
        <w:t>19.0</w:t>
      </w:r>
      <w:r w:rsidRPr="00282736">
        <w:rPr>
          <w:sz w:val="16"/>
          <w:szCs w:val="16"/>
        </w:rPr>
        <w:t>%) and administrative and support service activities (−4.8%) lagged behind.</w:t>
      </w:r>
      <w:r>
        <w:rPr>
          <w:sz w:val="16"/>
          <w:szCs w:val="16"/>
        </w:rPr>
        <w:t xml:space="preserve"> </w:t>
      </w:r>
      <w:bookmarkEnd w:id="16"/>
    </w:p>
  </w:footnote>
  <w:footnote w:id="48">
    <w:p w14:paraId="6975A128" w14:textId="77777777" w:rsidR="006145FA" w:rsidRPr="00282736" w:rsidRDefault="006145FA" w:rsidP="00803507">
      <w:pPr>
        <w:pStyle w:val="Textpoznpodarou"/>
        <w:jc w:val="both"/>
        <w:rPr>
          <w:sz w:val="16"/>
          <w:szCs w:val="16"/>
          <w:lang w:val="en-GB"/>
        </w:rPr>
      </w:pPr>
      <w:r w:rsidRPr="00282736">
        <w:rPr>
          <w:rStyle w:val="Znakapoznpodarou"/>
          <w:sz w:val="16"/>
          <w:szCs w:val="16"/>
          <w:lang w:val="en-GB"/>
        </w:rPr>
        <w:footnoteRef/>
      </w:r>
      <w:r w:rsidRPr="00282736">
        <w:rPr>
          <w:sz w:val="16"/>
          <w:szCs w:val="16"/>
          <w:lang w:val="en-GB"/>
        </w:rPr>
        <w:t xml:space="preserve"> </w:t>
      </w:r>
      <w:r w:rsidRPr="00A06FD3">
        <w:rPr>
          <w:sz w:val="16"/>
          <w:szCs w:val="16"/>
        </w:rPr>
        <w:t xml:space="preserve">This also includes the marginal segment </w:t>
      </w:r>
      <w:r>
        <w:rPr>
          <w:sz w:val="16"/>
          <w:szCs w:val="16"/>
        </w:rPr>
        <w:t xml:space="preserve">in terms of weight </w:t>
      </w:r>
      <w:r w:rsidRPr="00A06FD3">
        <w:rPr>
          <w:sz w:val="16"/>
          <w:szCs w:val="16"/>
        </w:rPr>
        <w:t>of transport</w:t>
      </w:r>
      <w:r>
        <w:rPr>
          <w:sz w:val="16"/>
          <w:szCs w:val="16"/>
        </w:rPr>
        <w:t xml:space="preserve"> via pipeline. </w:t>
      </w:r>
    </w:p>
  </w:footnote>
  <w:footnote w:id="49">
    <w:p w14:paraId="60B47B5B" w14:textId="79D280D7" w:rsidR="006145FA" w:rsidRPr="00AD0889" w:rsidRDefault="006145FA" w:rsidP="00803507">
      <w:pPr>
        <w:pStyle w:val="Textpoznpodarou"/>
        <w:jc w:val="both"/>
        <w:rPr>
          <w:sz w:val="16"/>
          <w:szCs w:val="16"/>
          <w:lang w:val="en-GB"/>
        </w:rPr>
      </w:pPr>
      <w:r w:rsidRPr="00282736">
        <w:rPr>
          <w:rStyle w:val="Znakapoznpodarou"/>
          <w:sz w:val="16"/>
          <w:szCs w:val="16"/>
          <w:lang w:val="en-GB"/>
        </w:rPr>
        <w:footnoteRef/>
      </w:r>
      <w:r w:rsidRPr="00282736">
        <w:rPr>
          <w:sz w:val="16"/>
          <w:szCs w:val="16"/>
          <w:lang w:val="en-GB"/>
        </w:rPr>
        <w:t xml:space="preserve"> </w:t>
      </w:r>
      <w:bookmarkStart w:id="18" w:name="_Hlk194771403"/>
      <w:r w:rsidRPr="00496AC2">
        <w:rPr>
          <w:sz w:val="16"/>
          <w:szCs w:val="16"/>
        </w:rPr>
        <w:t xml:space="preserve">According to </w:t>
      </w:r>
      <w:r>
        <w:rPr>
          <w:sz w:val="16"/>
          <w:szCs w:val="16"/>
        </w:rPr>
        <w:t xml:space="preserve">the </w:t>
      </w:r>
      <w:r w:rsidRPr="00496AC2">
        <w:rPr>
          <w:sz w:val="16"/>
          <w:szCs w:val="16"/>
        </w:rPr>
        <w:t xml:space="preserve">preliminary results of the Ministry of Transport of the Czech Republic, the number of passengers carried in rail transport </w:t>
      </w:r>
      <w:r>
        <w:rPr>
          <w:sz w:val="16"/>
          <w:szCs w:val="16"/>
        </w:rPr>
        <w:t xml:space="preserve">expanded year-on-year by </w:t>
      </w:r>
      <w:r w:rsidRPr="00496AC2">
        <w:rPr>
          <w:sz w:val="16"/>
          <w:szCs w:val="16"/>
        </w:rPr>
        <w:t xml:space="preserve">4.7%, in </w:t>
      </w:r>
      <w:r>
        <w:rPr>
          <w:sz w:val="16"/>
          <w:szCs w:val="16"/>
        </w:rPr>
        <w:t>u</w:t>
      </w:r>
      <w:r w:rsidRPr="0036127F">
        <w:rPr>
          <w:sz w:val="16"/>
          <w:szCs w:val="16"/>
        </w:rPr>
        <w:t>rban public passenger transport</w:t>
      </w:r>
      <w:r>
        <w:rPr>
          <w:sz w:val="16"/>
          <w:szCs w:val="16"/>
        </w:rPr>
        <w:t xml:space="preserve"> </w:t>
      </w:r>
      <w:r w:rsidRPr="00496AC2">
        <w:rPr>
          <w:sz w:val="16"/>
          <w:szCs w:val="16"/>
        </w:rPr>
        <w:t xml:space="preserve">by 1.5% and in bus transport </w:t>
      </w:r>
      <w:r>
        <w:rPr>
          <w:sz w:val="16"/>
          <w:szCs w:val="16"/>
        </w:rPr>
        <w:t xml:space="preserve">on the contrary fell </w:t>
      </w:r>
      <w:r w:rsidRPr="00496AC2">
        <w:rPr>
          <w:sz w:val="16"/>
          <w:szCs w:val="16"/>
        </w:rPr>
        <w:t xml:space="preserve">by 2.9% in Q1 to Q3 last year. </w:t>
      </w:r>
      <w:r>
        <w:rPr>
          <w:sz w:val="16"/>
          <w:szCs w:val="16"/>
        </w:rPr>
        <w:t xml:space="preserve">Nevertheless, </w:t>
      </w:r>
      <w:r w:rsidRPr="00496AC2">
        <w:rPr>
          <w:sz w:val="16"/>
          <w:szCs w:val="16"/>
        </w:rPr>
        <w:t xml:space="preserve">the number of </w:t>
      </w:r>
      <w:r>
        <w:rPr>
          <w:sz w:val="16"/>
          <w:szCs w:val="16"/>
        </w:rPr>
        <w:t xml:space="preserve">passengers </w:t>
      </w:r>
      <w:r w:rsidRPr="00496AC2">
        <w:rPr>
          <w:sz w:val="16"/>
          <w:szCs w:val="16"/>
        </w:rPr>
        <w:t>transported and achieved transport performance (in passenger-kilometres) is still</w:t>
      </w:r>
      <w:r>
        <w:rPr>
          <w:sz w:val="16"/>
          <w:szCs w:val="16"/>
        </w:rPr>
        <w:t xml:space="preserve"> in all cases</w:t>
      </w:r>
      <w:r w:rsidRPr="00496AC2">
        <w:rPr>
          <w:sz w:val="16"/>
          <w:szCs w:val="16"/>
        </w:rPr>
        <w:t xml:space="preserve"> below the 2019 level. Last year's performance was favourably influenced mainly by the development of long-distance and international transport, </w:t>
      </w:r>
      <w:r>
        <w:rPr>
          <w:sz w:val="16"/>
          <w:szCs w:val="16"/>
        </w:rPr>
        <w:t>however th</w:t>
      </w:r>
      <w:r w:rsidRPr="00496AC2">
        <w:rPr>
          <w:sz w:val="16"/>
          <w:szCs w:val="16"/>
        </w:rPr>
        <w:t xml:space="preserve">e growth </w:t>
      </w:r>
      <w:r>
        <w:rPr>
          <w:sz w:val="16"/>
          <w:szCs w:val="16"/>
        </w:rPr>
        <w:t>of</w:t>
      </w:r>
      <w:r w:rsidRPr="00496AC2">
        <w:rPr>
          <w:sz w:val="16"/>
          <w:szCs w:val="16"/>
        </w:rPr>
        <w:t xml:space="preserve"> domestic rail freight transport was partly dampened by the impacts of the September floods (due to which </w:t>
      </w:r>
      <w:r w:rsidRPr="00AD0889">
        <w:rPr>
          <w:sz w:val="16"/>
          <w:szCs w:val="16"/>
          <w:lang w:val="en-GB"/>
        </w:rPr>
        <w:t>the transport on the main railway corridor to Ostrava was temporarily suspended). Growth of freight transport performance was driven mainly by road transport in Q1 and Q3 2024, where the performance (in tonne-kilometres) increased by 6.9%, year-on-year.</w:t>
      </w:r>
      <w:bookmarkEnd w:id="18"/>
    </w:p>
  </w:footnote>
  <w:footnote w:id="50">
    <w:p w14:paraId="06ED4D9F" w14:textId="35F2A13E" w:rsidR="006145FA" w:rsidRPr="00AD0889" w:rsidRDefault="006145FA" w:rsidP="00803507">
      <w:pPr>
        <w:pStyle w:val="Textpoznpodarou"/>
        <w:jc w:val="both"/>
        <w:rPr>
          <w:sz w:val="16"/>
          <w:szCs w:val="16"/>
          <w:lang w:val="en-GB"/>
        </w:rPr>
      </w:pPr>
      <w:r w:rsidRPr="00AD0889">
        <w:rPr>
          <w:rStyle w:val="Znakapoznpodarou"/>
          <w:sz w:val="16"/>
          <w:szCs w:val="16"/>
          <w:lang w:val="en-GB"/>
        </w:rPr>
        <w:footnoteRef/>
      </w:r>
      <w:r>
        <w:rPr>
          <w:sz w:val="16"/>
          <w:szCs w:val="16"/>
          <w:lang w:val="en-GB"/>
        </w:rPr>
        <w:t xml:space="preserve"> S</w:t>
      </w:r>
      <w:r w:rsidRPr="00AD0889">
        <w:rPr>
          <w:sz w:val="16"/>
          <w:szCs w:val="16"/>
          <w:lang w:val="en-GB"/>
        </w:rPr>
        <w:t>ales in accommodation decreased by 2.5%, y</w:t>
      </w:r>
      <w:r>
        <w:rPr>
          <w:sz w:val="16"/>
          <w:szCs w:val="16"/>
          <w:lang w:val="en-GB"/>
        </w:rPr>
        <w:t>ear</w:t>
      </w:r>
      <w:r w:rsidRPr="00AD0889">
        <w:rPr>
          <w:sz w:val="16"/>
          <w:szCs w:val="16"/>
          <w:lang w:val="en-GB"/>
        </w:rPr>
        <w:t>-o</w:t>
      </w:r>
      <w:r>
        <w:rPr>
          <w:sz w:val="16"/>
          <w:szCs w:val="16"/>
          <w:lang w:val="en-GB"/>
        </w:rPr>
        <w:t>n</w:t>
      </w:r>
      <w:r w:rsidRPr="00AD0889">
        <w:rPr>
          <w:sz w:val="16"/>
          <w:szCs w:val="16"/>
          <w:lang w:val="en-GB"/>
        </w:rPr>
        <w:t>-y</w:t>
      </w:r>
      <w:r>
        <w:rPr>
          <w:sz w:val="16"/>
          <w:szCs w:val="16"/>
          <w:lang w:val="en-GB"/>
        </w:rPr>
        <w:t>ear</w:t>
      </w:r>
      <w:r w:rsidRPr="00AD0889">
        <w:rPr>
          <w:sz w:val="16"/>
          <w:szCs w:val="16"/>
          <w:lang w:val="en-GB"/>
        </w:rPr>
        <w:t xml:space="preserve">, </w:t>
      </w:r>
      <w:r>
        <w:rPr>
          <w:sz w:val="16"/>
          <w:szCs w:val="16"/>
          <w:lang w:val="en-GB"/>
        </w:rPr>
        <w:t>i</w:t>
      </w:r>
      <w:r w:rsidRPr="00AD0889">
        <w:rPr>
          <w:sz w:val="16"/>
          <w:szCs w:val="16"/>
          <w:lang w:val="en-GB"/>
        </w:rPr>
        <w:t>n Q3 2024</w:t>
      </w:r>
      <w:r>
        <w:rPr>
          <w:sz w:val="16"/>
          <w:szCs w:val="16"/>
          <w:lang w:val="en-GB"/>
        </w:rPr>
        <w:t xml:space="preserve"> </w:t>
      </w:r>
      <w:r w:rsidRPr="00AD0889">
        <w:rPr>
          <w:sz w:val="16"/>
          <w:szCs w:val="16"/>
          <w:lang w:val="en-GB"/>
        </w:rPr>
        <w:t>and by 1.9%</w:t>
      </w:r>
      <w:r>
        <w:rPr>
          <w:sz w:val="16"/>
          <w:szCs w:val="16"/>
          <w:lang w:val="en-GB"/>
        </w:rPr>
        <w:t xml:space="preserve"> in food service and restaurants</w:t>
      </w:r>
      <w:r w:rsidRPr="00AD0889">
        <w:rPr>
          <w:sz w:val="16"/>
          <w:szCs w:val="16"/>
          <w:lang w:val="en-GB"/>
        </w:rPr>
        <w:t xml:space="preserve">. Although this </w:t>
      </w:r>
      <w:r>
        <w:rPr>
          <w:sz w:val="16"/>
          <w:szCs w:val="16"/>
          <w:lang w:val="en-GB"/>
        </w:rPr>
        <w:t xml:space="preserve">does not present </w:t>
      </w:r>
      <w:r w:rsidRPr="00AD0889">
        <w:rPr>
          <w:sz w:val="16"/>
          <w:szCs w:val="16"/>
          <w:lang w:val="en-GB"/>
        </w:rPr>
        <w:t xml:space="preserve">a significant downturn, the simultaneous decline in both of the above-mentioned segments in the </w:t>
      </w:r>
      <w:r>
        <w:rPr>
          <w:sz w:val="16"/>
          <w:szCs w:val="16"/>
          <w:lang w:val="en-GB"/>
        </w:rPr>
        <w:t>summer</w:t>
      </w:r>
      <w:r w:rsidRPr="00AD0889">
        <w:rPr>
          <w:sz w:val="16"/>
          <w:szCs w:val="16"/>
          <w:lang w:val="en-GB"/>
        </w:rPr>
        <w:t xml:space="preserve"> tourist season has been unique in recent years (except for </w:t>
      </w:r>
      <w:r>
        <w:rPr>
          <w:sz w:val="16"/>
          <w:szCs w:val="16"/>
          <w:lang w:val="en-GB"/>
        </w:rPr>
        <w:t xml:space="preserve">pandemic year </w:t>
      </w:r>
      <w:r w:rsidRPr="00AD0889">
        <w:rPr>
          <w:sz w:val="16"/>
          <w:szCs w:val="16"/>
          <w:lang w:val="en-GB"/>
        </w:rPr>
        <w:t xml:space="preserve">2020, the last time </w:t>
      </w:r>
      <w:r>
        <w:rPr>
          <w:sz w:val="16"/>
          <w:szCs w:val="16"/>
          <w:lang w:val="en-GB"/>
        </w:rPr>
        <w:t xml:space="preserve">it </w:t>
      </w:r>
      <w:r w:rsidRPr="00AD0889">
        <w:rPr>
          <w:sz w:val="16"/>
          <w:szCs w:val="16"/>
          <w:lang w:val="en-GB"/>
        </w:rPr>
        <w:t>occurred was in 2009).</w:t>
      </w:r>
      <w:r>
        <w:rPr>
          <w:sz w:val="16"/>
          <w:szCs w:val="16"/>
          <w:lang w:val="en-GB"/>
        </w:rPr>
        <w:t xml:space="preserve"> </w:t>
      </w:r>
    </w:p>
  </w:footnote>
  <w:footnote w:id="51">
    <w:p w14:paraId="58C76E07" w14:textId="6CD82537" w:rsidR="006145FA" w:rsidRPr="00AD0889" w:rsidRDefault="006145FA" w:rsidP="00803507">
      <w:pPr>
        <w:pStyle w:val="Textpoznpodarou"/>
        <w:jc w:val="both"/>
        <w:rPr>
          <w:sz w:val="16"/>
          <w:szCs w:val="16"/>
          <w:lang w:val="en-GB"/>
        </w:rPr>
      </w:pPr>
      <w:r w:rsidRPr="00AD0889">
        <w:rPr>
          <w:rStyle w:val="Znakapoznpodarou"/>
          <w:sz w:val="16"/>
          <w:szCs w:val="16"/>
          <w:lang w:val="en-GB"/>
        </w:rPr>
        <w:footnoteRef/>
      </w:r>
      <w:r w:rsidRPr="00AD0889">
        <w:rPr>
          <w:sz w:val="16"/>
          <w:szCs w:val="16"/>
          <w:lang w:val="en-GB"/>
        </w:rPr>
        <w:t xml:space="preserve"> </w:t>
      </w:r>
      <w:bookmarkStart w:id="21" w:name="_Hlk194775368"/>
      <w:r w:rsidRPr="006145FA">
        <w:rPr>
          <w:spacing w:val="-2"/>
          <w:sz w:val="16"/>
          <w:szCs w:val="16"/>
          <w:lang w:val="en-GB"/>
        </w:rPr>
        <w:t>P</w:t>
      </w:r>
      <w:r w:rsidRPr="006145FA">
        <w:rPr>
          <w:spacing w:val="-2"/>
          <w:sz w:val="16"/>
          <w:szCs w:val="16"/>
        </w:rPr>
        <w:t xml:space="preserve">rices of accommodation services were raised by 9.2% and catering services by 7.4% in 2024. Compared to 2015, they were 92.5% higher in total both segments in December last year, while prices in the total consumer basket increased by "only" 52% over the same period. </w:t>
      </w:r>
    </w:p>
    <w:bookmarkEnd w:id="21"/>
  </w:footnote>
  <w:footnote w:id="52">
    <w:p w14:paraId="75D4F541" w14:textId="14606270" w:rsidR="006145FA" w:rsidRPr="008C2B87" w:rsidRDefault="006145FA" w:rsidP="00803507">
      <w:pPr>
        <w:pStyle w:val="paragraph"/>
        <w:spacing w:before="0" w:beforeAutospacing="0" w:after="0" w:afterAutospacing="0"/>
        <w:jc w:val="both"/>
        <w:textAlignment w:val="baseline"/>
        <w:rPr>
          <w:rFonts w:ascii="Arial" w:hAnsi="Arial" w:cs="Arial"/>
          <w:sz w:val="16"/>
          <w:szCs w:val="16"/>
          <w:lang w:val="en-GB"/>
        </w:rPr>
      </w:pPr>
      <w:r w:rsidRPr="00AD0889">
        <w:rPr>
          <w:rStyle w:val="Znakapoznpodarou"/>
          <w:rFonts w:ascii="Arial" w:hAnsi="Arial" w:cs="Arial"/>
          <w:sz w:val="16"/>
          <w:szCs w:val="16"/>
          <w:lang w:val="en-GB"/>
        </w:rPr>
        <w:footnoteRef/>
      </w:r>
      <w:r w:rsidRPr="00AD0889">
        <w:rPr>
          <w:rFonts w:ascii="Arial" w:hAnsi="Arial" w:cs="Arial"/>
          <w:sz w:val="16"/>
          <w:szCs w:val="16"/>
          <w:lang w:val="en-GB"/>
        </w:rPr>
        <w:t xml:space="preserve"> </w:t>
      </w:r>
      <w:bookmarkStart w:id="22" w:name="_Hlk194775767"/>
      <w:r w:rsidRPr="00AF1132">
        <w:rPr>
          <w:rFonts w:ascii="Arial" w:hAnsi="Arial" w:cs="Arial"/>
          <w:sz w:val="16"/>
          <w:szCs w:val="16"/>
        </w:rPr>
        <w:t xml:space="preserve">For the whole </w:t>
      </w:r>
      <w:r>
        <w:rPr>
          <w:rFonts w:ascii="Arial" w:hAnsi="Arial" w:cs="Arial"/>
          <w:sz w:val="16"/>
          <w:szCs w:val="16"/>
        </w:rPr>
        <w:t xml:space="preserve">year </w:t>
      </w:r>
      <w:r w:rsidRPr="00AF1132">
        <w:rPr>
          <w:rFonts w:ascii="Arial" w:hAnsi="Arial" w:cs="Arial"/>
          <w:sz w:val="16"/>
          <w:szCs w:val="16"/>
        </w:rPr>
        <w:t>2024, 22.8 mi</w:t>
      </w:r>
      <w:r>
        <w:rPr>
          <w:rFonts w:ascii="Arial" w:hAnsi="Arial" w:cs="Arial"/>
          <w:sz w:val="16"/>
          <w:szCs w:val="16"/>
        </w:rPr>
        <w:t xml:space="preserve">l </w:t>
      </w:r>
      <w:r w:rsidRPr="00AF1132">
        <w:rPr>
          <w:rFonts w:ascii="Arial" w:hAnsi="Arial" w:cs="Arial"/>
          <w:sz w:val="16"/>
          <w:szCs w:val="16"/>
        </w:rPr>
        <w:t xml:space="preserve">guests </w:t>
      </w:r>
      <w:r>
        <w:rPr>
          <w:rFonts w:ascii="Arial" w:hAnsi="Arial" w:cs="Arial"/>
          <w:sz w:val="16"/>
          <w:szCs w:val="16"/>
        </w:rPr>
        <w:t xml:space="preserve">arrived to mass accommodation facilities (MAF) </w:t>
      </w:r>
      <w:r w:rsidRPr="00AF1132">
        <w:rPr>
          <w:rFonts w:ascii="Arial" w:hAnsi="Arial" w:cs="Arial"/>
          <w:sz w:val="16"/>
          <w:szCs w:val="16"/>
        </w:rPr>
        <w:t>in the Czech Republic, spending 57.3 mil</w:t>
      </w:r>
      <w:r>
        <w:rPr>
          <w:rFonts w:ascii="Arial" w:hAnsi="Arial" w:cs="Arial"/>
          <w:sz w:val="16"/>
          <w:szCs w:val="16"/>
        </w:rPr>
        <w:t xml:space="preserve"> </w:t>
      </w:r>
      <w:r w:rsidRPr="00AF1132">
        <w:rPr>
          <w:rFonts w:ascii="Arial" w:hAnsi="Arial" w:cs="Arial"/>
          <w:sz w:val="16"/>
          <w:szCs w:val="16"/>
        </w:rPr>
        <w:t>nights here. The number of guests increased by 3.8%, y</w:t>
      </w:r>
      <w:r>
        <w:rPr>
          <w:rFonts w:ascii="Arial" w:hAnsi="Arial" w:cs="Arial"/>
          <w:sz w:val="16"/>
          <w:szCs w:val="16"/>
        </w:rPr>
        <w:t>ear</w:t>
      </w:r>
      <w:r w:rsidRPr="00AF1132">
        <w:rPr>
          <w:rFonts w:ascii="Arial" w:hAnsi="Arial" w:cs="Arial"/>
          <w:sz w:val="16"/>
          <w:szCs w:val="16"/>
        </w:rPr>
        <w:t>-o</w:t>
      </w:r>
      <w:r>
        <w:rPr>
          <w:rFonts w:ascii="Arial" w:hAnsi="Arial" w:cs="Arial"/>
          <w:sz w:val="16"/>
          <w:szCs w:val="16"/>
        </w:rPr>
        <w:t>n</w:t>
      </w:r>
      <w:r w:rsidRPr="00AF1132">
        <w:rPr>
          <w:rFonts w:ascii="Arial" w:hAnsi="Arial" w:cs="Arial"/>
          <w:sz w:val="16"/>
          <w:szCs w:val="16"/>
        </w:rPr>
        <w:t>-y</w:t>
      </w:r>
      <w:r>
        <w:rPr>
          <w:rFonts w:ascii="Arial" w:hAnsi="Arial" w:cs="Arial"/>
          <w:sz w:val="16"/>
          <w:szCs w:val="16"/>
        </w:rPr>
        <w:t>ear</w:t>
      </w:r>
      <w:r w:rsidRPr="00AF1132">
        <w:rPr>
          <w:rFonts w:ascii="Arial" w:hAnsi="Arial" w:cs="Arial"/>
          <w:sz w:val="16"/>
          <w:szCs w:val="16"/>
        </w:rPr>
        <w:t xml:space="preserve">, and their overnight stays by 2.6%. According to both indicators, tourism grew continuously for the fourth year in a row. </w:t>
      </w:r>
      <w:r>
        <w:rPr>
          <w:rFonts w:ascii="Arial" w:hAnsi="Arial" w:cs="Arial"/>
          <w:sz w:val="16"/>
          <w:szCs w:val="16"/>
        </w:rPr>
        <w:t xml:space="preserve">At the same time, </w:t>
      </w:r>
      <w:r w:rsidRPr="00AF1132">
        <w:rPr>
          <w:rFonts w:ascii="Arial" w:hAnsi="Arial" w:cs="Arial"/>
          <w:sz w:val="16"/>
          <w:szCs w:val="16"/>
        </w:rPr>
        <w:t>it exceeded the record level from the pre-crisis year 2019</w:t>
      </w:r>
      <w:r>
        <w:rPr>
          <w:rFonts w:ascii="Arial" w:hAnsi="Arial" w:cs="Arial"/>
          <w:sz w:val="16"/>
          <w:szCs w:val="16"/>
        </w:rPr>
        <w:t xml:space="preserve"> last year for the first time</w:t>
      </w:r>
      <w:r w:rsidRPr="00AF1132">
        <w:rPr>
          <w:rFonts w:ascii="Arial" w:hAnsi="Arial" w:cs="Arial"/>
          <w:sz w:val="16"/>
          <w:szCs w:val="16"/>
        </w:rPr>
        <w:t xml:space="preserve"> – by 3.7% for guests and by 0.5% for overnight stays. However, </w:t>
      </w:r>
      <w:r>
        <w:rPr>
          <w:rFonts w:ascii="Arial" w:hAnsi="Arial" w:cs="Arial"/>
          <w:sz w:val="16"/>
          <w:szCs w:val="16"/>
        </w:rPr>
        <w:t xml:space="preserve">in that </w:t>
      </w:r>
      <w:r w:rsidRPr="00AF1132">
        <w:rPr>
          <w:rFonts w:ascii="Arial" w:hAnsi="Arial" w:cs="Arial"/>
          <w:sz w:val="16"/>
          <w:szCs w:val="16"/>
        </w:rPr>
        <w:t xml:space="preserve">foreign </w:t>
      </w:r>
      <w:r>
        <w:rPr>
          <w:rFonts w:ascii="Arial" w:hAnsi="Arial" w:cs="Arial"/>
          <w:sz w:val="16"/>
          <w:szCs w:val="16"/>
        </w:rPr>
        <w:t>gues</w:t>
      </w:r>
      <w:r w:rsidRPr="00AF1132">
        <w:rPr>
          <w:rFonts w:ascii="Arial" w:hAnsi="Arial" w:cs="Arial"/>
          <w:sz w:val="16"/>
          <w:szCs w:val="16"/>
        </w:rPr>
        <w:t xml:space="preserve">ts still lagged slightly behind (by 3.7% and 6.1%, respectively), as </w:t>
      </w:r>
      <w:r>
        <w:rPr>
          <w:rFonts w:ascii="Arial" w:hAnsi="Arial" w:cs="Arial"/>
          <w:sz w:val="16"/>
          <w:szCs w:val="16"/>
        </w:rPr>
        <w:t xml:space="preserve">mainly the </w:t>
      </w:r>
      <w:r w:rsidRPr="00AF1132">
        <w:rPr>
          <w:rFonts w:ascii="Arial" w:hAnsi="Arial" w:cs="Arial"/>
          <w:sz w:val="16"/>
          <w:szCs w:val="16"/>
        </w:rPr>
        <w:t xml:space="preserve">demand from Russia and </w:t>
      </w:r>
      <w:r>
        <w:rPr>
          <w:rFonts w:ascii="Arial" w:hAnsi="Arial" w:cs="Arial"/>
          <w:sz w:val="16"/>
          <w:szCs w:val="16"/>
        </w:rPr>
        <w:t xml:space="preserve">distant </w:t>
      </w:r>
      <w:r w:rsidRPr="00AF1132">
        <w:rPr>
          <w:rFonts w:ascii="Arial" w:hAnsi="Arial" w:cs="Arial"/>
          <w:sz w:val="16"/>
          <w:szCs w:val="16"/>
        </w:rPr>
        <w:t xml:space="preserve">Asian countries was missing. </w:t>
      </w:r>
      <w:r>
        <w:rPr>
          <w:rFonts w:ascii="Arial" w:hAnsi="Arial" w:cs="Arial"/>
          <w:sz w:val="16"/>
          <w:szCs w:val="16"/>
        </w:rPr>
        <w:t xml:space="preserve">Of the most numerous </w:t>
      </w:r>
      <w:r w:rsidRPr="00AF1132">
        <w:rPr>
          <w:rFonts w:ascii="Arial" w:hAnsi="Arial" w:cs="Arial"/>
          <w:sz w:val="16"/>
          <w:szCs w:val="16"/>
        </w:rPr>
        <w:t xml:space="preserve">foreign guests, the number of overnight stays increased the most </w:t>
      </w:r>
      <w:r>
        <w:rPr>
          <w:rFonts w:ascii="Arial" w:hAnsi="Arial" w:cs="Arial"/>
          <w:sz w:val="16"/>
          <w:szCs w:val="16"/>
        </w:rPr>
        <w:t xml:space="preserve">for the citizens of </w:t>
      </w:r>
      <w:r w:rsidRPr="00AF1132">
        <w:rPr>
          <w:rFonts w:ascii="Arial" w:hAnsi="Arial" w:cs="Arial"/>
          <w:sz w:val="16"/>
          <w:szCs w:val="16"/>
        </w:rPr>
        <w:t xml:space="preserve">Israel (+48%) and Spain (+20%), the least </w:t>
      </w:r>
      <w:r>
        <w:rPr>
          <w:rFonts w:ascii="Arial" w:hAnsi="Arial" w:cs="Arial"/>
          <w:sz w:val="16"/>
          <w:szCs w:val="16"/>
        </w:rPr>
        <w:t xml:space="preserve">for </w:t>
      </w:r>
      <w:r w:rsidRPr="00AF1132">
        <w:rPr>
          <w:rFonts w:ascii="Arial" w:hAnsi="Arial" w:cs="Arial"/>
          <w:sz w:val="16"/>
          <w:szCs w:val="16"/>
        </w:rPr>
        <w:t>Germany (+3.4%) and Slovakia (+4.0%)</w:t>
      </w:r>
      <w:r>
        <w:rPr>
          <w:rFonts w:ascii="Arial" w:hAnsi="Arial" w:cs="Arial"/>
          <w:sz w:val="16"/>
          <w:szCs w:val="16"/>
        </w:rPr>
        <w:t xml:space="preserve"> last year</w:t>
      </w:r>
      <w:r w:rsidRPr="00AF1132">
        <w:rPr>
          <w:rFonts w:ascii="Arial" w:hAnsi="Arial" w:cs="Arial"/>
          <w:sz w:val="16"/>
          <w:szCs w:val="16"/>
        </w:rPr>
        <w:t xml:space="preserve">. </w:t>
      </w:r>
      <w:r>
        <w:rPr>
          <w:rFonts w:ascii="Arial" w:hAnsi="Arial" w:cs="Arial"/>
          <w:sz w:val="16"/>
          <w:szCs w:val="16"/>
        </w:rPr>
        <w:t>T</w:t>
      </w:r>
      <w:r w:rsidRPr="00AF1132">
        <w:rPr>
          <w:rFonts w:ascii="Arial" w:hAnsi="Arial" w:cs="Arial"/>
          <w:sz w:val="16"/>
          <w:szCs w:val="16"/>
        </w:rPr>
        <w:t>he demand of domestic guests fell</w:t>
      </w:r>
      <w:r>
        <w:rPr>
          <w:rFonts w:ascii="Arial" w:hAnsi="Arial" w:cs="Arial"/>
          <w:sz w:val="16"/>
          <w:szCs w:val="16"/>
        </w:rPr>
        <w:t>,</w:t>
      </w:r>
      <w:r w:rsidRPr="00AF1132">
        <w:rPr>
          <w:rFonts w:ascii="Arial" w:hAnsi="Arial" w:cs="Arial"/>
          <w:sz w:val="16"/>
          <w:szCs w:val="16"/>
        </w:rPr>
        <w:t xml:space="preserve"> year-on-year</w:t>
      </w:r>
      <w:r>
        <w:rPr>
          <w:rFonts w:ascii="Arial" w:hAnsi="Arial" w:cs="Arial"/>
          <w:sz w:val="16"/>
          <w:szCs w:val="16"/>
        </w:rPr>
        <w:t>, for the first time after three years last year</w:t>
      </w:r>
      <w:r w:rsidRPr="00AF1132">
        <w:rPr>
          <w:rFonts w:ascii="Arial" w:hAnsi="Arial" w:cs="Arial"/>
          <w:sz w:val="16"/>
          <w:szCs w:val="16"/>
        </w:rPr>
        <w:t xml:space="preserve"> (guests: -0.7%, </w:t>
      </w:r>
      <w:r>
        <w:rPr>
          <w:rFonts w:ascii="Arial" w:hAnsi="Arial" w:cs="Arial"/>
          <w:sz w:val="16"/>
          <w:szCs w:val="16"/>
        </w:rPr>
        <w:t>overnight stays</w:t>
      </w:r>
      <w:r w:rsidRPr="00AF1132">
        <w:rPr>
          <w:rFonts w:ascii="Arial" w:hAnsi="Arial" w:cs="Arial"/>
          <w:sz w:val="16"/>
          <w:szCs w:val="16"/>
        </w:rPr>
        <w:t xml:space="preserve">: -2.2%). This was mainly due to the weaker </w:t>
      </w:r>
      <w:r>
        <w:rPr>
          <w:rFonts w:ascii="Arial" w:hAnsi="Arial" w:cs="Arial"/>
          <w:sz w:val="16"/>
          <w:szCs w:val="16"/>
        </w:rPr>
        <w:t>Su</w:t>
      </w:r>
      <w:r w:rsidRPr="00AF1132">
        <w:rPr>
          <w:rFonts w:ascii="Arial" w:hAnsi="Arial" w:cs="Arial"/>
          <w:sz w:val="16"/>
          <w:szCs w:val="16"/>
        </w:rPr>
        <w:t xml:space="preserve">mmer season, when a larger part of Czech households </w:t>
      </w:r>
      <w:r>
        <w:rPr>
          <w:rFonts w:ascii="Arial" w:hAnsi="Arial" w:cs="Arial"/>
          <w:sz w:val="16"/>
          <w:szCs w:val="16"/>
        </w:rPr>
        <w:t xml:space="preserve">likely </w:t>
      </w:r>
      <w:r w:rsidRPr="00AF1132">
        <w:rPr>
          <w:rFonts w:ascii="Arial" w:hAnsi="Arial" w:cs="Arial"/>
          <w:sz w:val="16"/>
          <w:szCs w:val="16"/>
        </w:rPr>
        <w:t xml:space="preserve">preferred various foreign stays, often under more </w:t>
      </w:r>
      <w:r>
        <w:rPr>
          <w:rFonts w:ascii="Arial" w:hAnsi="Arial" w:cs="Arial"/>
          <w:sz w:val="16"/>
          <w:szCs w:val="16"/>
        </w:rPr>
        <w:t xml:space="preserve">price </w:t>
      </w:r>
      <w:r w:rsidRPr="00AF1132">
        <w:rPr>
          <w:rFonts w:ascii="Arial" w:hAnsi="Arial" w:cs="Arial"/>
          <w:sz w:val="16"/>
          <w:szCs w:val="16"/>
        </w:rPr>
        <w:t>attractive conditions. The number of overnight stays of domestic guests fell</w:t>
      </w:r>
      <w:r>
        <w:rPr>
          <w:rFonts w:ascii="Arial" w:hAnsi="Arial" w:cs="Arial"/>
          <w:sz w:val="16"/>
          <w:szCs w:val="16"/>
        </w:rPr>
        <w:t>,</w:t>
      </w:r>
      <w:r w:rsidRPr="00AF1132">
        <w:rPr>
          <w:rFonts w:ascii="Arial" w:hAnsi="Arial" w:cs="Arial"/>
          <w:sz w:val="16"/>
          <w:szCs w:val="16"/>
        </w:rPr>
        <w:t xml:space="preserve"> year-on-year</w:t>
      </w:r>
      <w:r>
        <w:rPr>
          <w:rFonts w:ascii="Arial" w:hAnsi="Arial" w:cs="Arial"/>
          <w:sz w:val="16"/>
          <w:szCs w:val="16"/>
        </w:rPr>
        <w:t>,</w:t>
      </w:r>
      <w:r w:rsidRPr="00AF1132">
        <w:rPr>
          <w:rFonts w:ascii="Arial" w:hAnsi="Arial" w:cs="Arial"/>
          <w:sz w:val="16"/>
          <w:szCs w:val="16"/>
        </w:rPr>
        <w:t xml:space="preserve"> in 12 out of 14 </w:t>
      </w:r>
      <w:r>
        <w:rPr>
          <w:rFonts w:ascii="Arial" w:hAnsi="Arial" w:cs="Arial"/>
          <w:sz w:val="16"/>
          <w:szCs w:val="16"/>
        </w:rPr>
        <w:t xml:space="preserve">Czech </w:t>
      </w:r>
      <w:r w:rsidRPr="00AF1132">
        <w:rPr>
          <w:rFonts w:ascii="Arial" w:hAnsi="Arial" w:cs="Arial"/>
          <w:sz w:val="16"/>
          <w:szCs w:val="16"/>
        </w:rPr>
        <w:t xml:space="preserve">regions last year (the most in the </w:t>
      </w:r>
      <w:r w:rsidRPr="00820F93">
        <w:rPr>
          <w:rFonts w:ascii="Arial" w:hAnsi="Arial" w:cs="Arial"/>
          <w:i/>
          <w:iCs/>
          <w:sz w:val="16"/>
          <w:szCs w:val="16"/>
        </w:rPr>
        <w:t>Olomouc</w:t>
      </w:r>
      <w:r w:rsidRPr="00AF1132">
        <w:rPr>
          <w:rFonts w:ascii="Arial" w:hAnsi="Arial" w:cs="Arial"/>
          <w:sz w:val="16"/>
          <w:szCs w:val="16"/>
        </w:rPr>
        <w:t xml:space="preserve"> region by 8%), while the demand </w:t>
      </w:r>
      <w:r>
        <w:rPr>
          <w:rFonts w:ascii="Arial" w:hAnsi="Arial" w:cs="Arial"/>
          <w:sz w:val="16"/>
          <w:szCs w:val="16"/>
        </w:rPr>
        <w:t xml:space="preserve">of </w:t>
      </w:r>
      <w:r w:rsidRPr="00AF1132">
        <w:rPr>
          <w:rFonts w:ascii="Arial" w:hAnsi="Arial" w:cs="Arial"/>
          <w:sz w:val="16"/>
          <w:szCs w:val="16"/>
        </w:rPr>
        <w:t>non-residents decreased only in two areas (</w:t>
      </w:r>
      <w:r w:rsidRPr="00793BBA">
        <w:rPr>
          <w:rFonts w:ascii="Arial" w:hAnsi="Arial" w:cs="Arial"/>
          <w:i/>
          <w:iCs/>
          <w:sz w:val="16"/>
          <w:szCs w:val="16"/>
        </w:rPr>
        <w:t>Ústí nad Labem</w:t>
      </w:r>
      <w:r w:rsidRPr="00AF1132">
        <w:rPr>
          <w:rFonts w:ascii="Arial" w:hAnsi="Arial" w:cs="Arial"/>
          <w:sz w:val="16"/>
          <w:szCs w:val="16"/>
        </w:rPr>
        <w:t xml:space="preserve"> and </w:t>
      </w:r>
      <w:r w:rsidRPr="00793BBA">
        <w:rPr>
          <w:rFonts w:ascii="Arial" w:hAnsi="Arial" w:cs="Arial"/>
          <w:i/>
          <w:iCs/>
          <w:sz w:val="16"/>
          <w:szCs w:val="16"/>
        </w:rPr>
        <w:t>Zlín</w:t>
      </w:r>
      <w:r w:rsidRPr="00AF1132">
        <w:rPr>
          <w:rFonts w:ascii="Arial" w:hAnsi="Arial" w:cs="Arial"/>
          <w:sz w:val="16"/>
          <w:szCs w:val="16"/>
        </w:rPr>
        <w:t xml:space="preserve">) and </w:t>
      </w:r>
      <w:r>
        <w:rPr>
          <w:rFonts w:ascii="Arial" w:hAnsi="Arial" w:cs="Arial"/>
          <w:sz w:val="16"/>
          <w:szCs w:val="16"/>
        </w:rPr>
        <w:t xml:space="preserve">growth </w:t>
      </w:r>
      <w:r w:rsidRPr="00AF1132">
        <w:rPr>
          <w:rFonts w:ascii="Arial" w:hAnsi="Arial" w:cs="Arial"/>
          <w:sz w:val="16"/>
          <w:szCs w:val="16"/>
        </w:rPr>
        <w:t xml:space="preserve">between 10 and 18% </w:t>
      </w:r>
      <w:r>
        <w:rPr>
          <w:rFonts w:ascii="Arial" w:hAnsi="Arial" w:cs="Arial"/>
          <w:sz w:val="16"/>
          <w:szCs w:val="16"/>
        </w:rPr>
        <w:t xml:space="preserve">was attained in four regions </w:t>
      </w:r>
      <w:r w:rsidRPr="00AF1132">
        <w:rPr>
          <w:rFonts w:ascii="Arial" w:hAnsi="Arial" w:cs="Arial"/>
          <w:sz w:val="16"/>
          <w:szCs w:val="16"/>
        </w:rPr>
        <w:t>(</w:t>
      </w:r>
      <w:r w:rsidRPr="00793BBA">
        <w:rPr>
          <w:rFonts w:ascii="Arial" w:hAnsi="Arial" w:cs="Arial"/>
          <w:i/>
          <w:iCs/>
          <w:sz w:val="16"/>
          <w:szCs w:val="16"/>
        </w:rPr>
        <w:t>Prague</w:t>
      </w:r>
      <w:r w:rsidRPr="00AF1132">
        <w:rPr>
          <w:rFonts w:ascii="Arial" w:hAnsi="Arial" w:cs="Arial"/>
          <w:sz w:val="16"/>
          <w:szCs w:val="16"/>
        </w:rPr>
        <w:t xml:space="preserve">, </w:t>
      </w:r>
      <w:r w:rsidRPr="00793BBA">
        <w:rPr>
          <w:rFonts w:ascii="Arial" w:hAnsi="Arial" w:cs="Arial"/>
          <w:i/>
          <w:iCs/>
          <w:sz w:val="16"/>
          <w:szCs w:val="16"/>
        </w:rPr>
        <w:t>Central Bohemia</w:t>
      </w:r>
      <w:r w:rsidRPr="00AF1132">
        <w:rPr>
          <w:rFonts w:ascii="Arial" w:hAnsi="Arial" w:cs="Arial"/>
          <w:sz w:val="16"/>
          <w:szCs w:val="16"/>
        </w:rPr>
        <w:t xml:space="preserve">, </w:t>
      </w:r>
      <w:r w:rsidRPr="00793BBA">
        <w:rPr>
          <w:rFonts w:ascii="Arial" w:hAnsi="Arial" w:cs="Arial"/>
          <w:i/>
          <w:iCs/>
          <w:sz w:val="16"/>
          <w:szCs w:val="16"/>
        </w:rPr>
        <w:t>South Bohemia</w:t>
      </w:r>
      <w:r w:rsidRPr="00AF1132">
        <w:rPr>
          <w:rFonts w:ascii="Arial" w:hAnsi="Arial" w:cs="Arial"/>
          <w:sz w:val="16"/>
          <w:szCs w:val="16"/>
        </w:rPr>
        <w:t xml:space="preserve"> and </w:t>
      </w:r>
      <w:r w:rsidRPr="00793BBA">
        <w:rPr>
          <w:rFonts w:ascii="Arial" w:hAnsi="Arial" w:cs="Arial"/>
          <w:i/>
          <w:iCs/>
          <w:sz w:val="16"/>
          <w:szCs w:val="16"/>
        </w:rPr>
        <w:t>Vysočina</w:t>
      </w:r>
      <w:r w:rsidRPr="00AF1132">
        <w:rPr>
          <w:rFonts w:ascii="Arial" w:hAnsi="Arial" w:cs="Arial"/>
          <w:sz w:val="16"/>
          <w:szCs w:val="16"/>
        </w:rPr>
        <w:t>), part</w:t>
      </w:r>
      <w:r>
        <w:rPr>
          <w:rFonts w:ascii="Arial" w:hAnsi="Arial" w:cs="Arial"/>
          <w:sz w:val="16"/>
          <w:szCs w:val="16"/>
        </w:rPr>
        <w:t>ially also due t</w:t>
      </w:r>
      <w:r w:rsidRPr="00AF1132">
        <w:rPr>
          <w:rFonts w:ascii="Arial" w:hAnsi="Arial" w:cs="Arial"/>
          <w:sz w:val="16"/>
          <w:szCs w:val="16"/>
        </w:rPr>
        <w:t>o the organisation of major sporting events in the first half of the year</w:t>
      </w:r>
      <w:r>
        <w:rPr>
          <w:rFonts w:ascii="Arial" w:hAnsi="Arial" w:cs="Arial"/>
          <w:sz w:val="16"/>
          <w:szCs w:val="16"/>
        </w:rPr>
        <w:t xml:space="preserve">. </w:t>
      </w:r>
      <w:bookmarkEnd w:id="22"/>
    </w:p>
  </w:footnote>
  <w:footnote w:id="53">
    <w:p w14:paraId="05D1C257" w14:textId="77777777" w:rsidR="006145FA" w:rsidRPr="008C2B87" w:rsidRDefault="006145FA" w:rsidP="00803507">
      <w:pPr>
        <w:pStyle w:val="paragraph"/>
        <w:spacing w:before="0" w:beforeAutospacing="0" w:after="0" w:afterAutospacing="0"/>
        <w:jc w:val="both"/>
        <w:textAlignment w:val="baseline"/>
        <w:rPr>
          <w:rFonts w:ascii="Arial" w:hAnsi="Arial" w:cs="Arial"/>
          <w:sz w:val="16"/>
          <w:szCs w:val="16"/>
          <w:lang w:val="en-GB"/>
        </w:rPr>
      </w:pPr>
      <w:r w:rsidRPr="008C2B87">
        <w:rPr>
          <w:rStyle w:val="Znakapoznpodarou"/>
          <w:rFonts w:ascii="Arial" w:hAnsi="Arial" w:cs="Arial"/>
          <w:sz w:val="16"/>
          <w:szCs w:val="16"/>
          <w:lang w:val="en-GB"/>
        </w:rPr>
        <w:footnoteRef/>
      </w:r>
      <w:r w:rsidRPr="008C2B87">
        <w:rPr>
          <w:rFonts w:ascii="Arial" w:hAnsi="Arial" w:cs="Arial"/>
          <w:sz w:val="16"/>
          <w:szCs w:val="16"/>
          <w:lang w:val="en-GB"/>
        </w:rPr>
        <w:t xml:space="preserve"> </w:t>
      </w:r>
      <w:bookmarkStart w:id="23" w:name="_Hlk194778703"/>
      <w:r w:rsidRPr="002E794C">
        <w:rPr>
          <w:rFonts w:ascii="Arial" w:hAnsi="Arial" w:cs="Arial"/>
          <w:sz w:val="16"/>
          <w:szCs w:val="16"/>
        </w:rPr>
        <w:t>After a temporary slight year-on-year decline in the number of guests in Q3 2024 (due to weaker demand from residents), the number of guests accommodated (+7.1%, to 5.0 million) and their overnight stays (+7.0%, to 11.7 million) increased in Q4 – in both cases, the levels of guest</w:t>
      </w:r>
      <w:r>
        <w:rPr>
          <w:rFonts w:ascii="Arial" w:hAnsi="Arial" w:cs="Arial"/>
          <w:sz w:val="16"/>
          <w:szCs w:val="16"/>
        </w:rPr>
        <w:t xml:space="preserve"> arrivals </w:t>
      </w:r>
      <w:r w:rsidRPr="002E794C">
        <w:rPr>
          <w:rFonts w:ascii="Arial" w:hAnsi="Arial" w:cs="Arial"/>
          <w:sz w:val="16"/>
          <w:szCs w:val="16"/>
        </w:rPr>
        <w:t xml:space="preserve">achieved are higher than at the end of 2019 (+6.2%, +3.3%), </w:t>
      </w:r>
      <w:r>
        <w:rPr>
          <w:rFonts w:ascii="Arial" w:hAnsi="Arial" w:cs="Arial"/>
          <w:sz w:val="16"/>
          <w:szCs w:val="16"/>
        </w:rPr>
        <w:t xml:space="preserve">in that </w:t>
      </w:r>
      <w:r w:rsidRPr="002E794C">
        <w:rPr>
          <w:rFonts w:ascii="Arial" w:hAnsi="Arial" w:cs="Arial"/>
          <w:sz w:val="16"/>
          <w:szCs w:val="16"/>
        </w:rPr>
        <w:t>foreign guests still lag slightly behind in both indicators (by 1%). </w:t>
      </w:r>
      <w:r>
        <w:rPr>
          <w:rFonts w:ascii="Arial" w:hAnsi="Arial" w:cs="Arial"/>
          <w:sz w:val="16"/>
          <w:szCs w:val="16"/>
        </w:rPr>
        <w:t>T</w:t>
      </w:r>
      <w:r w:rsidRPr="002E794C">
        <w:rPr>
          <w:rFonts w:ascii="Arial" w:hAnsi="Arial" w:cs="Arial"/>
          <w:sz w:val="16"/>
          <w:szCs w:val="16"/>
        </w:rPr>
        <w:t xml:space="preserve">here was a year-on-year increase </w:t>
      </w:r>
      <w:r>
        <w:rPr>
          <w:rFonts w:ascii="Arial" w:hAnsi="Arial" w:cs="Arial"/>
          <w:sz w:val="16"/>
          <w:szCs w:val="16"/>
        </w:rPr>
        <w:t>of</w:t>
      </w:r>
      <w:r w:rsidRPr="002E794C">
        <w:rPr>
          <w:rFonts w:ascii="Arial" w:hAnsi="Arial" w:cs="Arial"/>
          <w:sz w:val="16"/>
          <w:szCs w:val="16"/>
        </w:rPr>
        <w:t xml:space="preserve"> overnight stays for both domestic guests (+2.8%) and foreigners (+10.9%)</w:t>
      </w:r>
      <w:r>
        <w:rPr>
          <w:rFonts w:ascii="Arial" w:hAnsi="Arial" w:cs="Arial"/>
          <w:sz w:val="16"/>
          <w:szCs w:val="16"/>
        </w:rPr>
        <w:t xml:space="preserve"> in Q4</w:t>
      </w:r>
      <w:r w:rsidRPr="002E794C">
        <w:rPr>
          <w:rFonts w:ascii="Arial" w:hAnsi="Arial" w:cs="Arial"/>
          <w:sz w:val="16"/>
          <w:szCs w:val="16"/>
        </w:rPr>
        <w:t xml:space="preserve">. Of the most significantly represented foreign nationals, demand grew especially among Israelis (+216%, mainly </w:t>
      </w:r>
      <w:r>
        <w:rPr>
          <w:rFonts w:ascii="Arial" w:hAnsi="Arial" w:cs="Arial"/>
          <w:sz w:val="16"/>
          <w:szCs w:val="16"/>
        </w:rPr>
        <w:t xml:space="preserve">caused by the </w:t>
      </w:r>
      <w:r w:rsidRPr="002E794C">
        <w:rPr>
          <w:rFonts w:ascii="Arial" w:hAnsi="Arial" w:cs="Arial"/>
          <w:sz w:val="16"/>
          <w:szCs w:val="16"/>
        </w:rPr>
        <w:t xml:space="preserve">last year's weak base due to the outbreak of the war in Gaza), Ukraine (+21%), Great Britain (+17%) and Poland (+15%). The number of overnight stays of guests from Asia, especially from China, also accelerated, </w:t>
      </w:r>
      <w:r>
        <w:rPr>
          <w:rFonts w:ascii="Arial" w:hAnsi="Arial" w:cs="Arial"/>
          <w:sz w:val="16"/>
          <w:szCs w:val="16"/>
        </w:rPr>
        <w:t xml:space="preserve">however </w:t>
      </w:r>
      <w:r w:rsidRPr="002E794C">
        <w:rPr>
          <w:rFonts w:ascii="Arial" w:hAnsi="Arial" w:cs="Arial"/>
          <w:sz w:val="16"/>
          <w:szCs w:val="16"/>
        </w:rPr>
        <w:t>it has not yet made it into the top 10 countries with the highest demand for accommodation in the Czech Republic. Of the traditional guest groups, demand from Germans (+8%) and Slovaks (+7%) maintained a solid pace</w:t>
      </w:r>
      <w:r>
        <w:rPr>
          <w:rFonts w:ascii="Arial" w:hAnsi="Arial" w:cs="Arial"/>
          <w:sz w:val="16"/>
          <w:szCs w:val="16"/>
        </w:rPr>
        <w:t xml:space="preserve">. </w:t>
      </w:r>
      <w:bookmarkEnd w:id="23"/>
    </w:p>
  </w:footnote>
  <w:footnote w:id="54">
    <w:p w14:paraId="5B1943AB" w14:textId="77777777" w:rsidR="006145FA" w:rsidRPr="008C2B87" w:rsidRDefault="006145FA" w:rsidP="00803507">
      <w:pPr>
        <w:pStyle w:val="Textpoznpodarou"/>
        <w:jc w:val="both"/>
        <w:rPr>
          <w:sz w:val="16"/>
          <w:szCs w:val="16"/>
          <w:lang w:val="en-GB"/>
        </w:rPr>
      </w:pPr>
      <w:r w:rsidRPr="008C2B87">
        <w:rPr>
          <w:rStyle w:val="Znakapoznpodarou"/>
          <w:sz w:val="16"/>
          <w:szCs w:val="16"/>
          <w:lang w:val="en-GB"/>
        </w:rPr>
        <w:footnoteRef/>
      </w:r>
      <w:r w:rsidRPr="008C2B87">
        <w:rPr>
          <w:sz w:val="16"/>
          <w:szCs w:val="16"/>
          <w:lang w:val="en-GB"/>
        </w:rPr>
        <w:t xml:space="preserve"> T</w:t>
      </w:r>
      <w:r>
        <w:rPr>
          <w:sz w:val="16"/>
          <w:szCs w:val="16"/>
          <w:lang w:val="en-GB"/>
        </w:rPr>
        <w:t>hey mainly include programming, consultancy in IT area or c</w:t>
      </w:r>
      <w:r w:rsidRPr="001B3659">
        <w:rPr>
          <w:sz w:val="16"/>
          <w:szCs w:val="16"/>
          <w:lang w:val="en-GB"/>
        </w:rPr>
        <w:t>omputer facilities management activities</w:t>
      </w:r>
      <w:r>
        <w:rPr>
          <w:sz w:val="16"/>
          <w:szCs w:val="16"/>
          <w:lang w:val="en-GB"/>
        </w:rPr>
        <w:t xml:space="preserve">. </w:t>
      </w:r>
    </w:p>
  </w:footnote>
  <w:footnote w:id="55">
    <w:p w14:paraId="7345DC92" w14:textId="77777777" w:rsidR="006145FA" w:rsidRPr="008C2B87" w:rsidRDefault="006145FA" w:rsidP="00803507">
      <w:pPr>
        <w:pStyle w:val="Textpoznpodarou"/>
        <w:jc w:val="both"/>
        <w:rPr>
          <w:lang w:val="en-GB"/>
        </w:rPr>
      </w:pPr>
      <w:r w:rsidRPr="008C2B87">
        <w:rPr>
          <w:rStyle w:val="Znakapoznpodarou"/>
          <w:sz w:val="16"/>
          <w:szCs w:val="16"/>
          <w:lang w:val="en-GB"/>
        </w:rPr>
        <w:footnoteRef/>
      </w:r>
      <w:r w:rsidRPr="008C2B87">
        <w:rPr>
          <w:sz w:val="16"/>
          <w:szCs w:val="16"/>
          <w:lang w:val="en-GB"/>
        </w:rPr>
        <w:t xml:space="preserve"> </w:t>
      </w:r>
      <w:r w:rsidRPr="009422C7">
        <w:rPr>
          <w:sz w:val="16"/>
          <w:szCs w:val="16"/>
          <w:lang w:val="en-GB"/>
        </w:rPr>
        <w:t>They consist mainly of activities linked to the web portals, news press offices and agencies or data processing and hosting</w:t>
      </w:r>
      <w:r>
        <w:rPr>
          <w:sz w:val="16"/>
          <w:szCs w:val="16"/>
          <w:lang w:val="en-GB"/>
        </w:rPr>
        <w:t xml:space="preserve">. </w:t>
      </w:r>
    </w:p>
  </w:footnote>
  <w:footnote w:id="56">
    <w:p w14:paraId="5A2BCAFE" w14:textId="1D6CB86D" w:rsidR="006145FA" w:rsidRPr="008C2B87" w:rsidRDefault="006145FA" w:rsidP="00803507">
      <w:pPr>
        <w:pStyle w:val="Textpoznpodarou"/>
        <w:jc w:val="both"/>
        <w:rPr>
          <w:sz w:val="16"/>
          <w:szCs w:val="16"/>
          <w:lang w:val="en-GB"/>
        </w:rPr>
      </w:pPr>
      <w:r w:rsidRPr="008C2B87">
        <w:rPr>
          <w:rStyle w:val="Znakapoznpodarou"/>
          <w:sz w:val="16"/>
          <w:szCs w:val="16"/>
          <w:lang w:val="en-GB"/>
        </w:rPr>
        <w:footnoteRef/>
      </w:r>
      <w:r w:rsidRPr="008C2B87">
        <w:rPr>
          <w:sz w:val="16"/>
          <w:szCs w:val="16"/>
          <w:lang w:val="en-GB"/>
        </w:rPr>
        <w:t xml:space="preserve"> </w:t>
      </w:r>
      <w:r w:rsidRPr="003B0067">
        <w:rPr>
          <w:sz w:val="16"/>
          <w:szCs w:val="16"/>
          <w:lang w:val="en-GB"/>
        </w:rPr>
        <w:t xml:space="preserve">Segment of motion picture distribution </w:t>
      </w:r>
      <w:r>
        <w:rPr>
          <w:sz w:val="16"/>
          <w:szCs w:val="16"/>
          <w:lang w:val="en-GB"/>
        </w:rPr>
        <w:t xml:space="preserve">fared considerably better. According to the figures </w:t>
      </w:r>
      <w:r w:rsidRPr="003B0067">
        <w:rPr>
          <w:sz w:val="16"/>
          <w:szCs w:val="16"/>
          <w:lang w:val="en-GB"/>
        </w:rPr>
        <w:t>f</w:t>
      </w:r>
      <w:r>
        <w:rPr>
          <w:sz w:val="16"/>
          <w:szCs w:val="16"/>
          <w:lang w:val="en-GB"/>
        </w:rPr>
        <w:t xml:space="preserve">rom </w:t>
      </w:r>
      <w:r w:rsidRPr="003B0067">
        <w:rPr>
          <w:sz w:val="16"/>
          <w:szCs w:val="16"/>
          <w:lang w:val="en-GB"/>
        </w:rPr>
        <w:t>the Union of Motion Picture Distributors</w:t>
      </w:r>
      <w:r>
        <w:rPr>
          <w:sz w:val="16"/>
          <w:szCs w:val="16"/>
          <w:lang w:val="en-GB"/>
        </w:rPr>
        <w:t xml:space="preserve"> the gross nominal sales of the domestic cinema operators decreased only by 0.9%, year-on-year, last year (</w:t>
      </w:r>
      <w:r w:rsidRPr="009422C7">
        <w:rPr>
          <w:sz w:val="16"/>
          <w:szCs w:val="16"/>
        </w:rPr>
        <w:t xml:space="preserve">thanks to strong performances during the </w:t>
      </w:r>
      <w:r>
        <w:rPr>
          <w:sz w:val="16"/>
          <w:szCs w:val="16"/>
        </w:rPr>
        <w:t>summer</w:t>
      </w:r>
      <w:r w:rsidRPr="009422C7">
        <w:rPr>
          <w:sz w:val="16"/>
          <w:szCs w:val="16"/>
        </w:rPr>
        <w:t xml:space="preserve"> holiday months and also at the very end of </w:t>
      </w:r>
      <w:r>
        <w:rPr>
          <w:sz w:val="16"/>
          <w:szCs w:val="16"/>
        </w:rPr>
        <w:t>2024</w:t>
      </w:r>
      <w:r w:rsidRPr="009422C7">
        <w:rPr>
          <w:sz w:val="16"/>
          <w:szCs w:val="16"/>
        </w:rPr>
        <w:t>)</w:t>
      </w:r>
      <w:r>
        <w:rPr>
          <w:sz w:val="16"/>
          <w:szCs w:val="16"/>
        </w:rPr>
        <w:t>.</w:t>
      </w:r>
      <w:r>
        <w:rPr>
          <w:sz w:val="16"/>
          <w:szCs w:val="16"/>
          <w:lang w:val="en-GB"/>
        </w:rPr>
        <w:t xml:space="preserve"> The total attendance lowered </w:t>
      </w:r>
      <w:r w:rsidRPr="001B3659">
        <w:rPr>
          <w:sz w:val="16"/>
          <w:szCs w:val="16"/>
          <w:lang w:val="en-GB"/>
        </w:rPr>
        <w:t>by 2.2% analo</w:t>
      </w:r>
      <w:bookmarkStart w:id="26" w:name="_Hlk194777966"/>
      <w:r w:rsidRPr="001B3659">
        <w:rPr>
          <w:sz w:val="16"/>
          <w:szCs w:val="16"/>
          <w:lang w:val="en-GB"/>
        </w:rPr>
        <w:t>gously</w:t>
      </w:r>
      <w:r w:rsidRPr="00FA7F94">
        <w:rPr>
          <w:sz w:val="16"/>
          <w:szCs w:val="16"/>
        </w:rPr>
        <w:t xml:space="preserve">, while the number of performances increased by 2.5%. Compared to 2019, however, </w:t>
      </w:r>
      <w:r>
        <w:rPr>
          <w:sz w:val="16"/>
          <w:szCs w:val="16"/>
        </w:rPr>
        <w:t xml:space="preserve">the attendance of cinemas </w:t>
      </w:r>
      <w:r w:rsidRPr="00FA7F94">
        <w:rPr>
          <w:sz w:val="16"/>
          <w:szCs w:val="16"/>
        </w:rPr>
        <w:t>was down by 29% and sales by 14%.</w:t>
      </w:r>
      <w:r>
        <w:rPr>
          <w:sz w:val="16"/>
          <w:szCs w:val="16"/>
        </w:rPr>
        <w:t xml:space="preserve"> </w:t>
      </w:r>
    </w:p>
    <w:bookmarkEnd w:id="26"/>
  </w:footnote>
  <w:footnote w:id="57">
    <w:p w14:paraId="5D175926" w14:textId="77777777" w:rsidR="006145FA" w:rsidRPr="008C2B87" w:rsidRDefault="006145FA" w:rsidP="00803507">
      <w:pPr>
        <w:pStyle w:val="Textpoznpodarou"/>
        <w:jc w:val="both"/>
        <w:rPr>
          <w:sz w:val="16"/>
          <w:szCs w:val="16"/>
          <w:lang w:val="en-GB"/>
        </w:rPr>
      </w:pPr>
      <w:r w:rsidRPr="008C2B87">
        <w:rPr>
          <w:rStyle w:val="Znakapoznpodarou"/>
          <w:sz w:val="16"/>
          <w:szCs w:val="16"/>
          <w:lang w:val="en-GB"/>
        </w:rPr>
        <w:footnoteRef/>
      </w:r>
      <w:r w:rsidRPr="008C2B87">
        <w:rPr>
          <w:sz w:val="16"/>
          <w:szCs w:val="16"/>
          <w:lang w:val="en-GB"/>
        </w:rPr>
        <w:t xml:space="preserve"> </w:t>
      </w:r>
      <w:r w:rsidRPr="00DD7900">
        <w:rPr>
          <w:sz w:val="16"/>
          <w:szCs w:val="16"/>
          <w:lang w:val="en-GB"/>
        </w:rPr>
        <w:t>This sub-branch with significant share of small businesses mainly includes brokering activities, design, translation and photographic activities or activities of construction supervision.</w:t>
      </w:r>
      <w:r>
        <w:rPr>
          <w:sz w:val="16"/>
          <w:szCs w:val="16"/>
          <w:lang w:val="en-GB"/>
        </w:rPr>
        <w:t xml:space="preserve"> </w:t>
      </w:r>
    </w:p>
  </w:footnote>
  <w:footnote w:id="58">
    <w:p w14:paraId="63C3EFB4" w14:textId="60650AC3" w:rsidR="006145FA" w:rsidRPr="00316C23" w:rsidRDefault="006145FA" w:rsidP="00803507">
      <w:pPr>
        <w:pStyle w:val="Textpoznpodarou"/>
        <w:jc w:val="both"/>
        <w:rPr>
          <w:sz w:val="16"/>
          <w:szCs w:val="16"/>
          <w:lang w:val="en-GB"/>
        </w:rPr>
      </w:pPr>
      <w:r w:rsidRPr="00316C23">
        <w:rPr>
          <w:rStyle w:val="Znakapoznpodarou"/>
          <w:sz w:val="16"/>
          <w:szCs w:val="16"/>
          <w:lang w:val="en-GB"/>
        </w:rPr>
        <w:footnoteRef/>
      </w:r>
      <w:r w:rsidRPr="00316C23">
        <w:rPr>
          <w:sz w:val="16"/>
          <w:szCs w:val="16"/>
          <w:lang w:val="en-GB"/>
        </w:rPr>
        <w:t xml:space="preserve"> </w:t>
      </w:r>
      <w:bookmarkStart w:id="31" w:name="_Hlk194780464"/>
      <w:r w:rsidRPr="00F1290A">
        <w:rPr>
          <w:spacing w:val="-2"/>
          <w:sz w:val="16"/>
          <w:szCs w:val="16"/>
        </w:rPr>
        <w:t>On the contrary, the demand for the rental and leasing of cars and other light motor vehicles was rather stagnant</w:t>
      </w:r>
      <w:r>
        <w:rPr>
          <w:spacing w:val="-2"/>
          <w:sz w:val="16"/>
          <w:szCs w:val="16"/>
        </w:rPr>
        <w:t xml:space="preserve"> in </w:t>
      </w:r>
      <w:r w:rsidRPr="00F1290A">
        <w:rPr>
          <w:spacing w:val="-2"/>
          <w:sz w:val="16"/>
          <w:szCs w:val="16"/>
        </w:rPr>
        <w:t>the last year.</w:t>
      </w:r>
      <w:bookmarkEnd w:id="31"/>
    </w:p>
  </w:footnote>
  <w:footnote w:id="59">
    <w:p w14:paraId="6ECFB19E" w14:textId="767B378B" w:rsidR="006145FA" w:rsidRPr="00EE4A1B" w:rsidRDefault="006145FA" w:rsidP="00803507">
      <w:pPr>
        <w:pStyle w:val="Textpoznpodarou"/>
        <w:jc w:val="both"/>
        <w:rPr>
          <w:sz w:val="16"/>
          <w:szCs w:val="16"/>
          <w:lang w:val="en-GB"/>
        </w:rPr>
      </w:pPr>
      <w:r w:rsidRPr="00316C23">
        <w:rPr>
          <w:rStyle w:val="Znakapoznpodarou"/>
          <w:sz w:val="16"/>
          <w:szCs w:val="16"/>
          <w:lang w:val="en-GB"/>
        </w:rPr>
        <w:footnoteRef/>
      </w:r>
      <w:r w:rsidRPr="00316C23">
        <w:rPr>
          <w:sz w:val="16"/>
          <w:szCs w:val="16"/>
          <w:lang w:val="en-GB"/>
        </w:rPr>
        <w:t xml:space="preserve"> </w:t>
      </w:r>
      <w:bookmarkStart w:id="32" w:name="_Hlk194780643"/>
      <w:r w:rsidRPr="00397964">
        <w:rPr>
          <w:sz w:val="16"/>
          <w:szCs w:val="16"/>
        </w:rPr>
        <w:t xml:space="preserve">The decrease </w:t>
      </w:r>
      <w:r>
        <w:rPr>
          <w:sz w:val="16"/>
          <w:szCs w:val="16"/>
        </w:rPr>
        <w:t>of</w:t>
      </w:r>
      <w:r w:rsidRPr="00397964">
        <w:rPr>
          <w:sz w:val="16"/>
          <w:szCs w:val="16"/>
        </w:rPr>
        <w:t xml:space="preserve"> sales occurred also with a high growth </w:t>
      </w:r>
      <w:r>
        <w:rPr>
          <w:sz w:val="16"/>
          <w:szCs w:val="16"/>
        </w:rPr>
        <w:t xml:space="preserve">of </w:t>
      </w:r>
      <w:r w:rsidRPr="00397964">
        <w:rPr>
          <w:sz w:val="16"/>
          <w:szCs w:val="16"/>
        </w:rPr>
        <w:t>the number of working foreigners in the Czech Republic</w:t>
      </w:r>
      <w:r>
        <w:rPr>
          <w:sz w:val="16"/>
          <w:szCs w:val="16"/>
        </w:rPr>
        <w:t xml:space="preserve"> here</w:t>
      </w:r>
      <w:r w:rsidRPr="00397964">
        <w:rPr>
          <w:sz w:val="16"/>
          <w:szCs w:val="16"/>
        </w:rPr>
        <w:t xml:space="preserve">. Refugees from Ukraine have played a significant role in this </w:t>
      </w:r>
      <w:r>
        <w:rPr>
          <w:sz w:val="16"/>
          <w:szCs w:val="16"/>
        </w:rPr>
        <w:t xml:space="preserve">growth </w:t>
      </w:r>
      <w:r w:rsidRPr="00397964">
        <w:rPr>
          <w:sz w:val="16"/>
          <w:szCs w:val="16"/>
        </w:rPr>
        <w:t>over the past two years.</w:t>
      </w:r>
      <w:bookmarkEnd w:id="32"/>
      <w:r>
        <w:rPr>
          <w:sz w:val="16"/>
          <w:szCs w:val="16"/>
        </w:rPr>
        <w:t>T</w:t>
      </w:r>
      <w:r w:rsidRPr="002615E9">
        <w:rPr>
          <w:sz w:val="16"/>
          <w:szCs w:val="16"/>
        </w:rPr>
        <w:t>hanks to</w:t>
      </w:r>
      <w:r>
        <w:rPr>
          <w:sz w:val="16"/>
          <w:szCs w:val="16"/>
          <w:lang w:val="en-GB"/>
        </w:rPr>
        <w:t xml:space="preserve"> the Temporary protection status, which was </w:t>
      </w:r>
      <w:r w:rsidRPr="00EE4A1B">
        <w:rPr>
          <w:sz w:val="16"/>
          <w:szCs w:val="16"/>
          <w:lang w:val="en-GB"/>
        </w:rPr>
        <w:t xml:space="preserve">granted to these persons, their employment in the CR is administratively easier (compared to other groups of migrants from the so-called third countries) and thus they can seek employment more easily “directly” (without intermediary). </w:t>
      </w:r>
      <w:r>
        <w:rPr>
          <w:sz w:val="16"/>
          <w:szCs w:val="16"/>
          <w:lang w:val="en-GB"/>
        </w:rPr>
        <w:t xml:space="preserve">Apart from the above stated, the reduced demand for the agency workers on the part of key manufacturing branches undergoing recession (e.g. industry) can also play a role in the decrease of sales. </w:t>
      </w:r>
    </w:p>
  </w:footnote>
  <w:footnote w:id="60">
    <w:p w14:paraId="30DDE373" w14:textId="77777777" w:rsidR="006145FA" w:rsidRPr="00304274" w:rsidRDefault="006145FA" w:rsidP="00803507">
      <w:pPr>
        <w:spacing w:after="0" w:line="240" w:lineRule="auto"/>
        <w:rPr>
          <w:spacing w:val="-2"/>
          <w:lang w:val="en-GB"/>
        </w:rPr>
      </w:pPr>
      <w:r w:rsidRPr="00304274">
        <w:rPr>
          <w:rStyle w:val="Znakapoznpodarou"/>
          <w:color w:val="0D0D0D" w:themeColor="text1" w:themeTint="F2"/>
          <w:spacing w:val="-2"/>
          <w:sz w:val="16"/>
          <w:szCs w:val="16"/>
          <w:lang w:val="en-GB"/>
        </w:rPr>
        <w:footnoteRef/>
      </w:r>
      <w:r w:rsidRPr="00304274">
        <w:rPr>
          <w:color w:val="0D0D0D" w:themeColor="text1" w:themeTint="F2"/>
          <w:spacing w:val="-2"/>
          <w:sz w:val="16"/>
          <w:szCs w:val="16"/>
          <w:lang w:val="en-GB"/>
        </w:rPr>
        <w:t xml:space="preserve"> </w:t>
      </w:r>
      <w:r w:rsidRPr="00F85AEE">
        <w:rPr>
          <w:color w:val="0D0D0D" w:themeColor="text1" w:themeTint="F2"/>
          <w:spacing w:val="-2"/>
          <w:sz w:val="16"/>
          <w:szCs w:val="16"/>
        </w:rPr>
        <w:t>All year-on-year rates of retail sales are given at constant prices and adjusted for calendar effects, quarter-on-quarter rates are seasonally adjusted (including the effect of the number of working days). Retail trade includes only CZ-NACE 47</w:t>
      </w:r>
      <w:r>
        <w:rPr>
          <w:color w:val="0D0D0D" w:themeColor="text1" w:themeTint="F2"/>
          <w:spacing w:val="-2"/>
          <w:sz w:val="16"/>
          <w:szCs w:val="16"/>
        </w:rPr>
        <w:t xml:space="preserve"> branches</w:t>
      </w:r>
      <w:r w:rsidRPr="00F85AEE">
        <w:rPr>
          <w:color w:val="0D0D0D" w:themeColor="text1" w:themeTint="F2"/>
          <w:spacing w:val="-2"/>
          <w:sz w:val="16"/>
          <w:szCs w:val="16"/>
        </w:rPr>
        <w:t>.</w:t>
      </w:r>
      <w:r>
        <w:rPr>
          <w:color w:val="0D0D0D" w:themeColor="text1" w:themeTint="F2"/>
          <w:spacing w:val="-2"/>
          <w:sz w:val="16"/>
          <w:szCs w:val="16"/>
        </w:rPr>
        <w:t xml:space="preserve"> </w:t>
      </w:r>
    </w:p>
  </w:footnote>
  <w:footnote w:id="61">
    <w:p w14:paraId="4B6B7FBA" w14:textId="77777777" w:rsidR="006145FA" w:rsidRPr="00304274" w:rsidRDefault="006145FA" w:rsidP="00803507">
      <w:pPr>
        <w:pStyle w:val="Textpoznpodarou"/>
        <w:jc w:val="both"/>
        <w:rPr>
          <w:sz w:val="16"/>
          <w:szCs w:val="16"/>
          <w:lang w:val="en-GB"/>
        </w:rPr>
      </w:pPr>
      <w:r w:rsidRPr="00304274">
        <w:rPr>
          <w:rStyle w:val="Znakapoznpodarou"/>
          <w:sz w:val="16"/>
          <w:szCs w:val="16"/>
          <w:lang w:val="en-GB"/>
        </w:rPr>
        <w:footnoteRef/>
      </w:r>
      <w:r w:rsidRPr="00304274">
        <w:rPr>
          <w:sz w:val="16"/>
          <w:szCs w:val="16"/>
          <w:lang w:val="en-GB"/>
        </w:rPr>
        <w:t xml:space="preserve"> </w:t>
      </w:r>
      <w:bookmarkStart w:id="39" w:name="_Hlk194786327"/>
      <w:r w:rsidRPr="006F6DE3">
        <w:rPr>
          <w:sz w:val="16"/>
          <w:szCs w:val="16"/>
        </w:rPr>
        <w:t xml:space="preserve">This was the longest </w:t>
      </w:r>
      <w:r>
        <w:rPr>
          <w:sz w:val="16"/>
          <w:szCs w:val="16"/>
        </w:rPr>
        <w:t xml:space="preserve">downturn </w:t>
      </w:r>
      <w:r w:rsidRPr="006F6DE3">
        <w:rPr>
          <w:sz w:val="16"/>
          <w:szCs w:val="16"/>
        </w:rPr>
        <w:t xml:space="preserve">in a comparable time series (since </w:t>
      </w:r>
      <w:r>
        <w:rPr>
          <w:sz w:val="16"/>
          <w:szCs w:val="16"/>
        </w:rPr>
        <w:t xml:space="preserve">year </w:t>
      </w:r>
      <w:r w:rsidRPr="006F6DE3">
        <w:rPr>
          <w:sz w:val="16"/>
          <w:szCs w:val="16"/>
        </w:rPr>
        <w:t>2000). Between Q3 2021 and Q2 2023, retail sales decreased by 10.5%.</w:t>
      </w:r>
    </w:p>
    <w:bookmarkEnd w:id="39"/>
  </w:footnote>
  <w:footnote w:id="62">
    <w:p w14:paraId="760FF150" w14:textId="77777777" w:rsidR="006145FA" w:rsidRPr="00B915F2" w:rsidRDefault="006145FA" w:rsidP="00803507">
      <w:pPr>
        <w:pStyle w:val="Textpoznpodarou"/>
        <w:jc w:val="both"/>
        <w:rPr>
          <w:sz w:val="16"/>
          <w:szCs w:val="16"/>
          <w:lang w:val="en-GB"/>
        </w:rPr>
      </w:pPr>
      <w:r w:rsidRPr="00304274">
        <w:rPr>
          <w:rStyle w:val="Znakapoznpodarou"/>
          <w:sz w:val="16"/>
          <w:szCs w:val="16"/>
          <w:lang w:val="en-GB"/>
        </w:rPr>
        <w:footnoteRef/>
      </w:r>
      <w:r w:rsidRPr="00304274">
        <w:rPr>
          <w:sz w:val="16"/>
          <w:szCs w:val="16"/>
          <w:lang w:val="en-GB"/>
        </w:rPr>
        <w:t xml:space="preserve"> </w:t>
      </w:r>
      <w:bookmarkStart w:id="40" w:name="_Hlk194786658"/>
      <w:r w:rsidRPr="00E97B70">
        <w:rPr>
          <w:sz w:val="16"/>
          <w:szCs w:val="16"/>
        </w:rPr>
        <w:t>This is primarily related to a drop in sales for food (−10.6%), while the current demand for non-food goods is slightly above the level of Q4 2019 (+3.2%), mainly due to sales</w:t>
      </w:r>
      <w:r>
        <w:rPr>
          <w:sz w:val="16"/>
          <w:szCs w:val="16"/>
        </w:rPr>
        <w:t xml:space="preserve"> via internet</w:t>
      </w:r>
      <w:r w:rsidRPr="00E97B70">
        <w:rPr>
          <w:sz w:val="16"/>
          <w:szCs w:val="16"/>
        </w:rPr>
        <w:t xml:space="preserve"> (+41.6%). At the level of different specialised stores, the development </w:t>
      </w:r>
      <w:r>
        <w:rPr>
          <w:sz w:val="16"/>
          <w:szCs w:val="16"/>
        </w:rPr>
        <w:t>varied</w:t>
      </w:r>
      <w:r w:rsidRPr="00E97B70">
        <w:rPr>
          <w:sz w:val="16"/>
          <w:szCs w:val="16"/>
        </w:rPr>
        <w:t xml:space="preserve">, e.g. </w:t>
      </w:r>
      <w:r w:rsidRPr="00B915F2">
        <w:rPr>
          <w:sz w:val="16"/>
          <w:szCs w:val="16"/>
          <w:lang w:val="en-GB"/>
        </w:rPr>
        <w:t xml:space="preserve">clothing, footwear and leather goods (−24.3%) vs. cosmetic and toilet articles (+29.6%). </w:t>
      </w:r>
    </w:p>
    <w:bookmarkEnd w:id="40"/>
  </w:footnote>
  <w:footnote w:id="63">
    <w:p w14:paraId="5CA975BC" w14:textId="4548EEAC" w:rsidR="006145FA" w:rsidRPr="00B915F2" w:rsidRDefault="006145FA" w:rsidP="00803507">
      <w:pPr>
        <w:pStyle w:val="Textpoznpodarou"/>
        <w:jc w:val="both"/>
        <w:rPr>
          <w:sz w:val="16"/>
          <w:szCs w:val="16"/>
          <w:lang w:val="en-GB"/>
        </w:rPr>
      </w:pPr>
      <w:r w:rsidRPr="00B915F2">
        <w:rPr>
          <w:rStyle w:val="Znakapoznpodarou"/>
          <w:sz w:val="16"/>
          <w:szCs w:val="16"/>
          <w:lang w:val="en-GB"/>
        </w:rPr>
        <w:footnoteRef/>
      </w:r>
      <w:r w:rsidRPr="00B915F2">
        <w:rPr>
          <w:sz w:val="16"/>
          <w:szCs w:val="16"/>
          <w:lang w:val="en-GB"/>
        </w:rPr>
        <w:t xml:space="preserve"> In addition, sales continued to grow in the marginal segment of non-specialized stores with non-food goods predominating for the fourth year in a row (Q4</w:t>
      </w:r>
      <w:r w:rsidR="0067789E">
        <w:rPr>
          <w:sz w:val="16"/>
          <w:szCs w:val="16"/>
          <w:lang w:val="en-GB"/>
        </w:rPr>
        <w:t xml:space="preserve"> 2024</w:t>
      </w:r>
      <w:r w:rsidRPr="00B915F2">
        <w:rPr>
          <w:sz w:val="16"/>
          <w:szCs w:val="16"/>
          <w:lang w:val="en-GB"/>
        </w:rPr>
        <w:t xml:space="preserve">: +14.2%). It typically focuses on offering a variety of goods at discount prices. </w:t>
      </w:r>
    </w:p>
  </w:footnote>
  <w:footnote w:id="64">
    <w:p w14:paraId="6C1687E2" w14:textId="60786A4E" w:rsidR="006145FA" w:rsidRPr="00B915F2" w:rsidRDefault="006145FA" w:rsidP="00803507">
      <w:pPr>
        <w:pStyle w:val="Textpoznpodarou"/>
        <w:jc w:val="both"/>
        <w:rPr>
          <w:sz w:val="16"/>
          <w:szCs w:val="16"/>
          <w:lang w:val="en-GB"/>
        </w:rPr>
      </w:pPr>
      <w:r w:rsidRPr="00B915F2">
        <w:rPr>
          <w:rStyle w:val="Znakapoznpodarou"/>
          <w:sz w:val="16"/>
          <w:szCs w:val="16"/>
          <w:lang w:val="en-GB"/>
        </w:rPr>
        <w:footnoteRef/>
      </w:r>
      <w:r w:rsidRPr="00B915F2">
        <w:rPr>
          <w:sz w:val="16"/>
          <w:szCs w:val="16"/>
          <w:lang w:val="en-GB"/>
        </w:rPr>
        <w:t xml:space="preserve"> </w:t>
      </w:r>
      <w:r w:rsidRPr="005A291B">
        <w:rPr>
          <w:sz w:val="16"/>
          <w:szCs w:val="16"/>
        </w:rPr>
        <w:t>These include mainly hardware, building materials, paints, glass, DIY supplies, electrical appliances, electronics, furniture, l</w:t>
      </w:r>
      <w:r>
        <w:rPr>
          <w:sz w:val="16"/>
          <w:szCs w:val="16"/>
        </w:rPr>
        <w:t>ighting equipment</w:t>
      </w:r>
      <w:r w:rsidRPr="005A291B">
        <w:rPr>
          <w:sz w:val="16"/>
          <w:szCs w:val="16"/>
        </w:rPr>
        <w:t xml:space="preserve">, carpets </w:t>
      </w:r>
      <w:r>
        <w:rPr>
          <w:sz w:val="16"/>
          <w:szCs w:val="16"/>
        </w:rPr>
        <w:t xml:space="preserve">or </w:t>
      </w:r>
      <w:r w:rsidRPr="005A291B">
        <w:rPr>
          <w:sz w:val="16"/>
          <w:szCs w:val="16"/>
        </w:rPr>
        <w:t>home textiles.</w:t>
      </w:r>
    </w:p>
  </w:footnote>
  <w:footnote w:id="65">
    <w:p w14:paraId="3767DA18" w14:textId="3E137ECB" w:rsidR="006145FA" w:rsidRPr="00B915F2" w:rsidRDefault="006145FA" w:rsidP="00803507">
      <w:pPr>
        <w:pStyle w:val="Textpoznpodarou"/>
        <w:jc w:val="both"/>
        <w:rPr>
          <w:lang w:val="en-GB"/>
        </w:rPr>
      </w:pPr>
      <w:r w:rsidRPr="00B915F2">
        <w:rPr>
          <w:rStyle w:val="Znakapoznpodarou"/>
          <w:sz w:val="16"/>
          <w:szCs w:val="16"/>
          <w:lang w:val="en-GB"/>
        </w:rPr>
        <w:footnoteRef/>
      </w:r>
      <w:bookmarkStart w:id="42" w:name="_Hlk194788133"/>
      <w:r w:rsidR="0067789E">
        <w:rPr>
          <w:sz w:val="16"/>
          <w:szCs w:val="16"/>
        </w:rPr>
        <w:t>These include, for example stores aimed at</w:t>
      </w:r>
      <w:r w:rsidRPr="005A291B">
        <w:rPr>
          <w:sz w:val="16"/>
          <w:szCs w:val="16"/>
        </w:rPr>
        <w:t xml:space="preserve"> meat products, pastries, confectionery products or beverages. However, tobacco shops have the greatest weight here.</w:t>
      </w:r>
    </w:p>
    <w:bookmarkEnd w:id="42"/>
  </w:footnote>
  <w:footnote w:id="66">
    <w:p w14:paraId="2626A143" w14:textId="786FBE69" w:rsidR="006145FA" w:rsidRPr="00B915F2" w:rsidRDefault="006145FA" w:rsidP="00803507">
      <w:pPr>
        <w:pStyle w:val="Textpoznpodarou"/>
        <w:jc w:val="both"/>
        <w:rPr>
          <w:sz w:val="16"/>
          <w:szCs w:val="16"/>
          <w:lang w:val="en-GB"/>
        </w:rPr>
      </w:pPr>
      <w:r w:rsidRPr="00B915F2">
        <w:rPr>
          <w:rStyle w:val="Znakapoznpodarou"/>
          <w:sz w:val="16"/>
          <w:szCs w:val="16"/>
          <w:lang w:val="en-GB"/>
        </w:rPr>
        <w:footnoteRef/>
      </w:r>
      <w:r w:rsidRPr="00B915F2">
        <w:rPr>
          <w:sz w:val="16"/>
          <w:szCs w:val="16"/>
          <w:lang w:val="en-GB"/>
        </w:rPr>
        <w:t xml:space="preserve"> </w:t>
      </w:r>
      <w:bookmarkStart w:id="43" w:name="_Hlk194788154"/>
      <w:r w:rsidRPr="005A291B">
        <w:rPr>
          <w:sz w:val="16"/>
          <w:szCs w:val="16"/>
        </w:rPr>
        <w:t xml:space="preserve">Consumer prices of petrol and diesel </w:t>
      </w:r>
      <w:r>
        <w:rPr>
          <w:sz w:val="16"/>
          <w:szCs w:val="16"/>
        </w:rPr>
        <w:t xml:space="preserve">fuel </w:t>
      </w:r>
      <w:r w:rsidRPr="005A291B">
        <w:rPr>
          <w:sz w:val="16"/>
          <w:szCs w:val="16"/>
        </w:rPr>
        <w:t xml:space="preserve">fell uncharacteristically last year even during the main motoring season. </w:t>
      </w:r>
      <w:r>
        <w:rPr>
          <w:sz w:val="16"/>
          <w:szCs w:val="16"/>
        </w:rPr>
        <w:t>D</w:t>
      </w:r>
      <w:r w:rsidRPr="005A291B">
        <w:rPr>
          <w:sz w:val="16"/>
          <w:szCs w:val="16"/>
        </w:rPr>
        <w:t>iesel</w:t>
      </w:r>
      <w:r>
        <w:rPr>
          <w:sz w:val="16"/>
          <w:szCs w:val="16"/>
        </w:rPr>
        <w:t xml:space="preserve"> fuel w</w:t>
      </w:r>
      <w:r w:rsidRPr="005A291B">
        <w:rPr>
          <w:sz w:val="16"/>
          <w:szCs w:val="16"/>
        </w:rPr>
        <w:t xml:space="preserve">as sold at domestic filling stations for an average of about 34.2 </w:t>
      </w:r>
      <w:r>
        <w:rPr>
          <w:sz w:val="16"/>
          <w:szCs w:val="16"/>
        </w:rPr>
        <w:t xml:space="preserve">CZK </w:t>
      </w:r>
      <w:r w:rsidRPr="005A291B">
        <w:rPr>
          <w:sz w:val="16"/>
          <w:szCs w:val="16"/>
        </w:rPr>
        <w:t xml:space="preserve">per liter and Natural 95 petrol for 35.6 </w:t>
      </w:r>
      <w:r>
        <w:rPr>
          <w:sz w:val="16"/>
          <w:szCs w:val="16"/>
        </w:rPr>
        <w:t>CZK in October</w:t>
      </w:r>
      <w:r w:rsidR="0067789E">
        <w:rPr>
          <w:sz w:val="16"/>
          <w:szCs w:val="16"/>
        </w:rPr>
        <w:t xml:space="preserve"> 2024</w:t>
      </w:r>
      <w:r w:rsidRPr="005A291B">
        <w:rPr>
          <w:sz w:val="16"/>
          <w:szCs w:val="16"/>
        </w:rPr>
        <w:t xml:space="preserve">. In the case of diesel, it was the lowest value since July 2023 and for Natural </w:t>
      </w:r>
      <w:r>
        <w:rPr>
          <w:sz w:val="16"/>
          <w:szCs w:val="16"/>
        </w:rPr>
        <w:t xml:space="preserve">then </w:t>
      </w:r>
      <w:r w:rsidRPr="005A291B">
        <w:rPr>
          <w:sz w:val="16"/>
          <w:szCs w:val="16"/>
        </w:rPr>
        <w:t xml:space="preserve">even since October 2021. In addition to domestic households and companies, foreign carriers that carry out transit transport through the Czech Republic also probably reacted to this </w:t>
      </w:r>
      <w:r w:rsidR="009556EB">
        <w:rPr>
          <w:sz w:val="16"/>
          <w:szCs w:val="16"/>
        </w:rPr>
        <w:t xml:space="preserve">favourable price </w:t>
      </w:r>
      <w:r w:rsidRPr="005A291B">
        <w:rPr>
          <w:sz w:val="16"/>
          <w:szCs w:val="16"/>
        </w:rPr>
        <w:t>development</w:t>
      </w:r>
      <w:r>
        <w:rPr>
          <w:sz w:val="16"/>
          <w:szCs w:val="16"/>
        </w:rPr>
        <w:t>.</w:t>
      </w:r>
    </w:p>
    <w:bookmarkEnd w:id="43"/>
  </w:footnote>
  <w:footnote w:id="67">
    <w:p w14:paraId="33055950" w14:textId="77777777" w:rsidR="006145FA" w:rsidRPr="00B915F2" w:rsidRDefault="006145FA" w:rsidP="00803507">
      <w:pPr>
        <w:pStyle w:val="Textpoznpodarou"/>
        <w:jc w:val="both"/>
        <w:rPr>
          <w:sz w:val="16"/>
          <w:szCs w:val="16"/>
          <w:lang w:val="en-GB"/>
        </w:rPr>
      </w:pPr>
      <w:r w:rsidRPr="00B915F2">
        <w:rPr>
          <w:rStyle w:val="Znakapoznpodarou"/>
          <w:sz w:val="16"/>
          <w:szCs w:val="16"/>
          <w:lang w:val="en-GB"/>
        </w:rPr>
        <w:footnoteRef/>
      </w:r>
      <w:r w:rsidRPr="00B915F2">
        <w:rPr>
          <w:sz w:val="16"/>
          <w:szCs w:val="16"/>
          <w:lang w:val="en-GB"/>
        </w:rPr>
        <w:t xml:space="preserve"> </w:t>
      </w:r>
      <w:bookmarkStart w:id="44" w:name="_Hlk194788031"/>
      <w:r w:rsidRPr="005A291B">
        <w:rPr>
          <w:sz w:val="16"/>
          <w:szCs w:val="16"/>
        </w:rPr>
        <w:t>However, sales at current prices increased by less than 2%.</w:t>
      </w:r>
      <w:bookmarkEnd w:id="44"/>
    </w:p>
  </w:footnote>
  <w:footnote w:id="68">
    <w:p w14:paraId="6F4020F6" w14:textId="69E9BFC8" w:rsidR="006145FA" w:rsidRPr="000D08F0" w:rsidRDefault="006145FA" w:rsidP="00803507">
      <w:pPr>
        <w:pStyle w:val="Textpoznpodarou"/>
        <w:jc w:val="both"/>
        <w:rPr>
          <w:rFonts w:cs="Arial"/>
          <w:iCs/>
          <w:sz w:val="16"/>
          <w:szCs w:val="16"/>
          <w:lang w:val="en-GB"/>
        </w:rPr>
      </w:pPr>
      <w:r w:rsidRPr="00B6522D">
        <w:rPr>
          <w:rStyle w:val="Znakapoznpodarou"/>
          <w:rFonts w:cs="Arial"/>
          <w:i/>
          <w:sz w:val="16"/>
          <w:szCs w:val="16"/>
        </w:rPr>
        <w:footnoteRef/>
      </w:r>
      <w:r w:rsidRPr="00B6522D">
        <w:rPr>
          <w:rFonts w:cs="Arial"/>
          <w:i/>
          <w:iCs/>
          <w:sz w:val="16"/>
          <w:szCs w:val="16"/>
        </w:rPr>
        <w:t xml:space="preserve"> </w:t>
      </w:r>
      <w:r w:rsidRPr="000D08F0">
        <w:rPr>
          <w:rStyle w:val="Zdraznn"/>
          <w:rFonts w:cs="Arial"/>
          <w:i w:val="0"/>
          <w:sz w:val="16"/>
          <w:szCs w:val="16"/>
          <w:bdr w:val="none" w:sz="0" w:space="0" w:color="auto" w:frame="1"/>
          <w:shd w:val="clear" w:color="auto" w:fill="FFFFFF"/>
          <w:lang w:val="en-GB"/>
        </w:rPr>
        <w:t xml:space="preserve">Data for </w:t>
      </w:r>
      <w:r>
        <w:rPr>
          <w:rStyle w:val="Zdraznn"/>
          <w:rFonts w:cs="Arial"/>
          <w:i w:val="0"/>
          <w:sz w:val="16"/>
          <w:szCs w:val="16"/>
          <w:bdr w:val="none" w:sz="0" w:space="0" w:color="auto" w:frame="1"/>
          <w:shd w:val="clear" w:color="auto" w:fill="FFFFFF"/>
          <w:lang w:val="en-GB"/>
        </w:rPr>
        <w:t xml:space="preserve">international </w:t>
      </w:r>
      <w:r w:rsidRPr="000D08F0">
        <w:rPr>
          <w:rStyle w:val="Zdraznn"/>
          <w:rFonts w:cs="Arial"/>
          <w:i w:val="0"/>
          <w:sz w:val="16"/>
          <w:szCs w:val="16"/>
          <w:bdr w:val="none" w:sz="0" w:space="0" w:color="auto" w:frame="1"/>
          <w:shd w:val="clear" w:color="auto" w:fill="FFFFFF"/>
          <w:lang w:val="en-GB"/>
        </w:rPr>
        <w:t>trade with goods are recalculated using the updated method based on higher rate of detail since year 2020, see</w:t>
      </w:r>
      <w:r w:rsidRPr="000D08F0">
        <w:rPr>
          <w:rStyle w:val="Zdraznn"/>
          <w:rFonts w:cs="Arial"/>
          <w:sz w:val="16"/>
          <w:szCs w:val="16"/>
          <w:bdr w:val="none" w:sz="0" w:space="0" w:color="auto" w:frame="1"/>
          <w:shd w:val="clear" w:color="auto" w:fill="FFFFFF"/>
          <w:lang w:val="en-GB"/>
        </w:rPr>
        <w:t xml:space="preserve"> </w:t>
      </w:r>
      <w:hyperlink r:id="rId1" w:history="1">
        <w:r w:rsidRPr="00F33388">
          <w:rPr>
            <w:rStyle w:val="Hypertextovodkaz"/>
            <w:rFonts w:cs="Arial"/>
            <w:sz w:val="16"/>
            <w:szCs w:val="16"/>
            <w:bdr w:val="none" w:sz="0" w:space="0" w:color="auto" w:frame="1"/>
            <w:shd w:val="clear" w:color="auto" w:fill="FFFFFF"/>
            <w:lang w:val="en-GB"/>
          </w:rPr>
          <w:t>https://csu.gov.cz/update-of-the-compilation-method-international-trade-in-goods-change-of-ownership</w:t>
        </w:r>
      </w:hyperlink>
      <w:r>
        <w:rPr>
          <w:rFonts w:cs="Arial"/>
          <w:sz w:val="16"/>
          <w:szCs w:val="16"/>
          <w:bdr w:val="none" w:sz="0" w:space="0" w:color="auto" w:frame="1"/>
          <w:shd w:val="clear" w:color="auto" w:fill="FFFFFF"/>
          <w:lang w:val="en-GB"/>
        </w:rPr>
        <w:t>.</w:t>
      </w:r>
      <w:r>
        <w:rPr>
          <w:sz w:val="16"/>
          <w:szCs w:val="16"/>
          <w:lang w:val="en-GB"/>
        </w:rPr>
        <w:t xml:space="preserve"> U</w:t>
      </w:r>
      <w:r w:rsidRPr="000D08F0">
        <w:rPr>
          <w:sz w:val="16"/>
          <w:szCs w:val="16"/>
          <w:lang w:val="en-GB"/>
        </w:rPr>
        <w:t>nless stated otherwise, all figures are without seasonal adjustment and in current prices.</w:t>
      </w:r>
      <w:r>
        <w:rPr>
          <w:sz w:val="16"/>
          <w:szCs w:val="16"/>
          <w:lang w:val="en-GB"/>
        </w:rPr>
        <w:t xml:space="preserve"> </w:t>
      </w:r>
    </w:p>
  </w:footnote>
  <w:footnote w:id="69">
    <w:p w14:paraId="0A3D617A" w14:textId="77777777" w:rsidR="006145FA" w:rsidRPr="000D08F0" w:rsidRDefault="006145FA" w:rsidP="00803507">
      <w:pPr>
        <w:pStyle w:val="Textpoznpodarou"/>
        <w:jc w:val="both"/>
        <w:rPr>
          <w:sz w:val="16"/>
          <w:szCs w:val="16"/>
          <w:lang w:val="en-GB"/>
        </w:rPr>
      </w:pPr>
      <w:r w:rsidRPr="000D08F0">
        <w:rPr>
          <w:rStyle w:val="Znakapoznpodarou"/>
          <w:sz w:val="16"/>
          <w:szCs w:val="16"/>
          <w:lang w:val="en-GB"/>
        </w:rPr>
        <w:footnoteRef/>
      </w:r>
      <w:r w:rsidRPr="000D08F0">
        <w:rPr>
          <w:sz w:val="16"/>
          <w:szCs w:val="16"/>
          <w:lang w:val="en-GB"/>
        </w:rPr>
        <w:t xml:space="preserve"> </w:t>
      </w:r>
      <w:bookmarkStart w:id="49" w:name="_Hlk194845037"/>
      <w:r w:rsidRPr="000D08F0">
        <w:rPr>
          <w:sz w:val="16"/>
          <w:szCs w:val="16"/>
          <w:lang w:val="en-GB"/>
        </w:rPr>
        <w:t>Prices of goods exports rose by 3.1% for the whole year 2024. In Q4 alone, export prices were 4.1% higher</w:t>
      </w:r>
      <w:r>
        <w:rPr>
          <w:sz w:val="16"/>
          <w:szCs w:val="16"/>
          <w:lang w:val="en-GB"/>
        </w:rPr>
        <w:t>,</w:t>
      </w:r>
      <w:r w:rsidRPr="000D08F0">
        <w:rPr>
          <w:sz w:val="16"/>
          <w:szCs w:val="16"/>
          <w:lang w:val="en-GB"/>
        </w:rPr>
        <w:t xml:space="preserve"> year-on-year</w:t>
      </w:r>
      <w:r>
        <w:rPr>
          <w:sz w:val="16"/>
          <w:szCs w:val="16"/>
          <w:lang w:val="en-GB"/>
        </w:rPr>
        <w:t>,</w:t>
      </w:r>
      <w:r w:rsidRPr="000D08F0">
        <w:rPr>
          <w:sz w:val="16"/>
          <w:szCs w:val="16"/>
          <w:lang w:val="en-GB"/>
        </w:rPr>
        <w:t xml:space="preserve"> and </w:t>
      </w:r>
      <w:r>
        <w:rPr>
          <w:sz w:val="16"/>
          <w:szCs w:val="16"/>
          <w:lang w:val="en-GB"/>
        </w:rPr>
        <w:t xml:space="preserve">by </w:t>
      </w:r>
      <w:r w:rsidRPr="000D08F0">
        <w:rPr>
          <w:sz w:val="16"/>
          <w:szCs w:val="16"/>
          <w:lang w:val="en-GB"/>
        </w:rPr>
        <w:t>0.9%</w:t>
      </w:r>
      <w:r>
        <w:rPr>
          <w:sz w:val="16"/>
          <w:szCs w:val="16"/>
          <w:lang w:val="en-GB"/>
        </w:rPr>
        <w:t>,</w:t>
      </w:r>
      <w:r w:rsidRPr="000D08F0">
        <w:rPr>
          <w:sz w:val="16"/>
          <w:szCs w:val="16"/>
          <w:lang w:val="en-GB"/>
        </w:rPr>
        <w:t xml:space="preserve"> quarter-on-quarter.</w:t>
      </w:r>
      <w:r>
        <w:rPr>
          <w:sz w:val="16"/>
          <w:szCs w:val="16"/>
          <w:lang w:val="en-GB"/>
        </w:rPr>
        <w:t xml:space="preserve"> </w:t>
      </w:r>
      <w:r w:rsidRPr="000D08F0">
        <w:rPr>
          <w:sz w:val="16"/>
          <w:szCs w:val="16"/>
          <w:lang w:val="en-GB"/>
        </w:rPr>
        <w:t xml:space="preserve"> </w:t>
      </w:r>
      <w:bookmarkEnd w:id="49"/>
    </w:p>
  </w:footnote>
  <w:footnote w:id="70">
    <w:p w14:paraId="6FD12C35" w14:textId="77777777" w:rsidR="006145FA" w:rsidRPr="00B20923" w:rsidRDefault="006145FA" w:rsidP="00803507">
      <w:pPr>
        <w:pStyle w:val="Textpoznpodarou"/>
        <w:rPr>
          <w:sz w:val="16"/>
          <w:szCs w:val="16"/>
        </w:rPr>
      </w:pPr>
      <w:r w:rsidRPr="00B20923">
        <w:rPr>
          <w:rStyle w:val="Znakapoznpodarou"/>
          <w:sz w:val="16"/>
          <w:szCs w:val="16"/>
        </w:rPr>
        <w:footnoteRef/>
      </w:r>
      <w:r w:rsidRPr="00B20923">
        <w:rPr>
          <w:sz w:val="16"/>
          <w:szCs w:val="16"/>
        </w:rPr>
        <w:t xml:space="preserve"> </w:t>
      </w:r>
      <w:r w:rsidRPr="0021731F">
        <w:rPr>
          <w:sz w:val="16"/>
          <w:szCs w:val="16"/>
        </w:rPr>
        <w:t>Motor vehicles and their parts accounted for the majority of the increase.</w:t>
      </w:r>
    </w:p>
  </w:footnote>
  <w:footnote w:id="71">
    <w:p w14:paraId="4699D182" w14:textId="77777777" w:rsidR="006145FA" w:rsidRPr="0022099B" w:rsidRDefault="006145FA" w:rsidP="00803507">
      <w:pPr>
        <w:pStyle w:val="Textpoznpodarou"/>
        <w:jc w:val="both"/>
        <w:rPr>
          <w:sz w:val="16"/>
          <w:szCs w:val="16"/>
          <w:lang w:val="en-GB"/>
        </w:rPr>
      </w:pPr>
      <w:r w:rsidRPr="002834F1">
        <w:rPr>
          <w:rStyle w:val="Znakapoznpodarou"/>
          <w:sz w:val="16"/>
          <w:szCs w:val="16"/>
        </w:rPr>
        <w:footnoteRef/>
      </w:r>
      <w:r w:rsidRPr="002834F1">
        <w:rPr>
          <w:sz w:val="16"/>
          <w:szCs w:val="16"/>
        </w:rPr>
        <w:t xml:space="preserve"> </w:t>
      </w:r>
      <w:bookmarkStart w:id="51" w:name="_Hlk194847767"/>
      <w:r>
        <w:rPr>
          <w:sz w:val="16"/>
          <w:szCs w:val="16"/>
        </w:rPr>
        <w:t xml:space="preserve">Particullarly the </w:t>
      </w:r>
      <w:r w:rsidRPr="0022099B">
        <w:rPr>
          <w:sz w:val="16"/>
          <w:szCs w:val="16"/>
        </w:rPr>
        <w:t xml:space="preserve">exports of computers, electronic and optical </w:t>
      </w:r>
      <w:r>
        <w:rPr>
          <w:sz w:val="16"/>
          <w:szCs w:val="16"/>
        </w:rPr>
        <w:t xml:space="preserve">appliances </w:t>
      </w:r>
      <w:r w:rsidRPr="0022099B">
        <w:rPr>
          <w:sz w:val="16"/>
          <w:szCs w:val="16"/>
        </w:rPr>
        <w:t xml:space="preserve">increased </w:t>
      </w:r>
      <w:r>
        <w:rPr>
          <w:sz w:val="16"/>
          <w:szCs w:val="16"/>
        </w:rPr>
        <w:t xml:space="preserve">for </w:t>
      </w:r>
      <w:r w:rsidRPr="0022099B">
        <w:rPr>
          <w:sz w:val="16"/>
          <w:szCs w:val="16"/>
        </w:rPr>
        <w:t>Singapore and Japan.</w:t>
      </w:r>
    </w:p>
    <w:bookmarkEnd w:id="51"/>
  </w:footnote>
  <w:footnote w:id="72">
    <w:p w14:paraId="16074391" w14:textId="77777777" w:rsidR="006145FA" w:rsidRPr="0022099B" w:rsidRDefault="006145FA" w:rsidP="00803507">
      <w:pPr>
        <w:pStyle w:val="Textpoznpodarou"/>
        <w:jc w:val="both"/>
        <w:rPr>
          <w:sz w:val="16"/>
          <w:szCs w:val="16"/>
          <w:lang w:val="en-GB"/>
        </w:rPr>
      </w:pPr>
      <w:r w:rsidRPr="0022099B">
        <w:rPr>
          <w:rStyle w:val="Znakapoznpodarou"/>
          <w:sz w:val="16"/>
          <w:szCs w:val="16"/>
          <w:lang w:val="en-GB"/>
        </w:rPr>
        <w:footnoteRef/>
      </w:r>
      <w:r w:rsidRPr="0022099B">
        <w:rPr>
          <w:sz w:val="16"/>
          <w:szCs w:val="16"/>
          <w:lang w:val="en-GB"/>
        </w:rPr>
        <w:t xml:space="preserve"> </w:t>
      </w:r>
      <w:bookmarkStart w:id="52" w:name="_Hlk194847798"/>
      <w:r w:rsidRPr="0022099B">
        <w:rPr>
          <w:sz w:val="16"/>
          <w:szCs w:val="16"/>
        </w:rPr>
        <w:t xml:space="preserve">Increases in the order of tens of percent </w:t>
      </w:r>
      <w:r>
        <w:rPr>
          <w:sz w:val="16"/>
          <w:szCs w:val="16"/>
        </w:rPr>
        <w:t xml:space="preserve">lasted </w:t>
      </w:r>
      <w:r w:rsidRPr="0022099B">
        <w:rPr>
          <w:sz w:val="16"/>
          <w:szCs w:val="16"/>
        </w:rPr>
        <w:t xml:space="preserve">here since 2021, especially in the field of computers and electronics. </w:t>
      </w:r>
      <w:r>
        <w:rPr>
          <w:sz w:val="16"/>
          <w:szCs w:val="16"/>
        </w:rPr>
        <w:t>E</w:t>
      </w:r>
      <w:r w:rsidRPr="0022099B">
        <w:rPr>
          <w:sz w:val="16"/>
          <w:szCs w:val="16"/>
        </w:rPr>
        <w:t>xports of motor vehicles also increased significantly</w:t>
      </w:r>
      <w:r>
        <w:rPr>
          <w:sz w:val="16"/>
          <w:szCs w:val="16"/>
        </w:rPr>
        <w:t xml:space="preserve"> last year</w:t>
      </w:r>
      <w:r w:rsidRPr="0022099B">
        <w:rPr>
          <w:sz w:val="16"/>
          <w:szCs w:val="16"/>
        </w:rPr>
        <w:t>.</w:t>
      </w:r>
      <w:r>
        <w:rPr>
          <w:sz w:val="16"/>
          <w:szCs w:val="16"/>
        </w:rPr>
        <w:t xml:space="preserve"> </w:t>
      </w:r>
    </w:p>
    <w:bookmarkEnd w:id="52"/>
  </w:footnote>
  <w:footnote w:id="73">
    <w:p w14:paraId="2FB7D543" w14:textId="77777777" w:rsidR="006145FA" w:rsidRPr="0022099B" w:rsidRDefault="006145FA" w:rsidP="00803507">
      <w:pPr>
        <w:pStyle w:val="Textpoznpodarou"/>
        <w:jc w:val="both"/>
        <w:rPr>
          <w:lang w:val="en-GB"/>
        </w:rPr>
      </w:pPr>
      <w:r w:rsidRPr="0022099B">
        <w:rPr>
          <w:rStyle w:val="Znakapoznpodarou"/>
          <w:sz w:val="16"/>
          <w:szCs w:val="16"/>
          <w:lang w:val="en-GB"/>
        </w:rPr>
        <w:footnoteRef/>
      </w:r>
      <w:r w:rsidRPr="0022099B">
        <w:rPr>
          <w:sz w:val="16"/>
          <w:szCs w:val="16"/>
          <w:lang w:val="en-GB"/>
        </w:rPr>
        <w:t xml:space="preserve"> </w:t>
      </w:r>
      <w:bookmarkStart w:id="53" w:name="_Hlk194850693"/>
      <w:r w:rsidRPr="0083653E">
        <w:rPr>
          <w:sz w:val="16"/>
          <w:szCs w:val="16"/>
        </w:rPr>
        <w:t>Increases across different sections</w:t>
      </w:r>
      <w:r>
        <w:rPr>
          <w:sz w:val="16"/>
          <w:szCs w:val="16"/>
        </w:rPr>
        <w:t xml:space="preserve"> of CPA classifications</w:t>
      </w:r>
      <w:r w:rsidRPr="0083653E">
        <w:rPr>
          <w:sz w:val="16"/>
          <w:szCs w:val="16"/>
        </w:rPr>
        <w:t xml:space="preserve"> (chemicals</w:t>
      </w:r>
      <w:r>
        <w:rPr>
          <w:sz w:val="16"/>
          <w:szCs w:val="16"/>
        </w:rPr>
        <w:t xml:space="preserve"> and chemical products</w:t>
      </w:r>
      <w:r w:rsidRPr="0083653E">
        <w:rPr>
          <w:sz w:val="16"/>
          <w:szCs w:val="16"/>
        </w:rPr>
        <w:t>, computers, machinery and equipment, motor vehicles and parts).</w:t>
      </w:r>
      <w:r>
        <w:rPr>
          <w:sz w:val="16"/>
          <w:szCs w:val="16"/>
        </w:rPr>
        <w:t xml:space="preserve"> </w:t>
      </w:r>
      <w:r w:rsidRPr="0022099B">
        <w:rPr>
          <w:lang w:val="en-GB"/>
        </w:rPr>
        <w:t xml:space="preserve">  </w:t>
      </w:r>
      <w:bookmarkEnd w:id="53"/>
    </w:p>
  </w:footnote>
  <w:footnote w:id="74">
    <w:p w14:paraId="3A7D3F09" w14:textId="77777777" w:rsidR="006145FA" w:rsidRPr="00B61223" w:rsidRDefault="006145FA" w:rsidP="00803507">
      <w:pPr>
        <w:pStyle w:val="Textpoznpodarou"/>
        <w:jc w:val="both"/>
        <w:rPr>
          <w:sz w:val="16"/>
          <w:szCs w:val="16"/>
          <w:lang w:val="en-GB"/>
        </w:rPr>
      </w:pPr>
      <w:r w:rsidRPr="000A5229">
        <w:rPr>
          <w:rStyle w:val="Znakapoznpodarou"/>
          <w:sz w:val="16"/>
          <w:szCs w:val="16"/>
        </w:rPr>
        <w:footnoteRef/>
      </w:r>
      <w:r w:rsidRPr="000A5229">
        <w:rPr>
          <w:sz w:val="16"/>
          <w:szCs w:val="16"/>
        </w:rPr>
        <w:t xml:space="preserve"> </w:t>
      </w:r>
      <w:r w:rsidRPr="00B61223">
        <w:rPr>
          <w:sz w:val="16"/>
          <w:szCs w:val="16"/>
          <w:lang w:val="en-GB"/>
        </w:rPr>
        <w:t xml:space="preserve">Prices of goods imports were higher by 1.5% in 2024. Import prices rose by 2.2%, year-on-year, in Q4 and by 0.9%, quarter-on-quarter. </w:t>
      </w:r>
    </w:p>
  </w:footnote>
  <w:footnote w:id="75">
    <w:p w14:paraId="71E811FC" w14:textId="77777777" w:rsidR="006145FA" w:rsidRPr="00B61223" w:rsidRDefault="006145FA" w:rsidP="00803507">
      <w:pPr>
        <w:pStyle w:val="Textpoznpodarou"/>
        <w:jc w:val="both"/>
        <w:rPr>
          <w:sz w:val="16"/>
          <w:szCs w:val="16"/>
          <w:lang w:val="en-GB"/>
        </w:rPr>
      </w:pPr>
      <w:r w:rsidRPr="00B61223">
        <w:rPr>
          <w:rStyle w:val="Znakapoznpodarou"/>
          <w:sz w:val="16"/>
          <w:szCs w:val="16"/>
          <w:lang w:val="en-GB"/>
        </w:rPr>
        <w:footnoteRef/>
      </w:r>
      <w:r w:rsidRPr="00B61223">
        <w:rPr>
          <w:sz w:val="16"/>
          <w:szCs w:val="16"/>
          <w:lang w:val="en-GB"/>
        </w:rPr>
        <w:t xml:space="preserve"> The increase in Taiwan was related to an increase </w:t>
      </w:r>
      <w:r>
        <w:rPr>
          <w:sz w:val="16"/>
          <w:szCs w:val="16"/>
          <w:lang w:val="en-GB"/>
        </w:rPr>
        <w:t xml:space="preserve">of </w:t>
      </w:r>
      <w:r w:rsidRPr="00B61223">
        <w:rPr>
          <w:sz w:val="16"/>
          <w:szCs w:val="16"/>
          <w:lang w:val="en-GB"/>
        </w:rPr>
        <w:t xml:space="preserve">imports of computers and electronic and optical </w:t>
      </w:r>
      <w:r>
        <w:rPr>
          <w:sz w:val="16"/>
          <w:szCs w:val="16"/>
          <w:lang w:val="en-GB"/>
        </w:rPr>
        <w:t xml:space="preserve">appliances. </w:t>
      </w:r>
    </w:p>
  </w:footnote>
  <w:footnote w:id="76">
    <w:p w14:paraId="6F06E8F4" w14:textId="77777777" w:rsidR="006145FA" w:rsidRPr="00E757F2" w:rsidRDefault="006145FA" w:rsidP="00803507">
      <w:pPr>
        <w:pStyle w:val="Textpoznpodarou"/>
        <w:jc w:val="both"/>
        <w:rPr>
          <w:sz w:val="16"/>
          <w:szCs w:val="16"/>
          <w:lang w:val="en-GB"/>
        </w:rPr>
      </w:pPr>
      <w:r w:rsidRPr="00370717">
        <w:rPr>
          <w:rStyle w:val="Znakapoznpodarou"/>
          <w:sz w:val="16"/>
          <w:szCs w:val="16"/>
        </w:rPr>
        <w:footnoteRef/>
      </w:r>
      <w:r w:rsidRPr="00370717">
        <w:rPr>
          <w:sz w:val="16"/>
          <w:szCs w:val="16"/>
        </w:rPr>
        <w:t xml:space="preserve"> </w:t>
      </w:r>
      <w:r w:rsidRPr="00D051E5">
        <w:rPr>
          <w:sz w:val="16"/>
          <w:szCs w:val="16"/>
        </w:rPr>
        <w:t>This year's de</w:t>
      </w:r>
      <w:r>
        <w:rPr>
          <w:sz w:val="16"/>
          <w:szCs w:val="16"/>
        </w:rPr>
        <w:t xml:space="preserve">crease </w:t>
      </w:r>
      <w:r w:rsidRPr="00D051E5">
        <w:rPr>
          <w:sz w:val="16"/>
          <w:szCs w:val="16"/>
        </w:rPr>
        <w:t>is related to last year's high comparison bas</w:t>
      </w:r>
      <w:r>
        <w:rPr>
          <w:sz w:val="16"/>
          <w:szCs w:val="16"/>
        </w:rPr>
        <w:t>is</w:t>
      </w:r>
      <w:r w:rsidRPr="00D051E5">
        <w:rPr>
          <w:sz w:val="16"/>
          <w:szCs w:val="16"/>
        </w:rPr>
        <w:t xml:space="preserve"> for products needed to install photovoltaic power plants (especially batteries). Imports peaked in the first half of 2023 and </w:t>
      </w:r>
      <w:r>
        <w:rPr>
          <w:sz w:val="16"/>
          <w:szCs w:val="16"/>
        </w:rPr>
        <w:t xml:space="preserve">subsequently </w:t>
      </w:r>
      <w:r w:rsidRPr="00D051E5">
        <w:rPr>
          <w:sz w:val="16"/>
          <w:szCs w:val="16"/>
        </w:rPr>
        <w:t>started to decline.</w:t>
      </w:r>
      <w:r w:rsidRPr="00E757F2">
        <w:rPr>
          <w:sz w:val="16"/>
          <w:szCs w:val="16"/>
          <w:lang w:val="en-GB"/>
        </w:rPr>
        <w:t xml:space="preserve"> </w:t>
      </w:r>
    </w:p>
  </w:footnote>
  <w:footnote w:id="77">
    <w:p w14:paraId="7723D4F2" w14:textId="77777777" w:rsidR="006145FA" w:rsidRPr="00E757F2" w:rsidRDefault="006145FA" w:rsidP="00803507">
      <w:pPr>
        <w:pStyle w:val="Textpoznpodarou"/>
        <w:jc w:val="both"/>
        <w:rPr>
          <w:sz w:val="16"/>
          <w:szCs w:val="16"/>
          <w:lang w:val="en-GB"/>
        </w:rPr>
      </w:pPr>
      <w:r w:rsidRPr="00E757F2">
        <w:rPr>
          <w:rStyle w:val="Znakapoznpodarou"/>
          <w:sz w:val="16"/>
          <w:szCs w:val="16"/>
          <w:lang w:val="en-GB"/>
        </w:rPr>
        <w:footnoteRef/>
      </w:r>
      <w:r w:rsidRPr="00E757F2">
        <w:rPr>
          <w:sz w:val="16"/>
          <w:szCs w:val="16"/>
          <w:lang w:val="en-GB"/>
        </w:rPr>
        <w:t xml:space="preserve"> </w:t>
      </w:r>
      <w:bookmarkStart w:id="62" w:name="_Hlk194870898"/>
      <w:r w:rsidRPr="00D051E5">
        <w:rPr>
          <w:sz w:val="16"/>
          <w:szCs w:val="16"/>
        </w:rPr>
        <w:t xml:space="preserve">From the perspective of historical time series, this </w:t>
      </w:r>
      <w:r>
        <w:rPr>
          <w:sz w:val="16"/>
          <w:szCs w:val="16"/>
        </w:rPr>
        <w:t xml:space="preserve">still represents </w:t>
      </w:r>
      <w:r w:rsidRPr="00D051E5">
        <w:rPr>
          <w:sz w:val="16"/>
          <w:szCs w:val="16"/>
        </w:rPr>
        <w:t xml:space="preserve">a significant surplus. </w:t>
      </w:r>
      <w:r>
        <w:rPr>
          <w:sz w:val="16"/>
          <w:szCs w:val="16"/>
        </w:rPr>
        <w:t>T</w:t>
      </w:r>
      <w:r w:rsidRPr="00D051E5">
        <w:rPr>
          <w:sz w:val="16"/>
          <w:szCs w:val="16"/>
        </w:rPr>
        <w:t>he balance usually achieves lower surpluses</w:t>
      </w:r>
      <w:r>
        <w:rPr>
          <w:sz w:val="16"/>
          <w:szCs w:val="16"/>
        </w:rPr>
        <w:t xml:space="preserve"> in Q4</w:t>
      </w:r>
      <w:r w:rsidRPr="00D051E5">
        <w:rPr>
          <w:sz w:val="16"/>
          <w:szCs w:val="16"/>
        </w:rPr>
        <w:t xml:space="preserve"> compared to the rest of the year.</w:t>
      </w:r>
      <w:r>
        <w:rPr>
          <w:sz w:val="16"/>
          <w:szCs w:val="16"/>
        </w:rPr>
        <w:t xml:space="preserve"> </w:t>
      </w:r>
      <w:bookmarkEnd w:id="62"/>
    </w:p>
  </w:footnote>
  <w:footnote w:id="78">
    <w:p w14:paraId="3C1EA790" w14:textId="77777777" w:rsidR="006145FA" w:rsidRDefault="006145FA" w:rsidP="00803507">
      <w:pPr>
        <w:pStyle w:val="Textpoznpodarou"/>
        <w:rPr>
          <w:sz w:val="16"/>
          <w:szCs w:val="16"/>
        </w:rPr>
      </w:pPr>
      <w:r>
        <w:rPr>
          <w:rStyle w:val="Znakapoznpodarou"/>
          <w:sz w:val="16"/>
          <w:szCs w:val="16"/>
        </w:rPr>
        <w:footnoteRef/>
      </w:r>
      <w:r>
        <w:rPr>
          <w:sz w:val="16"/>
          <w:szCs w:val="16"/>
        </w:rPr>
        <w:t xml:space="preserve"> </w:t>
      </w:r>
      <w:r w:rsidRPr="00AE6A6E">
        <w:rPr>
          <w:sz w:val="16"/>
          <w:szCs w:val="16"/>
        </w:rPr>
        <w:t>Imputed rent expresses the cost of owner living. Apart from prices of housing themselves, it also contains the cost of construction and renovation and further fees</w:t>
      </w:r>
      <w:r>
        <w:rPr>
          <w:sz w:val="16"/>
          <w:szCs w:val="16"/>
        </w:rPr>
        <w:t xml:space="preserve">. For more see: </w:t>
      </w:r>
      <w:hyperlink r:id="rId2" w:history="1">
        <w:r>
          <w:rPr>
            <w:rStyle w:val="Hypertextovodkaz"/>
            <w:sz w:val="16"/>
            <w:szCs w:val="16"/>
          </w:rPr>
          <w:t>https://csu.gov.cz/methodological-note-to-consumer-price-index-imputed-rentals</w:t>
        </w:r>
      </w:hyperlink>
      <w:r>
        <w:rPr>
          <w:rStyle w:val="Hypertextovodkaz"/>
          <w:sz w:val="16"/>
          <w:szCs w:val="16"/>
        </w:rPr>
        <w:t>.</w:t>
      </w:r>
    </w:p>
  </w:footnote>
  <w:footnote w:id="79">
    <w:p w14:paraId="72EEA419" w14:textId="77777777" w:rsidR="006145FA" w:rsidRPr="00A823F0" w:rsidRDefault="006145FA" w:rsidP="00803507">
      <w:pPr>
        <w:pStyle w:val="Textpoznpodarou"/>
        <w:jc w:val="both"/>
        <w:rPr>
          <w:sz w:val="16"/>
          <w:szCs w:val="16"/>
          <w:lang w:val="en-GB"/>
        </w:rPr>
      </w:pPr>
      <w:r w:rsidRPr="00A823F0">
        <w:rPr>
          <w:rStyle w:val="Znakapoznpodarou"/>
          <w:sz w:val="16"/>
          <w:szCs w:val="16"/>
          <w:lang w:val="en-GB"/>
        </w:rPr>
        <w:footnoteRef/>
      </w:r>
      <w:r w:rsidRPr="00A823F0">
        <w:rPr>
          <w:sz w:val="16"/>
          <w:szCs w:val="16"/>
          <w:lang w:val="en-GB"/>
        </w:rPr>
        <w:t xml:space="preserve"> Contains services of personal care and personal needs and accessories, social care, insurance and further financial services etc. </w:t>
      </w:r>
    </w:p>
  </w:footnote>
  <w:footnote w:id="80">
    <w:p w14:paraId="481A3709" w14:textId="77777777" w:rsidR="006145FA" w:rsidRPr="00A823F0" w:rsidRDefault="006145FA" w:rsidP="00803507">
      <w:pPr>
        <w:pStyle w:val="Textpoznpodarou"/>
        <w:jc w:val="both"/>
        <w:rPr>
          <w:sz w:val="16"/>
          <w:szCs w:val="16"/>
          <w:lang w:val="en-GB"/>
        </w:rPr>
      </w:pPr>
      <w:r w:rsidRPr="00A823F0">
        <w:rPr>
          <w:rStyle w:val="Znakapoznpodarou"/>
          <w:sz w:val="16"/>
          <w:szCs w:val="16"/>
          <w:lang w:val="en-GB"/>
        </w:rPr>
        <w:footnoteRef/>
      </w:r>
      <w:r w:rsidRPr="00A823F0">
        <w:rPr>
          <w:sz w:val="16"/>
          <w:szCs w:val="16"/>
          <w:lang w:val="en-GB"/>
        </w:rPr>
        <w:t xml:space="preserve"> Contrary to the consumer price index, which the CZSO compiles for the Czech economy, HICP does not contain imputed rent, which is the main reason for the difference between the HICP and Consumer price index. </w:t>
      </w:r>
    </w:p>
  </w:footnote>
  <w:footnote w:id="81">
    <w:p w14:paraId="30BE3A19" w14:textId="77777777" w:rsidR="006145FA" w:rsidRPr="00072990" w:rsidRDefault="006145FA" w:rsidP="00803507">
      <w:pPr>
        <w:pStyle w:val="Textpoznpodarou"/>
        <w:rPr>
          <w:sz w:val="16"/>
          <w:szCs w:val="16"/>
          <w:lang w:val="en-GB"/>
        </w:rPr>
      </w:pPr>
      <w:r>
        <w:rPr>
          <w:rStyle w:val="Znakapoznpodarou"/>
          <w:sz w:val="16"/>
          <w:szCs w:val="16"/>
        </w:rPr>
        <w:footnoteRef/>
      </w:r>
      <w:r>
        <w:rPr>
          <w:sz w:val="16"/>
          <w:szCs w:val="16"/>
        </w:rPr>
        <w:t xml:space="preserve"> </w:t>
      </w:r>
      <w:r w:rsidRPr="00DE6E29">
        <w:rPr>
          <w:sz w:val="16"/>
          <w:szCs w:val="16"/>
          <w:lang w:val="en-GB"/>
        </w:rPr>
        <w:t xml:space="preserve">Without prices of water distribution and </w:t>
      </w:r>
      <w:r>
        <w:rPr>
          <w:sz w:val="16"/>
          <w:szCs w:val="16"/>
          <w:lang w:val="en-GB"/>
        </w:rPr>
        <w:t>s</w:t>
      </w:r>
      <w:r w:rsidRPr="00DE6E29">
        <w:rPr>
          <w:sz w:val="16"/>
          <w:szCs w:val="16"/>
          <w:lang w:val="en-GB"/>
        </w:rPr>
        <w:t>ervices associated with wastewaters</w:t>
      </w:r>
      <w:r>
        <w:rPr>
          <w:sz w:val="16"/>
          <w:szCs w:val="16"/>
          <w:lang w:val="en-GB"/>
        </w:rPr>
        <w:t xml:space="preserve">. </w:t>
      </w:r>
    </w:p>
  </w:footnote>
  <w:footnote w:id="82">
    <w:p w14:paraId="0CC7A528" w14:textId="77777777" w:rsidR="006145FA" w:rsidRPr="001E27BE" w:rsidRDefault="006145FA" w:rsidP="00803507">
      <w:pPr>
        <w:pStyle w:val="Textpoznpodarou"/>
        <w:jc w:val="both"/>
        <w:rPr>
          <w:sz w:val="16"/>
          <w:szCs w:val="16"/>
          <w:lang w:val="en-GB"/>
        </w:rPr>
      </w:pPr>
      <w:r>
        <w:rPr>
          <w:rStyle w:val="Znakapoznpodarou"/>
          <w:sz w:val="16"/>
          <w:szCs w:val="16"/>
        </w:rPr>
        <w:footnoteRef/>
      </w:r>
      <w:r>
        <w:rPr>
          <w:sz w:val="16"/>
          <w:szCs w:val="16"/>
        </w:rPr>
        <w:t xml:space="preserve"> </w:t>
      </w:r>
      <w:r>
        <w:rPr>
          <w:sz w:val="16"/>
          <w:szCs w:val="16"/>
          <w:lang w:val="en-GB"/>
        </w:rPr>
        <w:t>Based on the CNB data, th</w:t>
      </w:r>
      <w:r w:rsidRPr="00A25E62">
        <w:rPr>
          <w:sz w:val="16"/>
          <w:szCs w:val="16"/>
          <w:lang w:val="en-GB"/>
        </w:rPr>
        <w:t xml:space="preserve">e average koruna foreign </w:t>
      </w:r>
      <w:r>
        <w:rPr>
          <w:sz w:val="16"/>
          <w:szCs w:val="16"/>
          <w:lang w:val="en-GB"/>
        </w:rPr>
        <w:t>e</w:t>
      </w:r>
      <w:r w:rsidRPr="00A25E62">
        <w:rPr>
          <w:sz w:val="16"/>
          <w:szCs w:val="16"/>
          <w:lang w:val="en-GB"/>
        </w:rPr>
        <w:t xml:space="preserve">xchange per euro reached </w:t>
      </w:r>
      <w:r>
        <w:rPr>
          <w:sz w:val="16"/>
          <w:szCs w:val="16"/>
          <w:lang w:val="en-GB"/>
        </w:rPr>
        <w:t xml:space="preserve">25.249 CZK/EUR in Q4 2024. It was 24.521 CZK/EUR in Q4 2023. </w:t>
      </w:r>
      <w:r w:rsidRPr="00A25E62">
        <w:rPr>
          <w:sz w:val="16"/>
          <w:szCs w:val="16"/>
          <w:lang w:val="en-GB"/>
        </w:rPr>
        <w:t>The average was 2</w:t>
      </w:r>
      <w:r>
        <w:rPr>
          <w:sz w:val="16"/>
          <w:szCs w:val="16"/>
          <w:lang w:val="en-GB"/>
        </w:rPr>
        <w:t>5</w:t>
      </w:r>
      <w:r w:rsidRPr="00A25E62">
        <w:rPr>
          <w:sz w:val="16"/>
          <w:szCs w:val="16"/>
          <w:lang w:val="en-GB"/>
        </w:rPr>
        <w:t>.</w:t>
      </w:r>
      <w:r>
        <w:rPr>
          <w:sz w:val="16"/>
          <w:szCs w:val="16"/>
          <w:lang w:val="en-GB"/>
        </w:rPr>
        <w:t>1</w:t>
      </w:r>
      <w:r w:rsidRPr="00A25E62">
        <w:rPr>
          <w:sz w:val="16"/>
          <w:szCs w:val="16"/>
          <w:lang w:val="en-GB"/>
        </w:rPr>
        <w:t> CZK/</w:t>
      </w:r>
      <w:r>
        <w:rPr>
          <w:sz w:val="16"/>
          <w:szCs w:val="16"/>
          <w:lang w:val="en-GB"/>
        </w:rPr>
        <w:t xml:space="preserve">EUR for the whole year 2024 and </w:t>
      </w:r>
      <w:r w:rsidRPr="001E27BE">
        <w:rPr>
          <w:sz w:val="16"/>
          <w:szCs w:val="16"/>
          <w:lang w:val="en-GB"/>
        </w:rPr>
        <w:t>24</w:t>
      </w:r>
      <w:r>
        <w:rPr>
          <w:sz w:val="16"/>
          <w:szCs w:val="16"/>
          <w:lang w:val="en-GB"/>
        </w:rPr>
        <w:t>.</w:t>
      </w:r>
      <w:r w:rsidRPr="001E27BE">
        <w:rPr>
          <w:sz w:val="16"/>
          <w:szCs w:val="16"/>
          <w:lang w:val="en-GB"/>
        </w:rPr>
        <w:t>007 CZK/EUR</w:t>
      </w:r>
      <w:r>
        <w:rPr>
          <w:sz w:val="16"/>
          <w:szCs w:val="16"/>
          <w:lang w:val="en-GB"/>
        </w:rPr>
        <w:t xml:space="preserve"> in year 2023. The average koruna foreign exchange per dollar was </w:t>
      </w:r>
      <w:r w:rsidRPr="001E27BE">
        <w:rPr>
          <w:sz w:val="16"/>
          <w:szCs w:val="16"/>
          <w:lang w:val="en-GB"/>
        </w:rPr>
        <w:t>23</w:t>
      </w:r>
      <w:r>
        <w:rPr>
          <w:sz w:val="16"/>
          <w:szCs w:val="16"/>
          <w:lang w:val="en-GB"/>
        </w:rPr>
        <w:t>.</w:t>
      </w:r>
      <w:r w:rsidRPr="001E27BE">
        <w:rPr>
          <w:sz w:val="16"/>
          <w:szCs w:val="16"/>
          <w:lang w:val="en-GB"/>
        </w:rPr>
        <w:t>640 CZK/USD</w:t>
      </w:r>
      <w:r>
        <w:rPr>
          <w:sz w:val="16"/>
          <w:szCs w:val="16"/>
          <w:lang w:val="en-GB"/>
        </w:rPr>
        <w:t xml:space="preserve"> in Q4 2024</w:t>
      </w:r>
      <w:r w:rsidRPr="001E27BE">
        <w:rPr>
          <w:sz w:val="16"/>
          <w:szCs w:val="16"/>
          <w:lang w:val="en-GB"/>
        </w:rPr>
        <w:t xml:space="preserve">. </w:t>
      </w:r>
      <w:r>
        <w:rPr>
          <w:sz w:val="16"/>
          <w:szCs w:val="16"/>
          <w:lang w:val="en-GB"/>
        </w:rPr>
        <w:t xml:space="preserve">It was </w:t>
      </w:r>
      <w:r w:rsidRPr="001E27BE">
        <w:rPr>
          <w:sz w:val="16"/>
          <w:szCs w:val="16"/>
          <w:lang w:val="en-GB"/>
        </w:rPr>
        <w:t>22</w:t>
      </w:r>
      <w:r>
        <w:rPr>
          <w:sz w:val="16"/>
          <w:szCs w:val="16"/>
          <w:lang w:val="en-GB"/>
        </w:rPr>
        <w:t>.</w:t>
      </w:r>
      <w:r w:rsidRPr="001E27BE">
        <w:rPr>
          <w:sz w:val="16"/>
          <w:szCs w:val="16"/>
          <w:lang w:val="en-GB"/>
        </w:rPr>
        <w:t>820 CZK/USD</w:t>
      </w:r>
      <w:r>
        <w:rPr>
          <w:sz w:val="16"/>
          <w:szCs w:val="16"/>
          <w:lang w:val="en-GB"/>
        </w:rPr>
        <w:t xml:space="preserve"> in the same period of year 2023</w:t>
      </w:r>
      <w:r w:rsidRPr="001E27BE">
        <w:rPr>
          <w:sz w:val="16"/>
          <w:szCs w:val="16"/>
          <w:lang w:val="en-GB"/>
        </w:rPr>
        <w:t xml:space="preserve">. </w:t>
      </w:r>
      <w:r>
        <w:rPr>
          <w:sz w:val="16"/>
          <w:szCs w:val="16"/>
          <w:lang w:val="en-GB"/>
        </w:rPr>
        <w:t xml:space="preserve">The average koruna foreign exchange per dollar reached </w:t>
      </w:r>
      <w:r w:rsidRPr="001E27BE">
        <w:rPr>
          <w:sz w:val="16"/>
          <w:szCs w:val="16"/>
          <w:lang w:val="en-GB"/>
        </w:rPr>
        <w:t>23</w:t>
      </w:r>
      <w:r>
        <w:rPr>
          <w:sz w:val="16"/>
          <w:szCs w:val="16"/>
          <w:lang w:val="en-GB"/>
        </w:rPr>
        <w:t>.</w:t>
      </w:r>
      <w:r w:rsidRPr="001E27BE">
        <w:rPr>
          <w:sz w:val="16"/>
          <w:szCs w:val="16"/>
          <w:lang w:val="en-GB"/>
        </w:rPr>
        <w:t>208 CZK/USD</w:t>
      </w:r>
      <w:r>
        <w:rPr>
          <w:sz w:val="16"/>
          <w:szCs w:val="16"/>
          <w:lang w:val="en-GB"/>
        </w:rPr>
        <w:t xml:space="preserve"> for the whole last year</w:t>
      </w:r>
      <w:r w:rsidRPr="001E27BE">
        <w:rPr>
          <w:sz w:val="16"/>
          <w:szCs w:val="16"/>
          <w:lang w:val="en-GB"/>
        </w:rPr>
        <w:t xml:space="preserve"> a</w:t>
      </w:r>
      <w:r>
        <w:rPr>
          <w:sz w:val="16"/>
          <w:szCs w:val="16"/>
          <w:lang w:val="en-GB"/>
        </w:rPr>
        <w:t xml:space="preserve">nd it was then </w:t>
      </w:r>
      <w:r w:rsidRPr="001E27BE">
        <w:rPr>
          <w:sz w:val="16"/>
          <w:szCs w:val="16"/>
          <w:lang w:val="en-GB"/>
        </w:rPr>
        <w:t>22</w:t>
      </w:r>
      <w:r>
        <w:rPr>
          <w:sz w:val="16"/>
          <w:szCs w:val="16"/>
          <w:lang w:val="en-GB"/>
        </w:rPr>
        <w:t>.</w:t>
      </w:r>
      <w:r w:rsidRPr="001E27BE">
        <w:rPr>
          <w:sz w:val="16"/>
          <w:szCs w:val="16"/>
          <w:lang w:val="en-GB"/>
        </w:rPr>
        <w:t>210 CZK/USD</w:t>
      </w:r>
      <w:r>
        <w:rPr>
          <w:sz w:val="16"/>
          <w:szCs w:val="16"/>
          <w:lang w:val="en-GB"/>
        </w:rPr>
        <w:t xml:space="preserve"> in 2023</w:t>
      </w:r>
      <w:r w:rsidRPr="001E27BE">
        <w:rPr>
          <w:sz w:val="16"/>
          <w:szCs w:val="16"/>
          <w:lang w:val="en-GB"/>
        </w:rPr>
        <w:t>.</w:t>
      </w:r>
    </w:p>
  </w:footnote>
  <w:footnote w:id="83">
    <w:p w14:paraId="62179B5D" w14:textId="5DF8E5D8" w:rsidR="006145FA" w:rsidRPr="00F5145E" w:rsidRDefault="006145FA" w:rsidP="00803507">
      <w:pPr>
        <w:pStyle w:val="Textpoznpodarou"/>
        <w:jc w:val="both"/>
        <w:rPr>
          <w:color w:val="0D0D0D" w:themeColor="text1" w:themeTint="F2"/>
          <w:spacing w:val="-2"/>
          <w:sz w:val="16"/>
          <w:szCs w:val="16"/>
          <w:lang w:val="en-GB"/>
        </w:rPr>
      </w:pPr>
      <w:r w:rsidRPr="00F72E52">
        <w:rPr>
          <w:rStyle w:val="Znakapoznpodarou"/>
          <w:color w:val="0D0D0D" w:themeColor="text1" w:themeTint="F2"/>
          <w:spacing w:val="-2"/>
          <w:sz w:val="16"/>
          <w:szCs w:val="16"/>
        </w:rPr>
        <w:footnoteRef/>
      </w:r>
      <w:r w:rsidRPr="00F72E52">
        <w:rPr>
          <w:color w:val="0D0D0D" w:themeColor="text1" w:themeTint="F2"/>
          <w:spacing w:val="-2"/>
          <w:sz w:val="16"/>
          <w:szCs w:val="16"/>
        </w:rPr>
        <w:t xml:space="preserve"> </w:t>
      </w:r>
      <w:r w:rsidRPr="009E74B3">
        <w:rPr>
          <w:sz w:val="16"/>
          <w:szCs w:val="16"/>
          <w:lang w:val="en-GB"/>
        </w:rPr>
        <w:t>Data regarding employment stem from the national accounts’ conception. They are expressed in physical persons and adjusted for seasonal effects</w:t>
      </w:r>
      <w:r w:rsidRPr="009E74B3">
        <w:rPr>
          <w:spacing w:val="-6"/>
          <w:sz w:val="16"/>
          <w:szCs w:val="16"/>
          <w:lang w:val="en-GB"/>
        </w:rPr>
        <w:t>.</w:t>
      </w:r>
      <w:r>
        <w:rPr>
          <w:spacing w:val="-6"/>
          <w:sz w:val="16"/>
          <w:szCs w:val="16"/>
          <w:lang w:val="en-GB"/>
        </w:rPr>
        <w:t xml:space="preserve"> Unlike the data from the business statistics or the labour force sample survey </w:t>
      </w:r>
      <w:r w:rsidRPr="001D1C56">
        <w:rPr>
          <w:sz w:val="16"/>
          <w:szCs w:val="16"/>
          <w:lang w:val="en-GB"/>
        </w:rPr>
        <w:t>(</w:t>
      </w:r>
      <w:r>
        <w:rPr>
          <w:sz w:val="16"/>
          <w:szCs w:val="16"/>
          <w:lang w:val="en-GB"/>
        </w:rPr>
        <w:t>LFSS</w:t>
      </w:r>
      <w:r w:rsidRPr="001D1C56">
        <w:rPr>
          <w:sz w:val="16"/>
          <w:szCs w:val="16"/>
          <w:lang w:val="en-GB"/>
        </w:rPr>
        <w:t>)</w:t>
      </w:r>
      <w:r>
        <w:rPr>
          <w:sz w:val="16"/>
          <w:szCs w:val="16"/>
          <w:lang w:val="en-GB"/>
        </w:rPr>
        <w:t xml:space="preserve"> also include for instance the estima</w:t>
      </w:r>
      <w:r w:rsidR="00BF2AAA">
        <w:rPr>
          <w:sz w:val="16"/>
          <w:szCs w:val="16"/>
          <w:lang w:val="en-GB"/>
        </w:rPr>
        <w:t>tion of the grey economy impact.</w:t>
      </w:r>
    </w:p>
  </w:footnote>
  <w:footnote w:id="84">
    <w:p w14:paraId="3EB02297" w14:textId="1FC44668" w:rsidR="006145FA" w:rsidRPr="00F5145E" w:rsidRDefault="006145FA" w:rsidP="00803507">
      <w:pPr>
        <w:pStyle w:val="Textpoznpodarou"/>
        <w:jc w:val="both"/>
        <w:rPr>
          <w:spacing w:val="-3"/>
          <w:sz w:val="16"/>
          <w:szCs w:val="16"/>
          <w:lang w:val="en-GB"/>
        </w:rPr>
      </w:pPr>
      <w:r w:rsidRPr="00F5145E">
        <w:rPr>
          <w:rStyle w:val="Znakapoznpodarou"/>
          <w:spacing w:val="-3"/>
          <w:sz w:val="16"/>
          <w:szCs w:val="16"/>
          <w:lang w:val="en-GB"/>
        </w:rPr>
        <w:footnoteRef/>
      </w:r>
      <w:r w:rsidRPr="00F5145E">
        <w:rPr>
          <w:spacing w:val="-3"/>
          <w:sz w:val="16"/>
          <w:szCs w:val="16"/>
          <w:lang w:val="en-GB"/>
        </w:rPr>
        <w:t xml:space="preserve"> </w:t>
      </w:r>
      <w:r w:rsidRPr="00D16617">
        <w:rPr>
          <w:spacing w:val="-3"/>
          <w:sz w:val="16"/>
          <w:szCs w:val="16"/>
        </w:rPr>
        <w:t xml:space="preserve">This has been true continuously since 2016, with relatively slower growth </w:t>
      </w:r>
      <w:r>
        <w:rPr>
          <w:spacing w:val="-3"/>
          <w:sz w:val="16"/>
          <w:szCs w:val="16"/>
        </w:rPr>
        <w:t>of</w:t>
      </w:r>
      <w:r w:rsidRPr="00D16617">
        <w:rPr>
          <w:spacing w:val="-3"/>
          <w:sz w:val="16"/>
          <w:szCs w:val="16"/>
        </w:rPr>
        <w:t xml:space="preserve"> employment in the Czech Republic in the category of employees. </w:t>
      </w:r>
      <w:r>
        <w:rPr>
          <w:spacing w:val="-3"/>
          <w:sz w:val="16"/>
          <w:szCs w:val="16"/>
        </w:rPr>
        <w:t>T</w:t>
      </w:r>
      <w:r w:rsidRPr="00D16617">
        <w:rPr>
          <w:spacing w:val="-3"/>
          <w:sz w:val="16"/>
          <w:szCs w:val="16"/>
        </w:rPr>
        <w:t>he number of all workers in the EU increased by 0.8%</w:t>
      </w:r>
      <w:r>
        <w:rPr>
          <w:spacing w:val="-3"/>
          <w:sz w:val="16"/>
          <w:szCs w:val="16"/>
        </w:rPr>
        <w:t>,</w:t>
      </w:r>
      <w:r w:rsidRPr="00D16617">
        <w:rPr>
          <w:spacing w:val="-3"/>
          <w:sz w:val="16"/>
          <w:szCs w:val="16"/>
        </w:rPr>
        <w:t xml:space="preserve"> year-on-year</w:t>
      </w:r>
      <w:r>
        <w:rPr>
          <w:spacing w:val="-3"/>
          <w:sz w:val="16"/>
          <w:szCs w:val="16"/>
        </w:rPr>
        <w:t>, last year</w:t>
      </w:r>
      <w:r w:rsidRPr="00D16617">
        <w:rPr>
          <w:spacing w:val="-3"/>
          <w:sz w:val="16"/>
          <w:szCs w:val="16"/>
        </w:rPr>
        <w:t xml:space="preserve"> (the l</w:t>
      </w:r>
      <w:r>
        <w:rPr>
          <w:spacing w:val="-3"/>
          <w:sz w:val="16"/>
          <w:szCs w:val="16"/>
        </w:rPr>
        <w:t xml:space="preserve">east </w:t>
      </w:r>
      <w:r w:rsidRPr="00D16617">
        <w:rPr>
          <w:spacing w:val="-3"/>
          <w:sz w:val="16"/>
          <w:szCs w:val="16"/>
        </w:rPr>
        <w:t xml:space="preserve">in the last four years). </w:t>
      </w:r>
      <w:r>
        <w:rPr>
          <w:spacing w:val="-3"/>
          <w:sz w:val="16"/>
          <w:szCs w:val="16"/>
        </w:rPr>
        <w:t xml:space="preserve">The </w:t>
      </w:r>
      <w:r w:rsidRPr="00D16617">
        <w:rPr>
          <w:spacing w:val="-3"/>
          <w:sz w:val="16"/>
          <w:szCs w:val="16"/>
        </w:rPr>
        <w:t xml:space="preserve">employment growth was also centred </w:t>
      </w:r>
      <w:r>
        <w:rPr>
          <w:spacing w:val="-3"/>
          <w:sz w:val="16"/>
          <w:szCs w:val="16"/>
        </w:rPr>
        <w:t>in</w:t>
      </w:r>
      <w:r w:rsidRPr="00D16617">
        <w:rPr>
          <w:spacing w:val="-3"/>
          <w:sz w:val="16"/>
          <w:szCs w:val="16"/>
        </w:rPr>
        <w:t xml:space="preserve"> the tertiary </w:t>
      </w:r>
      <w:r>
        <w:rPr>
          <w:spacing w:val="-3"/>
          <w:sz w:val="16"/>
          <w:szCs w:val="16"/>
        </w:rPr>
        <w:t>sphere in the Union</w:t>
      </w:r>
      <w:r w:rsidRPr="00D16617">
        <w:rPr>
          <w:spacing w:val="-3"/>
          <w:sz w:val="16"/>
          <w:szCs w:val="16"/>
        </w:rPr>
        <w:t xml:space="preserve">, with the largest increases in information and communication (+2.2%) and public services (+1.7%). On the other hand, agriculture, forestry and fishing in particular continued to lose </w:t>
      </w:r>
      <w:r>
        <w:rPr>
          <w:spacing w:val="-3"/>
          <w:sz w:val="16"/>
          <w:szCs w:val="16"/>
        </w:rPr>
        <w:t xml:space="preserve">positions </w:t>
      </w:r>
      <w:r w:rsidRPr="00D16617">
        <w:rPr>
          <w:spacing w:val="-3"/>
          <w:sz w:val="16"/>
          <w:szCs w:val="16"/>
        </w:rPr>
        <w:t>(−3.2%) and employment in manufacturing stagnated last year (as in 2023). Of the individual countrie</w:t>
      </w:r>
      <w:r w:rsidR="00BF2AAA">
        <w:rPr>
          <w:spacing w:val="-3"/>
          <w:sz w:val="16"/>
          <w:szCs w:val="16"/>
        </w:rPr>
        <w:t>s, the total number of workers</w:t>
      </w:r>
      <w:r w:rsidRPr="00D16617">
        <w:rPr>
          <w:spacing w:val="-3"/>
          <w:sz w:val="16"/>
          <w:szCs w:val="16"/>
        </w:rPr>
        <w:t xml:space="preserve"> increased </w:t>
      </w:r>
      <w:r w:rsidR="00BF2AAA">
        <w:rPr>
          <w:spacing w:val="-3"/>
          <w:sz w:val="16"/>
          <w:szCs w:val="16"/>
        </w:rPr>
        <w:t xml:space="preserve">in 2024 </w:t>
      </w:r>
      <w:r w:rsidRPr="00D16617">
        <w:rPr>
          <w:spacing w:val="-3"/>
          <w:sz w:val="16"/>
          <w:szCs w:val="16"/>
        </w:rPr>
        <w:t xml:space="preserve">the most in Croatia (+6.1%) </w:t>
      </w:r>
      <w:r>
        <w:rPr>
          <w:spacing w:val="-3"/>
          <w:sz w:val="16"/>
          <w:szCs w:val="16"/>
        </w:rPr>
        <w:t xml:space="preserve">or </w:t>
      </w:r>
      <w:r w:rsidRPr="00D16617">
        <w:rPr>
          <w:spacing w:val="-3"/>
          <w:sz w:val="16"/>
          <w:szCs w:val="16"/>
        </w:rPr>
        <w:t>Ireland (+2.7%), and among the major economies mainly in Spain (+2.2%) and Italy (</w:t>
      </w:r>
      <w:r w:rsidR="00500E92">
        <w:rPr>
          <w:spacing w:val="-3"/>
          <w:sz w:val="16"/>
          <w:szCs w:val="16"/>
        </w:rPr>
        <w:t>+1.6%). On contrary, the total employment</w:t>
      </w:r>
      <w:r w:rsidRPr="00D16617">
        <w:rPr>
          <w:spacing w:val="-3"/>
          <w:sz w:val="16"/>
          <w:szCs w:val="16"/>
        </w:rPr>
        <w:t xml:space="preserve"> decreased only in five mostly smaller countries – especially in Latvia (−0.9%) and Finland (−0.6%), but also in Poland (−0.7%) and Slovakia (−0.2%), in most cases mainly due to unfavourable developments in industry. Even very modest </w:t>
      </w:r>
      <w:r>
        <w:rPr>
          <w:spacing w:val="-3"/>
          <w:sz w:val="16"/>
          <w:szCs w:val="16"/>
        </w:rPr>
        <w:t xml:space="preserve">total </w:t>
      </w:r>
      <w:r w:rsidR="00500E92">
        <w:rPr>
          <w:spacing w:val="-3"/>
          <w:sz w:val="16"/>
          <w:szCs w:val="16"/>
        </w:rPr>
        <w:t xml:space="preserve">employment </w:t>
      </w:r>
      <w:r w:rsidRPr="00D16617">
        <w:rPr>
          <w:spacing w:val="-3"/>
          <w:sz w:val="16"/>
          <w:szCs w:val="16"/>
        </w:rPr>
        <w:t xml:space="preserve">growth in the Czech Republic meant the highest pace in the Central European region. </w:t>
      </w:r>
      <w:r>
        <w:rPr>
          <w:spacing w:val="-3"/>
          <w:sz w:val="16"/>
          <w:szCs w:val="16"/>
        </w:rPr>
        <w:t>T</w:t>
      </w:r>
      <w:r w:rsidR="00500E92">
        <w:rPr>
          <w:spacing w:val="-3"/>
          <w:sz w:val="16"/>
          <w:szCs w:val="16"/>
        </w:rPr>
        <w:t>he total number of workers increased slightly</w:t>
      </w:r>
      <w:r>
        <w:rPr>
          <w:spacing w:val="-3"/>
          <w:sz w:val="16"/>
          <w:szCs w:val="16"/>
        </w:rPr>
        <w:t xml:space="preserve"> in Germany </w:t>
      </w:r>
      <w:r w:rsidRPr="00D16617">
        <w:rPr>
          <w:spacing w:val="-3"/>
          <w:sz w:val="16"/>
          <w:szCs w:val="16"/>
        </w:rPr>
        <w:t xml:space="preserve">(+0.2%), </w:t>
      </w:r>
      <w:r>
        <w:rPr>
          <w:spacing w:val="-3"/>
          <w:sz w:val="16"/>
          <w:szCs w:val="16"/>
        </w:rPr>
        <w:t xml:space="preserve">nevertheless it fell by 1% </w:t>
      </w:r>
      <w:r w:rsidRPr="00D16617">
        <w:rPr>
          <w:spacing w:val="-3"/>
          <w:sz w:val="16"/>
          <w:szCs w:val="16"/>
        </w:rPr>
        <w:t>in manufacturing alone</w:t>
      </w:r>
      <w:r>
        <w:rPr>
          <w:spacing w:val="-3"/>
          <w:sz w:val="16"/>
          <w:szCs w:val="16"/>
        </w:rPr>
        <w:t xml:space="preserve">. </w:t>
      </w:r>
    </w:p>
  </w:footnote>
  <w:footnote w:id="85">
    <w:p w14:paraId="062BD29A" w14:textId="21D9870A" w:rsidR="006145FA" w:rsidRPr="00F5145E" w:rsidRDefault="006145FA" w:rsidP="00803507">
      <w:pPr>
        <w:pStyle w:val="Textpoznpodarou"/>
        <w:jc w:val="both"/>
        <w:rPr>
          <w:lang w:val="en-GB"/>
        </w:rPr>
      </w:pPr>
      <w:r w:rsidRPr="00F5145E">
        <w:rPr>
          <w:rStyle w:val="Znakapoznpodarou"/>
          <w:sz w:val="16"/>
          <w:szCs w:val="16"/>
          <w:lang w:val="en-GB"/>
        </w:rPr>
        <w:footnoteRef/>
      </w:r>
      <w:r w:rsidRPr="00F5145E">
        <w:rPr>
          <w:sz w:val="16"/>
          <w:szCs w:val="16"/>
          <w:lang w:val="en-GB"/>
        </w:rPr>
        <w:t xml:space="preserve"> </w:t>
      </w:r>
      <w:r w:rsidR="00500E92">
        <w:rPr>
          <w:sz w:val="16"/>
          <w:szCs w:val="16"/>
          <w:lang w:val="en-GB"/>
        </w:rPr>
        <w:t>Include branch P</w:t>
      </w:r>
      <w:r w:rsidRPr="00B92200">
        <w:rPr>
          <w:sz w:val="16"/>
          <w:szCs w:val="16"/>
          <w:lang w:val="en-GB"/>
        </w:rPr>
        <w:t>ublic administr</w:t>
      </w:r>
      <w:r w:rsidR="00500E92">
        <w:rPr>
          <w:sz w:val="16"/>
          <w:szCs w:val="16"/>
          <w:lang w:val="en-GB"/>
        </w:rPr>
        <w:t>ation, Education, H</w:t>
      </w:r>
      <w:r w:rsidRPr="00B92200">
        <w:rPr>
          <w:sz w:val="16"/>
          <w:szCs w:val="16"/>
          <w:lang w:val="en-GB"/>
        </w:rPr>
        <w:t>ealth and social work</w:t>
      </w:r>
      <w:r w:rsidRPr="00B92200">
        <w:rPr>
          <w:spacing w:val="-2"/>
          <w:sz w:val="16"/>
          <w:szCs w:val="16"/>
        </w:rPr>
        <w:t>.</w:t>
      </w:r>
      <w:r>
        <w:rPr>
          <w:spacing w:val="-2"/>
          <w:sz w:val="16"/>
          <w:szCs w:val="16"/>
        </w:rPr>
        <w:t xml:space="preserve"> </w:t>
      </w:r>
    </w:p>
  </w:footnote>
  <w:footnote w:id="86">
    <w:p w14:paraId="5A3B05F5" w14:textId="77777777" w:rsidR="006145FA" w:rsidRPr="001046FA" w:rsidRDefault="006145FA" w:rsidP="00803507">
      <w:pPr>
        <w:pStyle w:val="Textpoznpodarou"/>
        <w:jc w:val="both"/>
        <w:rPr>
          <w:lang w:val="en-GB"/>
        </w:rPr>
      </w:pPr>
      <w:r w:rsidRPr="00A4392F">
        <w:rPr>
          <w:rStyle w:val="Znakapoznpodarou"/>
          <w:sz w:val="16"/>
          <w:szCs w:val="16"/>
        </w:rPr>
        <w:footnoteRef/>
      </w:r>
      <w:r w:rsidRPr="00A4392F">
        <w:rPr>
          <w:sz w:val="16"/>
          <w:szCs w:val="16"/>
        </w:rPr>
        <w:t xml:space="preserve"> </w:t>
      </w:r>
      <w:r w:rsidRPr="0013294D">
        <w:rPr>
          <w:sz w:val="16"/>
          <w:szCs w:val="16"/>
        </w:rPr>
        <w:t xml:space="preserve">These include, for example, other services (+2.0%) including, in addition to cultural, </w:t>
      </w:r>
      <w:r>
        <w:rPr>
          <w:sz w:val="16"/>
          <w:szCs w:val="16"/>
        </w:rPr>
        <w:t xml:space="preserve">amusement and recreational </w:t>
      </w:r>
      <w:r w:rsidRPr="0013294D">
        <w:rPr>
          <w:sz w:val="16"/>
          <w:szCs w:val="16"/>
        </w:rPr>
        <w:t xml:space="preserve">activities, </w:t>
      </w:r>
      <w:r>
        <w:rPr>
          <w:sz w:val="16"/>
          <w:szCs w:val="16"/>
        </w:rPr>
        <w:t xml:space="preserve">for instance </w:t>
      </w:r>
      <w:r w:rsidRPr="0013294D">
        <w:rPr>
          <w:sz w:val="16"/>
          <w:szCs w:val="16"/>
        </w:rPr>
        <w:t xml:space="preserve">various </w:t>
      </w:r>
      <w:r>
        <w:rPr>
          <w:sz w:val="16"/>
          <w:szCs w:val="16"/>
        </w:rPr>
        <w:t xml:space="preserve">services for </w:t>
      </w:r>
      <w:r w:rsidRPr="0013294D">
        <w:rPr>
          <w:sz w:val="16"/>
          <w:szCs w:val="16"/>
        </w:rPr>
        <w:t>household</w:t>
      </w:r>
      <w:r>
        <w:rPr>
          <w:sz w:val="16"/>
          <w:szCs w:val="16"/>
        </w:rPr>
        <w:t xml:space="preserve">s </w:t>
      </w:r>
      <w:r w:rsidRPr="0013294D">
        <w:rPr>
          <w:sz w:val="16"/>
          <w:szCs w:val="16"/>
        </w:rPr>
        <w:t xml:space="preserve">(repair of </w:t>
      </w:r>
      <w:r>
        <w:rPr>
          <w:sz w:val="16"/>
          <w:szCs w:val="16"/>
        </w:rPr>
        <w:t>goods</w:t>
      </w:r>
      <w:r w:rsidRPr="0013294D">
        <w:rPr>
          <w:sz w:val="16"/>
          <w:szCs w:val="16"/>
        </w:rPr>
        <w:t>s, hairdressing and cosmetic activities, etc.). However, employment in this section (</w:t>
      </w:r>
      <w:r>
        <w:rPr>
          <w:sz w:val="16"/>
          <w:szCs w:val="16"/>
        </w:rPr>
        <w:t xml:space="preserve">comprised of nearly </w:t>
      </w:r>
      <w:r w:rsidRPr="001046FA">
        <w:rPr>
          <w:sz w:val="16"/>
          <w:szCs w:val="16"/>
          <w:lang w:val="en-GB"/>
        </w:rPr>
        <w:t>40% of small entrepreneurs), which was severely affected during the period of anti-pandemic restrictions, still lagged slightly behind the 2019 level.</w:t>
      </w:r>
    </w:p>
  </w:footnote>
  <w:footnote w:id="87">
    <w:p w14:paraId="256061B2" w14:textId="77777777" w:rsidR="006145FA" w:rsidRPr="007139C7" w:rsidRDefault="006145FA" w:rsidP="00803507">
      <w:pPr>
        <w:pStyle w:val="Textpoznpodarou"/>
        <w:jc w:val="both"/>
        <w:rPr>
          <w:sz w:val="16"/>
          <w:szCs w:val="16"/>
          <w:lang w:val="en-GB"/>
        </w:rPr>
      </w:pPr>
      <w:r w:rsidRPr="00A4392F">
        <w:rPr>
          <w:rStyle w:val="Znakapoznpodarou"/>
          <w:sz w:val="16"/>
          <w:szCs w:val="16"/>
        </w:rPr>
        <w:footnoteRef/>
      </w:r>
      <w:r w:rsidRPr="00A4392F">
        <w:rPr>
          <w:sz w:val="16"/>
          <w:szCs w:val="16"/>
        </w:rPr>
        <w:t xml:space="preserve"> </w:t>
      </w:r>
      <w:r w:rsidRPr="007139C7">
        <w:rPr>
          <w:sz w:val="16"/>
          <w:szCs w:val="16"/>
          <w:lang w:val="en-GB"/>
        </w:rPr>
        <w:t xml:space="preserve">An imminent, albeit </w:t>
      </w:r>
      <w:r>
        <w:rPr>
          <w:sz w:val="16"/>
          <w:szCs w:val="16"/>
          <w:lang w:val="en-GB"/>
        </w:rPr>
        <w:t xml:space="preserve">likely </w:t>
      </w:r>
      <w:r w:rsidRPr="007139C7">
        <w:rPr>
          <w:sz w:val="16"/>
          <w:szCs w:val="16"/>
          <w:lang w:val="en-GB"/>
        </w:rPr>
        <w:t xml:space="preserve">temporary, change in demand for workers in this </w:t>
      </w:r>
      <w:r>
        <w:rPr>
          <w:sz w:val="16"/>
          <w:szCs w:val="16"/>
          <w:lang w:val="en-GB"/>
        </w:rPr>
        <w:t xml:space="preserve">branch </w:t>
      </w:r>
      <w:r w:rsidRPr="007139C7">
        <w:rPr>
          <w:sz w:val="16"/>
          <w:szCs w:val="16"/>
          <w:lang w:val="en-GB"/>
        </w:rPr>
        <w:t>was already indicated by a halt in real sales growth during 2023.</w:t>
      </w:r>
      <w:r>
        <w:rPr>
          <w:sz w:val="16"/>
          <w:szCs w:val="16"/>
          <w:lang w:val="en-GB"/>
        </w:rPr>
        <w:t xml:space="preserve"> </w:t>
      </w:r>
    </w:p>
  </w:footnote>
  <w:footnote w:id="88">
    <w:p w14:paraId="7D90AD65" w14:textId="77777777" w:rsidR="006145FA" w:rsidRPr="00917DF3" w:rsidRDefault="006145FA" w:rsidP="00803507">
      <w:pPr>
        <w:pStyle w:val="Textpoznpodarou"/>
        <w:jc w:val="both"/>
        <w:rPr>
          <w:sz w:val="16"/>
          <w:szCs w:val="16"/>
          <w:lang w:val="en-GB"/>
        </w:rPr>
      </w:pPr>
      <w:r w:rsidRPr="007139C7">
        <w:rPr>
          <w:rStyle w:val="Znakapoznpodarou"/>
          <w:sz w:val="16"/>
          <w:szCs w:val="16"/>
          <w:lang w:val="en-GB"/>
        </w:rPr>
        <w:footnoteRef/>
      </w:r>
      <w:r w:rsidRPr="007139C7">
        <w:rPr>
          <w:sz w:val="16"/>
          <w:szCs w:val="16"/>
          <w:lang w:val="en-GB"/>
        </w:rPr>
        <w:t xml:space="preserve"> </w:t>
      </w:r>
      <w:r w:rsidRPr="00917DF3">
        <w:rPr>
          <w:sz w:val="16"/>
          <w:szCs w:val="16"/>
          <w:lang w:val="en-GB"/>
        </w:rPr>
        <w:t>A decrease of employment occurred across almost all manufacturing sectors last year. The food industry (+2.1%) and also the chemical industry, where employment gradually stabilized, represented the exceptions</w:t>
      </w:r>
      <w:r>
        <w:rPr>
          <w:sz w:val="16"/>
          <w:szCs w:val="16"/>
          <w:lang w:val="en-GB"/>
        </w:rPr>
        <w:t xml:space="preserve">. </w:t>
      </w:r>
    </w:p>
  </w:footnote>
  <w:footnote w:id="89">
    <w:p w14:paraId="325903B0" w14:textId="56B28061" w:rsidR="006145FA" w:rsidRPr="00917DF3" w:rsidRDefault="006145FA" w:rsidP="00803507">
      <w:pPr>
        <w:pStyle w:val="Textpoznpodarou"/>
        <w:jc w:val="both"/>
        <w:rPr>
          <w:color w:val="0D0D0D" w:themeColor="text1" w:themeTint="F2"/>
          <w:sz w:val="16"/>
          <w:szCs w:val="16"/>
          <w:lang w:val="en-GB"/>
        </w:rPr>
      </w:pPr>
      <w:r w:rsidRPr="00917DF3">
        <w:rPr>
          <w:rStyle w:val="Znakapoznpodarou"/>
          <w:color w:val="0D0D0D" w:themeColor="text1" w:themeTint="F2"/>
          <w:sz w:val="16"/>
          <w:szCs w:val="16"/>
          <w:lang w:val="en-GB"/>
        </w:rPr>
        <w:footnoteRef/>
      </w:r>
      <w:r w:rsidRPr="00917DF3">
        <w:rPr>
          <w:color w:val="0D0D0D" w:themeColor="text1" w:themeTint="F2"/>
          <w:sz w:val="16"/>
          <w:szCs w:val="16"/>
          <w:lang w:val="en-GB"/>
        </w:rPr>
        <w:t xml:space="preserve"> </w:t>
      </w:r>
      <w:r w:rsidRPr="00603B30">
        <w:rPr>
          <w:color w:val="0D0D0D" w:themeColor="text1" w:themeTint="F2"/>
          <w:sz w:val="16"/>
          <w:szCs w:val="16"/>
        </w:rPr>
        <w:t xml:space="preserve">According to </w:t>
      </w:r>
      <w:r>
        <w:rPr>
          <w:color w:val="0D0D0D" w:themeColor="text1" w:themeTint="F2"/>
          <w:sz w:val="16"/>
          <w:szCs w:val="16"/>
        </w:rPr>
        <w:t xml:space="preserve">LFSS </w:t>
      </w:r>
      <w:r w:rsidRPr="00603B30">
        <w:rPr>
          <w:color w:val="0D0D0D" w:themeColor="text1" w:themeTint="F2"/>
          <w:sz w:val="16"/>
          <w:szCs w:val="16"/>
        </w:rPr>
        <w:t>data</w:t>
      </w:r>
      <w:r>
        <w:rPr>
          <w:color w:val="0D0D0D" w:themeColor="text1" w:themeTint="F2"/>
          <w:sz w:val="16"/>
          <w:szCs w:val="16"/>
        </w:rPr>
        <w:t xml:space="preserve">, </w:t>
      </w:r>
      <w:r w:rsidRPr="00603B30">
        <w:rPr>
          <w:color w:val="0D0D0D" w:themeColor="text1" w:themeTint="F2"/>
          <w:sz w:val="16"/>
          <w:szCs w:val="16"/>
        </w:rPr>
        <w:t>483 pe</w:t>
      </w:r>
      <w:r>
        <w:rPr>
          <w:color w:val="0D0D0D" w:themeColor="text1" w:themeTint="F2"/>
          <w:sz w:val="16"/>
          <w:szCs w:val="16"/>
        </w:rPr>
        <w:t xml:space="preserve">rsons </w:t>
      </w:r>
      <w:r w:rsidRPr="00603B30">
        <w:rPr>
          <w:color w:val="0D0D0D" w:themeColor="text1" w:themeTint="F2"/>
          <w:sz w:val="16"/>
          <w:szCs w:val="16"/>
        </w:rPr>
        <w:t xml:space="preserve">worked part-time in the Czech Republic in </w:t>
      </w:r>
      <w:r>
        <w:rPr>
          <w:color w:val="0D0D0D" w:themeColor="text1" w:themeTint="F2"/>
          <w:sz w:val="16"/>
          <w:szCs w:val="16"/>
        </w:rPr>
        <w:t xml:space="preserve">Q4 </w:t>
      </w:r>
      <w:r w:rsidR="0002044F">
        <w:rPr>
          <w:color w:val="0D0D0D" w:themeColor="text1" w:themeTint="F2"/>
          <w:sz w:val="16"/>
          <w:szCs w:val="16"/>
        </w:rPr>
        <w:t>2024</w:t>
      </w:r>
      <w:r w:rsidRPr="00603B30">
        <w:rPr>
          <w:color w:val="0D0D0D" w:themeColor="text1" w:themeTint="F2"/>
          <w:sz w:val="16"/>
          <w:szCs w:val="16"/>
        </w:rPr>
        <w:t>, up 9%</w:t>
      </w:r>
      <w:r>
        <w:rPr>
          <w:color w:val="0D0D0D" w:themeColor="text1" w:themeTint="F2"/>
          <w:sz w:val="16"/>
          <w:szCs w:val="16"/>
        </w:rPr>
        <w:t>,</w:t>
      </w:r>
      <w:r w:rsidRPr="00603B30">
        <w:rPr>
          <w:color w:val="0D0D0D" w:themeColor="text1" w:themeTint="F2"/>
          <w:sz w:val="16"/>
          <w:szCs w:val="16"/>
        </w:rPr>
        <w:t xml:space="preserve"> year-on-year (24% more in the last six years). Women contributed mainly to the growth, of whom 14.4% </w:t>
      </w:r>
      <w:r>
        <w:rPr>
          <w:color w:val="0D0D0D" w:themeColor="text1" w:themeTint="F2"/>
          <w:sz w:val="16"/>
          <w:szCs w:val="16"/>
        </w:rPr>
        <w:t xml:space="preserve">already utilised </w:t>
      </w:r>
      <w:r w:rsidRPr="00603B30">
        <w:rPr>
          <w:color w:val="0D0D0D" w:themeColor="text1" w:themeTint="F2"/>
          <w:sz w:val="16"/>
          <w:szCs w:val="16"/>
        </w:rPr>
        <w:t xml:space="preserve">this form of work (most </w:t>
      </w:r>
      <w:r>
        <w:rPr>
          <w:color w:val="0D0D0D" w:themeColor="text1" w:themeTint="F2"/>
          <w:sz w:val="16"/>
          <w:szCs w:val="16"/>
        </w:rPr>
        <w:t xml:space="preserve">freqently </w:t>
      </w:r>
      <w:r w:rsidRPr="00603B30">
        <w:rPr>
          <w:color w:val="0D0D0D" w:themeColor="text1" w:themeTint="F2"/>
          <w:sz w:val="16"/>
          <w:szCs w:val="16"/>
        </w:rPr>
        <w:t>those aged 30 to 44). However, only 5% of working men preferred it (mostly at the end of their working careers). Despite the current increase, the representation of these jobs on the domestic labour market remains relatively low.</w:t>
      </w:r>
      <w:r>
        <w:rPr>
          <w:color w:val="0D0D0D" w:themeColor="text1" w:themeTint="F2"/>
          <w:sz w:val="16"/>
          <w:szCs w:val="16"/>
        </w:rPr>
        <w:t xml:space="preserve"> The </w:t>
      </w:r>
      <w:r w:rsidRPr="00603B30">
        <w:rPr>
          <w:color w:val="0D0D0D" w:themeColor="text1" w:themeTint="F2"/>
          <w:sz w:val="16"/>
          <w:szCs w:val="16"/>
        </w:rPr>
        <w:t xml:space="preserve">share of persons employed in this way in Czechia (9.0%) </w:t>
      </w:r>
      <w:r>
        <w:rPr>
          <w:color w:val="0D0D0D" w:themeColor="text1" w:themeTint="F2"/>
          <w:sz w:val="16"/>
          <w:szCs w:val="16"/>
        </w:rPr>
        <w:t>a</w:t>
      </w:r>
      <w:r w:rsidRPr="00603B30">
        <w:rPr>
          <w:color w:val="0D0D0D" w:themeColor="text1" w:themeTint="F2"/>
          <w:sz w:val="16"/>
          <w:szCs w:val="16"/>
        </w:rPr>
        <w:t>t the end of 2024</w:t>
      </w:r>
      <w:r>
        <w:rPr>
          <w:color w:val="0D0D0D" w:themeColor="text1" w:themeTint="F2"/>
          <w:sz w:val="16"/>
          <w:szCs w:val="16"/>
        </w:rPr>
        <w:t xml:space="preserve"> </w:t>
      </w:r>
      <w:r w:rsidRPr="00603B30">
        <w:rPr>
          <w:color w:val="0D0D0D" w:themeColor="text1" w:themeTint="F2"/>
          <w:sz w:val="16"/>
          <w:szCs w:val="16"/>
        </w:rPr>
        <w:t>was only half of the value in the EU (similar relations apply to both m</w:t>
      </w:r>
      <w:r w:rsidR="0090465F">
        <w:rPr>
          <w:color w:val="0D0D0D" w:themeColor="text1" w:themeTint="F2"/>
          <w:sz w:val="16"/>
          <w:szCs w:val="16"/>
        </w:rPr>
        <w:t>ales and</w:t>
      </w:r>
      <w:r>
        <w:rPr>
          <w:color w:val="0D0D0D" w:themeColor="text1" w:themeTint="F2"/>
          <w:sz w:val="16"/>
          <w:szCs w:val="16"/>
        </w:rPr>
        <w:t xml:space="preserve"> females</w:t>
      </w:r>
      <w:r w:rsidRPr="00603B30">
        <w:rPr>
          <w:color w:val="0D0D0D" w:themeColor="text1" w:themeTint="F2"/>
          <w:sz w:val="16"/>
          <w:szCs w:val="16"/>
        </w:rPr>
        <w:t xml:space="preserve">). On the other hand, among the countries that joined the EU after 2000, only Estonia (15%) and Malta (11%) </w:t>
      </w:r>
      <w:r>
        <w:rPr>
          <w:color w:val="0D0D0D" w:themeColor="text1" w:themeTint="F2"/>
          <w:sz w:val="16"/>
          <w:szCs w:val="16"/>
        </w:rPr>
        <w:t xml:space="preserve">featured </w:t>
      </w:r>
      <w:r w:rsidRPr="00603B30">
        <w:rPr>
          <w:color w:val="0D0D0D" w:themeColor="text1" w:themeTint="F2"/>
          <w:sz w:val="16"/>
          <w:szCs w:val="16"/>
        </w:rPr>
        <w:t>a higher share than the Czech Republic</w:t>
      </w:r>
      <w:r>
        <w:rPr>
          <w:color w:val="0D0D0D" w:themeColor="text1" w:themeTint="F2"/>
          <w:sz w:val="16"/>
          <w:szCs w:val="16"/>
        </w:rPr>
        <w:t xml:space="preserve">. </w:t>
      </w:r>
    </w:p>
  </w:footnote>
  <w:footnote w:id="90">
    <w:p w14:paraId="1BEF447E" w14:textId="61D15011" w:rsidR="006145FA" w:rsidRPr="00917DF3" w:rsidRDefault="006145FA" w:rsidP="00803507">
      <w:pPr>
        <w:pStyle w:val="Textpoznpodarou"/>
        <w:jc w:val="both"/>
        <w:rPr>
          <w:sz w:val="16"/>
          <w:szCs w:val="16"/>
          <w:lang w:val="en-GB"/>
        </w:rPr>
      </w:pPr>
      <w:r w:rsidRPr="00917DF3">
        <w:rPr>
          <w:rStyle w:val="Znakapoznpodarou"/>
          <w:color w:val="0D0D0D" w:themeColor="text1" w:themeTint="F2"/>
          <w:sz w:val="16"/>
          <w:szCs w:val="16"/>
          <w:lang w:val="en-GB"/>
        </w:rPr>
        <w:footnoteRef/>
      </w:r>
      <w:r w:rsidRPr="00917DF3">
        <w:rPr>
          <w:color w:val="0D0D0D" w:themeColor="text1" w:themeTint="F2"/>
          <w:sz w:val="16"/>
          <w:szCs w:val="16"/>
          <w:lang w:val="en-GB"/>
        </w:rPr>
        <w:t xml:space="preserve"> </w:t>
      </w:r>
      <w:r w:rsidRPr="0045654E">
        <w:rPr>
          <w:color w:val="0D0D0D" w:themeColor="text1" w:themeTint="F2"/>
          <w:sz w:val="16"/>
          <w:szCs w:val="16"/>
        </w:rPr>
        <w:t xml:space="preserve">According to </w:t>
      </w:r>
      <w:r>
        <w:rPr>
          <w:color w:val="0D0D0D" w:themeColor="text1" w:themeTint="F2"/>
          <w:sz w:val="16"/>
          <w:szCs w:val="16"/>
        </w:rPr>
        <w:t xml:space="preserve">the CZSO </w:t>
      </w:r>
      <w:r w:rsidRPr="0045654E">
        <w:rPr>
          <w:color w:val="0D0D0D" w:themeColor="text1" w:themeTint="F2"/>
          <w:sz w:val="16"/>
          <w:szCs w:val="16"/>
        </w:rPr>
        <w:t>experimental statistics</w:t>
      </w:r>
      <w:r>
        <w:rPr>
          <w:color w:val="0D0D0D" w:themeColor="text1" w:themeTint="F2"/>
          <w:sz w:val="16"/>
          <w:szCs w:val="16"/>
        </w:rPr>
        <w:t xml:space="preserve">, </w:t>
      </w:r>
      <w:r w:rsidRPr="0045654E">
        <w:rPr>
          <w:color w:val="0D0D0D" w:themeColor="text1" w:themeTint="F2"/>
          <w:sz w:val="16"/>
          <w:szCs w:val="16"/>
        </w:rPr>
        <w:t xml:space="preserve">the number of persons working on </w:t>
      </w:r>
      <w:r>
        <w:rPr>
          <w:color w:val="0D0D0D" w:themeColor="text1" w:themeTint="F2"/>
          <w:sz w:val="16"/>
          <w:szCs w:val="16"/>
        </w:rPr>
        <w:t xml:space="preserve">job </w:t>
      </w:r>
      <w:r w:rsidRPr="0045654E">
        <w:rPr>
          <w:color w:val="0D0D0D" w:themeColor="text1" w:themeTint="F2"/>
          <w:sz w:val="16"/>
          <w:szCs w:val="16"/>
        </w:rPr>
        <w:t>agreement</w:t>
      </w:r>
      <w:r>
        <w:rPr>
          <w:color w:val="0D0D0D" w:themeColor="text1" w:themeTint="F2"/>
          <w:sz w:val="16"/>
          <w:szCs w:val="16"/>
        </w:rPr>
        <w:t xml:space="preserve"> contract</w:t>
      </w:r>
      <w:r w:rsidRPr="0045654E">
        <w:rPr>
          <w:color w:val="0D0D0D" w:themeColor="text1" w:themeTint="F2"/>
          <w:sz w:val="16"/>
          <w:szCs w:val="16"/>
        </w:rPr>
        <w:t>s (to complete a job, to perform work) decreased by 4%</w:t>
      </w:r>
      <w:r>
        <w:rPr>
          <w:color w:val="0D0D0D" w:themeColor="text1" w:themeTint="F2"/>
          <w:sz w:val="16"/>
          <w:szCs w:val="16"/>
        </w:rPr>
        <w:t>,</w:t>
      </w:r>
      <w:r w:rsidRPr="0045654E">
        <w:rPr>
          <w:color w:val="0D0D0D" w:themeColor="text1" w:themeTint="F2"/>
          <w:sz w:val="16"/>
          <w:szCs w:val="16"/>
        </w:rPr>
        <w:t xml:space="preserve"> year-on-year</w:t>
      </w:r>
      <w:r>
        <w:rPr>
          <w:color w:val="0D0D0D" w:themeColor="text1" w:themeTint="F2"/>
          <w:sz w:val="16"/>
          <w:szCs w:val="16"/>
        </w:rPr>
        <w:t>, in 2024</w:t>
      </w:r>
      <w:r w:rsidRPr="0045654E">
        <w:rPr>
          <w:color w:val="0D0D0D" w:themeColor="text1" w:themeTint="F2"/>
          <w:sz w:val="16"/>
          <w:szCs w:val="16"/>
        </w:rPr>
        <w:t xml:space="preserve"> and the number of hours worked by 9%. People working on </w:t>
      </w:r>
      <w:r>
        <w:rPr>
          <w:color w:val="0D0D0D" w:themeColor="text1" w:themeTint="F2"/>
          <w:sz w:val="16"/>
          <w:szCs w:val="16"/>
        </w:rPr>
        <w:t xml:space="preserve">job agreement </w:t>
      </w:r>
      <w:r w:rsidRPr="0045654E">
        <w:rPr>
          <w:color w:val="0D0D0D" w:themeColor="text1" w:themeTint="F2"/>
          <w:sz w:val="16"/>
          <w:szCs w:val="16"/>
        </w:rPr>
        <w:t xml:space="preserve">contracts for more than one employer </w:t>
      </w:r>
      <w:r>
        <w:rPr>
          <w:color w:val="0D0D0D" w:themeColor="text1" w:themeTint="F2"/>
          <w:sz w:val="16"/>
          <w:szCs w:val="16"/>
        </w:rPr>
        <w:t>simultanously ar</w:t>
      </w:r>
      <w:r w:rsidR="0090465F">
        <w:rPr>
          <w:color w:val="0D0D0D" w:themeColor="text1" w:themeTint="F2"/>
          <w:sz w:val="16"/>
          <w:szCs w:val="16"/>
        </w:rPr>
        <w:t xml:space="preserve">e included multiple times (i.e. </w:t>
      </w:r>
      <w:r w:rsidRPr="0045654E">
        <w:rPr>
          <w:color w:val="0D0D0D" w:themeColor="text1" w:themeTint="F2"/>
          <w:sz w:val="16"/>
          <w:szCs w:val="16"/>
        </w:rPr>
        <w:t>separately for each employer).</w:t>
      </w:r>
      <w:r>
        <w:rPr>
          <w:color w:val="0D0D0D" w:themeColor="text1" w:themeTint="F2"/>
          <w:sz w:val="16"/>
          <w:szCs w:val="16"/>
        </w:rPr>
        <w:t xml:space="preserve"> </w:t>
      </w:r>
    </w:p>
  </w:footnote>
  <w:footnote w:id="91">
    <w:p w14:paraId="4523492D" w14:textId="670D0DA1" w:rsidR="006145FA" w:rsidRPr="00917DF3" w:rsidRDefault="006145FA" w:rsidP="00803507">
      <w:pPr>
        <w:pStyle w:val="Textpoznpodarou"/>
        <w:jc w:val="both"/>
        <w:rPr>
          <w:sz w:val="16"/>
          <w:szCs w:val="16"/>
          <w:lang w:val="en-GB"/>
        </w:rPr>
      </w:pPr>
      <w:r w:rsidRPr="00917DF3">
        <w:rPr>
          <w:rStyle w:val="Znakapoznpodarou"/>
          <w:sz w:val="16"/>
          <w:szCs w:val="16"/>
          <w:lang w:val="en-GB"/>
        </w:rPr>
        <w:footnoteRef/>
      </w:r>
      <w:r w:rsidRPr="00917DF3">
        <w:rPr>
          <w:sz w:val="16"/>
          <w:szCs w:val="16"/>
          <w:lang w:val="en-GB"/>
        </w:rPr>
        <w:t xml:space="preserve"> </w:t>
      </w:r>
      <w:r w:rsidRPr="00607351">
        <w:rPr>
          <w:sz w:val="16"/>
          <w:szCs w:val="16"/>
        </w:rPr>
        <w:t>Roughly less than half of this increase is accounted for by persons performing two different employment positions, and a slightly larger part by employees who "additionally" act as self-employed.</w:t>
      </w:r>
      <w:r>
        <w:rPr>
          <w:sz w:val="16"/>
          <w:szCs w:val="16"/>
        </w:rPr>
        <w:t xml:space="preserve"> </w:t>
      </w:r>
      <w:r w:rsidRPr="00607351">
        <w:rPr>
          <w:sz w:val="16"/>
          <w:szCs w:val="16"/>
        </w:rPr>
        <w:t>3.9% of workers h</w:t>
      </w:r>
      <w:r>
        <w:rPr>
          <w:sz w:val="16"/>
          <w:szCs w:val="16"/>
        </w:rPr>
        <w:t xml:space="preserve">eld </w:t>
      </w:r>
      <w:r w:rsidRPr="00607351">
        <w:rPr>
          <w:sz w:val="16"/>
          <w:szCs w:val="16"/>
        </w:rPr>
        <w:t>two or more jobs in</w:t>
      </w:r>
      <w:r>
        <w:rPr>
          <w:sz w:val="16"/>
          <w:szCs w:val="16"/>
        </w:rPr>
        <w:t xml:space="preserve"> the whole EU in </w:t>
      </w:r>
      <w:r w:rsidRPr="00607351">
        <w:rPr>
          <w:sz w:val="16"/>
          <w:szCs w:val="16"/>
        </w:rPr>
        <w:t xml:space="preserve">Q3 </w:t>
      </w:r>
      <w:r w:rsidR="0090465F">
        <w:rPr>
          <w:sz w:val="16"/>
          <w:szCs w:val="16"/>
        </w:rPr>
        <w:t>2024</w:t>
      </w:r>
      <w:r w:rsidRPr="00607351">
        <w:rPr>
          <w:sz w:val="16"/>
          <w:szCs w:val="16"/>
        </w:rPr>
        <w:t xml:space="preserve">. </w:t>
      </w:r>
      <w:r>
        <w:rPr>
          <w:sz w:val="16"/>
          <w:szCs w:val="16"/>
        </w:rPr>
        <w:t>T</w:t>
      </w:r>
      <w:r w:rsidRPr="00607351">
        <w:rPr>
          <w:sz w:val="16"/>
          <w:szCs w:val="16"/>
        </w:rPr>
        <w:t xml:space="preserve">he Netherlands (10%) and Denmark (9%) had the highest proportion of </w:t>
      </w:r>
      <w:r>
        <w:rPr>
          <w:sz w:val="16"/>
          <w:szCs w:val="16"/>
        </w:rPr>
        <w:t xml:space="preserve">such </w:t>
      </w:r>
      <w:r w:rsidRPr="00607351">
        <w:rPr>
          <w:sz w:val="16"/>
          <w:szCs w:val="16"/>
        </w:rPr>
        <w:t>employed</w:t>
      </w:r>
      <w:r>
        <w:rPr>
          <w:sz w:val="16"/>
          <w:szCs w:val="16"/>
        </w:rPr>
        <w:t xml:space="preserve"> among the member states</w:t>
      </w:r>
      <w:r w:rsidRPr="00607351">
        <w:rPr>
          <w:sz w:val="16"/>
          <w:szCs w:val="16"/>
        </w:rPr>
        <w:t xml:space="preserve">, </w:t>
      </w:r>
      <w:r>
        <w:rPr>
          <w:sz w:val="16"/>
          <w:szCs w:val="16"/>
        </w:rPr>
        <w:t xml:space="preserve">it was also above average in </w:t>
      </w:r>
      <w:r w:rsidRPr="00607351">
        <w:rPr>
          <w:sz w:val="16"/>
          <w:szCs w:val="16"/>
        </w:rPr>
        <w:t>the Nordic countries and the Baltic States</w:t>
      </w:r>
      <w:r>
        <w:rPr>
          <w:sz w:val="16"/>
          <w:szCs w:val="16"/>
        </w:rPr>
        <w:t xml:space="preserve">. </w:t>
      </w:r>
    </w:p>
  </w:footnote>
  <w:footnote w:id="92">
    <w:p w14:paraId="6CB6A2AB" w14:textId="77777777" w:rsidR="006145FA" w:rsidRPr="00272A7B" w:rsidRDefault="006145FA" w:rsidP="00803507">
      <w:pPr>
        <w:pStyle w:val="Textpoznpodarou"/>
        <w:jc w:val="both"/>
        <w:rPr>
          <w:sz w:val="16"/>
          <w:szCs w:val="16"/>
          <w:lang w:val="en-US"/>
        </w:rPr>
      </w:pPr>
      <w:r w:rsidRPr="00AD3730">
        <w:rPr>
          <w:rStyle w:val="Znakapoznpodarou"/>
          <w:sz w:val="16"/>
          <w:szCs w:val="16"/>
        </w:rPr>
        <w:footnoteRef/>
      </w:r>
      <w:r>
        <w:rPr>
          <w:sz w:val="16"/>
          <w:szCs w:val="16"/>
        </w:rPr>
        <w:t xml:space="preserve"> </w:t>
      </w:r>
      <w:r w:rsidRPr="00056527">
        <w:rPr>
          <w:sz w:val="16"/>
          <w:szCs w:val="16"/>
        </w:rPr>
        <w:t xml:space="preserve">Almost four-fifths of all Ukrainian citizens (or 67% of men and 88% of women) working in the Czech Republic </w:t>
      </w:r>
      <w:r>
        <w:rPr>
          <w:sz w:val="16"/>
          <w:szCs w:val="16"/>
        </w:rPr>
        <w:t xml:space="preserve">with the employee status </w:t>
      </w:r>
      <w:r w:rsidRPr="00056527">
        <w:rPr>
          <w:sz w:val="16"/>
          <w:szCs w:val="16"/>
        </w:rPr>
        <w:t xml:space="preserve">did not need a work permit (work permit, </w:t>
      </w:r>
      <w:r>
        <w:rPr>
          <w:sz w:val="16"/>
          <w:szCs w:val="16"/>
        </w:rPr>
        <w:t xml:space="preserve">the </w:t>
      </w:r>
      <w:r w:rsidRPr="00056527">
        <w:rPr>
          <w:sz w:val="16"/>
          <w:szCs w:val="16"/>
        </w:rPr>
        <w:t xml:space="preserve">employee </w:t>
      </w:r>
      <w:r>
        <w:rPr>
          <w:sz w:val="16"/>
          <w:szCs w:val="16"/>
        </w:rPr>
        <w:t xml:space="preserve">card </w:t>
      </w:r>
      <w:r w:rsidRPr="00056527">
        <w:rPr>
          <w:sz w:val="16"/>
          <w:szCs w:val="16"/>
        </w:rPr>
        <w:t>or blue card) at the end of 2024.</w:t>
      </w:r>
      <w:r w:rsidRPr="00272A7B">
        <w:rPr>
          <w:sz w:val="16"/>
          <w:szCs w:val="16"/>
          <w:lang w:val="en-US"/>
        </w:rPr>
        <w:t xml:space="preserve"> </w:t>
      </w:r>
    </w:p>
  </w:footnote>
  <w:footnote w:id="93">
    <w:p w14:paraId="358B7B60" w14:textId="77777777" w:rsidR="006145FA" w:rsidRPr="00272A7B" w:rsidRDefault="006145FA" w:rsidP="00803507">
      <w:pPr>
        <w:pStyle w:val="Textpoznpodarou"/>
        <w:jc w:val="both"/>
        <w:rPr>
          <w:color w:val="0D0D0D" w:themeColor="text1" w:themeTint="F2"/>
          <w:sz w:val="16"/>
          <w:szCs w:val="16"/>
          <w:lang w:val="en-US"/>
        </w:rPr>
      </w:pPr>
      <w:r w:rsidRPr="00272A7B">
        <w:rPr>
          <w:rStyle w:val="Znakapoznpodarou"/>
          <w:sz w:val="16"/>
          <w:szCs w:val="16"/>
          <w:lang w:val="en-US"/>
        </w:rPr>
        <w:footnoteRef/>
      </w:r>
      <w:r w:rsidRPr="00272A7B">
        <w:rPr>
          <w:sz w:val="16"/>
          <w:szCs w:val="16"/>
          <w:lang w:val="en-US"/>
        </w:rPr>
        <w:t xml:space="preserve"> </w:t>
      </w:r>
      <w:r>
        <w:rPr>
          <w:sz w:val="16"/>
          <w:szCs w:val="16"/>
          <w:lang w:val="en-GB"/>
        </w:rPr>
        <w:t>As of 1</w:t>
      </w:r>
      <w:r w:rsidRPr="00D5581E">
        <w:rPr>
          <w:sz w:val="16"/>
          <w:szCs w:val="16"/>
          <w:vertAlign w:val="superscript"/>
          <w:lang w:val="en-GB"/>
        </w:rPr>
        <w:t>st</w:t>
      </w:r>
      <w:r>
        <w:rPr>
          <w:sz w:val="16"/>
          <w:szCs w:val="16"/>
          <w:lang w:val="en-GB"/>
        </w:rPr>
        <w:t xml:space="preserve"> July </w:t>
      </w:r>
      <w:r w:rsidRPr="00C93DDD">
        <w:rPr>
          <w:sz w:val="16"/>
          <w:szCs w:val="16"/>
          <w:lang w:val="en-GB"/>
        </w:rPr>
        <w:t>2024</w:t>
      </w:r>
      <w:r w:rsidRPr="00F178A6">
        <w:rPr>
          <w:sz w:val="16"/>
          <w:szCs w:val="16"/>
        </w:rPr>
        <w:t xml:space="preserve">, foreigners from some economically developed countries outside the EU (USA, Great Britain, Canada, Australia, New Zealand, Japan, South Korea, Israel and Singapore) do not need a work permit or employee cards in the Czech Republic. </w:t>
      </w:r>
    </w:p>
  </w:footnote>
  <w:footnote w:id="94">
    <w:p w14:paraId="4308D217" w14:textId="1E6941DB" w:rsidR="006145FA" w:rsidRPr="00272A7B" w:rsidRDefault="006145FA" w:rsidP="00803507">
      <w:pPr>
        <w:pStyle w:val="Textpoznpodarou"/>
        <w:jc w:val="both"/>
        <w:rPr>
          <w:sz w:val="16"/>
          <w:szCs w:val="16"/>
          <w:lang w:val="en-US"/>
        </w:rPr>
      </w:pPr>
      <w:r w:rsidRPr="00272A7B">
        <w:rPr>
          <w:rStyle w:val="Znakapoznpodarou"/>
          <w:color w:val="0D0D0D" w:themeColor="text1" w:themeTint="F2"/>
          <w:sz w:val="16"/>
          <w:szCs w:val="16"/>
          <w:lang w:val="en-US"/>
        </w:rPr>
        <w:footnoteRef/>
      </w:r>
      <w:r w:rsidRPr="00272A7B">
        <w:rPr>
          <w:color w:val="0D0D0D" w:themeColor="text1" w:themeTint="F2"/>
          <w:sz w:val="16"/>
          <w:szCs w:val="16"/>
          <w:lang w:val="en-US"/>
        </w:rPr>
        <w:t xml:space="preserve"> </w:t>
      </w:r>
      <w:r w:rsidRPr="00F178A6">
        <w:rPr>
          <w:sz w:val="16"/>
          <w:szCs w:val="16"/>
        </w:rPr>
        <w:t>In addition, the Ministry of Industry and Trade registered 132</w:t>
      </w:r>
      <w:r>
        <w:rPr>
          <w:sz w:val="16"/>
          <w:szCs w:val="16"/>
        </w:rPr>
        <w:t> </w:t>
      </w:r>
      <w:r w:rsidRPr="00F178A6">
        <w:rPr>
          <w:sz w:val="16"/>
          <w:szCs w:val="16"/>
        </w:rPr>
        <w:t>thousand foreign nationals with a trade license in the Czech Republic in the same period. Unlike foreigners in employment status, their growth accelerated last year (to 11%). Ukrainians accounted for almost two-th</w:t>
      </w:r>
      <w:r w:rsidR="001C74B0">
        <w:rPr>
          <w:sz w:val="16"/>
          <w:szCs w:val="16"/>
        </w:rPr>
        <w:t>irds of this growth, with 43 thousand</w:t>
      </w:r>
      <w:r w:rsidRPr="00F178A6">
        <w:rPr>
          <w:sz w:val="16"/>
          <w:szCs w:val="16"/>
        </w:rPr>
        <w:t xml:space="preserve"> doing business in the Czech Republic, followed </w:t>
      </w:r>
      <w:r>
        <w:rPr>
          <w:sz w:val="16"/>
          <w:szCs w:val="16"/>
        </w:rPr>
        <w:t xml:space="preserve">with a margin </w:t>
      </w:r>
      <w:r w:rsidRPr="00F178A6">
        <w:rPr>
          <w:sz w:val="16"/>
          <w:szCs w:val="16"/>
        </w:rPr>
        <w:t>by Slovaks (26</w:t>
      </w:r>
      <w:r>
        <w:rPr>
          <w:sz w:val="16"/>
          <w:szCs w:val="16"/>
        </w:rPr>
        <w:t> thousand</w:t>
      </w:r>
      <w:r w:rsidRPr="00F178A6">
        <w:rPr>
          <w:sz w:val="16"/>
          <w:szCs w:val="16"/>
        </w:rPr>
        <w:t>) and Vietnamese (21</w:t>
      </w:r>
      <w:r>
        <w:rPr>
          <w:sz w:val="16"/>
          <w:szCs w:val="16"/>
        </w:rPr>
        <w:t> thousand</w:t>
      </w:r>
      <w:r w:rsidRPr="00F178A6">
        <w:rPr>
          <w:sz w:val="16"/>
          <w:szCs w:val="16"/>
        </w:rPr>
        <w:t>).</w:t>
      </w:r>
      <w:r>
        <w:rPr>
          <w:sz w:val="16"/>
          <w:szCs w:val="16"/>
        </w:rPr>
        <w:t xml:space="preserve"> </w:t>
      </w:r>
      <w:r>
        <w:rPr>
          <w:color w:val="0D0D0D" w:themeColor="text1" w:themeTint="F2"/>
          <w:spacing w:val="-6"/>
          <w:sz w:val="16"/>
          <w:szCs w:val="16"/>
          <w:lang w:val="en-US"/>
        </w:rPr>
        <w:t xml:space="preserve"> </w:t>
      </w:r>
    </w:p>
  </w:footnote>
  <w:footnote w:id="95">
    <w:p w14:paraId="44708962" w14:textId="5DE0E8EC" w:rsidR="006145FA" w:rsidRPr="00272A7B" w:rsidRDefault="006145FA" w:rsidP="00803507">
      <w:pPr>
        <w:pStyle w:val="Textpoznpodarou"/>
        <w:jc w:val="both"/>
        <w:rPr>
          <w:sz w:val="16"/>
          <w:szCs w:val="16"/>
          <w:lang w:val="en-US"/>
        </w:rPr>
      </w:pPr>
      <w:r w:rsidRPr="00272A7B">
        <w:rPr>
          <w:rStyle w:val="Znakapoznpodarou"/>
          <w:color w:val="0D0D0D" w:themeColor="text1" w:themeTint="F2"/>
          <w:sz w:val="16"/>
          <w:szCs w:val="16"/>
          <w:lang w:val="en-US"/>
        </w:rPr>
        <w:footnoteRef/>
      </w:r>
      <w:r w:rsidRPr="00272A7B">
        <w:rPr>
          <w:color w:val="0D0D0D" w:themeColor="text1" w:themeTint="F2"/>
          <w:sz w:val="16"/>
          <w:szCs w:val="16"/>
          <w:lang w:val="en-US"/>
        </w:rPr>
        <w:t xml:space="preserve"> </w:t>
      </w:r>
      <w:r w:rsidRPr="000273BF">
        <w:rPr>
          <w:color w:val="0D0D0D" w:themeColor="text1" w:themeTint="F2"/>
          <w:sz w:val="16"/>
          <w:szCs w:val="16"/>
        </w:rPr>
        <w:t xml:space="preserve">From the point of view of regions, the number of foreigners increased the most in </w:t>
      </w:r>
      <w:r w:rsidRPr="00991E92">
        <w:rPr>
          <w:i/>
          <w:iCs/>
          <w:color w:val="0D0D0D" w:themeColor="text1" w:themeTint="F2"/>
          <w:sz w:val="16"/>
          <w:szCs w:val="16"/>
        </w:rPr>
        <w:t>Prague</w:t>
      </w:r>
      <w:r w:rsidRPr="000273BF">
        <w:rPr>
          <w:color w:val="0D0D0D" w:themeColor="text1" w:themeTint="F2"/>
          <w:sz w:val="16"/>
          <w:szCs w:val="16"/>
        </w:rPr>
        <w:t xml:space="preserve"> (+7.9%) and the </w:t>
      </w:r>
      <w:r w:rsidRPr="00991E92">
        <w:rPr>
          <w:i/>
          <w:iCs/>
          <w:color w:val="0D0D0D" w:themeColor="text1" w:themeTint="F2"/>
          <w:sz w:val="16"/>
          <w:szCs w:val="16"/>
        </w:rPr>
        <w:t>Olomouc</w:t>
      </w:r>
      <w:r w:rsidRPr="000273BF">
        <w:rPr>
          <w:color w:val="0D0D0D" w:themeColor="text1" w:themeTint="F2"/>
          <w:sz w:val="16"/>
          <w:szCs w:val="16"/>
        </w:rPr>
        <w:t xml:space="preserve"> </w:t>
      </w:r>
      <w:r>
        <w:rPr>
          <w:color w:val="0D0D0D" w:themeColor="text1" w:themeTint="F2"/>
          <w:sz w:val="16"/>
          <w:szCs w:val="16"/>
        </w:rPr>
        <w:t>r</w:t>
      </w:r>
      <w:r w:rsidRPr="000273BF">
        <w:rPr>
          <w:color w:val="0D0D0D" w:themeColor="text1" w:themeTint="F2"/>
          <w:sz w:val="16"/>
          <w:szCs w:val="16"/>
        </w:rPr>
        <w:t>egion (+7.5%) last year.</w:t>
      </w:r>
      <w:r>
        <w:rPr>
          <w:color w:val="0D0D0D" w:themeColor="text1" w:themeTint="F2"/>
          <w:sz w:val="16"/>
          <w:szCs w:val="16"/>
        </w:rPr>
        <w:t xml:space="preserve"> A</w:t>
      </w:r>
      <w:r w:rsidRPr="000273BF">
        <w:rPr>
          <w:color w:val="0D0D0D" w:themeColor="text1" w:themeTint="F2"/>
          <w:sz w:val="16"/>
          <w:szCs w:val="16"/>
        </w:rPr>
        <w:t xml:space="preserve">lmost a </w:t>
      </w:r>
      <w:r w:rsidR="001C74B0">
        <w:rPr>
          <w:color w:val="0D0D0D" w:themeColor="text1" w:themeTint="F2"/>
          <w:sz w:val="16"/>
          <w:szCs w:val="16"/>
        </w:rPr>
        <w:t>third of all foreigners in employeey position</w:t>
      </w:r>
      <w:r w:rsidRPr="000273BF">
        <w:rPr>
          <w:color w:val="0D0D0D" w:themeColor="text1" w:themeTint="F2"/>
          <w:sz w:val="16"/>
          <w:szCs w:val="16"/>
        </w:rPr>
        <w:t xml:space="preserve"> in the Czech Republic (</w:t>
      </w:r>
      <w:r w:rsidR="001C74B0">
        <w:rPr>
          <w:color w:val="0D0D0D" w:themeColor="text1" w:themeTint="F2"/>
          <w:sz w:val="16"/>
          <w:szCs w:val="16"/>
        </w:rPr>
        <w:t>i.e. registered with l</w:t>
      </w:r>
      <w:r w:rsidRPr="000273BF">
        <w:rPr>
          <w:color w:val="0D0D0D" w:themeColor="text1" w:themeTint="F2"/>
          <w:sz w:val="16"/>
          <w:szCs w:val="16"/>
        </w:rPr>
        <w:t xml:space="preserve">abour offices) </w:t>
      </w:r>
      <w:r>
        <w:rPr>
          <w:color w:val="0D0D0D" w:themeColor="text1" w:themeTint="F2"/>
          <w:sz w:val="16"/>
          <w:szCs w:val="16"/>
        </w:rPr>
        <w:t xml:space="preserve">thus pertained to </w:t>
      </w:r>
      <w:r w:rsidRPr="000273BF">
        <w:rPr>
          <w:color w:val="0D0D0D" w:themeColor="text1" w:themeTint="F2"/>
          <w:sz w:val="16"/>
          <w:szCs w:val="16"/>
        </w:rPr>
        <w:t>Prague</w:t>
      </w:r>
      <w:r>
        <w:rPr>
          <w:color w:val="0D0D0D" w:themeColor="text1" w:themeTint="F2"/>
          <w:sz w:val="16"/>
          <w:szCs w:val="16"/>
        </w:rPr>
        <w:t xml:space="preserve"> i</w:t>
      </w:r>
      <w:r w:rsidRPr="000273BF">
        <w:rPr>
          <w:color w:val="0D0D0D" w:themeColor="text1" w:themeTint="F2"/>
          <w:sz w:val="16"/>
          <w:szCs w:val="16"/>
        </w:rPr>
        <w:t xml:space="preserve">n December 2024, and together with </w:t>
      </w:r>
      <w:r w:rsidRPr="005B6E30">
        <w:rPr>
          <w:i/>
          <w:iCs/>
          <w:color w:val="0D0D0D" w:themeColor="text1" w:themeTint="F2"/>
          <w:sz w:val="16"/>
          <w:szCs w:val="16"/>
        </w:rPr>
        <w:t>Central Bohemia</w:t>
      </w:r>
      <w:r w:rsidRPr="000273BF">
        <w:rPr>
          <w:color w:val="0D0D0D" w:themeColor="text1" w:themeTint="F2"/>
          <w:sz w:val="16"/>
          <w:szCs w:val="16"/>
        </w:rPr>
        <w:t xml:space="preserve">, </w:t>
      </w:r>
      <w:r>
        <w:rPr>
          <w:color w:val="0D0D0D" w:themeColor="text1" w:themeTint="F2"/>
          <w:sz w:val="16"/>
          <w:szCs w:val="16"/>
        </w:rPr>
        <w:t xml:space="preserve">then nearly one </w:t>
      </w:r>
      <w:r w:rsidRPr="000273BF">
        <w:rPr>
          <w:color w:val="0D0D0D" w:themeColor="text1" w:themeTint="F2"/>
          <w:sz w:val="16"/>
          <w:szCs w:val="16"/>
        </w:rPr>
        <w:t>half.</w:t>
      </w:r>
      <w:r>
        <w:rPr>
          <w:color w:val="0D0D0D" w:themeColor="text1" w:themeTint="F2"/>
          <w:sz w:val="16"/>
          <w:szCs w:val="16"/>
        </w:rPr>
        <w:t xml:space="preserve"> </w:t>
      </w:r>
    </w:p>
  </w:footnote>
  <w:footnote w:id="96">
    <w:p w14:paraId="09EB825A" w14:textId="77777777" w:rsidR="006145FA" w:rsidRPr="005067FE" w:rsidRDefault="006145FA" w:rsidP="00803507">
      <w:pPr>
        <w:pStyle w:val="Textpoznpodarou"/>
        <w:jc w:val="both"/>
        <w:rPr>
          <w:sz w:val="16"/>
          <w:szCs w:val="16"/>
          <w:lang w:val="en-GB"/>
        </w:rPr>
      </w:pPr>
      <w:r w:rsidRPr="00126939">
        <w:rPr>
          <w:rStyle w:val="Znakapoznpodarou"/>
          <w:sz w:val="16"/>
          <w:szCs w:val="16"/>
        </w:rPr>
        <w:footnoteRef/>
      </w:r>
      <w:r w:rsidRPr="00126939">
        <w:rPr>
          <w:sz w:val="16"/>
          <w:szCs w:val="16"/>
        </w:rPr>
        <w:t xml:space="preserve"> </w:t>
      </w:r>
      <w:r w:rsidRPr="005067FE">
        <w:rPr>
          <w:sz w:val="16"/>
          <w:szCs w:val="16"/>
          <w:lang w:val="en-GB"/>
        </w:rPr>
        <w:t xml:space="preserve">Unless stated otherwise, seasonally adjusted data are used from now on. </w:t>
      </w:r>
    </w:p>
  </w:footnote>
  <w:footnote w:id="97">
    <w:p w14:paraId="2AF46F58" w14:textId="77777777" w:rsidR="006145FA" w:rsidRDefault="006145FA" w:rsidP="00803507">
      <w:pPr>
        <w:pStyle w:val="Textpoznpodarou"/>
        <w:jc w:val="both"/>
        <w:rPr>
          <w:color w:val="0D0D0D" w:themeColor="text1" w:themeTint="F2"/>
          <w:spacing w:val="-2"/>
          <w:sz w:val="16"/>
          <w:szCs w:val="16"/>
        </w:rPr>
      </w:pPr>
      <w:r w:rsidRPr="005067FE">
        <w:rPr>
          <w:rStyle w:val="Znakapoznpodarou"/>
          <w:color w:val="0D0D0D" w:themeColor="text1" w:themeTint="F2"/>
          <w:spacing w:val="-2"/>
          <w:sz w:val="16"/>
          <w:szCs w:val="16"/>
          <w:lang w:val="en-GB"/>
        </w:rPr>
        <w:footnoteRef/>
      </w:r>
      <w:r w:rsidRPr="005067FE">
        <w:rPr>
          <w:color w:val="0D0D0D" w:themeColor="text1" w:themeTint="F2"/>
          <w:spacing w:val="-2"/>
          <w:sz w:val="16"/>
          <w:szCs w:val="16"/>
          <w:lang w:val="en-GB"/>
        </w:rPr>
        <w:t xml:space="preserve"> </w:t>
      </w:r>
      <w:r w:rsidRPr="00773FF7">
        <w:rPr>
          <w:color w:val="0D0D0D" w:themeColor="text1" w:themeTint="F2"/>
          <w:spacing w:val="-2"/>
          <w:sz w:val="16"/>
          <w:szCs w:val="16"/>
        </w:rPr>
        <w:t xml:space="preserve">The prevailing negative </w:t>
      </w:r>
      <w:r>
        <w:rPr>
          <w:color w:val="0D0D0D" w:themeColor="text1" w:themeTint="F2"/>
          <w:spacing w:val="-2"/>
          <w:sz w:val="16"/>
          <w:szCs w:val="16"/>
        </w:rPr>
        <w:t xml:space="preserve">anticipatons </w:t>
      </w:r>
      <w:r w:rsidRPr="00773FF7">
        <w:rPr>
          <w:color w:val="0D0D0D" w:themeColor="text1" w:themeTint="F2"/>
          <w:spacing w:val="-2"/>
          <w:sz w:val="16"/>
          <w:szCs w:val="16"/>
        </w:rPr>
        <w:t xml:space="preserve">of employment were expressed (according to the December 2024 survey) by enterprises in 90% of manufacturing industries. </w:t>
      </w:r>
      <w:r>
        <w:rPr>
          <w:color w:val="0D0D0D" w:themeColor="text1" w:themeTint="F2"/>
          <w:spacing w:val="-2"/>
          <w:sz w:val="16"/>
          <w:szCs w:val="16"/>
        </w:rPr>
        <w:t>M</w:t>
      </w:r>
      <w:r w:rsidRPr="00773FF7">
        <w:rPr>
          <w:color w:val="0D0D0D" w:themeColor="text1" w:themeTint="F2"/>
          <w:spacing w:val="-2"/>
          <w:sz w:val="16"/>
          <w:szCs w:val="16"/>
        </w:rPr>
        <w:t xml:space="preserve">etallurgy, electronics, clothing and </w:t>
      </w:r>
      <w:r>
        <w:rPr>
          <w:color w:val="0D0D0D" w:themeColor="text1" w:themeTint="F2"/>
          <w:spacing w:val="-2"/>
          <w:sz w:val="16"/>
          <w:szCs w:val="16"/>
        </w:rPr>
        <w:t xml:space="preserve">manufacturing of </w:t>
      </w:r>
      <w:r w:rsidRPr="00773FF7">
        <w:rPr>
          <w:color w:val="0D0D0D" w:themeColor="text1" w:themeTint="F2"/>
          <w:spacing w:val="-2"/>
          <w:sz w:val="16"/>
          <w:szCs w:val="16"/>
        </w:rPr>
        <w:t>beverages</w:t>
      </w:r>
      <w:r>
        <w:rPr>
          <w:color w:val="0D0D0D" w:themeColor="text1" w:themeTint="F2"/>
          <w:spacing w:val="-2"/>
          <w:sz w:val="16"/>
          <w:szCs w:val="16"/>
        </w:rPr>
        <w:t xml:space="preserve"> recorded t</w:t>
      </w:r>
      <w:r w:rsidRPr="00773FF7">
        <w:rPr>
          <w:color w:val="0D0D0D" w:themeColor="text1" w:themeTint="F2"/>
          <w:spacing w:val="-2"/>
          <w:sz w:val="16"/>
          <w:szCs w:val="16"/>
        </w:rPr>
        <w:t xml:space="preserve">he worst prospects. On the </w:t>
      </w:r>
      <w:r>
        <w:rPr>
          <w:color w:val="0D0D0D" w:themeColor="text1" w:themeTint="F2"/>
          <w:spacing w:val="-2"/>
          <w:sz w:val="16"/>
          <w:szCs w:val="16"/>
        </w:rPr>
        <w:t>contrary</w:t>
      </w:r>
      <w:r w:rsidRPr="00773FF7">
        <w:rPr>
          <w:color w:val="0D0D0D" w:themeColor="text1" w:themeTint="F2"/>
          <w:spacing w:val="-2"/>
          <w:sz w:val="16"/>
          <w:szCs w:val="16"/>
        </w:rPr>
        <w:t xml:space="preserve">, positive prospects persisted only in </w:t>
      </w:r>
      <w:r>
        <w:rPr>
          <w:color w:val="0D0D0D" w:themeColor="text1" w:themeTint="F2"/>
          <w:spacing w:val="-2"/>
          <w:sz w:val="16"/>
          <w:szCs w:val="16"/>
        </w:rPr>
        <w:t>manufacturing o</w:t>
      </w:r>
      <w:r w:rsidRPr="00773FF7">
        <w:rPr>
          <w:color w:val="0D0D0D" w:themeColor="text1" w:themeTint="F2"/>
          <w:spacing w:val="-2"/>
          <w:sz w:val="16"/>
          <w:szCs w:val="16"/>
        </w:rPr>
        <w:t>f rail transport equipment, the food industry and the footwear industry.</w:t>
      </w:r>
    </w:p>
    <w:p w14:paraId="7E6042BB" w14:textId="77777777" w:rsidR="006145FA" w:rsidRPr="005067FE" w:rsidRDefault="006145FA" w:rsidP="00803507">
      <w:pPr>
        <w:pStyle w:val="Textpoznpodarou"/>
        <w:jc w:val="both"/>
        <w:rPr>
          <w:color w:val="0D0D0D" w:themeColor="text1" w:themeTint="F2"/>
          <w:spacing w:val="-2"/>
          <w:sz w:val="16"/>
          <w:szCs w:val="16"/>
          <w:lang w:val="en-GB"/>
        </w:rPr>
      </w:pPr>
      <w:r w:rsidRPr="00773FF7">
        <w:rPr>
          <w:color w:val="0D0D0D" w:themeColor="text1" w:themeTint="F2"/>
          <w:spacing w:val="-2"/>
          <w:sz w:val="16"/>
          <w:szCs w:val="16"/>
        </w:rPr>
        <w:t xml:space="preserve">In services, negative expectations prevailed in less than half of the sub-sectors. It was </w:t>
      </w:r>
      <w:r>
        <w:rPr>
          <w:color w:val="0D0D0D" w:themeColor="text1" w:themeTint="F2"/>
          <w:spacing w:val="-2"/>
          <w:sz w:val="16"/>
          <w:szCs w:val="16"/>
        </w:rPr>
        <w:t xml:space="preserve">the </w:t>
      </w:r>
      <w:r w:rsidRPr="00773FF7">
        <w:rPr>
          <w:color w:val="0D0D0D" w:themeColor="text1" w:themeTint="F2"/>
          <w:spacing w:val="-2"/>
          <w:sz w:val="16"/>
          <w:szCs w:val="16"/>
        </w:rPr>
        <w:t xml:space="preserve">most evident in creative, artistic and </w:t>
      </w:r>
      <w:r>
        <w:rPr>
          <w:color w:val="0D0D0D" w:themeColor="text1" w:themeTint="F2"/>
          <w:spacing w:val="-2"/>
          <w:sz w:val="16"/>
          <w:szCs w:val="16"/>
        </w:rPr>
        <w:t>amusement a</w:t>
      </w:r>
      <w:r w:rsidRPr="00773FF7">
        <w:rPr>
          <w:color w:val="0D0D0D" w:themeColor="text1" w:themeTint="F2"/>
          <w:spacing w:val="-2"/>
          <w:sz w:val="16"/>
          <w:szCs w:val="16"/>
        </w:rPr>
        <w:t>ctivities, in veterinary activities, water a</w:t>
      </w:r>
      <w:r>
        <w:rPr>
          <w:color w:val="0D0D0D" w:themeColor="text1" w:themeTint="F2"/>
          <w:spacing w:val="-2"/>
          <w:sz w:val="16"/>
          <w:szCs w:val="16"/>
        </w:rPr>
        <w:t xml:space="preserve">s well as </w:t>
      </w:r>
      <w:r w:rsidRPr="00773FF7">
        <w:rPr>
          <w:color w:val="0D0D0D" w:themeColor="text1" w:themeTint="F2"/>
          <w:spacing w:val="-2"/>
          <w:sz w:val="16"/>
          <w:szCs w:val="16"/>
        </w:rPr>
        <w:t xml:space="preserve">air transport, publishing, and at a </w:t>
      </w:r>
      <w:r>
        <w:rPr>
          <w:color w:val="0D0D0D" w:themeColor="text1" w:themeTint="F2"/>
          <w:spacing w:val="-2"/>
          <w:sz w:val="16"/>
          <w:szCs w:val="16"/>
        </w:rPr>
        <w:t>margin</w:t>
      </w:r>
      <w:r w:rsidRPr="00773FF7">
        <w:rPr>
          <w:color w:val="0D0D0D" w:themeColor="text1" w:themeTint="F2"/>
          <w:spacing w:val="-2"/>
          <w:sz w:val="16"/>
          <w:szCs w:val="16"/>
        </w:rPr>
        <w:t xml:space="preserve"> in financ</w:t>
      </w:r>
      <w:r>
        <w:rPr>
          <w:color w:val="0D0D0D" w:themeColor="text1" w:themeTint="F2"/>
          <w:spacing w:val="-2"/>
          <w:sz w:val="16"/>
          <w:szCs w:val="16"/>
        </w:rPr>
        <w:t>ial activities</w:t>
      </w:r>
      <w:r w:rsidRPr="00773FF7">
        <w:rPr>
          <w:color w:val="0D0D0D" w:themeColor="text1" w:themeTint="F2"/>
          <w:spacing w:val="-2"/>
          <w:sz w:val="16"/>
          <w:szCs w:val="16"/>
        </w:rPr>
        <w:t xml:space="preserve">, land transport </w:t>
      </w:r>
      <w:r>
        <w:rPr>
          <w:color w:val="0D0D0D" w:themeColor="text1" w:themeTint="F2"/>
          <w:spacing w:val="-2"/>
          <w:sz w:val="16"/>
          <w:szCs w:val="16"/>
        </w:rPr>
        <w:t xml:space="preserve">or </w:t>
      </w:r>
      <w:r w:rsidRPr="00773FF7">
        <w:rPr>
          <w:color w:val="0D0D0D" w:themeColor="text1" w:themeTint="F2"/>
          <w:spacing w:val="-2"/>
          <w:sz w:val="16"/>
          <w:szCs w:val="16"/>
        </w:rPr>
        <w:t xml:space="preserve">travel agencies. </w:t>
      </w:r>
      <w:r>
        <w:rPr>
          <w:color w:val="0D0D0D" w:themeColor="text1" w:themeTint="F2"/>
          <w:spacing w:val="-2"/>
          <w:sz w:val="16"/>
          <w:szCs w:val="16"/>
        </w:rPr>
        <w:t>In contrast</w:t>
      </w:r>
      <w:r w:rsidRPr="00773FF7">
        <w:rPr>
          <w:color w:val="0D0D0D" w:themeColor="text1" w:themeTint="F2"/>
          <w:spacing w:val="-2"/>
          <w:sz w:val="16"/>
          <w:szCs w:val="16"/>
        </w:rPr>
        <w:t xml:space="preserve">, optimism prevailed in postal and courier activities, insurance, legal and accounting activities, science and research, employment </w:t>
      </w:r>
      <w:r>
        <w:rPr>
          <w:color w:val="0D0D0D" w:themeColor="text1" w:themeTint="F2"/>
          <w:spacing w:val="-2"/>
          <w:sz w:val="16"/>
          <w:szCs w:val="16"/>
        </w:rPr>
        <w:t xml:space="preserve">placement </w:t>
      </w:r>
      <w:r w:rsidRPr="00773FF7">
        <w:rPr>
          <w:color w:val="0D0D0D" w:themeColor="text1" w:themeTint="F2"/>
          <w:spacing w:val="-2"/>
          <w:sz w:val="16"/>
          <w:szCs w:val="16"/>
        </w:rPr>
        <w:t xml:space="preserve">agencies and </w:t>
      </w:r>
      <w:r>
        <w:rPr>
          <w:color w:val="0D0D0D" w:themeColor="text1" w:themeTint="F2"/>
          <w:spacing w:val="-2"/>
          <w:sz w:val="16"/>
          <w:szCs w:val="16"/>
        </w:rPr>
        <w:t xml:space="preserve">majority of </w:t>
      </w:r>
      <w:r w:rsidRPr="00773FF7">
        <w:rPr>
          <w:color w:val="0D0D0D" w:themeColor="text1" w:themeTint="F2"/>
          <w:spacing w:val="-2"/>
          <w:sz w:val="16"/>
          <w:szCs w:val="16"/>
        </w:rPr>
        <w:t>information and communication activities.</w:t>
      </w:r>
      <w:r>
        <w:rPr>
          <w:color w:val="0D0D0D" w:themeColor="text1" w:themeTint="F2"/>
          <w:spacing w:val="-2"/>
          <w:sz w:val="16"/>
          <w:szCs w:val="16"/>
        </w:rPr>
        <w:t xml:space="preserve">  </w:t>
      </w:r>
    </w:p>
  </w:footnote>
  <w:footnote w:id="98">
    <w:p w14:paraId="4DECEFE0" w14:textId="77777777" w:rsidR="006145FA" w:rsidRPr="005067FE" w:rsidRDefault="006145FA" w:rsidP="00803507">
      <w:pPr>
        <w:pStyle w:val="Textpoznpodarou"/>
        <w:jc w:val="both"/>
        <w:rPr>
          <w:sz w:val="16"/>
          <w:szCs w:val="16"/>
          <w:lang w:val="en-GB"/>
        </w:rPr>
      </w:pPr>
      <w:r w:rsidRPr="005067FE">
        <w:rPr>
          <w:rStyle w:val="Znakapoznpodarou"/>
          <w:color w:val="0D0D0D" w:themeColor="text1" w:themeTint="F2"/>
          <w:sz w:val="16"/>
          <w:szCs w:val="16"/>
          <w:lang w:val="en-GB"/>
        </w:rPr>
        <w:footnoteRef/>
      </w:r>
      <w:r w:rsidRPr="005067FE">
        <w:rPr>
          <w:color w:val="0D0D0D" w:themeColor="text1" w:themeTint="F2"/>
          <w:sz w:val="16"/>
          <w:szCs w:val="16"/>
          <w:lang w:val="en-GB"/>
        </w:rPr>
        <w:t xml:space="preserve"> Businesses could have state more barriers simultaneously. </w:t>
      </w:r>
    </w:p>
  </w:footnote>
  <w:footnote w:id="99">
    <w:p w14:paraId="7C3A689B" w14:textId="77777777" w:rsidR="006145FA" w:rsidRPr="008C5574" w:rsidRDefault="006145FA" w:rsidP="00803507">
      <w:pPr>
        <w:pStyle w:val="Textpoznpodarou"/>
        <w:jc w:val="both"/>
        <w:rPr>
          <w:spacing w:val="-3"/>
          <w:sz w:val="16"/>
          <w:szCs w:val="16"/>
          <w:lang w:val="en-GB"/>
        </w:rPr>
      </w:pPr>
      <w:r w:rsidRPr="005067FE">
        <w:rPr>
          <w:rStyle w:val="Znakapoznpodarou"/>
          <w:spacing w:val="-3"/>
          <w:sz w:val="16"/>
          <w:szCs w:val="16"/>
          <w:lang w:val="en-GB"/>
        </w:rPr>
        <w:footnoteRef/>
      </w:r>
      <w:r w:rsidRPr="005067FE">
        <w:rPr>
          <w:spacing w:val="-3"/>
          <w:sz w:val="16"/>
          <w:szCs w:val="16"/>
          <w:lang w:val="en-GB"/>
        </w:rPr>
        <w:t xml:space="preserve"> </w:t>
      </w:r>
      <w:r w:rsidRPr="008C5574">
        <w:rPr>
          <w:spacing w:val="-3"/>
          <w:sz w:val="16"/>
          <w:szCs w:val="16"/>
          <w:lang w:val="en-GB"/>
        </w:rPr>
        <w:t xml:space="preserve">Unless stated otherwise, all data regarding the unemployment rates are sourced from the LFSS (based on the ILO methodology) and are adjusted for seasonal effects. </w:t>
      </w:r>
    </w:p>
  </w:footnote>
  <w:footnote w:id="100">
    <w:p w14:paraId="67CBF120" w14:textId="252B34B8" w:rsidR="006145FA" w:rsidRPr="00E97315" w:rsidRDefault="006145FA" w:rsidP="00803507">
      <w:pPr>
        <w:pStyle w:val="paragraph"/>
        <w:spacing w:before="0" w:beforeAutospacing="0" w:after="0" w:afterAutospacing="0"/>
        <w:jc w:val="both"/>
        <w:textAlignment w:val="baseline"/>
        <w:rPr>
          <w:rFonts w:ascii="Arial" w:eastAsia="Calibri" w:hAnsi="Arial"/>
          <w:color w:val="0D0D0D" w:themeColor="text1" w:themeTint="F2"/>
          <w:spacing w:val="-2"/>
          <w:sz w:val="16"/>
          <w:szCs w:val="16"/>
          <w:lang w:val="en-GB"/>
        </w:rPr>
      </w:pPr>
      <w:r w:rsidRPr="008C5574">
        <w:rPr>
          <w:rStyle w:val="Znakapoznpodarou"/>
          <w:color w:val="0D0D0D" w:themeColor="text1" w:themeTint="F2"/>
          <w:sz w:val="16"/>
          <w:szCs w:val="16"/>
          <w:lang w:val="en-GB"/>
        </w:rPr>
        <w:footnoteRef/>
      </w:r>
      <w:r w:rsidRPr="008C5574">
        <w:rPr>
          <w:color w:val="0D0D0D" w:themeColor="text1" w:themeTint="F2"/>
          <w:sz w:val="16"/>
          <w:szCs w:val="16"/>
          <w:lang w:val="en-GB"/>
        </w:rPr>
        <w:t xml:space="preserve"> </w:t>
      </w:r>
      <w:r w:rsidRPr="00C6691A">
        <w:rPr>
          <w:rFonts w:ascii="Arial" w:eastAsia="Calibri" w:hAnsi="Arial"/>
          <w:spacing w:val="-3"/>
          <w:sz w:val="16"/>
          <w:szCs w:val="16"/>
          <w:lang w:val="en-GB"/>
        </w:rPr>
        <w:t>Unemployment also remains low in the EU</w:t>
      </w:r>
      <w:r>
        <w:rPr>
          <w:rFonts w:ascii="Arial" w:eastAsia="Calibri" w:hAnsi="Arial"/>
          <w:spacing w:val="-3"/>
          <w:sz w:val="16"/>
          <w:szCs w:val="16"/>
          <w:lang w:val="en-GB"/>
        </w:rPr>
        <w:t xml:space="preserve"> - </w:t>
      </w:r>
      <w:r w:rsidRPr="00C6691A">
        <w:rPr>
          <w:rFonts w:ascii="Arial" w:eastAsia="Calibri" w:hAnsi="Arial"/>
          <w:spacing w:val="-3"/>
          <w:sz w:val="16"/>
          <w:szCs w:val="16"/>
          <w:lang w:val="en-GB"/>
        </w:rPr>
        <w:t>reaching 5.9% in the</w:t>
      </w:r>
      <w:r w:rsidR="0038369B">
        <w:rPr>
          <w:rFonts w:ascii="Arial" w:eastAsia="Calibri" w:hAnsi="Arial"/>
          <w:spacing w:val="-3"/>
          <w:sz w:val="16"/>
          <w:szCs w:val="16"/>
          <w:lang w:val="en-GB"/>
        </w:rPr>
        <w:t xml:space="preserve"> 15- to 74-year-olds group in </w:t>
      </w:r>
      <w:r w:rsidRPr="00C6691A">
        <w:rPr>
          <w:rFonts w:ascii="Arial" w:eastAsia="Calibri" w:hAnsi="Arial"/>
          <w:spacing w:val="-3"/>
          <w:sz w:val="16"/>
          <w:szCs w:val="16"/>
          <w:lang w:val="en-GB"/>
        </w:rPr>
        <w:t xml:space="preserve">December </w:t>
      </w:r>
      <w:r w:rsidR="0038369B">
        <w:rPr>
          <w:rFonts w:ascii="Arial" w:eastAsia="Calibri" w:hAnsi="Arial"/>
          <w:spacing w:val="-3"/>
          <w:sz w:val="16"/>
          <w:szCs w:val="16"/>
          <w:lang w:val="en-GB"/>
        </w:rPr>
        <w:t xml:space="preserve">2024 </w:t>
      </w:r>
      <w:r w:rsidRPr="00C6691A">
        <w:rPr>
          <w:rFonts w:ascii="Arial" w:eastAsia="Calibri" w:hAnsi="Arial"/>
          <w:spacing w:val="-3"/>
          <w:sz w:val="16"/>
          <w:szCs w:val="16"/>
          <w:lang w:val="en-GB"/>
        </w:rPr>
        <w:t xml:space="preserve">(6.3% in the euro area). It </w:t>
      </w:r>
      <w:r>
        <w:rPr>
          <w:rFonts w:ascii="Arial" w:eastAsia="Calibri" w:hAnsi="Arial"/>
          <w:spacing w:val="-3"/>
          <w:sz w:val="16"/>
          <w:szCs w:val="16"/>
          <w:lang w:val="en-GB"/>
        </w:rPr>
        <w:t xml:space="preserve">stayed </w:t>
      </w:r>
      <w:r w:rsidRPr="00C6691A">
        <w:rPr>
          <w:rFonts w:ascii="Arial" w:eastAsia="Calibri" w:hAnsi="Arial"/>
          <w:spacing w:val="-3"/>
          <w:sz w:val="16"/>
          <w:szCs w:val="16"/>
          <w:lang w:val="en-GB"/>
        </w:rPr>
        <w:t>almost unchanged</w:t>
      </w:r>
      <w:r>
        <w:rPr>
          <w:rFonts w:ascii="Arial" w:eastAsia="Calibri" w:hAnsi="Arial"/>
          <w:spacing w:val="-3"/>
          <w:sz w:val="16"/>
          <w:szCs w:val="16"/>
          <w:lang w:val="en-GB"/>
        </w:rPr>
        <w:t>,</w:t>
      </w:r>
      <w:r w:rsidRPr="00C6691A">
        <w:rPr>
          <w:rFonts w:ascii="Arial" w:eastAsia="Calibri" w:hAnsi="Arial"/>
          <w:spacing w:val="-3"/>
          <w:sz w:val="16"/>
          <w:szCs w:val="16"/>
          <w:lang w:val="en-GB"/>
        </w:rPr>
        <w:t xml:space="preserve"> month-on-month and year-on-year, </w:t>
      </w:r>
      <w:r>
        <w:rPr>
          <w:rFonts w:ascii="Arial" w:eastAsia="Calibri" w:hAnsi="Arial"/>
          <w:spacing w:val="-3"/>
          <w:sz w:val="16"/>
          <w:szCs w:val="16"/>
          <w:lang w:val="en-GB"/>
        </w:rPr>
        <w:t xml:space="preserve">nevertheless </w:t>
      </w:r>
      <w:r w:rsidRPr="00C6691A">
        <w:rPr>
          <w:rFonts w:ascii="Arial" w:eastAsia="Calibri" w:hAnsi="Arial"/>
          <w:spacing w:val="-3"/>
          <w:sz w:val="16"/>
          <w:szCs w:val="16"/>
          <w:lang w:val="en-GB"/>
        </w:rPr>
        <w:t xml:space="preserve">there was a slight improvement </w:t>
      </w:r>
      <w:r>
        <w:rPr>
          <w:rFonts w:ascii="Arial" w:eastAsia="Calibri" w:hAnsi="Arial"/>
          <w:spacing w:val="-3"/>
          <w:sz w:val="16"/>
          <w:szCs w:val="16"/>
          <w:lang w:val="en-GB"/>
        </w:rPr>
        <w:t xml:space="preserve">for females </w:t>
      </w:r>
      <w:r w:rsidRPr="00C6691A">
        <w:rPr>
          <w:rFonts w:ascii="Arial" w:eastAsia="Calibri" w:hAnsi="Arial"/>
          <w:spacing w:val="-3"/>
          <w:sz w:val="16"/>
          <w:szCs w:val="16"/>
          <w:lang w:val="en-GB"/>
        </w:rPr>
        <w:t xml:space="preserve">(to 6.1%). </w:t>
      </w:r>
      <w:r>
        <w:rPr>
          <w:rFonts w:ascii="Arial" w:eastAsia="Calibri" w:hAnsi="Arial"/>
          <w:spacing w:val="-3"/>
          <w:sz w:val="16"/>
          <w:szCs w:val="16"/>
          <w:lang w:val="en-GB"/>
        </w:rPr>
        <w:t xml:space="preserve">Total </w:t>
      </w:r>
      <w:r w:rsidRPr="00C6691A">
        <w:rPr>
          <w:rFonts w:ascii="Arial" w:eastAsia="Calibri" w:hAnsi="Arial"/>
          <w:spacing w:val="-3"/>
          <w:sz w:val="16"/>
          <w:szCs w:val="16"/>
          <w:lang w:val="en-GB"/>
        </w:rPr>
        <w:t xml:space="preserve">unemployment in the EU has been the lowest since 2000 in the available time series and is </w:t>
      </w:r>
      <w:r w:rsidR="00845373">
        <w:rPr>
          <w:rFonts w:ascii="Arial" w:eastAsia="Calibri" w:hAnsi="Arial"/>
          <w:spacing w:val="-3"/>
          <w:sz w:val="16"/>
          <w:szCs w:val="16"/>
          <w:lang w:val="en-GB"/>
        </w:rPr>
        <w:t xml:space="preserve">about </w:t>
      </w:r>
      <w:r w:rsidRPr="00C6691A">
        <w:rPr>
          <w:rFonts w:ascii="Arial" w:eastAsia="Calibri" w:hAnsi="Arial"/>
          <w:spacing w:val="-3"/>
          <w:sz w:val="16"/>
          <w:szCs w:val="16"/>
          <w:lang w:val="en-GB"/>
        </w:rPr>
        <w:t>1 p</w:t>
      </w:r>
      <w:r>
        <w:rPr>
          <w:rFonts w:ascii="Arial" w:eastAsia="Calibri" w:hAnsi="Arial"/>
          <w:spacing w:val="-3"/>
          <w:sz w:val="16"/>
          <w:szCs w:val="16"/>
          <w:lang w:val="en-GB"/>
        </w:rPr>
        <w:t xml:space="preserve">. p. </w:t>
      </w:r>
      <w:r w:rsidR="00845373">
        <w:rPr>
          <w:rFonts w:ascii="Arial" w:eastAsia="Calibri" w:hAnsi="Arial"/>
          <w:spacing w:val="-3"/>
          <w:sz w:val="16"/>
          <w:szCs w:val="16"/>
          <w:lang w:val="en-GB"/>
        </w:rPr>
        <w:t>low</w:t>
      </w:r>
      <w:r w:rsidRPr="00C6691A">
        <w:rPr>
          <w:rFonts w:ascii="Arial" w:eastAsia="Calibri" w:hAnsi="Arial"/>
          <w:spacing w:val="-3"/>
          <w:sz w:val="16"/>
          <w:szCs w:val="16"/>
          <w:lang w:val="en-GB"/>
        </w:rPr>
        <w:t xml:space="preserve">er than at the beginning of 2008 (in both the EU and the euro area). </w:t>
      </w:r>
      <w:r>
        <w:rPr>
          <w:rFonts w:ascii="Arial" w:eastAsia="Calibri" w:hAnsi="Arial"/>
          <w:spacing w:val="-3"/>
          <w:sz w:val="16"/>
          <w:szCs w:val="16"/>
          <w:lang w:val="en-GB"/>
        </w:rPr>
        <w:t xml:space="preserve">Total </w:t>
      </w:r>
      <w:r w:rsidRPr="00C6691A">
        <w:rPr>
          <w:rFonts w:ascii="Arial" w:eastAsia="Calibri" w:hAnsi="Arial"/>
          <w:spacing w:val="-3"/>
          <w:sz w:val="16"/>
          <w:szCs w:val="16"/>
          <w:lang w:val="en-GB"/>
        </w:rPr>
        <w:t>unemployment in the Czech Republic (2.6%) has been the lowest in the EU for eight consecutive years – currently ahead of Malta and Poland (both 3.0%), Germany (3.4%) and the Netherlands (3.7%). The Czech Republic traditionally h</w:t>
      </w:r>
      <w:r>
        <w:rPr>
          <w:rFonts w:ascii="Arial" w:eastAsia="Calibri" w:hAnsi="Arial"/>
          <w:spacing w:val="-3"/>
          <w:sz w:val="16"/>
          <w:szCs w:val="16"/>
          <w:lang w:val="en-GB"/>
        </w:rPr>
        <w:t>eld</w:t>
      </w:r>
      <w:r w:rsidRPr="00C6691A">
        <w:rPr>
          <w:rFonts w:ascii="Arial" w:eastAsia="Calibri" w:hAnsi="Arial"/>
          <w:spacing w:val="-3"/>
          <w:sz w:val="16"/>
          <w:szCs w:val="16"/>
          <w:lang w:val="en-GB"/>
        </w:rPr>
        <w:t xml:space="preserve"> a privileged position thanks to m</w:t>
      </w:r>
      <w:r>
        <w:rPr>
          <w:rFonts w:ascii="Arial" w:eastAsia="Calibri" w:hAnsi="Arial"/>
          <w:spacing w:val="-3"/>
          <w:sz w:val="16"/>
          <w:szCs w:val="16"/>
          <w:lang w:val="en-GB"/>
        </w:rPr>
        <w:t xml:space="preserve">ales </w:t>
      </w:r>
      <w:r w:rsidRPr="00C6691A">
        <w:rPr>
          <w:rFonts w:ascii="Arial" w:eastAsia="Calibri" w:hAnsi="Arial"/>
          <w:spacing w:val="-3"/>
          <w:sz w:val="16"/>
          <w:szCs w:val="16"/>
          <w:lang w:val="en-GB"/>
        </w:rPr>
        <w:t xml:space="preserve">(2.4%). However, even among </w:t>
      </w:r>
      <w:r>
        <w:rPr>
          <w:rFonts w:ascii="Arial" w:eastAsia="Calibri" w:hAnsi="Arial"/>
          <w:spacing w:val="-3"/>
          <w:sz w:val="16"/>
          <w:szCs w:val="16"/>
          <w:lang w:val="en-GB"/>
        </w:rPr>
        <w:t>females</w:t>
      </w:r>
      <w:r w:rsidRPr="00C6691A">
        <w:rPr>
          <w:rFonts w:ascii="Arial" w:eastAsia="Calibri" w:hAnsi="Arial"/>
          <w:spacing w:val="-3"/>
          <w:sz w:val="16"/>
          <w:szCs w:val="16"/>
          <w:lang w:val="en-GB"/>
        </w:rPr>
        <w:t>, where unemployment traditionally fluctuates more, only Malta</w:t>
      </w:r>
      <w:r>
        <w:rPr>
          <w:rFonts w:ascii="Arial" w:eastAsia="Calibri" w:hAnsi="Arial"/>
          <w:spacing w:val="-3"/>
          <w:sz w:val="16"/>
          <w:szCs w:val="16"/>
          <w:lang w:val="en-GB"/>
        </w:rPr>
        <w:t xml:space="preserve"> </w:t>
      </w:r>
      <w:r w:rsidRPr="00C6691A">
        <w:rPr>
          <w:rFonts w:ascii="Arial" w:eastAsia="Calibri" w:hAnsi="Arial"/>
          <w:spacing w:val="-3"/>
          <w:sz w:val="16"/>
          <w:szCs w:val="16"/>
          <w:lang w:val="en-GB"/>
        </w:rPr>
        <w:t>(2.9%) has currently reached a slightly lower level than in the Czech Republic</w:t>
      </w:r>
      <w:r>
        <w:rPr>
          <w:rFonts w:ascii="Arial" w:eastAsia="Calibri" w:hAnsi="Arial"/>
          <w:spacing w:val="-3"/>
          <w:sz w:val="16"/>
          <w:szCs w:val="16"/>
          <w:lang w:val="en-GB"/>
        </w:rPr>
        <w:t xml:space="preserve">. The total </w:t>
      </w:r>
      <w:r w:rsidRPr="00C6691A">
        <w:rPr>
          <w:rFonts w:ascii="Arial" w:eastAsia="Calibri" w:hAnsi="Arial"/>
          <w:spacing w:val="-3"/>
          <w:sz w:val="16"/>
          <w:szCs w:val="16"/>
          <w:lang w:val="en-GB"/>
        </w:rPr>
        <w:t>unemployment increased</w:t>
      </w:r>
      <w:r>
        <w:rPr>
          <w:rFonts w:ascii="Arial" w:eastAsia="Calibri" w:hAnsi="Arial"/>
          <w:spacing w:val="-3"/>
          <w:sz w:val="16"/>
          <w:szCs w:val="16"/>
          <w:lang w:val="en-GB"/>
        </w:rPr>
        <w:t>,</w:t>
      </w:r>
      <w:r w:rsidRPr="00C6691A">
        <w:rPr>
          <w:rFonts w:ascii="Arial" w:eastAsia="Calibri" w:hAnsi="Arial"/>
          <w:spacing w:val="-3"/>
          <w:sz w:val="16"/>
          <w:szCs w:val="16"/>
          <w:lang w:val="en-GB"/>
        </w:rPr>
        <w:t xml:space="preserve"> year-on-year</w:t>
      </w:r>
      <w:r>
        <w:rPr>
          <w:rFonts w:ascii="Arial" w:eastAsia="Calibri" w:hAnsi="Arial"/>
          <w:spacing w:val="-3"/>
          <w:sz w:val="16"/>
          <w:szCs w:val="16"/>
          <w:lang w:val="en-GB"/>
        </w:rPr>
        <w:t>, i</w:t>
      </w:r>
      <w:r w:rsidRPr="00C6691A">
        <w:rPr>
          <w:rFonts w:ascii="Arial" w:eastAsia="Calibri" w:hAnsi="Arial"/>
          <w:spacing w:val="-3"/>
          <w:sz w:val="16"/>
          <w:szCs w:val="16"/>
          <w:lang w:val="en-GB"/>
        </w:rPr>
        <w:t xml:space="preserve">n 10 Member States – most notably in Slovenia (from 3.3% to 5.2%), Denmark (from 5.8% to 7.0%) and Finland (from 7.6% to 8.7% – the third highest level in the Union). A slight deterioration also occurred in other Nordic countries and in the Benelux region. On the </w:t>
      </w:r>
      <w:r>
        <w:rPr>
          <w:rFonts w:ascii="Arial" w:eastAsia="Calibri" w:hAnsi="Arial"/>
          <w:spacing w:val="-3"/>
          <w:sz w:val="16"/>
          <w:szCs w:val="16"/>
          <w:lang w:val="en-GB"/>
        </w:rPr>
        <w:t>contrary</w:t>
      </w:r>
      <w:r w:rsidRPr="00C6691A">
        <w:rPr>
          <w:rFonts w:ascii="Arial" w:eastAsia="Calibri" w:hAnsi="Arial"/>
          <w:spacing w:val="-3"/>
          <w:sz w:val="16"/>
          <w:szCs w:val="16"/>
          <w:lang w:val="en-GB"/>
        </w:rPr>
        <w:t>, there was an improvement mainly in the south – in Italy (from 7.1% to 6.2%), where unemployment fell below the EU level for the first time in a long time. The situation also improved by 1 p</w:t>
      </w:r>
      <w:r>
        <w:rPr>
          <w:rFonts w:ascii="Arial" w:eastAsia="Calibri" w:hAnsi="Arial"/>
          <w:spacing w:val="-3"/>
          <w:sz w:val="16"/>
          <w:szCs w:val="16"/>
          <w:lang w:val="en-GB"/>
        </w:rPr>
        <w:t xml:space="preserve">. p. </w:t>
      </w:r>
      <w:r w:rsidRPr="00C6691A">
        <w:rPr>
          <w:rFonts w:ascii="Arial" w:eastAsia="Calibri" w:hAnsi="Arial"/>
          <w:spacing w:val="-3"/>
          <w:sz w:val="16"/>
          <w:szCs w:val="16"/>
          <w:lang w:val="en-GB"/>
        </w:rPr>
        <w:t xml:space="preserve">in Croatia and Cyprus (both to 4.5%) </w:t>
      </w:r>
      <w:r>
        <w:rPr>
          <w:rFonts w:ascii="Arial" w:eastAsia="Calibri" w:hAnsi="Arial"/>
          <w:spacing w:val="-3"/>
          <w:sz w:val="16"/>
          <w:szCs w:val="16"/>
          <w:lang w:val="en-GB"/>
        </w:rPr>
        <w:t xml:space="preserve">or </w:t>
      </w:r>
      <w:r w:rsidRPr="00C6691A">
        <w:rPr>
          <w:rFonts w:ascii="Arial" w:eastAsia="Calibri" w:hAnsi="Arial"/>
          <w:spacing w:val="-3"/>
          <w:sz w:val="16"/>
          <w:szCs w:val="16"/>
          <w:lang w:val="en-GB"/>
        </w:rPr>
        <w:t>Greece (9.4%). The largest decline occurred in Spain (from 11.9% to 10.6%), which is experiencing relatively rapid economic growth, wh</w:t>
      </w:r>
      <w:r>
        <w:rPr>
          <w:rFonts w:ascii="Arial" w:eastAsia="Calibri" w:hAnsi="Arial"/>
          <w:spacing w:val="-3"/>
          <w:sz w:val="16"/>
          <w:szCs w:val="16"/>
          <w:lang w:val="en-GB"/>
        </w:rPr>
        <w:t>en</w:t>
      </w:r>
      <w:r w:rsidRPr="00C6691A">
        <w:rPr>
          <w:rFonts w:ascii="Arial" w:eastAsia="Calibri" w:hAnsi="Arial"/>
          <w:spacing w:val="-3"/>
          <w:sz w:val="16"/>
          <w:szCs w:val="16"/>
          <w:lang w:val="en-GB"/>
        </w:rPr>
        <w:t xml:space="preserve"> </w:t>
      </w:r>
      <w:r w:rsidR="0038369B">
        <w:rPr>
          <w:rFonts w:ascii="Arial" w:eastAsia="Calibri" w:hAnsi="Arial"/>
          <w:spacing w:val="-3"/>
          <w:sz w:val="16"/>
          <w:szCs w:val="16"/>
          <w:lang w:val="en-GB"/>
        </w:rPr>
        <w:t xml:space="preserve">even </w:t>
      </w:r>
      <w:r w:rsidRPr="00C6691A">
        <w:rPr>
          <w:rFonts w:ascii="Arial" w:eastAsia="Calibri" w:hAnsi="Arial"/>
          <w:spacing w:val="-3"/>
          <w:sz w:val="16"/>
          <w:szCs w:val="16"/>
          <w:lang w:val="en-GB"/>
        </w:rPr>
        <w:t>sectors that are currently in decline in the EU (e.g. ind</w:t>
      </w:r>
      <w:r w:rsidR="0038369B">
        <w:rPr>
          <w:rFonts w:ascii="Arial" w:eastAsia="Calibri" w:hAnsi="Arial"/>
          <w:spacing w:val="-3"/>
          <w:sz w:val="16"/>
          <w:szCs w:val="16"/>
          <w:lang w:val="en-GB"/>
        </w:rPr>
        <w:t xml:space="preserve">ustry and construction) are </w:t>
      </w:r>
      <w:r w:rsidR="0038369B" w:rsidRPr="0038369B">
        <w:rPr>
          <w:rFonts w:ascii="Arial" w:eastAsia="Calibri" w:hAnsi="Arial"/>
          <w:spacing w:val="-3"/>
          <w:sz w:val="16"/>
          <w:szCs w:val="16"/>
          <w:lang w:val="en-GB"/>
        </w:rPr>
        <w:t>simultaneously</w:t>
      </w:r>
      <w:r w:rsidRPr="00C6691A">
        <w:rPr>
          <w:rFonts w:ascii="Arial" w:eastAsia="Calibri" w:hAnsi="Arial"/>
          <w:spacing w:val="-3"/>
          <w:sz w:val="16"/>
          <w:szCs w:val="16"/>
          <w:lang w:val="en-GB"/>
        </w:rPr>
        <w:t xml:space="preserve"> </w:t>
      </w:r>
      <w:r>
        <w:rPr>
          <w:rFonts w:ascii="Arial" w:eastAsia="Calibri" w:hAnsi="Arial"/>
          <w:spacing w:val="-3"/>
          <w:sz w:val="16"/>
          <w:szCs w:val="16"/>
          <w:lang w:val="en-GB"/>
        </w:rPr>
        <w:t>thriving</w:t>
      </w:r>
      <w:r w:rsidR="0038369B">
        <w:rPr>
          <w:rFonts w:ascii="Arial" w:eastAsia="Calibri" w:hAnsi="Arial"/>
          <w:spacing w:val="-3"/>
          <w:sz w:val="16"/>
          <w:szCs w:val="16"/>
          <w:lang w:val="en-GB"/>
        </w:rPr>
        <w:t xml:space="preserve"> in Spain. Desptie this fact</w:t>
      </w:r>
      <w:r w:rsidRPr="00C6691A">
        <w:rPr>
          <w:rFonts w:ascii="Arial" w:eastAsia="Calibri" w:hAnsi="Arial"/>
          <w:spacing w:val="-3"/>
          <w:sz w:val="16"/>
          <w:szCs w:val="16"/>
          <w:lang w:val="en-GB"/>
        </w:rPr>
        <w:t xml:space="preserve">, unemployment remains the highest </w:t>
      </w:r>
      <w:r>
        <w:rPr>
          <w:rFonts w:ascii="Arial" w:eastAsia="Calibri" w:hAnsi="Arial"/>
          <w:spacing w:val="-3"/>
          <w:sz w:val="16"/>
          <w:szCs w:val="16"/>
          <w:lang w:val="en-GB"/>
        </w:rPr>
        <w:t xml:space="preserve">within </w:t>
      </w:r>
      <w:r w:rsidRPr="00C6691A">
        <w:rPr>
          <w:rFonts w:ascii="Arial" w:eastAsia="Calibri" w:hAnsi="Arial"/>
          <w:spacing w:val="-3"/>
          <w:sz w:val="16"/>
          <w:szCs w:val="16"/>
          <w:lang w:val="en-GB"/>
        </w:rPr>
        <w:t>EU</w:t>
      </w:r>
      <w:r w:rsidR="0038369B">
        <w:rPr>
          <w:rFonts w:ascii="Arial" w:eastAsia="Calibri" w:hAnsi="Arial"/>
          <w:spacing w:val="-3"/>
          <w:sz w:val="16"/>
          <w:szCs w:val="16"/>
          <w:lang w:val="en-GB"/>
        </w:rPr>
        <w:t xml:space="preserve"> in Spain</w:t>
      </w:r>
      <w:r w:rsidRPr="00C6691A">
        <w:rPr>
          <w:rFonts w:ascii="Arial" w:eastAsia="Calibri" w:hAnsi="Arial"/>
          <w:spacing w:val="-3"/>
          <w:sz w:val="16"/>
          <w:szCs w:val="16"/>
          <w:lang w:val="en-GB"/>
        </w:rPr>
        <w:t>. The Czech Republic also has a favourable position in terms of unemployment of persons under 25 years of age, as it has long been one of the third of the EU countries with the lowest youth unemployment.</w:t>
      </w:r>
      <w:r>
        <w:rPr>
          <w:rFonts w:ascii="Arial" w:eastAsia="Calibri" w:hAnsi="Arial"/>
          <w:spacing w:val="-3"/>
          <w:sz w:val="16"/>
          <w:szCs w:val="16"/>
          <w:lang w:val="en-GB"/>
        </w:rPr>
        <w:t xml:space="preserve"> I</w:t>
      </w:r>
      <w:r w:rsidRPr="00C6691A">
        <w:rPr>
          <w:rFonts w:ascii="Arial" w:eastAsia="Calibri" w:hAnsi="Arial"/>
          <w:spacing w:val="-3"/>
          <w:sz w:val="16"/>
          <w:szCs w:val="16"/>
          <w:lang w:val="en-GB"/>
        </w:rPr>
        <w:t xml:space="preserve">t reached 9% in the Czech Republic December </w:t>
      </w:r>
      <w:r w:rsidR="0038369B">
        <w:rPr>
          <w:rFonts w:ascii="Arial" w:eastAsia="Calibri" w:hAnsi="Arial"/>
          <w:spacing w:val="-3"/>
          <w:sz w:val="16"/>
          <w:szCs w:val="16"/>
          <w:lang w:val="en-GB"/>
        </w:rPr>
        <w:t xml:space="preserve">2024 </w:t>
      </w:r>
      <w:r w:rsidRPr="00C6691A">
        <w:rPr>
          <w:rFonts w:ascii="Arial" w:eastAsia="Calibri" w:hAnsi="Arial"/>
          <w:spacing w:val="-3"/>
          <w:sz w:val="16"/>
          <w:szCs w:val="16"/>
          <w:lang w:val="en-GB"/>
        </w:rPr>
        <w:t>(15% in the EU) and unemployment of more than 20% plagued six Member States – especially the countries of the southern wing of the euro</w:t>
      </w:r>
      <w:r>
        <w:rPr>
          <w:rFonts w:ascii="Arial" w:eastAsia="Calibri" w:hAnsi="Arial"/>
          <w:spacing w:val="-3"/>
          <w:sz w:val="16"/>
          <w:szCs w:val="16"/>
          <w:lang w:val="en-GB"/>
        </w:rPr>
        <w:t xml:space="preserve"> area. </w:t>
      </w:r>
    </w:p>
  </w:footnote>
  <w:footnote w:id="101">
    <w:p w14:paraId="15EE4B58" w14:textId="77777777" w:rsidR="006145FA" w:rsidRPr="00E97315" w:rsidRDefault="006145FA" w:rsidP="00803507">
      <w:pPr>
        <w:pStyle w:val="Textpoznpodarou"/>
        <w:jc w:val="both"/>
        <w:rPr>
          <w:sz w:val="16"/>
          <w:szCs w:val="16"/>
          <w:lang w:val="en-GB"/>
        </w:rPr>
      </w:pPr>
      <w:r w:rsidRPr="00E97315">
        <w:rPr>
          <w:rStyle w:val="Znakapoznpodarou"/>
          <w:sz w:val="16"/>
          <w:szCs w:val="16"/>
          <w:lang w:val="en-GB"/>
        </w:rPr>
        <w:footnoteRef/>
      </w:r>
      <w:r w:rsidRPr="00E97315">
        <w:rPr>
          <w:sz w:val="16"/>
          <w:szCs w:val="16"/>
          <w:lang w:val="en-GB"/>
        </w:rPr>
        <w:t xml:space="preserve"> </w:t>
      </w:r>
      <w:r w:rsidRPr="00B01F20">
        <w:rPr>
          <w:sz w:val="16"/>
          <w:szCs w:val="16"/>
        </w:rPr>
        <w:t>However, only a sixth of this number is able to start work immediately. A significant part of the work reserves is made up of students and women on parental leave.</w:t>
      </w:r>
    </w:p>
  </w:footnote>
  <w:footnote w:id="102">
    <w:p w14:paraId="2883E24B" w14:textId="77777777" w:rsidR="006145FA" w:rsidRPr="00C57064" w:rsidRDefault="006145FA" w:rsidP="00803507">
      <w:pPr>
        <w:pStyle w:val="Textpoznpodarou"/>
        <w:jc w:val="both"/>
        <w:rPr>
          <w:rFonts w:cs="Arial"/>
          <w:sz w:val="16"/>
          <w:szCs w:val="16"/>
          <w:lang w:val="en-GB"/>
        </w:rPr>
      </w:pPr>
      <w:r w:rsidRPr="00E97315">
        <w:rPr>
          <w:rStyle w:val="Znakapoznpodarou"/>
          <w:sz w:val="16"/>
          <w:szCs w:val="16"/>
          <w:lang w:val="en-GB"/>
        </w:rPr>
        <w:footnoteRef/>
      </w:r>
      <w:r w:rsidRPr="00E97315">
        <w:rPr>
          <w:sz w:val="16"/>
          <w:szCs w:val="16"/>
          <w:lang w:val="en-GB"/>
        </w:rPr>
        <w:t xml:space="preserve"> </w:t>
      </w:r>
      <w:r w:rsidRPr="005D4B8E">
        <w:rPr>
          <w:sz w:val="16"/>
          <w:szCs w:val="16"/>
        </w:rPr>
        <w:t>Only a smaller proportion of jobs can be considered active –</w:t>
      </w:r>
      <w:r>
        <w:rPr>
          <w:sz w:val="16"/>
          <w:szCs w:val="16"/>
        </w:rPr>
        <w:t xml:space="preserve"> </w:t>
      </w:r>
      <w:r w:rsidRPr="005D4B8E">
        <w:rPr>
          <w:sz w:val="16"/>
          <w:szCs w:val="16"/>
        </w:rPr>
        <w:t>only 112</w:t>
      </w:r>
      <w:r>
        <w:rPr>
          <w:sz w:val="16"/>
          <w:szCs w:val="16"/>
        </w:rPr>
        <w:t> </w:t>
      </w:r>
      <w:r w:rsidRPr="005D4B8E">
        <w:rPr>
          <w:sz w:val="16"/>
          <w:szCs w:val="16"/>
        </w:rPr>
        <w:t>thousand jobs were advertised at the Labour Office</w:t>
      </w:r>
      <w:r>
        <w:rPr>
          <w:sz w:val="16"/>
          <w:szCs w:val="16"/>
        </w:rPr>
        <w:t xml:space="preserve"> </w:t>
      </w:r>
      <w:r w:rsidRPr="005D4B8E">
        <w:rPr>
          <w:sz w:val="16"/>
          <w:szCs w:val="16"/>
        </w:rPr>
        <w:t>less than half a year, down by 10</w:t>
      </w:r>
      <w:r>
        <w:rPr>
          <w:sz w:val="16"/>
          <w:szCs w:val="16"/>
        </w:rPr>
        <w:t> </w:t>
      </w:r>
      <w:r w:rsidRPr="005D4B8E">
        <w:rPr>
          <w:sz w:val="16"/>
          <w:szCs w:val="16"/>
        </w:rPr>
        <w:t>thousand</w:t>
      </w:r>
      <w:r>
        <w:rPr>
          <w:sz w:val="16"/>
          <w:szCs w:val="16"/>
        </w:rPr>
        <w:t>,</w:t>
      </w:r>
      <w:r w:rsidRPr="005D4B8E">
        <w:rPr>
          <w:sz w:val="16"/>
          <w:szCs w:val="16"/>
        </w:rPr>
        <w:t xml:space="preserve"> year-on-year (the</w:t>
      </w:r>
      <w:r>
        <w:rPr>
          <w:sz w:val="16"/>
          <w:szCs w:val="16"/>
        </w:rPr>
        <w:t xml:space="preserve"> </w:t>
      </w:r>
      <w:r w:rsidRPr="005D4B8E">
        <w:rPr>
          <w:sz w:val="16"/>
          <w:szCs w:val="16"/>
        </w:rPr>
        <w:t>decrease</w:t>
      </w:r>
      <w:r>
        <w:rPr>
          <w:sz w:val="16"/>
          <w:szCs w:val="16"/>
        </w:rPr>
        <w:t xml:space="preserve"> manifested</w:t>
      </w:r>
      <w:r w:rsidRPr="005D4B8E">
        <w:rPr>
          <w:sz w:val="16"/>
          <w:szCs w:val="16"/>
        </w:rPr>
        <w:t xml:space="preserve"> across education</w:t>
      </w:r>
      <w:r>
        <w:rPr>
          <w:sz w:val="16"/>
          <w:szCs w:val="16"/>
        </w:rPr>
        <w:t>al</w:t>
      </w:r>
      <w:r w:rsidRPr="005D4B8E">
        <w:rPr>
          <w:sz w:val="16"/>
          <w:szCs w:val="16"/>
        </w:rPr>
        <w:t xml:space="preserve"> categories). According to experimental statistics of the C</w:t>
      </w:r>
      <w:r>
        <w:rPr>
          <w:sz w:val="16"/>
          <w:szCs w:val="16"/>
        </w:rPr>
        <w:t xml:space="preserve">ZSO </w:t>
      </w:r>
      <w:r w:rsidRPr="005D4B8E">
        <w:rPr>
          <w:sz w:val="16"/>
          <w:szCs w:val="16"/>
        </w:rPr>
        <w:t xml:space="preserve">(surveys of enterprises conducted since 2020), the offer of domestic </w:t>
      </w:r>
      <w:r>
        <w:rPr>
          <w:sz w:val="16"/>
          <w:szCs w:val="16"/>
        </w:rPr>
        <w:t xml:space="preserve">businesses </w:t>
      </w:r>
      <w:r w:rsidRPr="005D4B8E">
        <w:rPr>
          <w:sz w:val="16"/>
          <w:szCs w:val="16"/>
        </w:rPr>
        <w:t>was estimated at 101</w:t>
      </w:r>
      <w:r>
        <w:rPr>
          <w:sz w:val="16"/>
          <w:szCs w:val="16"/>
        </w:rPr>
        <w:t> </w:t>
      </w:r>
      <w:r w:rsidRPr="005D4B8E">
        <w:rPr>
          <w:sz w:val="16"/>
          <w:szCs w:val="16"/>
        </w:rPr>
        <w:t>thousand vacancies</w:t>
      </w:r>
      <w:r>
        <w:rPr>
          <w:sz w:val="16"/>
          <w:szCs w:val="16"/>
        </w:rPr>
        <w:t xml:space="preserve"> </w:t>
      </w:r>
      <w:r w:rsidRPr="005D4B8E">
        <w:rPr>
          <w:sz w:val="16"/>
          <w:szCs w:val="16"/>
        </w:rPr>
        <w:t>in Q4 2024 (these are only jobs in an employment relationship, not temporary jobs, e.g. various types of agreements). The number of jobs increased by 9%</w:t>
      </w:r>
      <w:r>
        <w:rPr>
          <w:sz w:val="16"/>
          <w:szCs w:val="16"/>
        </w:rPr>
        <w:t>,</w:t>
      </w:r>
      <w:r w:rsidRPr="005D4B8E">
        <w:rPr>
          <w:sz w:val="16"/>
          <w:szCs w:val="16"/>
        </w:rPr>
        <w:t xml:space="preserve"> year-on-year (slightly growing in all quarters of last year). Currently, </w:t>
      </w:r>
      <w:r>
        <w:rPr>
          <w:sz w:val="16"/>
          <w:szCs w:val="16"/>
        </w:rPr>
        <w:t xml:space="preserve">mainly </w:t>
      </w:r>
      <w:r w:rsidRPr="005D4B8E">
        <w:rPr>
          <w:sz w:val="16"/>
          <w:szCs w:val="16"/>
        </w:rPr>
        <w:t xml:space="preserve">the supply of jobs in public services (across </w:t>
      </w:r>
      <w:r>
        <w:rPr>
          <w:sz w:val="16"/>
          <w:szCs w:val="16"/>
        </w:rPr>
        <w:t>branches</w:t>
      </w:r>
      <w:r w:rsidRPr="005D4B8E">
        <w:rPr>
          <w:sz w:val="16"/>
          <w:szCs w:val="16"/>
        </w:rPr>
        <w:t xml:space="preserve">), as well as in trade </w:t>
      </w:r>
      <w:r>
        <w:rPr>
          <w:sz w:val="16"/>
          <w:szCs w:val="16"/>
        </w:rPr>
        <w:t xml:space="preserve">or </w:t>
      </w:r>
      <w:r w:rsidRPr="005D4B8E">
        <w:rPr>
          <w:sz w:val="16"/>
          <w:szCs w:val="16"/>
        </w:rPr>
        <w:t xml:space="preserve">advanced services for businesses, has increased. </w:t>
      </w:r>
      <w:r>
        <w:rPr>
          <w:sz w:val="16"/>
          <w:szCs w:val="16"/>
        </w:rPr>
        <w:t>In contrast</w:t>
      </w:r>
      <w:r w:rsidRPr="005D4B8E">
        <w:rPr>
          <w:sz w:val="16"/>
          <w:szCs w:val="16"/>
        </w:rPr>
        <w:t xml:space="preserve">, the number of jobs offered in </w:t>
      </w:r>
      <w:r>
        <w:rPr>
          <w:sz w:val="16"/>
          <w:szCs w:val="16"/>
        </w:rPr>
        <w:t>con</w:t>
      </w:r>
      <w:r w:rsidRPr="005D4B8E">
        <w:rPr>
          <w:sz w:val="16"/>
          <w:szCs w:val="16"/>
        </w:rPr>
        <w:t xml:space="preserve">truction decreased. In industry, where a similar development persisted for eight quarters in a row, the </w:t>
      </w:r>
      <w:r>
        <w:rPr>
          <w:sz w:val="16"/>
          <w:szCs w:val="16"/>
        </w:rPr>
        <w:t xml:space="preserve">reduction of </w:t>
      </w:r>
      <w:r w:rsidRPr="005D4B8E">
        <w:rPr>
          <w:sz w:val="16"/>
          <w:szCs w:val="16"/>
        </w:rPr>
        <w:t>jobs stopped at the very end of last year (to 25</w:t>
      </w:r>
      <w:r>
        <w:rPr>
          <w:sz w:val="16"/>
          <w:szCs w:val="16"/>
        </w:rPr>
        <w:t> </w:t>
      </w:r>
      <w:r w:rsidRPr="005D4B8E">
        <w:rPr>
          <w:sz w:val="16"/>
          <w:szCs w:val="16"/>
        </w:rPr>
        <w:t>thousand). However, the largest offer of vacancies was available in the services sector (69</w:t>
      </w:r>
      <w:r>
        <w:rPr>
          <w:sz w:val="16"/>
          <w:szCs w:val="16"/>
        </w:rPr>
        <w:t> </w:t>
      </w:r>
      <w:r w:rsidRPr="005D4B8E">
        <w:rPr>
          <w:sz w:val="16"/>
          <w:szCs w:val="16"/>
        </w:rPr>
        <w:t>thousand), of which 26</w:t>
      </w:r>
      <w:r>
        <w:rPr>
          <w:sz w:val="16"/>
          <w:szCs w:val="16"/>
        </w:rPr>
        <w:t> </w:t>
      </w:r>
      <w:r w:rsidRPr="005D4B8E">
        <w:rPr>
          <w:sz w:val="16"/>
          <w:szCs w:val="16"/>
        </w:rPr>
        <w:t xml:space="preserve">thousand were in </w:t>
      </w:r>
      <w:r>
        <w:rPr>
          <w:sz w:val="16"/>
          <w:szCs w:val="16"/>
        </w:rPr>
        <w:t xml:space="preserve">branches </w:t>
      </w:r>
      <w:r w:rsidRPr="005D4B8E">
        <w:rPr>
          <w:sz w:val="16"/>
          <w:szCs w:val="16"/>
        </w:rPr>
        <w:t>with a significant role of the state.</w:t>
      </w:r>
      <w:r>
        <w:rPr>
          <w:sz w:val="16"/>
          <w:szCs w:val="16"/>
        </w:rPr>
        <w:t xml:space="preserve"> </w:t>
      </w:r>
      <w:r w:rsidRPr="00C57064">
        <w:rPr>
          <w:rStyle w:val="eop"/>
          <w:rFonts w:cs="Arial"/>
          <w:sz w:val="16"/>
          <w:szCs w:val="16"/>
          <w:lang w:val="en-GB"/>
        </w:rPr>
        <w:t xml:space="preserve">  </w:t>
      </w:r>
    </w:p>
  </w:footnote>
  <w:footnote w:id="103">
    <w:p w14:paraId="373BC173" w14:textId="77777777" w:rsidR="006145FA" w:rsidRPr="00D17CEF" w:rsidRDefault="006145FA" w:rsidP="00803507">
      <w:pPr>
        <w:pStyle w:val="Textpoznpodarou"/>
        <w:jc w:val="both"/>
        <w:rPr>
          <w:sz w:val="16"/>
          <w:szCs w:val="16"/>
          <w:lang w:val="en-GB"/>
        </w:rPr>
      </w:pPr>
      <w:r w:rsidRPr="00FA5D12">
        <w:rPr>
          <w:rStyle w:val="Znakapoznpodarou"/>
          <w:sz w:val="16"/>
          <w:szCs w:val="16"/>
        </w:rPr>
        <w:footnoteRef/>
      </w:r>
      <w:r w:rsidRPr="00FA5D12">
        <w:rPr>
          <w:sz w:val="16"/>
          <w:szCs w:val="16"/>
        </w:rPr>
        <w:t xml:space="preserve"> </w:t>
      </w:r>
      <w:r w:rsidRPr="00D17CEF">
        <w:rPr>
          <w:sz w:val="16"/>
          <w:szCs w:val="16"/>
          <w:lang w:val="en-GB"/>
        </w:rPr>
        <w:t>For example, in 2023, only 13% of all non-EU foreigners (or 9% of Ukrainians), 24% of all foreigners from EU countries, but 44% of all employees with Czech citizenship worked in the most qualified employment classes (managers, specialists, technical and professional workers) in the Czech Republic.</w:t>
      </w:r>
    </w:p>
  </w:footnote>
  <w:footnote w:id="104">
    <w:p w14:paraId="0A791FF6" w14:textId="77777777" w:rsidR="006145FA" w:rsidRPr="00D17CEF" w:rsidRDefault="006145FA" w:rsidP="00803507">
      <w:pPr>
        <w:pStyle w:val="Textpoznpodarou"/>
        <w:jc w:val="both"/>
        <w:rPr>
          <w:lang w:val="en-GB"/>
        </w:rPr>
      </w:pPr>
      <w:r w:rsidRPr="00D17CEF">
        <w:rPr>
          <w:rStyle w:val="Znakapoznpodarou"/>
          <w:sz w:val="16"/>
          <w:szCs w:val="16"/>
          <w:lang w:val="en-GB"/>
        </w:rPr>
        <w:footnoteRef/>
      </w:r>
      <w:r w:rsidRPr="00D17CEF">
        <w:rPr>
          <w:sz w:val="16"/>
          <w:szCs w:val="16"/>
          <w:lang w:val="en-GB"/>
        </w:rPr>
        <w:t xml:space="preserve"> The minimum wage was set by a new indexation mechanism last year (it is expected to gradually increase up to 47% of the average wage in 2029). From January 2025, this wage thus increased by 10% to 20,800 CZK. On the other hand, the institute of guaranteed wages was fundamentally simplified and is now used only in the salary sphere. </w:t>
      </w:r>
    </w:p>
  </w:footnote>
  <w:footnote w:id="105">
    <w:p w14:paraId="63CBE945" w14:textId="77777777" w:rsidR="006145FA" w:rsidRPr="00D17CEF" w:rsidRDefault="006145FA" w:rsidP="00803507">
      <w:pPr>
        <w:pStyle w:val="Textpoznpodarou"/>
        <w:jc w:val="both"/>
        <w:rPr>
          <w:lang w:val="en-GB"/>
        </w:rPr>
      </w:pPr>
      <w:r w:rsidRPr="00D17CEF">
        <w:rPr>
          <w:rStyle w:val="Znakapoznpodarou"/>
          <w:sz w:val="16"/>
          <w:szCs w:val="16"/>
          <w:lang w:val="en-GB"/>
        </w:rPr>
        <w:footnoteRef/>
      </w:r>
      <w:r>
        <w:rPr>
          <w:sz w:val="16"/>
          <w:szCs w:val="16"/>
        </w:rPr>
        <w:t xml:space="preserve"> T</w:t>
      </w:r>
      <w:r w:rsidRPr="006B7FB3">
        <w:rPr>
          <w:sz w:val="16"/>
          <w:szCs w:val="16"/>
        </w:rPr>
        <w:t>here have been tariff adjustments and personal allowances have increased for a large number of employees</w:t>
      </w:r>
      <w:r>
        <w:rPr>
          <w:sz w:val="16"/>
          <w:szCs w:val="16"/>
        </w:rPr>
        <w:t xml:space="preserve"> here since </w:t>
      </w:r>
      <w:r w:rsidRPr="006B7FB3">
        <w:rPr>
          <w:sz w:val="16"/>
          <w:szCs w:val="16"/>
        </w:rPr>
        <w:t>January 2024.</w:t>
      </w:r>
      <w:r>
        <w:rPr>
          <w:sz w:val="16"/>
          <w:szCs w:val="16"/>
        </w:rPr>
        <w:t xml:space="preserve"> </w:t>
      </w:r>
    </w:p>
  </w:footnote>
  <w:footnote w:id="106">
    <w:p w14:paraId="20C0F228" w14:textId="77777777" w:rsidR="006145FA" w:rsidRPr="00FD084C" w:rsidRDefault="006145FA" w:rsidP="00803507">
      <w:pPr>
        <w:pStyle w:val="Textpoznpodarou"/>
        <w:jc w:val="both"/>
        <w:rPr>
          <w:sz w:val="16"/>
          <w:szCs w:val="16"/>
          <w:lang w:val="en-GB"/>
        </w:rPr>
      </w:pPr>
      <w:r>
        <w:rPr>
          <w:rStyle w:val="Znakapoznpodarou"/>
          <w:sz w:val="16"/>
          <w:szCs w:val="16"/>
        </w:rPr>
        <w:footnoteRef/>
      </w:r>
      <w:r>
        <w:rPr>
          <w:sz w:val="16"/>
          <w:szCs w:val="16"/>
        </w:rPr>
        <w:t xml:space="preserve"> </w:t>
      </w:r>
      <w:r w:rsidRPr="00FD084C">
        <w:rPr>
          <w:sz w:val="16"/>
          <w:szCs w:val="16"/>
          <w:lang w:val="en-GB"/>
        </w:rPr>
        <w:t xml:space="preserve">The source of data in the chapter is the Czech National Bank database ARAD. Values of foreign exchange rates also stem from the CNB. </w:t>
      </w:r>
    </w:p>
  </w:footnote>
  <w:footnote w:id="107">
    <w:p w14:paraId="2516A633" w14:textId="77777777" w:rsidR="006145FA" w:rsidRPr="00FD084C" w:rsidRDefault="006145FA" w:rsidP="00803507">
      <w:pPr>
        <w:pStyle w:val="Textpoznpodarou"/>
        <w:jc w:val="both"/>
        <w:rPr>
          <w:sz w:val="16"/>
          <w:szCs w:val="16"/>
          <w:lang w:val="en-GB"/>
        </w:rPr>
      </w:pPr>
      <w:r w:rsidRPr="00FD084C">
        <w:rPr>
          <w:rStyle w:val="Znakapoznpodarou"/>
          <w:sz w:val="16"/>
          <w:szCs w:val="16"/>
          <w:lang w:val="en-GB"/>
        </w:rPr>
        <w:footnoteRef/>
      </w:r>
      <w:r w:rsidRPr="00FD084C">
        <w:rPr>
          <w:sz w:val="16"/>
          <w:szCs w:val="16"/>
          <w:lang w:val="en-GB"/>
        </w:rPr>
        <w:t xml:space="preserve"> Unless stated otherwise, as the change of interest rates is meant the difference between value as of 31</w:t>
      </w:r>
      <w:r w:rsidRPr="00FD084C">
        <w:rPr>
          <w:sz w:val="16"/>
          <w:szCs w:val="16"/>
          <w:vertAlign w:val="superscript"/>
          <w:lang w:val="en-GB"/>
        </w:rPr>
        <w:t>st</w:t>
      </w:r>
      <w:r w:rsidRPr="00FD084C">
        <w:rPr>
          <w:sz w:val="16"/>
          <w:szCs w:val="16"/>
          <w:lang w:val="en-GB"/>
        </w:rPr>
        <w:t xml:space="preserve"> December 2024 and 30</w:t>
      </w:r>
      <w:r w:rsidRPr="00FD084C">
        <w:rPr>
          <w:sz w:val="16"/>
          <w:szCs w:val="16"/>
          <w:vertAlign w:val="superscript"/>
          <w:lang w:val="en-GB"/>
        </w:rPr>
        <w:t>th</w:t>
      </w:r>
      <w:r w:rsidRPr="00FD084C">
        <w:rPr>
          <w:sz w:val="16"/>
          <w:szCs w:val="16"/>
          <w:lang w:val="en-GB"/>
        </w:rPr>
        <w:t xml:space="preserve"> September 2024. </w:t>
      </w:r>
    </w:p>
  </w:footnote>
  <w:footnote w:id="108">
    <w:p w14:paraId="70F2B8CF" w14:textId="77777777" w:rsidR="006145FA" w:rsidRPr="00FD084C" w:rsidRDefault="006145FA" w:rsidP="00803507">
      <w:pPr>
        <w:pStyle w:val="Textpoznpodarou"/>
        <w:jc w:val="both"/>
        <w:rPr>
          <w:sz w:val="16"/>
          <w:szCs w:val="16"/>
          <w:lang w:val="en-GB"/>
        </w:rPr>
      </w:pPr>
      <w:r w:rsidRPr="00FD084C">
        <w:rPr>
          <w:rStyle w:val="Znakapoznpodarou"/>
          <w:sz w:val="16"/>
          <w:szCs w:val="16"/>
          <w:lang w:val="en-GB"/>
        </w:rPr>
        <w:footnoteRef/>
      </w:r>
      <w:r w:rsidRPr="00FD084C">
        <w:rPr>
          <w:sz w:val="16"/>
          <w:szCs w:val="16"/>
          <w:lang w:val="en-GB"/>
        </w:rPr>
        <w:t xml:space="preserve"> Population including self-employed persons. </w:t>
      </w:r>
    </w:p>
  </w:footnote>
  <w:footnote w:id="109">
    <w:p w14:paraId="2AA8C593" w14:textId="77777777" w:rsidR="006145FA" w:rsidRPr="008A675C" w:rsidRDefault="006145FA" w:rsidP="00803507">
      <w:pPr>
        <w:pStyle w:val="Textpoznpodarou"/>
        <w:jc w:val="both"/>
        <w:rPr>
          <w:sz w:val="16"/>
          <w:szCs w:val="16"/>
          <w:lang w:val="en-GB"/>
        </w:rPr>
      </w:pPr>
      <w:r w:rsidRPr="00A90EF9">
        <w:rPr>
          <w:rStyle w:val="Znakapoznpodarou"/>
          <w:sz w:val="16"/>
          <w:szCs w:val="16"/>
        </w:rPr>
        <w:footnoteRef/>
      </w:r>
      <w:r w:rsidRPr="00A90EF9">
        <w:rPr>
          <w:sz w:val="16"/>
          <w:szCs w:val="16"/>
        </w:rPr>
        <w:t xml:space="preserve"> </w:t>
      </w:r>
      <w:bookmarkStart w:id="97" w:name="_Hlk195367415"/>
      <w:r>
        <w:rPr>
          <w:sz w:val="16"/>
          <w:szCs w:val="16"/>
        </w:rPr>
        <w:t xml:space="preserve">The credit from the building society accounts maintain double digit pace since the end of year </w:t>
      </w:r>
      <w:r w:rsidRPr="004839DD">
        <w:rPr>
          <w:sz w:val="16"/>
          <w:szCs w:val="16"/>
          <w:lang w:val="en-GB"/>
        </w:rPr>
        <w:t xml:space="preserve">2022. </w:t>
      </w:r>
      <w:r>
        <w:rPr>
          <w:sz w:val="16"/>
          <w:szCs w:val="16"/>
          <w:lang w:val="en-GB"/>
        </w:rPr>
        <w:t xml:space="preserve">Their maximum interest is restricted by the law, so they have become a more advantageous financing instrument compared to mortgages for the debtors. </w:t>
      </w:r>
      <w:r w:rsidRPr="008A675C">
        <w:rPr>
          <w:sz w:val="16"/>
          <w:szCs w:val="16"/>
          <w:lang w:val="en-GB"/>
        </w:rPr>
        <w:t xml:space="preserve"> </w:t>
      </w:r>
    </w:p>
    <w:bookmarkEnd w:id="97"/>
  </w:footnote>
  <w:footnote w:id="110">
    <w:p w14:paraId="27B0734B" w14:textId="77777777" w:rsidR="006145FA" w:rsidRPr="008A675C" w:rsidRDefault="006145FA" w:rsidP="00803507">
      <w:pPr>
        <w:pStyle w:val="Textpoznpodarou"/>
        <w:jc w:val="both"/>
        <w:rPr>
          <w:sz w:val="16"/>
          <w:szCs w:val="16"/>
          <w:lang w:val="en-GB"/>
        </w:rPr>
      </w:pPr>
      <w:r w:rsidRPr="008A675C">
        <w:rPr>
          <w:rStyle w:val="Znakapoznpodarou"/>
          <w:sz w:val="16"/>
          <w:szCs w:val="16"/>
          <w:lang w:val="en-GB"/>
        </w:rPr>
        <w:footnoteRef/>
      </w:r>
      <w:r w:rsidRPr="008A675C">
        <w:rPr>
          <w:sz w:val="16"/>
          <w:szCs w:val="16"/>
          <w:lang w:val="en-GB"/>
        </w:rPr>
        <w:t xml:space="preserve"> </w:t>
      </w:r>
      <w:r w:rsidRPr="007E1443">
        <w:rPr>
          <w:sz w:val="16"/>
          <w:szCs w:val="16"/>
          <w:lang w:val="en-GB"/>
        </w:rPr>
        <w:t xml:space="preserve">New contracts also include the refinanced credit and </w:t>
      </w:r>
      <w:r>
        <w:rPr>
          <w:sz w:val="16"/>
          <w:szCs w:val="16"/>
          <w:lang w:val="en-GB"/>
        </w:rPr>
        <w:t>o</w:t>
      </w:r>
      <w:r w:rsidRPr="007A3C7D">
        <w:rPr>
          <w:sz w:val="16"/>
          <w:szCs w:val="16"/>
          <w:lang w:val="en-GB"/>
        </w:rPr>
        <w:t>ther renegotiated loans</w:t>
      </w:r>
      <w:r w:rsidRPr="007E1443">
        <w:rPr>
          <w:sz w:val="16"/>
          <w:szCs w:val="16"/>
          <w:lang w:val="en-GB"/>
        </w:rPr>
        <w:t>. Refinanc</w:t>
      </w:r>
      <w:r>
        <w:rPr>
          <w:sz w:val="16"/>
          <w:szCs w:val="16"/>
          <w:lang w:val="en-GB"/>
        </w:rPr>
        <w:t xml:space="preserve">ed credit includes current contracts concluded newly at other bank, while other renegotiated loans are current contracts concluded with new conditions at the same bank. </w:t>
      </w:r>
    </w:p>
  </w:footnote>
  <w:footnote w:id="111">
    <w:p w14:paraId="3743C463" w14:textId="77777777" w:rsidR="006145FA" w:rsidRPr="008A675C" w:rsidRDefault="006145FA" w:rsidP="00803507">
      <w:pPr>
        <w:pStyle w:val="Textpoznpodarou"/>
        <w:jc w:val="both"/>
        <w:rPr>
          <w:sz w:val="16"/>
          <w:szCs w:val="16"/>
          <w:lang w:val="en-GB"/>
        </w:rPr>
      </w:pPr>
      <w:r w:rsidRPr="008A675C">
        <w:rPr>
          <w:rStyle w:val="Znakapoznpodarou"/>
          <w:sz w:val="16"/>
          <w:szCs w:val="16"/>
          <w:lang w:val="en-GB"/>
        </w:rPr>
        <w:footnoteRef/>
      </w:r>
      <w:r w:rsidRPr="008A675C">
        <w:rPr>
          <w:sz w:val="16"/>
          <w:szCs w:val="16"/>
          <w:lang w:val="en-GB"/>
        </w:rPr>
        <w:t xml:space="preserve"> </w:t>
      </w:r>
      <w:r>
        <w:rPr>
          <w:sz w:val="16"/>
          <w:szCs w:val="16"/>
          <w:lang w:val="en-GB"/>
        </w:rPr>
        <w:t xml:space="preserve">Credit in foreign currency started to rise steeply following the commencement of the repeated increase of the monetary policy-relevant rates in June </w:t>
      </w:r>
      <w:r w:rsidRPr="007E1443">
        <w:rPr>
          <w:sz w:val="16"/>
          <w:szCs w:val="16"/>
          <w:lang w:val="en-GB"/>
        </w:rPr>
        <w:t>2021.</w:t>
      </w:r>
    </w:p>
  </w:footnote>
  <w:footnote w:id="112">
    <w:p w14:paraId="3DD1D006" w14:textId="77777777" w:rsidR="006145FA" w:rsidRPr="003236D6" w:rsidRDefault="006145FA" w:rsidP="00803507">
      <w:pPr>
        <w:pStyle w:val="Textpoznpodarou"/>
        <w:jc w:val="both"/>
        <w:rPr>
          <w:spacing w:val="-2"/>
          <w:sz w:val="16"/>
          <w:szCs w:val="16"/>
          <w:lang w:val="en-GB"/>
        </w:rPr>
      </w:pPr>
      <w:r w:rsidRPr="008332EA">
        <w:rPr>
          <w:rStyle w:val="Znakapoznpodarou"/>
          <w:spacing w:val="-2"/>
          <w:sz w:val="16"/>
          <w:szCs w:val="16"/>
        </w:rPr>
        <w:footnoteRef/>
      </w:r>
      <w:r w:rsidRPr="008332EA">
        <w:rPr>
          <w:spacing w:val="-2"/>
          <w:sz w:val="16"/>
          <w:szCs w:val="16"/>
        </w:rPr>
        <w:t xml:space="preserve"> </w:t>
      </w:r>
      <w:r w:rsidRPr="003236D6">
        <w:rPr>
          <w:rFonts w:eastAsia="Times New Roman"/>
          <w:spacing w:val="-2"/>
          <w:sz w:val="16"/>
          <w:szCs w:val="16"/>
          <w:lang w:val="en-GB"/>
        </w:rPr>
        <w:t xml:space="preserve">Unless stated otherwise, all data related to the state budget stem from the data of the Ministry of Finance (MF) of the CR regarding the treasury fulfilment. </w:t>
      </w:r>
    </w:p>
  </w:footnote>
  <w:footnote w:id="113">
    <w:p w14:paraId="352649A7" w14:textId="77777777" w:rsidR="006145FA" w:rsidRPr="003236D6" w:rsidRDefault="006145FA" w:rsidP="00803507">
      <w:pPr>
        <w:autoSpaceDE w:val="0"/>
        <w:autoSpaceDN w:val="0"/>
        <w:adjustRightInd w:val="0"/>
        <w:spacing w:after="0" w:line="240" w:lineRule="auto"/>
        <w:rPr>
          <w:rFonts w:eastAsia="Calibri" w:cs="Arial"/>
          <w:color w:val="0D0D0D" w:themeColor="text1" w:themeTint="F2"/>
          <w:spacing w:val="-2"/>
          <w:sz w:val="16"/>
          <w:szCs w:val="16"/>
          <w:lang w:val="en-GB" w:eastAsia="en-US"/>
        </w:rPr>
      </w:pPr>
      <w:r w:rsidRPr="003236D6">
        <w:rPr>
          <w:rStyle w:val="Znakapoznpodarou"/>
          <w:spacing w:val="-2"/>
          <w:sz w:val="16"/>
          <w:szCs w:val="16"/>
          <w:lang w:val="en-GB"/>
        </w:rPr>
        <w:footnoteRef/>
      </w:r>
      <w:r w:rsidRPr="003236D6">
        <w:rPr>
          <w:spacing w:val="-2"/>
          <w:sz w:val="16"/>
          <w:szCs w:val="16"/>
          <w:lang w:val="en-GB"/>
        </w:rPr>
        <w:t xml:space="preserve"> This budget deficit trend is also evident after its adjusting for funds from the EU budget, including financial mechanisms (FM). These are funds for programmes from the EU and FM budgets, which were pre-financed from the SB and subsequently paid from the EU and FM budget. Excluding these funds, which are contained in the approved SB with a neutral impact, the deficit amounted to 287.4 bn CZK for the whole of last year and it was by 13.2 bn CZK lower, year-on-year.</w:t>
      </w:r>
    </w:p>
  </w:footnote>
  <w:footnote w:id="114">
    <w:p w14:paraId="18E44C7C" w14:textId="77777777" w:rsidR="006145FA" w:rsidRPr="003236D6" w:rsidRDefault="006145FA" w:rsidP="00803507">
      <w:pPr>
        <w:pStyle w:val="Textpoznpodarou"/>
        <w:jc w:val="both"/>
        <w:rPr>
          <w:color w:val="0D0D0D" w:themeColor="text1" w:themeTint="F2"/>
          <w:spacing w:val="-2"/>
          <w:sz w:val="16"/>
          <w:szCs w:val="16"/>
          <w:lang w:val="en-GB"/>
        </w:rPr>
      </w:pPr>
      <w:r w:rsidRPr="003236D6">
        <w:rPr>
          <w:rStyle w:val="Znakapoznpodarou"/>
          <w:color w:val="0D0D0D" w:themeColor="text1" w:themeTint="F2"/>
          <w:sz w:val="16"/>
          <w:szCs w:val="16"/>
          <w:lang w:val="en-GB"/>
        </w:rPr>
        <w:footnoteRef/>
      </w:r>
      <w:r w:rsidRPr="003236D6">
        <w:rPr>
          <w:color w:val="0D0D0D" w:themeColor="text1" w:themeTint="F2"/>
          <w:sz w:val="16"/>
          <w:szCs w:val="16"/>
          <w:lang w:val="en-GB"/>
        </w:rPr>
        <w:t xml:space="preserve"> </w:t>
      </w:r>
      <w:r>
        <w:rPr>
          <w:color w:val="0D0D0D" w:themeColor="text1" w:themeTint="F2"/>
          <w:sz w:val="16"/>
          <w:szCs w:val="16"/>
          <w:lang w:val="en-GB"/>
        </w:rPr>
        <w:t xml:space="preserve">It concerns </w:t>
      </w:r>
      <w:r w:rsidRPr="003236D6">
        <w:rPr>
          <w:sz w:val="16"/>
          <w:szCs w:val="16"/>
          <w:lang w:val="en-GB"/>
        </w:rPr>
        <w:t>Act No. 4</w:t>
      </w:r>
      <w:r>
        <w:rPr>
          <w:sz w:val="16"/>
          <w:szCs w:val="16"/>
          <w:lang w:val="en-GB"/>
        </w:rPr>
        <w:t>33</w:t>
      </w:r>
      <w:r w:rsidRPr="003236D6">
        <w:rPr>
          <w:sz w:val="16"/>
          <w:szCs w:val="16"/>
          <w:lang w:val="en-GB"/>
        </w:rPr>
        <w:t>/2023 Coll., on the state budget for year 202</w:t>
      </w:r>
      <w:r>
        <w:rPr>
          <w:sz w:val="16"/>
          <w:szCs w:val="16"/>
          <w:lang w:val="en-GB"/>
        </w:rPr>
        <w:t>4</w:t>
      </w:r>
      <w:r w:rsidRPr="003236D6">
        <w:rPr>
          <w:sz w:val="16"/>
          <w:szCs w:val="16"/>
          <w:lang w:val="en-GB"/>
        </w:rPr>
        <w:t xml:space="preserve"> (</w:t>
      </w:r>
      <w:r>
        <w:rPr>
          <w:sz w:val="16"/>
          <w:szCs w:val="16"/>
          <w:lang w:val="en-GB"/>
        </w:rPr>
        <w:t xml:space="preserve">approved at the end of </w:t>
      </w:r>
      <w:r w:rsidRPr="003236D6">
        <w:rPr>
          <w:sz w:val="16"/>
          <w:szCs w:val="16"/>
          <w:lang w:val="en-GB"/>
        </w:rPr>
        <w:t>November 202</w:t>
      </w:r>
      <w:r>
        <w:rPr>
          <w:sz w:val="16"/>
          <w:szCs w:val="16"/>
          <w:lang w:val="en-GB"/>
        </w:rPr>
        <w:t>3</w:t>
      </w:r>
      <w:r w:rsidRPr="003236D6">
        <w:rPr>
          <w:sz w:val="16"/>
          <w:szCs w:val="16"/>
          <w:lang w:val="en-GB"/>
        </w:rPr>
        <w:t>)</w:t>
      </w:r>
      <w:r>
        <w:rPr>
          <w:sz w:val="16"/>
          <w:szCs w:val="16"/>
          <w:lang w:val="en-GB"/>
        </w:rPr>
        <w:t xml:space="preserve">. </w:t>
      </w:r>
    </w:p>
  </w:footnote>
  <w:footnote w:id="115">
    <w:p w14:paraId="0956E919" w14:textId="77777777" w:rsidR="006145FA" w:rsidRPr="003236D6" w:rsidRDefault="006145FA" w:rsidP="00803507">
      <w:pPr>
        <w:pStyle w:val="Textpoznpodarou"/>
        <w:jc w:val="both"/>
        <w:rPr>
          <w:sz w:val="16"/>
          <w:szCs w:val="16"/>
          <w:lang w:val="en-GB"/>
        </w:rPr>
      </w:pPr>
      <w:r w:rsidRPr="003236D6">
        <w:rPr>
          <w:rStyle w:val="Znakapoznpodarou"/>
          <w:color w:val="0D0D0D" w:themeColor="text1" w:themeTint="F2"/>
          <w:sz w:val="16"/>
          <w:szCs w:val="16"/>
          <w:lang w:val="en-GB"/>
        </w:rPr>
        <w:footnoteRef/>
      </w:r>
      <w:r w:rsidRPr="003236D6">
        <w:rPr>
          <w:color w:val="0D0D0D" w:themeColor="text1" w:themeTint="F2"/>
          <w:sz w:val="16"/>
          <w:szCs w:val="16"/>
          <w:lang w:val="en-GB"/>
        </w:rPr>
        <w:t xml:space="preserve"> </w:t>
      </w:r>
      <w:r>
        <w:rPr>
          <w:color w:val="0D0D0D" w:themeColor="text1" w:themeTint="F2"/>
          <w:sz w:val="16"/>
          <w:szCs w:val="16"/>
          <w:lang w:val="en-GB"/>
        </w:rPr>
        <w:t xml:space="preserve">It concerns Act No. </w:t>
      </w:r>
      <w:r w:rsidRPr="003236D6">
        <w:rPr>
          <w:color w:val="0D0D0D" w:themeColor="text1" w:themeTint="F2"/>
          <w:spacing w:val="-2"/>
          <w:sz w:val="16"/>
          <w:szCs w:val="16"/>
          <w:lang w:val="en-GB"/>
        </w:rPr>
        <w:t xml:space="preserve">294/2024 </w:t>
      </w:r>
      <w:r>
        <w:rPr>
          <w:color w:val="0D0D0D" w:themeColor="text1" w:themeTint="F2"/>
          <w:spacing w:val="-2"/>
          <w:sz w:val="16"/>
          <w:szCs w:val="16"/>
          <w:lang w:val="en-GB"/>
        </w:rPr>
        <w:t>Coll</w:t>
      </w:r>
      <w:r w:rsidRPr="003236D6">
        <w:rPr>
          <w:color w:val="0D0D0D" w:themeColor="text1" w:themeTint="F2"/>
          <w:spacing w:val="-2"/>
          <w:sz w:val="16"/>
          <w:szCs w:val="16"/>
          <w:lang w:val="en-GB"/>
        </w:rPr>
        <w:t xml:space="preserve">., </w:t>
      </w:r>
      <w:r>
        <w:rPr>
          <w:color w:val="0D0D0D" w:themeColor="text1" w:themeTint="F2"/>
          <w:spacing w:val="-2"/>
          <w:sz w:val="16"/>
          <w:szCs w:val="16"/>
          <w:lang w:val="en-GB"/>
        </w:rPr>
        <w:t xml:space="preserve">approved at the beginning of October </w:t>
      </w:r>
      <w:r w:rsidRPr="003236D6">
        <w:rPr>
          <w:color w:val="0D0D0D" w:themeColor="text1" w:themeTint="F2"/>
          <w:spacing w:val="-2"/>
          <w:sz w:val="16"/>
          <w:szCs w:val="16"/>
          <w:lang w:val="en-GB"/>
        </w:rPr>
        <w:t>2024,</w:t>
      </w:r>
      <w:r>
        <w:rPr>
          <w:color w:val="0D0D0D" w:themeColor="text1" w:themeTint="F2"/>
          <w:spacing w:val="-2"/>
          <w:sz w:val="16"/>
          <w:szCs w:val="16"/>
          <w:lang w:val="en-GB"/>
        </w:rPr>
        <w:t xml:space="preserve"> which amends the above stated Act on the SB </w:t>
      </w:r>
      <w:r w:rsidRPr="003236D6">
        <w:rPr>
          <w:color w:val="0D0D0D" w:themeColor="text1" w:themeTint="F2"/>
          <w:spacing w:val="-2"/>
          <w:sz w:val="16"/>
          <w:szCs w:val="16"/>
          <w:lang w:val="en-GB"/>
        </w:rPr>
        <w:t>(</w:t>
      </w:r>
      <w:r>
        <w:rPr>
          <w:color w:val="0D0D0D" w:themeColor="text1" w:themeTint="F2"/>
          <w:spacing w:val="-2"/>
          <w:sz w:val="16"/>
          <w:szCs w:val="16"/>
          <w:lang w:val="en-GB"/>
        </w:rPr>
        <w:t>No</w:t>
      </w:r>
      <w:r w:rsidRPr="003236D6">
        <w:rPr>
          <w:color w:val="0D0D0D" w:themeColor="text1" w:themeTint="F2"/>
          <w:spacing w:val="-2"/>
          <w:sz w:val="16"/>
          <w:szCs w:val="16"/>
          <w:lang w:val="en-GB"/>
        </w:rPr>
        <w:t xml:space="preserve">. 433/2023 </w:t>
      </w:r>
      <w:r>
        <w:rPr>
          <w:color w:val="0D0D0D" w:themeColor="text1" w:themeTint="F2"/>
          <w:spacing w:val="-2"/>
          <w:sz w:val="16"/>
          <w:szCs w:val="16"/>
          <w:lang w:val="en-GB"/>
        </w:rPr>
        <w:t>Coll</w:t>
      </w:r>
      <w:r w:rsidRPr="003236D6">
        <w:rPr>
          <w:color w:val="0D0D0D" w:themeColor="text1" w:themeTint="F2"/>
          <w:spacing w:val="-2"/>
          <w:sz w:val="16"/>
          <w:szCs w:val="16"/>
          <w:lang w:val="en-GB"/>
        </w:rPr>
        <w:t>.).</w:t>
      </w:r>
    </w:p>
  </w:footnote>
  <w:footnote w:id="116">
    <w:p w14:paraId="66391276" w14:textId="77777777" w:rsidR="006145FA" w:rsidRPr="004847C8" w:rsidRDefault="006145FA" w:rsidP="00803507">
      <w:pPr>
        <w:pStyle w:val="Textpoznpodarou"/>
        <w:jc w:val="both"/>
        <w:rPr>
          <w:color w:val="0D0D0D" w:themeColor="text1" w:themeTint="F2"/>
          <w:spacing w:val="-2"/>
          <w:sz w:val="16"/>
          <w:szCs w:val="16"/>
          <w:lang w:val="en-GB"/>
        </w:rPr>
      </w:pPr>
      <w:r w:rsidRPr="00903A52">
        <w:rPr>
          <w:rStyle w:val="Znakapoznpodarou"/>
          <w:spacing w:val="-2"/>
          <w:sz w:val="16"/>
          <w:szCs w:val="16"/>
        </w:rPr>
        <w:footnoteRef/>
      </w:r>
      <w:r w:rsidRPr="00903A52">
        <w:rPr>
          <w:spacing w:val="-2"/>
          <w:sz w:val="16"/>
          <w:szCs w:val="16"/>
        </w:rPr>
        <w:t xml:space="preserve"> </w:t>
      </w:r>
      <w:bookmarkStart w:id="102" w:name="_Hlk195374761"/>
      <w:r w:rsidRPr="004847C8">
        <w:rPr>
          <w:spacing w:val="-2"/>
          <w:sz w:val="16"/>
          <w:szCs w:val="16"/>
        </w:rPr>
        <w:t>Thanks to this adjustment, the collection of the S</w:t>
      </w:r>
      <w:r>
        <w:rPr>
          <w:spacing w:val="-2"/>
          <w:sz w:val="16"/>
          <w:szCs w:val="16"/>
        </w:rPr>
        <w:t xml:space="preserve">B </w:t>
      </w:r>
      <w:r w:rsidRPr="004847C8">
        <w:rPr>
          <w:spacing w:val="-2"/>
          <w:sz w:val="16"/>
          <w:szCs w:val="16"/>
        </w:rPr>
        <w:t>was expected to increase by 5.6 b</w:t>
      </w:r>
      <w:r>
        <w:rPr>
          <w:spacing w:val="-2"/>
          <w:sz w:val="16"/>
          <w:szCs w:val="16"/>
        </w:rPr>
        <w:t xml:space="preserve">n CZK </w:t>
      </w:r>
      <w:r w:rsidRPr="004847C8">
        <w:rPr>
          <w:spacing w:val="-2"/>
          <w:sz w:val="16"/>
          <w:szCs w:val="16"/>
        </w:rPr>
        <w:t>for VAT, by 2.3 b</w:t>
      </w:r>
      <w:r>
        <w:rPr>
          <w:spacing w:val="-2"/>
          <w:sz w:val="16"/>
          <w:szCs w:val="16"/>
        </w:rPr>
        <w:t xml:space="preserve">n CZK </w:t>
      </w:r>
      <w:r w:rsidRPr="004847C8">
        <w:rPr>
          <w:spacing w:val="-2"/>
          <w:sz w:val="16"/>
          <w:szCs w:val="16"/>
        </w:rPr>
        <w:t>for personal income tax, and by 2.9 b</w:t>
      </w:r>
      <w:r>
        <w:rPr>
          <w:spacing w:val="-2"/>
          <w:sz w:val="16"/>
          <w:szCs w:val="16"/>
        </w:rPr>
        <w:t xml:space="preserve">n CZK </w:t>
      </w:r>
      <w:r w:rsidRPr="004847C8">
        <w:rPr>
          <w:spacing w:val="-2"/>
          <w:sz w:val="16"/>
          <w:szCs w:val="16"/>
        </w:rPr>
        <w:t>for corporate tax</w:t>
      </w:r>
      <w:r>
        <w:rPr>
          <w:spacing w:val="-2"/>
          <w:sz w:val="16"/>
          <w:szCs w:val="16"/>
        </w:rPr>
        <w:t xml:space="preserve"> </w:t>
      </w:r>
      <w:r w:rsidRPr="004847C8">
        <w:rPr>
          <w:spacing w:val="-2"/>
          <w:sz w:val="16"/>
          <w:szCs w:val="16"/>
        </w:rPr>
        <w:t>in 2024</w:t>
      </w:r>
      <w:r>
        <w:rPr>
          <w:spacing w:val="-2"/>
          <w:sz w:val="16"/>
          <w:szCs w:val="16"/>
        </w:rPr>
        <w:t xml:space="preserve"> </w:t>
      </w:r>
      <w:r w:rsidRPr="004847C8">
        <w:rPr>
          <w:spacing w:val="-2"/>
          <w:sz w:val="16"/>
          <w:szCs w:val="16"/>
        </w:rPr>
        <w:t>according to the Ministry of Finance's estimate. The actual growth of all revenues of the S</w:t>
      </w:r>
      <w:r>
        <w:rPr>
          <w:spacing w:val="-2"/>
          <w:sz w:val="16"/>
          <w:szCs w:val="16"/>
        </w:rPr>
        <w:t xml:space="preserve">B </w:t>
      </w:r>
      <w:r w:rsidRPr="004847C8">
        <w:rPr>
          <w:spacing w:val="-2"/>
          <w:sz w:val="16"/>
          <w:szCs w:val="16"/>
        </w:rPr>
        <w:t>was 10.7 b</w:t>
      </w:r>
      <w:r>
        <w:rPr>
          <w:spacing w:val="-2"/>
          <w:sz w:val="16"/>
          <w:szCs w:val="16"/>
        </w:rPr>
        <w:t xml:space="preserve">n CZK in 2024 </w:t>
      </w:r>
      <w:r w:rsidRPr="004847C8">
        <w:rPr>
          <w:spacing w:val="-2"/>
          <w:sz w:val="16"/>
          <w:szCs w:val="16"/>
        </w:rPr>
        <w:t xml:space="preserve">due to the change in the </w:t>
      </w:r>
      <w:r w:rsidRPr="00F06ABA">
        <w:rPr>
          <w:spacing w:val="-2"/>
          <w:sz w:val="16"/>
          <w:szCs w:val="16"/>
        </w:rPr>
        <w:t>BAT.</w:t>
      </w:r>
      <w:r>
        <w:rPr>
          <w:spacing w:val="-2"/>
          <w:sz w:val="16"/>
          <w:szCs w:val="16"/>
        </w:rPr>
        <w:t xml:space="preserve"> </w:t>
      </w:r>
      <w:bookmarkEnd w:id="102"/>
    </w:p>
  </w:footnote>
  <w:footnote w:id="117">
    <w:p w14:paraId="3686236B" w14:textId="77777777" w:rsidR="006145FA" w:rsidRPr="00D442A5" w:rsidRDefault="006145FA" w:rsidP="00803507">
      <w:pPr>
        <w:spacing w:after="0" w:line="240" w:lineRule="auto"/>
        <w:rPr>
          <w:spacing w:val="-2"/>
          <w:lang w:val="en-GB"/>
        </w:rPr>
      </w:pPr>
      <w:r w:rsidRPr="004847C8">
        <w:rPr>
          <w:rStyle w:val="Znakapoznpodarou"/>
          <w:spacing w:val="-2"/>
          <w:sz w:val="16"/>
          <w:szCs w:val="16"/>
          <w:lang w:val="en-GB"/>
        </w:rPr>
        <w:footnoteRef/>
      </w:r>
      <w:r w:rsidRPr="004847C8">
        <w:rPr>
          <w:spacing w:val="-2"/>
          <w:sz w:val="16"/>
          <w:szCs w:val="16"/>
          <w:lang w:val="en-GB"/>
        </w:rPr>
        <w:t xml:space="preserve"> </w:t>
      </w:r>
      <w:bookmarkStart w:id="105" w:name="_Hlk195375864"/>
      <w:r w:rsidRPr="00D442A5">
        <w:rPr>
          <w:spacing w:val="-2"/>
          <w:sz w:val="16"/>
          <w:szCs w:val="16"/>
        </w:rPr>
        <w:t>This includes in particular the reintroduction of the payment of sickness insurance premiums paid by employees (0.6% of the assessment base, this rate was 1.1%</w:t>
      </w:r>
      <w:r>
        <w:rPr>
          <w:spacing w:val="-2"/>
          <w:sz w:val="16"/>
          <w:szCs w:val="16"/>
        </w:rPr>
        <w:t xml:space="preserve"> </w:t>
      </w:r>
      <w:r w:rsidRPr="00D442A5">
        <w:rPr>
          <w:spacing w:val="-2"/>
          <w:sz w:val="16"/>
          <w:szCs w:val="16"/>
        </w:rPr>
        <w:t xml:space="preserve">until 2008). Less important from the budgetary point of view is the increase </w:t>
      </w:r>
      <w:r>
        <w:rPr>
          <w:spacing w:val="-2"/>
          <w:sz w:val="16"/>
          <w:szCs w:val="16"/>
        </w:rPr>
        <w:t>of</w:t>
      </w:r>
      <w:r w:rsidRPr="00D442A5">
        <w:rPr>
          <w:spacing w:val="-2"/>
          <w:sz w:val="16"/>
          <w:szCs w:val="16"/>
        </w:rPr>
        <w:t xml:space="preserve"> the assessment base for </w:t>
      </w:r>
      <w:r>
        <w:rPr>
          <w:spacing w:val="-2"/>
          <w:sz w:val="16"/>
          <w:szCs w:val="16"/>
        </w:rPr>
        <w:t xml:space="preserve">the </w:t>
      </w:r>
      <w:r w:rsidRPr="00D442A5">
        <w:rPr>
          <w:spacing w:val="-2"/>
          <w:sz w:val="16"/>
          <w:szCs w:val="16"/>
        </w:rPr>
        <w:t xml:space="preserve">self-employed persons and the setting of limits for </w:t>
      </w:r>
      <w:r>
        <w:rPr>
          <w:spacing w:val="-2"/>
          <w:sz w:val="16"/>
          <w:szCs w:val="16"/>
        </w:rPr>
        <w:t xml:space="preserve">insurance </w:t>
      </w:r>
      <w:r w:rsidRPr="00D442A5">
        <w:rPr>
          <w:spacing w:val="-2"/>
          <w:sz w:val="16"/>
          <w:szCs w:val="16"/>
        </w:rPr>
        <w:t xml:space="preserve">participation </w:t>
      </w:r>
      <w:r>
        <w:rPr>
          <w:spacing w:val="-2"/>
          <w:sz w:val="16"/>
          <w:szCs w:val="16"/>
        </w:rPr>
        <w:t xml:space="preserve">of </w:t>
      </w:r>
      <w:r w:rsidRPr="00D442A5">
        <w:rPr>
          <w:spacing w:val="-2"/>
          <w:sz w:val="16"/>
          <w:szCs w:val="16"/>
        </w:rPr>
        <w:t xml:space="preserve">employees working on the basis of an agreement to complete a job. According to the Ministry of Finance's estimate, a full-year increase </w:t>
      </w:r>
      <w:r>
        <w:rPr>
          <w:spacing w:val="-2"/>
          <w:sz w:val="16"/>
          <w:szCs w:val="16"/>
        </w:rPr>
        <w:t xml:space="preserve">of the SB </w:t>
      </w:r>
      <w:r w:rsidRPr="00D442A5">
        <w:rPr>
          <w:spacing w:val="-2"/>
          <w:sz w:val="16"/>
          <w:szCs w:val="16"/>
        </w:rPr>
        <w:t>collections</w:t>
      </w:r>
      <w:r>
        <w:rPr>
          <w:spacing w:val="-2"/>
          <w:sz w:val="16"/>
          <w:szCs w:val="16"/>
        </w:rPr>
        <w:t xml:space="preserve"> by </w:t>
      </w:r>
      <w:r w:rsidRPr="00D442A5">
        <w:rPr>
          <w:spacing w:val="-2"/>
          <w:sz w:val="16"/>
          <w:szCs w:val="16"/>
        </w:rPr>
        <w:t>18 b</w:t>
      </w:r>
      <w:r>
        <w:rPr>
          <w:spacing w:val="-2"/>
          <w:sz w:val="16"/>
          <w:szCs w:val="16"/>
        </w:rPr>
        <w:t xml:space="preserve">n CZK </w:t>
      </w:r>
      <w:r w:rsidRPr="00D442A5">
        <w:rPr>
          <w:spacing w:val="-2"/>
          <w:sz w:val="16"/>
          <w:szCs w:val="16"/>
        </w:rPr>
        <w:t xml:space="preserve">was expected in 2024 due to these adjustments. Despite this adjustment, the total collection of social security premiums remained slightly below </w:t>
      </w:r>
      <w:r>
        <w:rPr>
          <w:spacing w:val="-2"/>
          <w:sz w:val="16"/>
          <w:szCs w:val="16"/>
        </w:rPr>
        <w:t xml:space="preserve">the </w:t>
      </w:r>
      <w:r w:rsidRPr="00D442A5">
        <w:rPr>
          <w:spacing w:val="-2"/>
          <w:sz w:val="16"/>
          <w:szCs w:val="16"/>
        </w:rPr>
        <w:t xml:space="preserve">budget </w:t>
      </w:r>
      <w:r>
        <w:rPr>
          <w:spacing w:val="-2"/>
          <w:sz w:val="16"/>
          <w:szCs w:val="16"/>
        </w:rPr>
        <w:t xml:space="preserve">anticipations </w:t>
      </w:r>
      <w:r w:rsidRPr="00D442A5">
        <w:rPr>
          <w:spacing w:val="-2"/>
          <w:sz w:val="16"/>
          <w:szCs w:val="16"/>
        </w:rPr>
        <w:t>last year (−0.5%).</w:t>
      </w:r>
      <w:r>
        <w:rPr>
          <w:spacing w:val="-2"/>
          <w:sz w:val="16"/>
          <w:szCs w:val="16"/>
        </w:rPr>
        <w:t xml:space="preserve"> </w:t>
      </w:r>
      <w:bookmarkEnd w:id="105"/>
    </w:p>
  </w:footnote>
  <w:footnote w:id="118">
    <w:p w14:paraId="53097E96" w14:textId="77777777" w:rsidR="006145FA" w:rsidRPr="00D442A5" w:rsidRDefault="006145FA" w:rsidP="00803507">
      <w:pPr>
        <w:pStyle w:val="Textpoznpodarou"/>
        <w:jc w:val="both"/>
        <w:rPr>
          <w:spacing w:val="-2"/>
          <w:sz w:val="16"/>
          <w:szCs w:val="16"/>
          <w:lang w:val="en-GB"/>
        </w:rPr>
      </w:pPr>
      <w:r w:rsidRPr="00D442A5">
        <w:rPr>
          <w:rStyle w:val="Znakapoznpodarou"/>
          <w:spacing w:val="-2"/>
          <w:sz w:val="16"/>
          <w:szCs w:val="16"/>
          <w:lang w:val="en-GB"/>
        </w:rPr>
        <w:footnoteRef/>
      </w:r>
      <w:r w:rsidRPr="00D442A5">
        <w:rPr>
          <w:spacing w:val="-2"/>
          <w:sz w:val="16"/>
          <w:szCs w:val="16"/>
          <w:lang w:val="en-GB"/>
        </w:rPr>
        <w:t xml:space="preserve"> </w:t>
      </w:r>
      <w:r w:rsidRPr="001718F4">
        <w:rPr>
          <w:spacing w:val="-2"/>
          <w:sz w:val="16"/>
          <w:szCs w:val="16"/>
        </w:rPr>
        <w:t>Adjusted real final consumption expenditure of households in Czechia increased by 1.5%</w:t>
      </w:r>
      <w:r>
        <w:rPr>
          <w:spacing w:val="-2"/>
          <w:sz w:val="16"/>
          <w:szCs w:val="16"/>
        </w:rPr>
        <w:t>,</w:t>
      </w:r>
      <w:r w:rsidRPr="001718F4">
        <w:rPr>
          <w:spacing w:val="-2"/>
          <w:sz w:val="16"/>
          <w:szCs w:val="16"/>
        </w:rPr>
        <w:t xml:space="preserve"> year-on-year</w:t>
      </w:r>
      <w:r>
        <w:rPr>
          <w:spacing w:val="-2"/>
          <w:sz w:val="16"/>
          <w:szCs w:val="16"/>
        </w:rPr>
        <w:t>,</w:t>
      </w:r>
      <w:r w:rsidRPr="001718F4">
        <w:rPr>
          <w:spacing w:val="-2"/>
          <w:sz w:val="16"/>
          <w:szCs w:val="16"/>
        </w:rPr>
        <w:t xml:space="preserve"> in Q1</w:t>
      </w:r>
      <w:r>
        <w:rPr>
          <w:spacing w:val="-2"/>
          <w:sz w:val="16"/>
          <w:szCs w:val="16"/>
        </w:rPr>
        <w:t xml:space="preserve"> to </w:t>
      </w:r>
      <w:r w:rsidRPr="001718F4">
        <w:rPr>
          <w:spacing w:val="-2"/>
          <w:sz w:val="16"/>
          <w:szCs w:val="16"/>
        </w:rPr>
        <w:t>Q3 2024 (increased for the first time since mid-2022). Government consumption expenditure strengthened even more rapidly (+3.7%). According to the first GDP estimate, household consumption continued to grow</w:t>
      </w:r>
      <w:r>
        <w:rPr>
          <w:spacing w:val="-2"/>
          <w:sz w:val="16"/>
          <w:szCs w:val="16"/>
        </w:rPr>
        <w:t xml:space="preserve"> also</w:t>
      </w:r>
      <w:r w:rsidRPr="001718F4">
        <w:rPr>
          <w:spacing w:val="-2"/>
          <w:sz w:val="16"/>
          <w:szCs w:val="16"/>
        </w:rPr>
        <w:t xml:space="preserve"> in Q4 2024.</w:t>
      </w:r>
      <w:r>
        <w:rPr>
          <w:spacing w:val="-2"/>
          <w:sz w:val="16"/>
          <w:szCs w:val="16"/>
        </w:rPr>
        <w:t xml:space="preserve"> </w:t>
      </w:r>
    </w:p>
  </w:footnote>
  <w:footnote w:id="119">
    <w:p w14:paraId="2E4A1B9B" w14:textId="77777777" w:rsidR="006145FA" w:rsidRPr="00D442A5" w:rsidRDefault="006145FA" w:rsidP="00803507">
      <w:pPr>
        <w:pStyle w:val="Textpoznpodarou"/>
        <w:jc w:val="both"/>
        <w:rPr>
          <w:spacing w:val="-2"/>
          <w:lang w:val="en-GB"/>
        </w:rPr>
      </w:pPr>
      <w:r w:rsidRPr="00D442A5">
        <w:rPr>
          <w:rStyle w:val="Znakapoznpodarou"/>
          <w:spacing w:val="-2"/>
          <w:sz w:val="16"/>
          <w:szCs w:val="16"/>
          <w:lang w:val="en-GB"/>
        </w:rPr>
        <w:footnoteRef/>
      </w:r>
      <w:r w:rsidRPr="00D442A5">
        <w:rPr>
          <w:spacing w:val="-2"/>
          <w:sz w:val="16"/>
          <w:szCs w:val="16"/>
          <w:lang w:val="en-GB"/>
        </w:rPr>
        <w:t xml:space="preserve"> </w:t>
      </w:r>
      <w:bookmarkStart w:id="111" w:name="_Hlk195378707"/>
      <w:r>
        <w:rPr>
          <w:spacing w:val="-2"/>
          <w:sz w:val="16"/>
          <w:szCs w:val="16"/>
          <w:lang w:val="en-GB"/>
        </w:rPr>
        <w:t xml:space="preserve">It </w:t>
      </w:r>
      <w:r w:rsidRPr="002C7C0F">
        <w:rPr>
          <w:spacing w:val="-2"/>
          <w:sz w:val="16"/>
          <w:szCs w:val="16"/>
        </w:rPr>
        <w:t xml:space="preserve">concerns the unification of two reduced rates (10% and 15%) into one of 12% (except for books, which are now completely exempt from VAT). A number of goods and services are now subject to lower taxation (e.g. basic foodstuffs, medicines, medical products, construction work). At the same time, the negative budgetary impact is </w:t>
      </w:r>
      <w:r>
        <w:rPr>
          <w:spacing w:val="-2"/>
          <w:sz w:val="16"/>
          <w:szCs w:val="16"/>
        </w:rPr>
        <w:t>subdued m</w:t>
      </w:r>
      <w:r w:rsidRPr="002C7C0F">
        <w:rPr>
          <w:spacing w:val="-2"/>
          <w:sz w:val="16"/>
          <w:szCs w:val="16"/>
        </w:rPr>
        <w:t>ainly by the transfer of some items of no demonstrable social or health significance to the basic 21% tax rate (beer, non-alcoholic beverages, services of authors and artists, hairdressing services, firewood, municipal waste, cleaning work).</w:t>
      </w:r>
      <w:r>
        <w:rPr>
          <w:spacing w:val="-2"/>
          <w:sz w:val="16"/>
          <w:szCs w:val="16"/>
        </w:rPr>
        <w:t xml:space="preserve"> </w:t>
      </w:r>
    </w:p>
    <w:bookmarkEnd w:id="111"/>
  </w:footnote>
  <w:footnote w:id="120">
    <w:p w14:paraId="6C11DE5A" w14:textId="77777777" w:rsidR="006145FA" w:rsidRPr="00690443" w:rsidRDefault="006145FA" w:rsidP="00803507">
      <w:pPr>
        <w:pStyle w:val="Textpoznpodarou"/>
        <w:jc w:val="both"/>
        <w:rPr>
          <w:spacing w:val="-2"/>
          <w:lang w:val="en-GB"/>
        </w:rPr>
      </w:pPr>
      <w:r w:rsidRPr="00171A39">
        <w:rPr>
          <w:rStyle w:val="Znakapoznpodarou"/>
          <w:spacing w:val="-2"/>
          <w:sz w:val="16"/>
          <w:szCs w:val="16"/>
        </w:rPr>
        <w:footnoteRef/>
      </w:r>
      <w:r w:rsidRPr="00171A39">
        <w:rPr>
          <w:spacing w:val="-2"/>
          <w:sz w:val="16"/>
          <w:szCs w:val="16"/>
        </w:rPr>
        <w:t xml:space="preserve"> </w:t>
      </w:r>
      <w:r>
        <w:rPr>
          <w:sz w:val="16"/>
          <w:szCs w:val="16"/>
          <w:lang w:val="en-GB"/>
        </w:rPr>
        <w:t xml:space="preserve">This increase occurred from August last year </w:t>
      </w:r>
      <w:r w:rsidRPr="00495DA8">
        <w:rPr>
          <w:sz w:val="16"/>
          <w:szCs w:val="16"/>
          <w:lang w:val="en-GB"/>
        </w:rPr>
        <w:t>(</w:t>
      </w:r>
      <w:r>
        <w:rPr>
          <w:sz w:val="16"/>
          <w:szCs w:val="16"/>
          <w:lang w:val="en-GB"/>
        </w:rPr>
        <w:t xml:space="preserve">by </w:t>
      </w:r>
      <w:r w:rsidRPr="00495DA8">
        <w:rPr>
          <w:sz w:val="16"/>
          <w:szCs w:val="16"/>
          <w:lang w:val="en-GB"/>
        </w:rPr>
        <w:t>1</w:t>
      </w:r>
      <w:r>
        <w:rPr>
          <w:sz w:val="16"/>
          <w:szCs w:val="16"/>
          <w:lang w:val="en-GB"/>
        </w:rPr>
        <w:t>.</w:t>
      </w:r>
      <w:r w:rsidRPr="00495DA8">
        <w:rPr>
          <w:sz w:val="16"/>
          <w:szCs w:val="16"/>
          <w:lang w:val="en-GB"/>
        </w:rPr>
        <w:t>5</w:t>
      </w:r>
      <w:r>
        <w:rPr>
          <w:sz w:val="16"/>
          <w:szCs w:val="16"/>
          <w:lang w:val="en-GB"/>
        </w:rPr>
        <w:t xml:space="preserve"> CZK per litre</w:t>
      </w:r>
      <w:r w:rsidRPr="00495DA8">
        <w:rPr>
          <w:sz w:val="16"/>
          <w:szCs w:val="16"/>
          <w:lang w:val="en-GB"/>
        </w:rPr>
        <w:t xml:space="preserve">). </w:t>
      </w:r>
      <w:r>
        <w:rPr>
          <w:sz w:val="16"/>
          <w:szCs w:val="16"/>
          <w:lang w:val="en-GB"/>
        </w:rPr>
        <w:t xml:space="preserve">Consumption tax rate on diesel fuel thus returned to the original size </w:t>
      </w:r>
      <w:r w:rsidRPr="00495DA8">
        <w:rPr>
          <w:sz w:val="16"/>
          <w:szCs w:val="16"/>
          <w:lang w:val="en-GB"/>
        </w:rPr>
        <w:t>(9</w:t>
      </w:r>
      <w:r>
        <w:rPr>
          <w:sz w:val="16"/>
          <w:szCs w:val="16"/>
          <w:lang w:val="en-GB"/>
        </w:rPr>
        <w:t>.</w:t>
      </w:r>
      <w:r w:rsidRPr="00495DA8">
        <w:rPr>
          <w:sz w:val="16"/>
          <w:szCs w:val="16"/>
          <w:lang w:val="en-GB"/>
        </w:rPr>
        <w:t>95</w:t>
      </w:r>
      <w:r>
        <w:rPr>
          <w:sz w:val="16"/>
          <w:szCs w:val="16"/>
          <w:lang w:val="en-GB"/>
        </w:rPr>
        <w:t xml:space="preserve"> CZK</w:t>
      </w:r>
      <w:r w:rsidRPr="00495DA8">
        <w:rPr>
          <w:sz w:val="16"/>
          <w:szCs w:val="16"/>
          <w:lang w:val="en-GB"/>
        </w:rPr>
        <w:t xml:space="preserve">/l) </w:t>
      </w:r>
      <w:r>
        <w:rPr>
          <w:sz w:val="16"/>
          <w:szCs w:val="16"/>
          <w:lang w:val="en-GB"/>
        </w:rPr>
        <w:t xml:space="preserve">valid until May </w:t>
      </w:r>
      <w:r w:rsidRPr="00495DA8">
        <w:rPr>
          <w:sz w:val="16"/>
          <w:szCs w:val="16"/>
          <w:lang w:val="en-GB"/>
        </w:rPr>
        <w:t xml:space="preserve">2022. </w:t>
      </w:r>
      <w:r>
        <w:rPr>
          <w:sz w:val="16"/>
          <w:szCs w:val="16"/>
          <w:lang w:val="en-GB"/>
        </w:rPr>
        <w:t xml:space="preserve"> </w:t>
      </w:r>
    </w:p>
  </w:footnote>
  <w:footnote w:id="121">
    <w:p w14:paraId="048C02C2" w14:textId="77777777" w:rsidR="006145FA" w:rsidRPr="00690443" w:rsidRDefault="006145FA" w:rsidP="00803507">
      <w:pPr>
        <w:pStyle w:val="Textpoznpodarou"/>
        <w:jc w:val="both"/>
        <w:rPr>
          <w:spacing w:val="-2"/>
          <w:sz w:val="16"/>
          <w:szCs w:val="16"/>
          <w:lang w:val="en-GB"/>
        </w:rPr>
      </w:pPr>
      <w:r w:rsidRPr="00690443">
        <w:rPr>
          <w:rStyle w:val="Znakapoznpodarou"/>
          <w:spacing w:val="-2"/>
          <w:sz w:val="16"/>
          <w:szCs w:val="16"/>
          <w:lang w:val="en-GB"/>
        </w:rPr>
        <w:footnoteRef/>
      </w:r>
      <w:r w:rsidRPr="00690443">
        <w:rPr>
          <w:spacing w:val="-2"/>
          <w:sz w:val="16"/>
          <w:szCs w:val="16"/>
          <w:lang w:val="en-GB"/>
        </w:rPr>
        <w:t xml:space="preserve"> </w:t>
      </w:r>
      <w:r w:rsidRPr="004B4AC1">
        <w:rPr>
          <w:spacing w:val="-2"/>
          <w:sz w:val="16"/>
          <w:szCs w:val="16"/>
        </w:rPr>
        <w:t xml:space="preserve">According to </w:t>
      </w:r>
      <w:r>
        <w:rPr>
          <w:spacing w:val="-2"/>
          <w:sz w:val="16"/>
          <w:szCs w:val="16"/>
        </w:rPr>
        <w:t xml:space="preserve">the CZSO </w:t>
      </w:r>
      <w:r w:rsidRPr="004B4AC1">
        <w:rPr>
          <w:spacing w:val="-2"/>
          <w:sz w:val="16"/>
          <w:szCs w:val="16"/>
        </w:rPr>
        <w:t>data, the consumption of the most important item in terms of weight – diesel fuel – increased by 3.6%</w:t>
      </w:r>
      <w:r>
        <w:rPr>
          <w:spacing w:val="-2"/>
          <w:sz w:val="16"/>
          <w:szCs w:val="16"/>
        </w:rPr>
        <w:t>,</w:t>
      </w:r>
      <w:r w:rsidRPr="004B4AC1">
        <w:rPr>
          <w:spacing w:val="-2"/>
          <w:sz w:val="16"/>
          <w:szCs w:val="16"/>
        </w:rPr>
        <w:t xml:space="preserve"> year-on-year, </w:t>
      </w:r>
      <w:r>
        <w:rPr>
          <w:spacing w:val="-2"/>
          <w:sz w:val="16"/>
          <w:szCs w:val="16"/>
        </w:rPr>
        <w:t xml:space="preserve">petrol </w:t>
      </w:r>
      <w:r w:rsidRPr="004B4AC1">
        <w:rPr>
          <w:spacing w:val="-2"/>
          <w:sz w:val="16"/>
          <w:szCs w:val="16"/>
        </w:rPr>
        <w:t xml:space="preserve">by 6.1% and </w:t>
      </w:r>
      <w:r>
        <w:rPr>
          <w:spacing w:val="-2"/>
          <w:sz w:val="16"/>
          <w:szCs w:val="16"/>
        </w:rPr>
        <w:t xml:space="preserve">jet </w:t>
      </w:r>
      <w:r w:rsidRPr="004B4AC1">
        <w:rPr>
          <w:spacing w:val="-2"/>
          <w:sz w:val="16"/>
          <w:szCs w:val="16"/>
        </w:rPr>
        <w:t>kerosene by more than 30%</w:t>
      </w:r>
      <w:r>
        <w:rPr>
          <w:spacing w:val="-2"/>
          <w:sz w:val="16"/>
          <w:szCs w:val="16"/>
        </w:rPr>
        <w:t xml:space="preserve"> </w:t>
      </w:r>
      <w:r w:rsidRPr="004B4AC1">
        <w:rPr>
          <w:spacing w:val="-2"/>
          <w:sz w:val="16"/>
          <w:szCs w:val="16"/>
        </w:rPr>
        <w:t>from January to November 2024.</w:t>
      </w:r>
      <w:r>
        <w:rPr>
          <w:spacing w:val="-2"/>
          <w:sz w:val="16"/>
          <w:szCs w:val="16"/>
        </w:rPr>
        <w:t xml:space="preserve"> T</w:t>
      </w:r>
      <w:r w:rsidRPr="004B4AC1">
        <w:rPr>
          <w:spacing w:val="-2"/>
          <w:sz w:val="16"/>
          <w:szCs w:val="16"/>
        </w:rPr>
        <w:t xml:space="preserve">he average consumer price of Natural 95 petrol was 35.83 </w:t>
      </w:r>
      <w:r>
        <w:rPr>
          <w:spacing w:val="-2"/>
          <w:sz w:val="16"/>
          <w:szCs w:val="16"/>
        </w:rPr>
        <w:t xml:space="preserve">CZK </w:t>
      </w:r>
      <w:r w:rsidRPr="004B4AC1">
        <w:rPr>
          <w:spacing w:val="-2"/>
          <w:sz w:val="16"/>
          <w:szCs w:val="16"/>
        </w:rPr>
        <w:t>per litre</w:t>
      </w:r>
      <w:r>
        <w:rPr>
          <w:spacing w:val="-2"/>
          <w:sz w:val="16"/>
          <w:szCs w:val="16"/>
        </w:rPr>
        <w:t xml:space="preserve"> l</w:t>
      </w:r>
      <w:r w:rsidRPr="004B4AC1">
        <w:rPr>
          <w:spacing w:val="-2"/>
          <w:sz w:val="16"/>
          <w:szCs w:val="16"/>
        </w:rPr>
        <w:t xml:space="preserve">ast September, which was the lowest value since October 2021. The average price of diesel fuel was 34.22 </w:t>
      </w:r>
      <w:r>
        <w:rPr>
          <w:spacing w:val="-2"/>
          <w:sz w:val="16"/>
          <w:szCs w:val="16"/>
        </w:rPr>
        <w:t xml:space="preserve">CZK </w:t>
      </w:r>
      <w:r w:rsidRPr="004B4AC1">
        <w:rPr>
          <w:spacing w:val="-2"/>
          <w:sz w:val="16"/>
          <w:szCs w:val="16"/>
        </w:rPr>
        <w:t>per litre, the lowest since July 2023. Cross-border purchases or stronger transit traffic</w:t>
      </w:r>
      <w:r>
        <w:rPr>
          <w:spacing w:val="-2"/>
          <w:sz w:val="16"/>
          <w:szCs w:val="16"/>
        </w:rPr>
        <w:t xml:space="preserve"> thus </w:t>
      </w:r>
      <w:r w:rsidRPr="004B4AC1">
        <w:rPr>
          <w:spacing w:val="-2"/>
          <w:sz w:val="16"/>
          <w:szCs w:val="16"/>
        </w:rPr>
        <w:t xml:space="preserve">could </w:t>
      </w:r>
      <w:r>
        <w:rPr>
          <w:spacing w:val="-2"/>
          <w:sz w:val="16"/>
          <w:szCs w:val="16"/>
        </w:rPr>
        <w:t xml:space="preserve">have </w:t>
      </w:r>
      <w:r w:rsidRPr="004B4AC1">
        <w:rPr>
          <w:spacing w:val="-2"/>
          <w:sz w:val="16"/>
          <w:szCs w:val="16"/>
        </w:rPr>
        <w:t>also contribute</w:t>
      </w:r>
      <w:r>
        <w:rPr>
          <w:spacing w:val="-2"/>
          <w:sz w:val="16"/>
          <w:szCs w:val="16"/>
        </w:rPr>
        <w:t>d</w:t>
      </w:r>
      <w:r w:rsidRPr="004B4AC1">
        <w:rPr>
          <w:spacing w:val="-2"/>
          <w:sz w:val="16"/>
          <w:szCs w:val="16"/>
        </w:rPr>
        <w:t xml:space="preserve"> to higher domestic consumption.</w:t>
      </w:r>
    </w:p>
  </w:footnote>
  <w:footnote w:id="122">
    <w:p w14:paraId="0A527ADC" w14:textId="77777777" w:rsidR="006145FA" w:rsidRPr="00690443" w:rsidRDefault="006145FA" w:rsidP="00803507">
      <w:pPr>
        <w:pStyle w:val="Textpoznpodarou"/>
        <w:jc w:val="both"/>
        <w:rPr>
          <w:spacing w:val="-2"/>
          <w:sz w:val="16"/>
          <w:szCs w:val="16"/>
          <w:lang w:val="en-GB"/>
        </w:rPr>
      </w:pPr>
      <w:r w:rsidRPr="00690443">
        <w:rPr>
          <w:rStyle w:val="Znakapoznpodarou"/>
          <w:spacing w:val="-2"/>
          <w:sz w:val="16"/>
          <w:szCs w:val="16"/>
          <w:lang w:val="en-GB"/>
        </w:rPr>
        <w:footnoteRef/>
      </w:r>
      <w:r w:rsidRPr="00690443">
        <w:rPr>
          <w:spacing w:val="-2"/>
          <w:sz w:val="16"/>
          <w:szCs w:val="16"/>
          <w:lang w:val="en-GB"/>
        </w:rPr>
        <w:t xml:space="preserve"> </w:t>
      </w:r>
      <w:r w:rsidRPr="0087258B">
        <w:rPr>
          <w:spacing w:val="-2"/>
          <w:sz w:val="16"/>
          <w:szCs w:val="16"/>
        </w:rPr>
        <w:t>According to the M</w:t>
      </w:r>
      <w:r>
        <w:rPr>
          <w:spacing w:val="-2"/>
          <w:sz w:val="16"/>
          <w:szCs w:val="16"/>
        </w:rPr>
        <w:t>F</w:t>
      </w:r>
      <w:r w:rsidRPr="0087258B">
        <w:rPr>
          <w:spacing w:val="-2"/>
          <w:sz w:val="16"/>
          <w:szCs w:val="16"/>
        </w:rPr>
        <w:t>'s estimates, these measures should reduce last year's corporate tax income to the S</w:t>
      </w:r>
      <w:r>
        <w:rPr>
          <w:spacing w:val="-2"/>
          <w:sz w:val="16"/>
          <w:szCs w:val="16"/>
        </w:rPr>
        <w:t xml:space="preserve">B </w:t>
      </w:r>
      <w:r w:rsidRPr="0087258B">
        <w:rPr>
          <w:spacing w:val="-2"/>
          <w:sz w:val="16"/>
          <w:szCs w:val="16"/>
        </w:rPr>
        <w:t>by 6.2 b</w:t>
      </w:r>
      <w:r>
        <w:rPr>
          <w:spacing w:val="-2"/>
          <w:sz w:val="16"/>
          <w:szCs w:val="16"/>
        </w:rPr>
        <w:t xml:space="preserve">n CZK. </w:t>
      </w:r>
    </w:p>
  </w:footnote>
  <w:footnote w:id="123">
    <w:p w14:paraId="19400E1C" w14:textId="77777777" w:rsidR="006145FA" w:rsidRPr="00690443" w:rsidRDefault="006145FA" w:rsidP="00803507">
      <w:pPr>
        <w:pStyle w:val="Textpoznpodarou"/>
        <w:jc w:val="both"/>
        <w:rPr>
          <w:spacing w:val="-2"/>
          <w:sz w:val="16"/>
          <w:szCs w:val="16"/>
          <w:lang w:val="en-GB"/>
        </w:rPr>
      </w:pPr>
      <w:r w:rsidRPr="00690443">
        <w:rPr>
          <w:rStyle w:val="Znakapoznpodarou"/>
          <w:spacing w:val="-2"/>
          <w:sz w:val="16"/>
          <w:szCs w:val="16"/>
          <w:lang w:val="en-GB"/>
        </w:rPr>
        <w:footnoteRef/>
      </w:r>
      <w:r w:rsidRPr="00690443">
        <w:rPr>
          <w:spacing w:val="-2"/>
          <w:sz w:val="16"/>
          <w:szCs w:val="16"/>
          <w:lang w:val="en-GB"/>
        </w:rPr>
        <w:t xml:space="preserve"> </w:t>
      </w:r>
      <w:bookmarkStart w:id="115" w:name="_Hlk195392248"/>
      <w:r w:rsidRPr="0087258B">
        <w:rPr>
          <w:spacing w:val="-2"/>
          <w:sz w:val="16"/>
          <w:szCs w:val="16"/>
        </w:rPr>
        <w:t>This applies to energy, petrochemicals and mining</w:t>
      </w:r>
      <w:r>
        <w:rPr>
          <w:spacing w:val="-2"/>
          <w:sz w:val="16"/>
          <w:szCs w:val="16"/>
        </w:rPr>
        <w:t xml:space="preserve"> companies</w:t>
      </w:r>
      <w:r w:rsidRPr="0087258B">
        <w:rPr>
          <w:spacing w:val="-2"/>
          <w:sz w:val="16"/>
          <w:szCs w:val="16"/>
        </w:rPr>
        <w:t xml:space="preserve"> (</w:t>
      </w:r>
      <w:r>
        <w:rPr>
          <w:spacing w:val="-2"/>
          <w:sz w:val="16"/>
          <w:szCs w:val="16"/>
        </w:rPr>
        <w:t xml:space="preserve">in the area of </w:t>
      </w:r>
      <w:r w:rsidRPr="0087258B">
        <w:rPr>
          <w:spacing w:val="-2"/>
          <w:sz w:val="16"/>
          <w:szCs w:val="16"/>
        </w:rPr>
        <w:t>fossil fuels) and also includes large banks. It works as a 60% tax surcharge applied to the excess profit of these companies determined as the difference between the tax base in the years 2023 to 2025 and the average tax base for the years 2018 to 2021 increased by 20 percent. However, the vast majority of the collection of this tax flowed to the S</w:t>
      </w:r>
      <w:r>
        <w:rPr>
          <w:spacing w:val="-2"/>
          <w:sz w:val="16"/>
          <w:szCs w:val="16"/>
        </w:rPr>
        <w:t xml:space="preserve">B </w:t>
      </w:r>
      <w:r w:rsidRPr="0087258B">
        <w:rPr>
          <w:spacing w:val="-2"/>
          <w:sz w:val="16"/>
          <w:szCs w:val="16"/>
        </w:rPr>
        <w:t>from the energy sector.</w:t>
      </w:r>
      <w:r>
        <w:rPr>
          <w:spacing w:val="-2"/>
          <w:sz w:val="16"/>
          <w:szCs w:val="16"/>
        </w:rPr>
        <w:t xml:space="preserve"> </w:t>
      </w:r>
    </w:p>
    <w:bookmarkEnd w:id="115"/>
  </w:footnote>
  <w:footnote w:id="124">
    <w:p w14:paraId="496A06E3" w14:textId="77777777" w:rsidR="006145FA" w:rsidRPr="00690443" w:rsidRDefault="006145FA" w:rsidP="00803507">
      <w:pPr>
        <w:pStyle w:val="Textpoznpodarou"/>
        <w:jc w:val="both"/>
        <w:rPr>
          <w:spacing w:val="-2"/>
          <w:sz w:val="16"/>
          <w:szCs w:val="16"/>
          <w:lang w:val="en-GB"/>
        </w:rPr>
      </w:pPr>
      <w:r w:rsidRPr="00690443">
        <w:rPr>
          <w:rStyle w:val="Znakapoznpodarou"/>
          <w:spacing w:val="-2"/>
          <w:sz w:val="16"/>
          <w:szCs w:val="16"/>
          <w:lang w:val="en-GB"/>
        </w:rPr>
        <w:footnoteRef/>
      </w:r>
      <w:r w:rsidRPr="00690443">
        <w:rPr>
          <w:spacing w:val="-2"/>
          <w:sz w:val="16"/>
          <w:szCs w:val="16"/>
          <w:lang w:val="en-GB"/>
        </w:rPr>
        <w:t xml:space="preserve"> </w:t>
      </w:r>
      <w:r w:rsidRPr="007C1617">
        <w:rPr>
          <w:spacing w:val="-2"/>
          <w:sz w:val="16"/>
          <w:szCs w:val="16"/>
        </w:rPr>
        <w:t>After the significant failure to meet the revenues of this tax in 2023 (plan: 85 b</w:t>
      </w:r>
      <w:r>
        <w:rPr>
          <w:spacing w:val="-2"/>
          <w:sz w:val="16"/>
          <w:szCs w:val="16"/>
        </w:rPr>
        <w:t>n CZK</w:t>
      </w:r>
      <w:r w:rsidRPr="007C1617">
        <w:rPr>
          <w:spacing w:val="-2"/>
          <w:sz w:val="16"/>
          <w:szCs w:val="16"/>
        </w:rPr>
        <w:t>, reality: 39 b</w:t>
      </w:r>
      <w:r>
        <w:rPr>
          <w:spacing w:val="-2"/>
          <w:sz w:val="16"/>
          <w:szCs w:val="16"/>
        </w:rPr>
        <w:t>n</w:t>
      </w:r>
      <w:r w:rsidRPr="007C1617">
        <w:rPr>
          <w:spacing w:val="-2"/>
          <w:sz w:val="16"/>
          <w:szCs w:val="16"/>
        </w:rPr>
        <w:t>), the budget estimate for last year was set at only 17 b</w:t>
      </w:r>
      <w:r>
        <w:rPr>
          <w:spacing w:val="-2"/>
          <w:sz w:val="16"/>
          <w:szCs w:val="16"/>
        </w:rPr>
        <w:t>n CZK</w:t>
      </w:r>
      <w:r w:rsidRPr="00690443">
        <w:rPr>
          <w:spacing w:val="-2"/>
          <w:sz w:val="16"/>
          <w:szCs w:val="16"/>
          <w:lang w:val="en-GB"/>
        </w:rPr>
        <w:t>.</w:t>
      </w:r>
    </w:p>
  </w:footnote>
  <w:footnote w:id="125">
    <w:p w14:paraId="03970D95" w14:textId="77777777" w:rsidR="006145FA" w:rsidRPr="00CC19DE" w:rsidRDefault="006145FA" w:rsidP="00803507">
      <w:pPr>
        <w:pStyle w:val="Textpoznpodarou"/>
        <w:jc w:val="both"/>
        <w:rPr>
          <w:spacing w:val="-2"/>
          <w:sz w:val="16"/>
          <w:szCs w:val="16"/>
          <w:lang w:val="en-GB"/>
        </w:rPr>
      </w:pPr>
      <w:r w:rsidRPr="00690443">
        <w:rPr>
          <w:rStyle w:val="Znakapoznpodarou"/>
          <w:spacing w:val="-2"/>
          <w:sz w:val="16"/>
          <w:szCs w:val="16"/>
          <w:lang w:val="en-GB"/>
        </w:rPr>
        <w:footnoteRef/>
      </w:r>
      <w:r w:rsidRPr="00690443">
        <w:rPr>
          <w:spacing w:val="-2"/>
          <w:lang w:val="en-GB"/>
        </w:rPr>
        <w:t xml:space="preserve"> </w:t>
      </w:r>
      <w:bookmarkStart w:id="116" w:name="_Hlk195392818"/>
      <w:bookmarkStart w:id="117" w:name="_Hlk195392795"/>
      <w:r w:rsidRPr="00CC19DE">
        <w:rPr>
          <w:spacing w:val="-2"/>
          <w:sz w:val="16"/>
          <w:szCs w:val="16"/>
          <w:lang w:val="en-GB"/>
        </w:rPr>
        <w:t>This levy (taxed at a 90% rate) represented the difference between the actual income and the cap on market income from the sale of electricity above the set limit (for the period from 1 December 2022 to the end of 2023)</w:t>
      </w:r>
      <w:r>
        <w:rPr>
          <w:spacing w:val="-2"/>
          <w:sz w:val="16"/>
          <w:szCs w:val="16"/>
          <w:lang w:val="en-GB"/>
        </w:rPr>
        <w:t xml:space="preserve">. </w:t>
      </w:r>
      <w:bookmarkEnd w:id="116"/>
    </w:p>
    <w:bookmarkEnd w:id="117"/>
  </w:footnote>
  <w:footnote w:id="126">
    <w:p w14:paraId="54F0BBCF" w14:textId="77777777" w:rsidR="006145FA" w:rsidRPr="00CC19DE" w:rsidRDefault="006145FA" w:rsidP="00803507">
      <w:pPr>
        <w:pStyle w:val="Textpoznpodarou"/>
        <w:jc w:val="both"/>
        <w:rPr>
          <w:spacing w:val="-2"/>
          <w:sz w:val="16"/>
          <w:szCs w:val="16"/>
          <w:lang w:val="en-GB"/>
        </w:rPr>
      </w:pPr>
      <w:r w:rsidRPr="00CC19DE">
        <w:rPr>
          <w:rStyle w:val="Znakapoznpodarou"/>
          <w:sz w:val="16"/>
          <w:szCs w:val="16"/>
          <w:lang w:val="en-GB"/>
        </w:rPr>
        <w:footnoteRef/>
      </w:r>
      <w:r w:rsidRPr="00CC19DE">
        <w:rPr>
          <w:sz w:val="16"/>
          <w:szCs w:val="16"/>
          <w:lang w:val="en-GB"/>
        </w:rPr>
        <w:t xml:space="preserve"> </w:t>
      </w:r>
      <w:bookmarkStart w:id="120" w:name="_Hlk195392846"/>
      <w:r w:rsidRPr="00CC19DE">
        <w:rPr>
          <w:sz w:val="16"/>
          <w:szCs w:val="16"/>
        </w:rPr>
        <w:t xml:space="preserve">The collection of </w:t>
      </w:r>
      <w:r>
        <w:rPr>
          <w:sz w:val="16"/>
          <w:szCs w:val="16"/>
        </w:rPr>
        <w:t xml:space="preserve">ITNP </w:t>
      </w:r>
      <w:r w:rsidRPr="00CC19DE">
        <w:rPr>
          <w:sz w:val="16"/>
          <w:szCs w:val="16"/>
        </w:rPr>
        <w:t xml:space="preserve">paid by payers increased (at the level of all public budgets) by 13.9% last year. Even so, it was still below the level of the record year 2019 (by 6%). The abolition of the so-called super-gross salary played a key role here. </w:t>
      </w:r>
      <w:r>
        <w:rPr>
          <w:sz w:val="16"/>
          <w:szCs w:val="16"/>
        </w:rPr>
        <w:t>In contrast</w:t>
      </w:r>
      <w:r w:rsidRPr="00CC19DE">
        <w:rPr>
          <w:sz w:val="16"/>
          <w:szCs w:val="16"/>
        </w:rPr>
        <w:t xml:space="preserve">, the </w:t>
      </w:r>
      <w:r>
        <w:rPr>
          <w:sz w:val="16"/>
          <w:szCs w:val="16"/>
        </w:rPr>
        <w:t xml:space="preserve">corporate tax </w:t>
      </w:r>
      <w:r w:rsidRPr="00CC19DE">
        <w:rPr>
          <w:sz w:val="16"/>
          <w:szCs w:val="16"/>
        </w:rPr>
        <w:t>collection</w:t>
      </w:r>
      <w:r>
        <w:rPr>
          <w:sz w:val="16"/>
          <w:szCs w:val="16"/>
        </w:rPr>
        <w:t xml:space="preserve"> </w:t>
      </w:r>
      <w:r w:rsidRPr="00CC19DE">
        <w:rPr>
          <w:sz w:val="16"/>
          <w:szCs w:val="16"/>
        </w:rPr>
        <w:t>(excluding extraordinary taxes) exceeded a similar level by 60%.</w:t>
      </w:r>
      <w:r>
        <w:rPr>
          <w:sz w:val="16"/>
          <w:szCs w:val="16"/>
        </w:rPr>
        <w:t xml:space="preserve"> </w:t>
      </w:r>
    </w:p>
    <w:bookmarkEnd w:id="120"/>
  </w:footnote>
  <w:footnote w:id="127">
    <w:p w14:paraId="3261D442" w14:textId="77777777" w:rsidR="006145FA" w:rsidRPr="005B532A" w:rsidRDefault="006145FA" w:rsidP="00803507">
      <w:pPr>
        <w:pStyle w:val="Textpoznpodarou"/>
        <w:jc w:val="both"/>
        <w:rPr>
          <w:sz w:val="16"/>
          <w:szCs w:val="16"/>
          <w:lang w:val="en-GB"/>
        </w:rPr>
      </w:pPr>
      <w:r w:rsidRPr="009124F8">
        <w:rPr>
          <w:rStyle w:val="Znakapoznpodarou"/>
          <w:sz w:val="16"/>
          <w:szCs w:val="16"/>
        </w:rPr>
        <w:footnoteRef/>
      </w:r>
      <w:bookmarkStart w:id="122" w:name="_Hlk195392013"/>
      <w:r>
        <w:rPr>
          <w:sz w:val="16"/>
          <w:szCs w:val="16"/>
          <w:lang w:val="en-GB"/>
        </w:rPr>
        <w:t xml:space="preserve"> Th</w:t>
      </w:r>
      <w:r w:rsidRPr="005B532A">
        <w:rPr>
          <w:sz w:val="16"/>
          <w:szCs w:val="16"/>
          <w:lang w:val="en-GB"/>
        </w:rPr>
        <w:t xml:space="preserve">e limit of maximum annual income for entering the flat-rate payment regime </w:t>
      </w:r>
      <w:r>
        <w:rPr>
          <w:sz w:val="16"/>
          <w:szCs w:val="16"/>
          <w:lang w:val="en-GB"/>
        </w:rPr>
        <w:t xml:space="preserve">was </w:t>
      </w:r>
      <w:r w:rsidRPr="005B532A">
        <w:rPr>
          <w:sz w:val="16"/>
          <w:szCs w:val="16"/>
          <w:lang w:val="en-GB"/>
        </w:rPr>
        <w:t>increased</w:t>
      </w:r>
      <w:r>
        <w:rPr>
          <w:sz w:val="16"/>
          <w:szCs w:val="16"/>
          <w:lang w:val="en-GB"/>
        </w:rPr>
        <w:t xml:space="preserve"> f</w:t>
      </w:r>
      <w:r w:rsidRPr="005B532A">
        <w:rPr>
          <w:sz w:val="16"/>
          <w:szCs w:val="16"/>
          <w:lang w:val="en-GB"/>
        </w:rPr>
        <w:t>rom January 2023 (from 1 mil</w:t>
      </w:r>
      <w:r>
        <w:rPr>
          <w:sz w:val="16"/>
          <w:szCs w:val="16"/>
          <w:lang w:val="en-GB"/>
        </w:rPr>
        <w:t xml:space="preserve"> CZK </w:t>
      </w:r>
      <w:r w:rsidRPr="005B532A">
        <w:rPr>
          <w:sz w:val="16"/>
          <w:szCs w:val="16"/>
          <w:lang w:val="en-GB"/>
        </w:rPr>
        <w:t>to</w:t>
      </w:r>
      <w:r>
        <w:rPr>
          <w:sz w:val="16"/>
          <w:szCs w:val="16"/>
          <w:lang w:val="en-GB"/>
        </w:rPr>
        <w:t xml:space="preserve"> </w:t>
      </w:r>
      <w:r w:rsidRPr="005B532A">
        <w:rPr>
          <w:sz w:val="16"/>
          <w:szCs w:val="16"/>
          <w:lang w:val="en-GB"/>
        </w:rPr>
        <w:t>2 mil</w:t>
      </w:r>
      <w:r>
        <w:rPr>
          <w:sz w:val="16"/>
          <w:szCs w:val="16"/>
          <w:lang w:val="en-GB"/>
        </w:rPr>
        <w:t xml:space="preserve"> CZK</w:t>
      </w:r>
      <w:r w:rsidRPr="005B532A">
        <w:rPr>
          <w:sz w:val="16"/>
          <w:szCs w:val="16"/>
          <w:lang w:val="en-GB"/>
        </w:rPr>
        <w:t>).</w:t>
      </w:r>
      <w:bookmarkEnd w:id="122"/>
    </w:p>
  </w:footnote>
  <w:footnote w:id="128">
    <w:p w14:paraId="6E18BC91" w14:textId="77777777" w:rsidR="006145FA" w:rsidRPr="007231BA" w:rsidRDefault="006145FA" w:rsidP="00803507">
      <w:pPr>
        <w:pStyle w:val="Textpoznpodarou"/>
        <w:jc w:val="both"/>
        <w:rPr>
          <w:sz w:val="16"/>
          <w:szCs w:val="16"/>
          <w:lang w:val="en-GB"/>
        </w:rPr>
      </w:pPr>
      <w:r w:rsidRPr="005F5C7C">
        <w:rPr>
          <w:rStyle w:val="Znakapoznpodarou"/>
          <w:sz w:val="16"/>
          <w:szCs w:val="16"/>
        </w:rPr>
        <w:footnoteRef/>
      </w:r>
      <w:r w:rsidRPr="005F5C7C">
        <w:rPr>
          <w:sz w:val="16"/>
          <w:szCs w:val="16"/>
        </w:rPr>
        <w:t xml:space="preserve"> </w:t>
      </w:r>
      <w:r w:rsidRPr="00D66A4B">
        <w:rPr>
          <w:sz w:val="16"/>
          <w:szCs w:val="16"/>
        </w:rPr>
        <w:t>In the long term</w:t>
      </w:r>
      <w:r>
        <w:rPr>
          <w:sz w:val="16"/>
          <w:szCs w:val="16"/>
        </w:rPr>
        <w:t xml:space="preserve"> view</w:t>
      </w:r>
      <w:r w:rsidRPr="00D66A4B">
        <w:rPr>
          <w:sz w:val="16"/>
          <w:szCs w:val="16"/>
        </w:rPr>
        <w:t>, however, last year's share of social benefits in all expenditures was rather average.</w:t>
      </w:r>
      <w:r>
        <w:rPr>
          <w:sz w:val="16"/>
          <w:szCs w:val="16"/>
        </w:rPr>
        <w:t xml:space="preserve"> </w:t>
      </w:r>
    </w:p>
  </w:footnote>
  <w:footnote w:id="129">
    <w:p w14:paraId="460709A6" w14:textId="77777777" w:rsidR="006145FA" w:rsidRPr="007231BA" w:rsidRDefault="006145FA" w:rsidP="00803507">
      <w:pPr>
        <w:pStyle w:val="Textpoznpodarou"/>
        <w:jc w:val="both"/>
        <w:rPr>
          <w:spacing w:val="-2"/>
          <w:sz w:val="16"/>
          <w:szCs w:val="16"/>
          <w:lang w:val="en-GB"/>
        </w:rPr>
      </w:pPr>
      <w:r w:rsidRPr="007231BA">
        <w:rPr>
          <w:rStyle w:val="Znakapoznpodarou"/>
          <w:spacing w:val="-2"/>
          <w:sz w:val="16"/>
          <w:szCs w:val="16"/>
          <w:lang w:val="en-GB"/>
        </w:rPr>
        <w:footnoteRef/>
      </w:r>
      <w:r w:rsidRPr="007231BA">
        <w:rPr>
          <w:spacing w:val="-2"/>
          <w:sz w:val="16"/>
          <w:szCs w:val="16"/>
          <w:lang w:val="en-GB"/>
        </w:rPr>
        <w:t xml:space="preserve"> </w:t>
      </w:r>
      <w:bookmarkStart w:id="127" w:name="_Hlk195394747"/>
      <w:r w:rsidRPr="00D66A4B">
        <w:rPr>
          <w:spacing w:val="-2"/>
          <w:sz w:val="16"/>
          <w:szCs w:val="16"/>
        </w:rPr>
        <w:t xml:space="preserve">The main thing is that when </w:t>
      </w:r>
      <w:r>
        <w:rPr>
          <w:spacing w:val="-2"/>
          <w:sz w:val="16"/>
          <w:szCs w:val="16"/>
        </w:rPr>
        <w:t xml:space="preserve">raising </w:t>
      </w:r>
      <w:r w:rsidRPr="00D66A4B">
        <w:rPr>
          <w:spacing w:val="-2"/>
          <w:sz w:val="16"/>
          <w:szCs w:val="16"/>
        </w:rPr>
        <w:t>pensions, only one-third of the increase in real wages is now taken into account</w:t>
      </w:r>
      <w:r>
        <w:rPr>
          <w:spacing w:val="-2"/>
          <w:sz w:val="16"/>
          <w:szCs w:val="16"/>
        </w:rPr>
        <w:t>, not one half</w:t>
      </w:r>
      <w:r w:rsidRPr="00D66A4B">
        <w:rPr>
          <w:spacing w:val="-2"/>
          <w:sz w:val="16"/>
          <w:szCs w:val="16"/>
        </w:rPr>
        <w:t xml:space="preserve">. From January 2024, only the basic </w:t>
      </w:r>
      <w:r>
        <w:rPr>
          <w:spacing w:val="-2"/>
          <w:sz w:val="16"/>
          <w:szCs w:val="16"/>
        </w:rPr>
        <w:t xml:space="preserve">assessed </w:t>
      </w:r>
      <w:r w:rsidRPr="00D66A4B">
        <w:rPr>
          <w:spacing w:val="-2"/>
          <w:sz w:val="16"/>
          <w:szCs w:val="16"/>
        </w:rPr>
        <w:t xml:space="preserve">amount of all pensions </w:t>
      </w:r>
      <w:r>
        <w:rPr>
          <w:spacing w:val="-2"/>
          <w:sz w:val="16"/>
          <w:szCs w:val="16"/>
        </w:rPr>
        <w:t xml:space="preserve">was </w:t>
      </w:r>
      <w:r w:rsidRPr="00D66A4B">
        <w:rPr>
          <w:spacing w:val="-2"/>
          <w:sz w:val="16"/>
          <w:szCs w:val="16"/>
        </w:rPr>
        <w:t>ncreased (by 360</w:t>
      </w:r>
      <w:r>
        <w:rPr>
          <w:spacing w:val="-2"/>
          <w:sz w:val="16"/>
          <w:szCs w:val="16"/>
        </w:rPr>
        <w:t xml:space="preserve"> CZK</w:t>
      </w:r>
      <w:r w:rsidRPr="00D66A4B">
        <w:rPr>
          <w:spacing w:val="-2"/>
          <w:sz w:val="16"/>
          <w:szCs w:val="16"/>
        </w:rPr>
        <w:t xml:space="preserve">), the percentage </w:t>
      </w:r>
      <w:r>
        <w:rPr>
          <w:spacing w:val="-2"/>
          <w:sz w:val="16"/>
          <w:szCs w:val="16"/>
        </w:rPr>
        <w:t>assessment did</w:t>
      </w:r>
      <w:r w:rsidRPr="00D66A4B">
        <w:rPr>
          <w:spacing w:val="-2"/>
          <w:sz w:val="16"/>
          <w:szCs w:val="16"/>
        </w:rPr>
        <w:t xml:space="preserve"> not increase.</w:t>
      </w:r>
      <w:r>
        <w:rPr>
          <w:spacing w:val="-2"/>
          <w:sz w:val="16"/>
          <w:szCs w:val="16"/>
        </w:rPr>
        <w:t xml:space="preserve"> </w:t>
      </w:r>
      <w:r w:rsidRPr="00D66A4B">
        <w:rPr>
          <w:spacing w:val="-2"/>
          <w:sz w:val="16"/>
          <w:szCs w:val="16"/>
        </w:rPr>
        <w:t>The average monthly old-age pension (without concurrence with other pensions) was 2.1% higher</w:t>
      </w:r>
      <w:r>
        <w:rPr>
          <w:spacing w:val="-2"/>
          <w:sz w:val="16"/>
          <w:szCs w:val="16"/>
        </w:rPr>
        <w:t>,</w:t>
      </w:r>
      <w:r w:rsidRPr="00D66A4B">
        <w:rPr>
          <w:spacing w:val="-2"/>
          <w:sz w:val="16"/>
          <w:szCs w:val="16"/>
        </w:rPr>
        <w:t xml:space="preserve"> year-on-year</w:t>
      </w:r>
      <w:r>
        <w:rPr>
          <w:spacing w:val="-2"/>
          <w:sz w:val="16"/>
          <w:szCs w:val="16"/>
        </w:rPr>
        <w:t>,</w:t>
      </w:r>
      <w:r w:rsidRPr="00D66A4B">
        <w:rPr>
          <w:spacing w:val="-2"/>
          <w:sz w:val="16"/>
          <w:szCs w:val="16"/>
        </w:rPr>
        <w:t xml:space="preserve"> in December 2024, reaching 21.9</w:t>
      </w:r>
      <w:r>
        <w:rPr>
          <w:spacing w:val="-2"/>
          <w:sz w:val="16"/>
          <w:szCs w:val="16"/>
        </w:rPr>
        <w:t> </w:t>
      </w:r>
      <w:r w:rsidRPr="00D66A4B">
        <w:rPr>
          <w:spacing w:val="-2"/>
          <w:sz w:val="16"/>
          <w:szCs w:val="16"/>
        </w:rPr>
        <w:t>thousand</w:t>
      </w:r>
      <w:r>
        <w:rPr>
          <w:spacing w:val="-2"/>
          <w:sz w:val="16"/>
          <w:szCs w:val="16"/>
        </w:rPr>
        <w:t xml:space="preserve"> CZK</w:t>
      </w:r>
      <w:r w:rsidRPr="00D66A4B">
        <w:rPr>
          <w:spacing w:val="-2"/>
          <w:sz w:val="16"/>
          <w:szCs w:val="16"/>
        </w:rPr>
        <w:t xml:space="preserve"> for m</w:t>
      </w:r>
      <w:r>
        <w:rPr>
          <w:spacing w:val="-2"/>
          <w:sz w:val="16"/>
          <w:szCs w:val="16"/>
        </w:rPr>
        <w:t xml:space="preserve">ales </w:t>
      </w:r>
      <w:r w:rsidRPr="00D66A4B">
        <w:rPr>
          <w:spacing w:val="-2"/>
          <w:sz w:val="16"/>
          <w:szCs w:val="16"/>
        </w:rPr>
        <w:t>and 19.5</w:t>
      </w:r>
      <w:r>
        <w:rPr>
          <w:spacing w:val="-2"/>
          <w:sz w:val="16"/>
          <w:szCs w:val="16"/>
        </w:rPr>
        <w:t> </w:t>
      </w:r>
      <w:r w:rsidRPr="00D66A4B">
        <w:rPr>
          <w:spacing w:val="-2"/>
          <w:sz w:val="16"/>
          <w:szCs w:val="16"/>
        </w:rPr>
        <w:t xml:space="preserve">thousand </w:t>
      </w:r>
      <w:r>
        <w:rPr>
          <w:spacing w:val="-2"/>
          <w:sz w:val="16"/>
          <w:szCs w:val="16"/>
        </w:rPr>
        <w:t xml:space="preserve">CZK </w:t>
      </w:r>
      <w:r w:rsidRPr="00D66A4B">
        <w:rPr>
          <w:spacing w:val="-2"/>
          <w:sz w:val="16"/>
          <w:szCs w:val="16"/>
        </w:rPr>
        <w:t xml:space="preserve">for </w:t>
      </w:r>
      <w:r>
        <w:rPr>
          <w:spacing w:val="-2"/>
          <w:sz w:val="16"/>
          <w:szCs w:val="16"/>
        </w:rPr>
        <w:t xml:space="preserve">females. </w:t>
      </w:r>
      <w:bookmarkEnd w:id="127"/>
    </w:p>
  </w:footnote>
  <w:footnote w:id="130">
    <w:p w14:paraId="170A12A1" w14:textId="77777777" w:rsidR="006145FA" w:rsidRPr="007231BA" w:rsidRDefault="006145FA" w:rsidP="00803507">
      <w:pPr>
        <w:pStyle w:val="Textpoznpodarou"/>
        <w:jc w:val="both"/>
        <w:rPr>
          <w:sz w:val="16"/>
          <w:szCs w:val="16"/>
          <w:lang w:val="en-GB"/>
        </w:rPr>
      </w:pPr>
      <w:r w:rsidRPr="007231BA">
        <w:rPr>
          <w:rStyle w:val="Znakapoznpodarou"/>
          <w:spacing w:val="-2"/>
          <w:sz w:val="16"/>
          <w:szCs w:val="16"/>
          <w:lang w:val="en-GB"/>
        </w:rPr>
        <w:footnoteRef/>
      </w:r>
      <w:r w:rsidRPr="007231BA">
        <w:rPr>
          <w:spacing w:val="-2"/>
          <w:sz w:val="16"/>
          <w:szCs w:val="16"/>
          <w:lang w:val="en-GB"/>
        </w:rPr>
        <w:t xml:space="preserve"> </w:t>
      </w:r>
      <w:bookmarkStart w:id="128" w:name="_Hlk195396716"/>
      <w:r w:rsidRPr="000172D2">
        <w:rPr>
          <w:spacing w:val="-2"/>
          <w:sz w:val="16"/>
          <w:szCs w:val="16"/>
        </w:rPr>
        <w:t xml:space="preserve">The growth </w:t>
      </w:r>
      <w:r>
        <w:rPr>
          <w:spacing w:val="-2"/>
          <w:sz w:val="16"/>
          <w:szCs w:val="16"/>
        </w:rPr>
        <w:t xml:space="preserve">of </w:t>
      </w:r>
      <w:r w:rsidRPr="000172D2">
        <w:rPr>
          <w:spacing w:val="-2"/>
          <w:sz w:val="16"/>
          <w:szCs w:val="16"/>
        </w:rPr>
        <w:t>the number of all recipients of permanently reduced old-age pensions (</w:t>
      </w:r>
      <w:r>
        <w:rPr>
          <w:spacing w:val="-2"/>
          <w:sz w:val="16"/>
          <w:szCs w:val="16"/>
        </w:rPr>
        <w:t>ROP</w:t>
      </w:r>
      <w:r w:rsidRPr="000172D2">
        <w:rPr>
          <w:spacing w:val="-2"/>
          <w:sz w:val="16"/>
          <w:szCs w:val="16"/>
        </w:rPr>
        <w:t xml:space="preserve">) accelerated during 2023 and </w:t>
      </w:r>
      <w:r>
        <w:rPr>
          <w:spacing w:val="-2"/>
          <w:sz w:val="16"/>
          <w:szCs w:val="16"/>
        </w:rPr>
        <w:t xml:space="preserve">this development also </w:t>
      </w:r>
      <w:r w:rsidRPr="000172D2">
        <w:rPr>
          <w:spacing w:val="-2"/>
          <w:sz w:val="16"/>
          <w:szCs w:val="16"/>
        </w:rPr>
        <w:t>continued at the beginning of 2024 (</w:t>
      </w:r>
      <w:r>
        <w:rPr>
          <w:spacing w:val="-2"/>
          <w:sz w:val="16"/>
          <w:szCs w:val="16"/>
        </w:rPr>
        <w:t>t</w:t>
      </w:r>
      <w:r w:rsidRPr="000172D2">
        <w:rPr>
          <w:spacing w:val="-2"/>
          <w:sz w:val="16"/>
          <w:szCs w:val="16"/>
        </w:rPr>
        <w:t>o 8.5%</w:t>
      </w:r>
      <w:r>
        <w:rPr>
          <w:spacing w:val="-2"/>
          <w:sz w:val="16"/>
          <w:szCs w:val="16"/>
        </w:rPr>
        <w:t>,</w:t>
      </w:r>
      <w:r w:rsidRPr="000172D2">
        <w:rPr>
          <w:spacing w:val="-2"/>
          <w:sz w:val="16"/>
          <w:szCs w:val="16"/>
        </w:rPr>
        <w:t xml:space="preserve"> year-on-year,</w:t>
      </w:r>
      <w:r>
        <w:rPr>
          <w:spacing w:val="-2"/>
          <w:sz w:val="16"/>
          <w:szCs w:val="16"/>
        </w:rPr>
        <w:t xml:space="preserve"> in Q1,</w:t>
      </w:r>
      <w:r w:rsidRPr="000172D2">
        <w:rPr>
          <w:spacing w:val="-2"/>
          <w:sz w:val="16"/>
          <w:szCs w:val="16"/>
        </w:rPr>
        <w:t xml:space="preserve"> the highest since 2012). However, the pace subsequently slowed down, also due to the new legislati</w:t>
      </w:r>
      <w:r>
        <w:rPr>
          <w:spacing w:val="-2"/>
          <w:sz w:val="16"/>
          <w:szCs w:val="16"/>
        </w:rPr>
        <w:t xml:space="preserve">ve amendement </w:t>
      </w:r>
      <w:r w:rsidRPr="000172D2">
        <w:rPr>
          <w:spacing w:val="-2"/>
          <w:sz w:val="16"/>
          <w:szCs w:val="16"/>
        </w:rPr>
        <w:t xml:space="preserve">approved in 2023 for the calculation of these pensions (to 4.1% in Q4 2024). The </w:t>
      </w:r>
      <w:r>
        <w:rPr>
          <w:spacing w:val="-2"/>
          <w:sz w:val="16"/>
          <w:szCs w:val="16"/>
        </w:rPr>
        <w:t xml:space="preserve">ROP </w:t>
      </w:r>
      <w:r w:rsidRPr="000172D2">
        <w:rPr>
          <w:spacing w:val="-2"/>
          <w:sz w:val="16"/>
          <w:szCs w:val="16"/>
        </w:rPr>
        <w:t>number</w:t>
      </w:r>
      <w:r>
        <w:rPr>
          <w:spacing w:val="-2"/>
          <w:sz w:val="16"/>
          <w:szCs w:val="16"/>
        </w:rPr>
        <w:t xml:space="preserve"> </w:t>
      </w:r>
      <w:r w:rsidRPr="000172D2">
        <w:rPr>
          <w:spacing w:val="-2"/>
          <w:sz w:val="16"/>
          <w:szCs w:val="16"/>
        </w:rPr>
        <w:t>does not include persons who have applied for early retirement but have postponed the start of its payment.</w:t>
      </w:r>
      <w:r>
        <w:rPr>
          <w:spacing w:val="-2"/>
          <w:sz w:val="16"/>
          <w:szCs w:val="16"/>
        </w:rPr>
        <w:t xml:space="preserve"> </w:t>
      </w:r>
    </w:p>
    <w:bookmarkEnd w:id="128"/>
  </w:footnote>
  <w:footnote w:id="131">
    <w:p w14:paraId="78795E7C" w14:textId="77777777" w:rsidR="006145FA" w:rsidRPr="007231BA" w:rsidRDefault="006145FA" w:rsidP="00803507">
      <w:pPr>
        <w:pStyle w:val="Textpoznpodarou"/>
        <w:jc w:val="both"/>
        <w:rPr>
          <w:rFonts w:cs="Arial"/>
          <w:color w:val="000000" w:themeColor="text1"/>
          <w:spacing w:val="-4"/>
          <w:sz w:val="16"/>
          <w:szCs w:val="16"/>
          <w:lang w:val="en-GB"/>
        </w:rPr>
      </w:pPr>
      <w:r w:rsidRPr="007231BA">
        <w:rPr>
          <w:rStyle w:val="Znakapoznpodarou"/>
          <w:spacing w:val="-4"/>
          <w:sz w:val="16"/>
          <w:szCs w:val="16"/>
          <w:lang w:val="en-GB"/>
        </w:rPr>
        <w:footnoteRef/>
      </w:r>
      <w:r w:rsidRPr="007231BA">
        <w:rPr>
          <w:spacing w:val="-4"/>
          <w:sz w:val="16"/>
          <w:szCs w:val="16"/>
          <w:lang w:val="en-GB"/>
        </w:rPr>
        <w:t xml:space="preserve"> </w:t>
      </w:r>
      <w:bookmarkStart w:id="129" w:name="_Hlk195396744"/>
      <w:r w:rsidRPr="000172D2">
        <w:rPr>
          <w:spacing w:val="-4"/>
          <w:sz w:val="16"/>
          <w:szCs w:val="16"/>
        </w:rPr>
        <w:t>This expresses the difference between income from pension insurance premiums and expenditure on benefits from this insurance according to the preliminary balance sheet of the Ministry of Finance. The expenditure also includes funds for the administration of the benefit system (it was 7 b</w:t>
      </w:r>
      <w:r>
        <w:rPr>
          <w:spacing w:val="-4"/>
          <w:sz w:val="16"/>
          <w:szCs w:val="16"/>
        </w:rPr>
        <w:t xml:space="preserve">n CZK </w:t>
      </w:r>
      <w:r w:rsidRPr="000172D2">
        <w:rPr>
          <w:spacing w:val="-4"/>
          <w:sz w:val="16"/>
          <w:szCs w:val="16"/>
        </w:rPr>
        <w:t>in 2023 and 2024).</w:t>
      </w:r>
      <w:r>
        <w:rPr>
          <w:spacing w:val="-4"/>
          <w:sz w:val="16"/>
          <w:szCs w:val="16"/>
        </w:rPr>
        <w:t xml:space="preserve"> </w:t>
      </w:r>
    </w:p>
    <w:bookmarkEnd w:id="129"/>
  </w:footnote>
  <w:footnote w:id="132">
    <w:p w14:paraId="632ABD7F" w14:textId="77777777" w:rsidR="006145FA" w:rsidRPr="007231BA" w:rsidRDefault="006145FA" w:rsidP="00803507">
      <w:pPr>
        <w:pStyle w:val="Textpoznpodarou"/>
        <w:jc w:val="both"/>
        <w:rPr>
          <w:sz w:val="16"/>
          <w:szCs w:val="16"/>
          <w:lang w:val="en-GB"/>
        </w:rPr>
      </w:pPr>
      <w:r w:rsidRPr="007231BA">
        <w:rPr>
          <w:rStyle w:val="Znakapoznpodarou"/>
          <w:sz w:val="16"/>
          <w:szCs w:val="16"/>
          <w:lang w:val="en-GB"/>
        </w:rPr>
        <w:footnoteRef/>
      </w:r>
      <w:r w:rsidRPr="007231BA">
        <w:rPr>
          <w:sz w:val="16"/>
          <w:szCs w:val="16"/>
          <w:lang w:val="en-GB"/>
        </w:rPr>
        <w:t xml:space="preserve"> </w:t>
      </w:r>
      <w:r w:rsidRPr="00122160">
        <w:rPr>
          <w:sz w:val="16"/>
          <w:szCs w:val="16"/>
        </w:rPr>
        <w:t xml:space="preserve">The statutory increase </w:t>
      </w:r>
      <w:r>
        <w:rPr>
          <w:sz w:val="16"/>
          <w:szCs w:val="16"/>
        </w:rPr>
        <w:t>of</w:t>
      </w:r>
      <w:r w:rsidRPr="00122160">
        <w:rPr>
          <w:sz w:val="16"/>
          <w:szCs w:val="16"/>
        </w:rPr>
        <w:t xml:space="preserve"> amounts for people in the 2nd to 4th degree of dependence (from July 2024) played a key role here.</w:t>
      </w:r>
    </w:p>
  </w:footnote>
  <w:footnote w:id="133">
    <w:p w14:paraId="79B4941D" w14:textId="77777777" w:rsidR="006145FA" w:rsidRPr="00527F6D" w:rsidRDefault="006145FA" w:rsidP="00803507">
      <w:pPr>
        <w:pStyle w:val="Textpoznpodarou"/>
        <w:rPr>
          <w:sz w:val="16"/>
          <w:szCs w:val="16"/>
        </w:rPr>
      </w:pPr>
      <w:r w:rsidRPr="00527F6D">
        <w:rPr>
          <w:rStyle w:val="Znakapoznpodarou"/>
          <w:sz w:val="16"/>
          <w:szCs w:val="16"/>
        </w:rPr>
        <w:footnoteRef/>
      </w:r>
      <w:r w:rsidRPr="00527F6D">
        <w:rPr>
          <w:sz w:val="16"/>
          <w:szCs w:val="16"/>
        </w:rPr>
        <w:t xml:space="preserve"> </w:t>
      </w:r>
      <w:bookmarkStart w:id="132" w:name="_Hlk195397061"/>
      <w:r>
        <w:rPr>
          <w:sz w:val="16"/>
          <w:szCs w:val="16"/>
        </w:rPr>
        <w:t>In that</w:t>
      </w:r>
      <w:r w:rsidRPr="00407EBC">
        <w:rPr>
          <w:sz w:val="16"/>
          <w:szCs w:val="16"/>
        </w:rPr>
        <w:t>, 286</w:t>
      </w:r>
      <w:r>
        <w:rPr>
          <w:sz w:val="16"/>
          <w:szCs w:val="16"/>
        </w:rPr>
        <w:t> </w:t>
      </w:r>
      <w:r w:rsidRPr="00407EBC">
        <w:rPr>
          <w:sz w:val="16"/>
          <w:szCs w:val="16"/>
        </w:rPr>
        <w:t xml:space="preserve">thousand households drew this benefit in December </w:t>
      </w:r>
      <w:r>
        <w:rPr>
          <w:sz w:val="16"/>
          <w:szCs w:val="16"/>
        </w:rPr>
        <w:t xml:space="preserve">alone </w:t>
      </w:r>
      <w:r w:rsidRPr="00407EBC">
        <w:rPr>
          <w:sz w:val="16"/>
          <w:szCs w:val="16"/>
        </w:rPr>
        <w:t>last year, compared to 271</w:t>
      </w:r>
      <w:r>
        <w:rPr>
          <w:sz w:val="16"/>
          <w:szCs w:val="16"/>
        </w:rPr>
        <w:t> </w:t>
      </w:r>
      <w:r w:rsidRPr="00407EBC">
        <w:rPr>
          <w:sz w:val="16"/>
          <w:szCs w:val="16"/>
        </w:rPr>
        <w:t>thousand a year earlier</w:t>
      </w:r>
      <w:r w:rsidRPr="00527F6D">
        <w:rPr>
          <w:sz w:val="16"/>
          <w:szCs w:val="16"/>
        </w:rPr>
        <w:t>.</w:t>
      </w:r>
    </w:p>
    <w:bookmarkEnd w:id="132"/>
  </w:footnote>
  <w:footnote w:id="134">
    <w:p w14:paraId="1FA31AB7" w14:textId="77777777" w:rsidR="006145FA" w:rsidRPr="00466944" w:rsidRDefault="006145FA" w:rsidP="00803507">
      <w:pPr>
        <w:pStyle w:val="Textpoznpodarou"/>
        <w:jc w:val="both"/>
        <w:rPr>
          <w:sz w:val="16"/>
          <w:szCs w:val="16"/>
          <w:lang w:val="en-GB"/>
        </w:rPr>
      </w:pPr>
      <w:r w:rsidRPr="00310355">
        <w:rPr>
          <w:rStyle w:val="Znakapoznpodarou"/>
          <w:sz w:val="16"/>
          <w:szCs w:val="16"/>
        </w:rPr>
        <w:footnoteRef/>
      </w:r>
      <w:r w:rsidRPr="00310355">
        <w:rPr>
          <w:sz w:val="16"/>
          <w:szCs w:val="16"/>
        </w:rPr>
        <w:t xml:space="preserve"> </w:t>
      </w:r>
      <w:bookmarkStart w:id="134" w:name="_Hlk195455229"/>
      <w:r w:rsidRPr="00466944">
        <w:rPr>
          <w:sz w:val="16"/>
          <w:szCs w:val="16"/>
          <w:lang w:val="en-GB"/>
        </w:rPr>
        <w:t>Last year's decrease in drawing occurred even though the value of allowances for children born last year was raised. From January 2024, the basic contribution increased from 300</w:t>
      </w:r>
      <w:r>
        <w:rPr>
          <w:sz w:val="16"/>
          <w:szCs w:val="16"/>
          <w:lang w:val="en-GB"/>
        </w:rPr>
        <w:t> </w:t>
      </w:r>
      <w:r w:rsidRPr="00466944">
        <w:rPr>
          <w:sz w:val="16"/>
          <w:szCs w:val="16"/>
          <w:lang w:val="en-GB"/>
        </w:rPr>
        <w:t>thousand to 350</w:t>
      </w:r>
      <w:r>
        <w:rPr>
          <w:sz w:val="16"/>
          <w:szCs w:val="16"/>
          <w:lang w:val="en-GB"/>
        </w:rPr>
        <w:t> </w:t>
      </w:r>
      <w:r w:rsidRPr="00466944">
        <w:rPr>
          <w:sz w:val="16"/>
          <w:szCs w:val="16"/>
          <w:lang w:val="en-GB"/>
        </w:rPr>
        <w:t xml:space="preserve">thousand CZK. At the same time, the maximum period for receiving the allowance was reduced up to 3 years of child’s age (from the previous 4 years). </w:t>
      </w:r>
    </w:p>
    <w:bookmarkEnd w:id="134"/>
  </w:footnote>
  <w:footnote w:id="135">
    <w:p w14:paraId="4F44B3D3" w14:textId="77777777" w:rsidR="006145FA" w:rsidRPr="00466944" w:rsidRDefault="006145FA" w:rsidP="00803507">
      <w:pPr>
        <w:pStyle w:val="Textpoznpodarou"/>
        <w:jc w:val="both"/>
        <w:rPr>
          <w:sz w:val="16"/>
          <w:szCs w:val="16"/>
          <w:lang w:val="en-GB"/>
        </w:rPr>
      </w:pPr>
      <w:r w:rsidRPr="00466944">
        <w:rPr>
          <w:rStyle w:val="Znakapoznpodarou"/>
          <w:sz w:val="16"/>
          <w:szCs w:val="16"/>
          <w:lang w:val="en-GB"/>
        </w:rPr>
        <w:footnoteRef/>
      </w:r>
      <w:r w:rsidRPr="00466944">
        <w:rPr>
          <w:sz w:val="16"/>
          <w:szCs w:val="16"/>
          <w:lang w:val="en-GB"/>
        </w:rPr>
        <w:t xml:space="preserve"> These thus slightly exceeded even the 2022 level influenced by increased state purchases in connection with the COVID-19 pandemic (vaccines, medical supplies) and the emerging energy crisis (refilling gas storage tanks).</w:t>
      </w:r>
    </w:p>
  </w:footnote>
  <w:footnote w:id="136">
    <w:p w14:paraId="19B37B39" w14:textId="77777777" w:rsidR="006145FA" w:rsidRPr="00466944" w:rsidRDefault="006145FA" w:rsidP="00803507">
      <w:pPr>
        <w:pStyle w:val="Textpoznpodarou"/>
        <w:jc w:val="both"/>
        <w:rPr>
          <w:sz w:val="16"/>
          <w:szCs w:val="16"/>
          <w:lang w:val="en-GB"/>
        </w:rPr>
      </w:pPr>
      <w:r w:rsidRPr="00466944">
        <w:rPr>
          <w:rStyle w:val="Znakapoznpodarou"/>
          <w:sz w:val="16"/>
          <w:szCs w:val="16"/>
          <w:lang w:val="en-GB"/>
        </w:rPr>
        <w:footnoteRef/>
      </w:r>
      <w:r w:rsidRPr="00466944">
        <w:rPr>
          <w:sz w:val="16"/>
          <w:szCs w:val="16"/>
          <w:lang w:val="en-GB"/>
        </w:rPr>
        <w:t xml:space="preserve"> From January 2024, the monthly payment per person increased from 1,900 CZK to 2,085 CZK. </w:t>
      </w:r>
    </w:p>
  </w:footnote>
  <w:footnote w:id="137">
    <w:p w14:paraId="158AFDD2" w14:textId="77777777" w:rsidR="006145FA" w:rsidRPr="00605084" w:rsidRDefault="006145FA" w:rsidP="00803507">
      <w:pPr>
        <w:pStyle w:val="Textpoznpodarou"/>
        <w:jc w:val="both"/>
        <w:rPr>
          <w:sz w:val="16"/>
          <w:szCs w:val="16"/>
          <w:lang w:val="en-GB"/>
        </w:rPr>
      </w:pPr>
      <w:r w:rsidRPr="00605084">
        <w:rPr>
          <w:rStyle w:val="Znakapoznpodarou"/>
          <w:sz w:val="16"/>
          <w:szCs w:val="16"/>
          <w:lang w:val="en-GB"/>
        </w:rPr>
        <w:footnoteRef/>
      </w:r>
      <w:r w:rsidRPr="00605084">
        <w:rPr>
          <w:sz w:val="16"/>
          <w:szCs w:val="16"/>
          <w:lang w:val="en-GB"/>
        </w:rPr>
        <w:t xml:space="preserve"> </w:t>
      </w:r>
      <w:bookmarkStart w:id="137" w:name="_Hlk195456556"/>
      <w:r w:rsidRPr="00605084">
        <w:rPr>
          <w:sz w:val="16"/>
          <w:szCs w:val="16"/>
          <w:lang w:val="en-GB"/>
        </w:rPr>
        <w:t xml:space="preserve">This expresses the difference between </w:t>
      </w:r>
      <w:r>
        <w:rPr>
          <w:sz w:val="16"/>
          <w:szCs w:val="16"/>
          <w:lang w:val="en-GB"/>
        </w:rPr>
        <w:t xml:space="preserve">revenues of </w:t>
      </w:r>
      <w:r w:rsidRPr="00605084">
        <w:rPr>
          <w:sz w:val="16"/>
          <w:szCs w:val="16"/>
          <w:lang w:val="en-GB"/>
        </w:rPr>
        <w:t>sickness insurance premiums and expenditure on benefits from this insurance according to the CSS</w:t>
      </w:r>
      <w:r>
        <w:rPr>
          <w:sz w:val="16"/>
          <w:szCs w:val="16"/>
          <w:lang w:val="en-GB"/>
        </w:rPr>
        <w:t>A</w:t>
      </w:r>
      <w:r w:rsidRPr="00605084">
        <w:rPr>
          <w:sz w:val="16"/>
          <w:szCs w:val="16"/>
          <w:lang w:val="en-GB"/>
        </w:rPr>
        <w:t xml:space="preserve"> balance sheet.</w:t>
      </w:r>
      <w:r>
        <w:rPr>
          <w:sz w:val="16"/>
          <w:szCs w:val="16"/>
          <w:lang w:val="en-GB"/>
        </w:rPr>
        <w:t xml:space="preserve"> </w:t>
      </w:r>
    </w:p>
    <w:bookmarkEnd w:id="137"/>
  </w:footnote>
  <w:footnote w:id="138">
    <w:p w14:paraId="1038190A" w14:textId="77777777" w:rsidR="006145FA" w:rsidRPr="00605084" w:rsidRDefault="006145FA" w:rsidP="00803507">
      <w:pPr>
        <w:autoSpaceDE w:val="0"/>
        <w:autoSpaceDN w:val="0"/>
        <w:adjustRightInd w:val="0"/>
        <w:spacing w:after="0" w:line="240" w:lineRule="auto"/>
        <w:rPr>
          <w:rFonts w:ascii="Calibri" w:eastAsia="Calibri" w:hAnsi="Calibri" w:cs="Calibri"/>
          <w:spacing w:val="-5"/>
          <w:sz w:val="16"/>
          <w:szCs w:val="16"/>
          <w:lang w:val="en-GB" w:eastAsia="en-US"/>
        </w:rPr>
      </w:pPr>
      <w:r w:rsidRPr="00605084">
        <w:rPr>
          <w:rStyle w:val="Znakapoznpodarou"/>
          <w:spacing w:val="-5"/>
          <w:sz w:val="16"/>
          <w:szCs w:val="16"/>
          <w:lang w:val="en-GB"/>
        </w:rPr>
        <w:footnoteRef/>
      </w:r>
      <w:r w:rsidRPr="00605084">
        <w:rPr>
          <w:spacing w:val="-5"/>
          <w:sz w:val="16"/>
          <w:szCs w:val="16"/>
          <w:lang w:val="en-GB"/>
        </w:rPr>
        <w:t xml:space="preserve"> </w:t>
      </w:r>
      <w:bookmarkStart w:id="138" w:name="_Hlk195456643"/>
      <w:r w:rsidRPr="00605084">
        <w:rPr>
          <w:spacing w:val="-5"/>
          <w:sz w:val="16"/>
          <w:szCs w:val="16"/>
          <w:lang w:val="en-GB"/>
        </w:rPr>
        <w:t xml:space="preserve">Individual authorities were allowed to reduce the number of positions without the need for a further reduction in the related volume of funds intended for salaries. </w:t>
      </w:r>
      <w:bookmarkEnd w:id="138"/>
    </w:p>
  </w:footnote>
  <w:footnote w:id="139">
    <w:p w14:paraId="53254D81" w14:textId="77777777" w:rsidR="006145FA" w:rsidRPr="00605084" w:rsidRDefault="006145FA" w:rsidP="00803507">
      <w:pPr>
        <w:pStyle w:val="Textpoznpodarou"/>
        <w:rPr>
          <w:sz w:val="16"/>
          <w:szCs w:val="16"/>
          <w:lang w:val="en-GB"/>
        </w:rPr>
      </w:pPr>
      <w:r w:rsidRPr="00605084">
        <w:rPr>
          <w:rStyle w:val="Znakapoznpodarou"/>
          <w:sz w:val="16"/>
          <w:szCs w:val="16"/>
          <w:lang w:val="en-GB"/>
        </w:rPr>
        <w:footnoteRef/>
      </w:r>
      <w:r w:rsidRPr="00605084">
        <w:rPr>
          <w:sz w:val="16"/>
          <w:szCs w:val="16"/>
          <w:lang w:val="en-GB"/>
        </w:rPr>
        <w:t xml:space="preserve"> </w:t>
      </w:r>
      <w:bookmarkStart w:id="144" w:name="_Hlk195457243"/>
      <w:r w:rsidRPr="00824E29">
        <w:rPr>
          <w:sz w:val="16"/>
          <w:szCs w:val="16"/>
        </w:rPr>
        <w:t xml:space="preserve">This item has long accounted for more than a tenth of all current </w:t>
      </w:r>
      <w:r>
        <w:rPr>
          <w:sz w:val="16"/>
          <w:szCs w:val="16"/>
        </w:rPr>
        <w:t xml:space="preserve">SB </w:t>
      </w:r>
      <w:r w:rsidRPr="00824E29">
        <w:rPr>
          <w:sz w:val="16"/>
          <w:szCs w:val="16"/>
        </w:rPr>
        <w:t>expen</w:t>
      </w:r>
      <w:r>
        <w:rPr>
          <w:sz w:val="16"/>
          <w:szCs w:val="16"/>
        </w:rPr>
        <w:t xml:space="preserve">ditures. </w:t>
      </w:r>
      <w:bookmarkEnd w:id="144"/>
    </w:p>
  </w:footnote>
  <w:footnote w:id="140">
    <w:p w14:paraId="591B2288" w14:textId="77777777" w:rsidR="006145FA" w:rsidRPr="00352B68" w:rsidRDefault="006145FA" w:rsidP="00803507">
      <w:pPr>
        <w:pStyle w:val="Textpoznpodarou"/>
        <w:jc w:val="both"/>
        <w:rPr>
          <w:sz w:val="16"/>
          <w:szCs w:val="16"/>
          <w:lang w:val="en-GB"/>
        </w:rPr>
      </w:pPr>
      <w:r w:rsidRPr="00605084">
        <w:rPr>
          <w:rStyle w:val="Znakapoznpodarou"/>
          <w:sz w:val="16"/>
          <w:szCs w:val="16"/>
          <w:lang w:val="en-GB"/>
        </w:rPr>
        <w:footnoteRef/>
      </w:r>
      <w:r w:rsidRPr="00605084">
        <w:rPr>
          <w:sz w:val="16"/>
          <w:szCs w:val="16"/>
          <w:lang w:val="en-GB"/>
        </w:rPr>
        <w:t xml:space="preserve"> </w:t>
      </w:r>
      <w:bookmarkStart w:id="145" w:name="_Hlk195457273"/>
      <w:r w:rsidRPr="00352B68">
        <w:rPr>
          <w:sz w:val="16"/>
          <w:szCs w:val="16"/>
          <w:lang w:val="en-GB"/>
        </w:rPr>
        <w:t xml:space="preserve">The year-on-year decrease of expenditure </w:t>
      </w:r>
      <w:r>
        <w:rPr>
          <w:sz w:val="16"/>
          <w:szCs w:val="16"/>
          <w:lang w:val="en-GB"/>
        </w:rPr>
        <w:t xml:space="preserve">of </w:t>
      </w:r>
      <w:r w:rsidRPr="00352B68">
        <w:rPr>
          <w:sz w:val="16"/>
          <w:szCs w:val="16"/>
          <w:lang w:val="en-GB"/>
        </w:rPr>
        <w:t xml:space="preserve">this item in 2012 was related to methodological influences or changes in the budgeting of social care benefits. From the perspective of the budget structure, these benefits, i.e. </w:t>
      </w:r>
      <w:r>
        <w:rPr>
          <w:sz w:val="16"/>
          <w:szCs w:val="16"/>
          <w:lang w:val="en-GB"/>
        </w:rPr>
        <w:t xml:space="preserve">material deprivation assistance </w:t>
      </w:r>
      <w:r w:rsidRPr="00352B68">
        <w:rPr>
          <w:sz w:val="16"/>
          <w:szCs w:val="16"/>
          <w:lang w:val="en-GB"/>
        </w:rPr>
        <w:t xml:space="preserve">benefits, </w:t>
      </w:r>
      <w:r>
        <w:rPr>
          <w:sz w:val="16"/>
          <w:szCs w:val="16"/>
          <w:lang w:val="en-GB"/>
        </w:rPr>
        <w:t xml:space="preserve">the disability </w:t>
      </w:r>
      <w:r w:rsidRPr="00352B68">
        <w:rPr>
          <w:sz w:val="16"/>
          <w:szCs w:val="16"/>
          <w:lang w:val="en-GB"/>
        </w:rPr>
        <w:t>benefits</w:t>
      </w:r>
      <w:r>
        <w:rPr>
          <w:sz w:val="16"/>
          <w:szCs w:val="16"/>
          <w:lang w:val="en-GB"/>
        </w:rPr>
        <w:t xml:space="preserve"> </w:t>
      </w:r>
      <w:r w:rsidRPr="00352B68">
        <w:rPr>
          <w:sz w:val="16"/>
          <w:szCs w:val="16"/>
          <w:lang w:val="en-GB"/>
        </w:rPr>
        <w:t xml:space="preserve">and care allowance, were no longer transfers to </w:t>
      </w:r>
      <w:r>
        <w:rPr>
          <w:sz w:val="16"/>
          <w:szCs w:val="16"/>
          <w:lang w:val="en-GB"/>
        </w:rPr>
        <w:t>regional b</w:t>
      </w:r>
      <w:r w:rsidRPr="00352B68">
        <w:rPr>
          <w:sz w:val="16"/>
          <w:szCs w:val="16"/>
          <w:lang w:val="en-GB"/>
        </w:rPr>
        <w:t>udgets</w:t>
      </w:r>
      <w:r>
        <w:rPr>
          <w:sz w:val="16"/>
          <w:szCs w:val="16"/>
          <w:lang w:val="en-GB"/>
        </w:rPr>
        <w:t xml:space="preserve"> starting in year 2012</w:t>
      </w:r>
      <w:r w:rsidRPr="00352B68">
        <w:rPr>
          <w:sz w:val="16"/>
          <w:szCs w:val="16"/>
          <w:lang w:val="en-GB"/>
        </w:rPr>
        <w:t>, but became social benefits paid</w:t>
      </w:r>
      <w:r>
        <w:rPr>
          <w:sz w:val="16"/>
          <w:szCs w:val="16"/>
          <w:lang w:val="en-GB"/>
        </w:rPr>
        <w:t xml:space="preserve"> out</w:t>
      </w:r>
      <w:r w:rsidRPr="00352B68">
        <w:rPr>
          <w:sz w:val="16"/>
          <w:szCs w:val="16"/>
          <w:lang w:val="en-GB"/>
        </w:rPr>
        <w:t xml:space="preserve"> by the Labour Office.</w:t>
      </w:r>
      <w:r>
        <w:rPr>
          <w:sz w:val="16"/>
          <w:szCs w:val="16"/>
          <w:lang w:val="en-GB"/>
        </w:rPr>
        <w:t xml:space="preserve"> </w:t>
      </w:r>
      <w:bookmarkEnd w:id="145"/>
    </w:p>
  </w:footnote>
  <w:footnote w:id="141">
    <w:p w14:paraId="01089EFD" w14:textId="77777777" w:rsidR="006145FA" w:rsidRPr="00E932BB" w:rsidRDefault="006145FA" w:rsidP="00803507">
      <w:pPr>
        <w:pStyle w:val="Textpoznpodarou"/>
        <w:jc w:val="both"/>
        <w:rPr>
          <w:sz w:val="16"/>
          <w:szCs w:val="16"/>
          <w:lang w:val="en-GB"/>
        </w:rPr>
      </w:pPr>
      <w:r w:rsidRPr="00C96AA7">
        <w:rPr>
          <w:rStyle w:val="Znakapoznpodarou"/>
          <w:sz w:val="16"/>
          <w:szCs w:val="16"/>
        </w:rPr>
        <w:footnoteRef/>
      </w:r>
      <w:r w:rsidRPr="00C96AA7">
        <w:rPr>
          <w:sz w:val="16"/>
          <w:szCs w:val="16"/>
        </w:rPr>
        <w:t xml:space="preserve"> </w:t>
      </w:r>
      <w:r w:rsidRPr="0057157F">
        <w:rPr>
          <w:sz w:val="16"/>
          <w:szCs w:val="16"/>
        </w:rPr>
        <w:t>The originally approved S</w:t>
      </w:r>
      <w:r>
        <w:rPr>
          <w:sz w:val="16"/>
          <w:szCs w:val="16"/>
        </w:rPr>
        <w:t>B</w:t>
      </w:r>
      <w:r w:rsidRPr="0057157F">
        <w:rPr>
          <w:sz w:val="16"/>
          <w:szCs w:val="16"/>
        </w:rPr>
        <w:t xml:space="preserve"> expected a decline </w:t>
      </w:r>
      <w:r>
        <w:rPr>
          <w:sz w:val="16"/>
          <w:szCs w:val="16"/>
        </w:rPr>
        <w:t xml:space="preserve">of </w:t>
      </w:r>
      <w:r w:rsidRPr="0057157F">
        <w:rPr>
          <w:sz w:val="16"/>
          <w:szCs w:val="16"/>
        </w:rPr>
        <w:t xml:space="preserve">investment -12.3% for last year compared to the actual drawing in 2023, </w:t>
      </w:r>
      <w:r>
        <w:rPr>
          <w:sz w:val="16"/>
          <w:szCs w:val="16"/>
        </w:rPr>
        <w:t xml:space="preserve">subsequently the decline </w:t>
      </w:r>
      <w:r w:rsidRPr="0057157F">
        <w:rPr>
          <w:sz w:val="16"/>
          <w:szCs w:val="16"/>
        </w:rPr>
        <w:t xml:space="preserve">was corrected </w:t>
      </w:r>
      <w:r>
        <w:rPr>
          <w:sz w:val="16"/>
          <w:szCs w:val="16"/>
        </w:rPr>
        <w:t xml:space="preserve">up </w:t>
      </w:r>
      <w:r w:rsidRPr="0057157F">
        <w:rPr>
          <w:sz w:val="16"/>
          <w:szCs w:val="16"/>
        </w:rPr>
        <w:t>to -3.4% during the year.</w:t>
      </w:r>
      <w:r>
        <w:rPr>
          <w:sz w:val="16"/>
          <w:szCs w:val="16"/>
        </w:rPr>
        <w:t xml:space="preserve"> </w:t>
      </w:r>
    </w:p>
  </w:footnote>
  <w:footnote w:id="142">
    <w:p w14:paraId="42C812BF" w14:textId="77777777" w:rsidR="006145FA" w:rsidRPr="00E932BB" w:rsidRDefault="006145FA" w:rsidP="00803507">
      <w:pPr>
        <w:pStyle w:val="Textpoznpodarou"/>
        <w:jc w:val="both"/>
        <w:rPr>
          <w:spacing w:val="-2"/>
          <w:sz w:val="16"/>
          <w:szCs w:val="16"/>
          <w:lang w:val="en-GB"/>
        </w:rPr>
      </w:pPr>
      <w:r w:rsidRPr="00E932BB">
        <w:rPr>
          <w:rStyle w:val="Znakapoznpodarou"/>
          <w:spacing w:val="-2"/>
          <w:sz w:val="16"/>
          <w:szCs w:val="16"/>
          <w:lang w:val="en-GB"/>
        </w:rPr>
        <w:footnoteRef/>
      </w:r>
      <w:r w:rsidRPr="001C4FAB">
        <w:rPr>
          <w:spacing w:val="-2"/>
          <w:sz w:val="16"/>
          <w:szCs w:val="16"/>
        </w:rPr>
        <w:t>Q4 accounted for 45% of full-year investment</w:t>
      </w:r>
      <w:r>
        <w:rPr>
          <w:spacing w:val="-2"/>
          <w:sz w:val="16"/>
          <w:szCs w:val="16"/>
        </w:rPr>
        <w:t xml:space="preserve"> i</w:t>
      </w:r>
      <w:r w:rsidRPr="001C4FAB">
        <w:rPr>
          <w:spacing w:val="-2"/>
          <w:sz w:val="16"/>
          <w:szCs w:val="16"/>
        </w:rPr>
        <w:t>n 2024, of which 22% was in December alone.</w:t>
      </w:r>
      <w:r>
        <w:rPr>
          <w:spacing w:val="-2"/>
          <w:sz w:val="16"/>
          <w:szCs w:val="16"/>
        </w:rPr>
        <w:t xml:space="preserve"> I</w:t>
      </w:r>
      <w:r w:rsidRPr="001C4FAB">
        <w:rPr>
          <w:spacing w:val="-2"/>
          <w:sz w:val="16"/>
          <w:szCs w:val="16"/>
        </w:rPr>
        <w:t>t was analogously 36% and 15%</w:t>
      </w:r>
      <w:r>
        <w:rPr>
          <w:spacing w:val="-2"/>
          <w:sz w:val="16"/>
          <w:szCs w:val="16"/>
        </w:rPr>
        <w:t xml:space="preserve"> i</w:t>
      </w:r>
      <w:r w:rsidRPr="001C4FAB">
        <w:rPr>
          <w:spacing w:val="-2"/>
          <w:sz w:val="16"/>
          <w:szCs w:val="16"/>
        </w:rPr>
        <w:t xml:space="preserve">n 2023. The last time investments were drawn down more intensively in terms of Q4 and December was in 2015 and </w:t>
      </w:r>
      <w:r>
        <w:rPr>
          <w:spacing w:val="-2"/>
          <w:sz w:val="16"/>
          <w:szCs w:val="16"/>
        </w:rPr>
        <w:t xml:space="preserve">it </w:t>
      </w:r>
      <w:r w:rsidRPr="001C4FAB">
        <w:rPr>
          <w:spacing w:val="-2"/>
          <w:sz w:val="16"/>
          <w:szCs w:val="16"/>
        </w:rPr>
        <w:t>was associated with the termination of the possibility of drawing European funds from the 2007 to 2013 programming period.</w:t>
      </w:r>
    </w:p>
  </w:footnote>
  <w:footnote w:id="143">
    <w:p w14:paraId="10840421" w14:textId="77777777" w:rsidR="006145FA" w:rsidRPr="00E932BB" w:rsidRDefault="006145FA" w:rsidP="00803507">
      <w:pPr>
        <w:pStyle w:val="Textpoznpodarou"/>
        <w:jc w:val="both"/>
        <w:rPr>
          <w:sz w:val="16"/>
          <w:szCs w:val="16"/>
          <w:lang w:val="en-GB"/>
        </w:rPr>
      </w:pPr>
      <w:r w:rsidRPr="00E932BB">
        <w:rPr>
          <w:rStyle w:val="Znakapoznpodarou"/>
          <w:sz w:val="16"/>
          <w:szCs w:val="16"/>
          <w:lang w:val="en-GB"/>
        </w:rPr>
        <w:footnoteRef/>
      </w:r>
      <w:r w:rsidRPr="00E932BB">
        <w:rPr>
          <w:sz w:val="16"/>
          <w:szCs w:val="16"/>
          <w:lang w:val="en-GB"/>
        </w:rPr>
        <w:t xml:space="preserve"> </w:t>
      </w:r>
      <w:r w:rsidRPr="00081C97">
        <w:rPr>
          <w:sz w:val="16"/>
          <w:szCs w:val="16"/>
        </w:rPr>
        <w:t>According to preliminary data, investment and non-investment defence spending reached 167 b</w:t>
      </w:r>
      <w:r>
        <w:rPr>
          <w:sz w:val="16"/>
          <w:szCs w:val="16"/>
        </w:rPr>
        <w:t xml:space="preserve">n CZK </w:t>
      </w:r>
      <w:r w:rsidRPr="00081C97">
        <w:rPr>
          <w:sz w:val="16"/>
          <w:szCs w:val="16"/>
        </w:rPr>
        <w:t>last year (+61 b</w:t>
      </w:r>
      <w:r>
        <w:rPr>
          <w:sz w:val="16"/>
          <w:szCs w:val="16"/>
        </w:rPr>
        <w:t xml:space="preserve">n, </w:t>
      </w:r>
      <w:r w:rsidRPr="00081C97">
        <w:rPr>
          <w:sz w:val="16"/>
          <w:szCs w:val="16"/>
        </w:rPr>
        <w:t>year-on-year), which corresponded to 2.1% of GDP. 95% of it was made up of expenditures of the Ministry of Defence of the CR.</w:t>
      </w:r>
    </w:p>
  </w:footnote>
  <w:footnote w:id="144">
    <w:p w14:paraId="339F23A8" w14:textId="77777777" w:rsidR="006145FA" w:rsidRPr="00E0286A" w:rsidRDefault="006145FA" w:rsidP="00803507">
      <w:pPr>
        <w:pStyle w:val="Textpoznpodarou"/>
        <w:jc w:val="both"/>
        <w:rPr>
          <w:lang w:val="en-GB"/>
        </w:rPr>
      </w:pPr>
      <w:r w:rsidRPr="00E0286A">
        <w:rPr>
          <w:rStyle w:val="Znakapoznpodarou"/>
          <w:sz w:val="16"/>
          <w:szCs w:val="16"/>
          <w:lang w:val="en-GB"/>
        </w:rPr>
        <w:footnoteRef/>
      </w:r>
      <w:r w:rsidRPr="00E0286A">
        <w:rPr>
          <w:sz w:val="16"/>
          <w:szCs w:val="16"/>
          <w:lang w:val="en-GB"/>
        </w:rPr>
        <w:t xml:space="preserve"> </w:t>
      </w:r>
      <w:r>
        <w:rPr>
          <w:sz w:val="16"/>
          <w:szCs w:val="16"/>
          <w:lang w:val="en-GB"/>
        </w:rPr>
        <w:t>T</w:t>
      </w:r>
      <w:r w:rsidRPr="00A17D01">
        <w:rPr>
          <w:sz w:val="16"/>
          <w:szCs w:val="16"/>
        </w:rPr>
        <w:t xml:space="preserve">his instrument was created to address the economic and social impact of the COVID-19 pandemic. In particular, it targets labour market recovery, social </w:t>
      </w:r>
      <w:r>
        <w:rPr>
          <w:sz w:val="16"/>
          <w:szCs w:val="16"/>
        </w:rPr>
        <w:t>security a</w:t>
      </w:r>
      <w:r w:rsidRPr="00A17D01">
        <w:rPr>
          <w:sz w:val="16"/>
          <w:szCs w:val="16"/>
        </w:rPr>
        <w:t xml:space="preserve">nd health </w:t>
      </w:r>
      <w:r>
        <w:rPr>
          <w:sz w:val="16"/>
          <w:szCs w:val="16"/>
        </w:rPr>
        <w:t xml:space="preserve">care </w:t>
      </w:r>
      <w:r w:rsidRPr="00A17D01">
        <w:rPr>
          <w:sz w:val="16"/>
          <w:szCs w:val="16"/>
        </w:rPr>
        <w:t xml:space="preserve">systems, reviving the potential for sustainable growth and </w:t>
      </w:r>
      <w:r>
        <w:rPr>
          <w:sz w:val="16"/>
          <w:szCs w:val="16"/>
        </w:rPr>
        <w:t>employment</w:t>
      </w:r>
      <w:r w:rsidRPr="00A17D01">
        <w:rPr>
          <w:sz w:val="16"/>
          <w:szCs w:val="16"/>
        </w:rPr>
        <w:t>, transformation to a green and digital economy, research and innovation, support for agriculture and rural development. The expenditure takes the form of grants and loans to Member States provided under the Recovery and Resilience Facility and six other EU spending programmes for the period 2021 to 2027.</w:t>
      </w:r>
      <w:r>
        <w:rPr>
          <w:sz w:val="16"/>
          <w:szCs w:val="16"/>
        </w:rPr>
        <w:t xml:space="preserve"> </w:t>
      </w:r>
    </w:p>
  </w:footnote>
  <w:footnote w:id="145">
    <w:p w14:paraId="7B31BF4B" w14:textId="77777777" w:rsidR="00556A6D" w:rsidRPr="00E0286A" w:rsidRDefault="00556A6D" w:rsidP="00803507">
      <w:pPr>
        <w:pStyle w:val="Textpoznpodarou"/>
        <w:jc w:val="both"/>
        <w:rPr>
          <w:sz w:val="16"/>
          <w:szCs w:val="16"/>
          <w:lang w:val="en-GB"/>
        </w:rPr>
      </w:pPr>
      <w:r w:rsidRPr="00E0286A">
        <w:rPr>
          <w:rStyle w:val="Znakapoznpodarou"/>
          <w:sz w:val="16"/>
          <w:szCs w:val="16"/>
          <w:lang w:val="en-GB"/>
        </w:rPr>
        <w:footnoteRef/>
      </w:r>
      <w:r w:rsidRPr="00E0286A">
        <w:rPr>
          <w:sz w:val="16"/>
          <w:szCs w:val="16"/>
          <w:lang w:val="en-GB"/>
        </w:rPr>
        <w:t xml:space="preserve"> It concerns bonds with maturity over 1 year. </w:t>
      </w:r>
    </w:p>
  </w:footnote>
  <w:footnote w:id="146">
    <w:p w14:paraId="3BBDA770" w14:textId="77777777" w:rsidR="00556A6D" w:rsidRPr="00D01A11" w:rsidRDefault="00556A6D" w:rsidP="00803507">
      <w:pPr>
        <w:pStyle w:val="Textpoznpodarou"/>
        <w:jc w:val="both"/>
        <w:rPr>
          <w:spacing w:val="-4"/>
          <w:sz w:val="16"/>
          <w:szCs w:val="16"/>
          <w:lang w:val="en-GB"/>
        </w:rPr>
      </w:pPr>
      <w:r w:rsidRPr="00D01A11">
        <w:rPr>
          <w:rStyle w:val="Znakapoznpodarou"/>
          <w:spacing w:val="-4"/>
          <w:sz w:val="16"/>
          <w:szCs w:val="16"/>
          <w:lang w:val="en-GB"/>
        </w:rPr>
        <w:footnoteRef/>
      </w:r>
      <w:r w:rsidRPr="00D01A11">
        <w:rPr>
          <w:spacing w:val="-4"/>
          <w:sz w:val="16"/>
          <w:szCs w:val="16"/>
          <w:lang w:val="en-GB"/>
        </w:rPr>
        <w:t xml:space="preserve"> Unless stated otherwise, d</w:t>
      </w:r>
      <w:r w:rsidRPr="00D01A11">
        <w:rPr>
          <w:sz w:val="16"/>
          <w:szCs w:val="16"/>
          <w:lang w:val="en-GB"/>
        </w:rPr>
        <w:t>ata regarding the budget balance of sector VI in the CR are expressed without seasonal adjustment.</w:t>
      </w:r>
    </w:p>
  </w:footnote>
  <w:footnote w:id="147">
    <w:p w14:paraId="75CD4E93" w14:textId="77777777" w:rsidR="00556A6D" w:rsidRPr="00D01A11" w:rsidRDefault="00556A6D" w:rsidP="00803507">
      <w:pPr>
        <w:pStyle w:val="Textpoznpodarou"/>
        <w:jc w:val="both"/>
        <w:rPr>
          <w:spacing w:val="-4"/>
          <w:sz w:val="16"/>
          <w:szCs w:val="16"/>
          <w:lang w:val="en-GB"/>
        </w:rPr>
      </w:pPr>
      <w:r w:rsidRPr="00E74176">
        <w:rPr>
          <w:rStyle w:val="Znakapoznpodarou"/>
          <w:spacing w:val="-4"/>
          <w:sz w:val="16"/>
          <w:szCs w:val="16"/>
        </w:rPr>
        <w:footnoteRef/>
      </w:r>
      <w:r w:rsidRPr="00E74176">
        <w:rPr>
          <w:spacing w:val="-4"/>
          <w:sz w:val="16"/>
          <w:szCs w:val="16"/>
        </w:rPr>
        <w:t xml:space="preserve"> </w:t>
      </w:r>
      <w:r w:rsidRPr="00D01A11">
        <w:rPr>
          <w:sz w:val="16"/>
          <w:szCs w:val="16"/>
          <w:lang w:val="en-GB"/>
        </w:rPr>
        <w:t>Data regarding the budget of government institutions for Q4 2024 will be published by the CZSO on 2</w:t>
      </w:r>
      <w:r w:rsidRPr="00D01A11">
        <w:rPr>
          <w:sz w:val="16"/>
          <w:szCs w:val="16"/>
          <w:vertAlign w:val="superscript"/>
          <w:lang w:val="en-GB"/>
        </w:rPr>
        <w:t>nd</w:t>
      </w:r>
      <w:r w:rsidRPr="00D01A11">
        <w:rPr>
          <w:sz w:val="16"/>
          <w:szCs w:val="16"/>
          <w:lang w:val="en-GB"/>
        </w:rPr>
        <w:t xml:space="preserve"> April 2025, Eurostat then on behalf of the Union member states on 22</w:t>
      </w:r>
      <w:r w:rsidRPr="00D01A11">
        <w:rPr>
          <w:sz w:val="16"/>
          <w:szCs w:val="16"/>
          <w:vertAlign w:val="superscript"/>
          <w:lang w:val="en-GB"/>
        </w:rPr>
        <w:t xml:space="preserve">nd </w:t>
      </w:r>
      <w:r w:rsidRPr="00D01A11">
        <w:rPr>
          <w:sz w:val="16"/>
          <w:szCs w:val="16"/>
          <w:lang w:val="en-GB"/>
        </w:rPr>
        <w:t xml:space="preserve">April. More detailed assessment of the domestic development for Q3 2024 is contained in the publication </w:t>
      </w:r>
      <w:hyperlink r:id="rId3" w:history="1">
        <w:r w:rsidRPr="00D01A11">
          <w:rPr>
            <w:rStyle w:val="Hypertextovodkaz"/>
            <w:spacing w:val="-4"/>
            <w:sz w:val="16"/>
            <w:szCs w:val="16"/>
            <w:lang w:val="en-GB"/>
          </w:rPr>
          <w:t>Analýza sektorových účtů.</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6145FA" w14:paraId="745E33F7" w14:textId="77777777" w:rsidTr="7BDB84E4">
      <w:trPr>
        <w:trHeight w:val="300"/>
      </w:trPr>
      <w:tc>
        <w:tcPr>
          <w:tcW w:w="3210" w:type="dxa"/>
        </w:tcPr>
        <w:p w14:paraId="6FA5C7C1" w14:textId="77777777" w:rsidR="006145FA" w:rsidRDefault="006145FA" w:rsidP="7BDB84E4">
          <w:pPr>
            <w:pStyle w:val="Zhlav"/>
            <w:ind w:left="-115"/>
          </w:pPr>
        </w:p>
      </w:tc>
      <w:tc>
        <w:tcPr>
          <w:tcW w:w="3210" w:type="dxa"/>
        </w:tcPr>
        <w:p w14:paraId="45ED3A50" w14:textId="77777777" w:rsidR="006145FA" w:rsidRDefault="006145FA" w:rsidP="7BDB84E4">
          <w:pPr>
            <w:pStyle w:val="Zhlav"/>
            <w:jc w:val="center"/>
          </w:pPr>
        </w:p>
      </w:tc>
      <w:tc>
        <w:tcPr>
          <w:tcW w:w="3210" w:type="dxa"/>
        </w:tcPr>
        <w:p w14:paraId="38E2EB00" w14:textId="77777777" w:rsidR="006145FA" w:rsidRDefault="006145FA" w:rsidP="7BDB84E4">
          <w:pPr>
            <w:pStyle w:val="Zhlav"/>
            <w:ind w:right="-115"/>
            <w:jc w:val="right"/>
          </w:pPr>
        </w:p>
      </w:tc>
    </w:tr>
  </w:tbl>
  <w:p w14:paraId="5CFC8A2F" w14:textId="77777777" w:rsidR="006145FA" w:rsidRDefault="006145FA" w:rsidP="7BDB84E4">
    <w:pPr>
      <w:pStyle w:val="Zhlav"/>
    </w:pPr>
  </w:p>
  <w:p w14:paraId="5D834354" w14:textId="77777777" w:rsidR="006145FA" w:rsidRDefault="006145F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6145FA" w14:paraId="394452B9" w14:textId="77777777" w:rsidTr="7BDB84E4">
      <w:trPr>
        <w:trHeight w:val="300"/>
      </w:trPr>
      <w:tc>
        <w:tcPr>
          <w:tcW w:w="3210" w:type="dxa"/>
        </w:tcPr>
        <w:p w14:paraId="4F43D27D" w14:textId="77777777" w:rsidR="006145FA" w:rsidRDefault="006145FA" w:rsidP="7BDB84E4">
          <w:pPr>
            <w:pStyle w:val="Zhlav"/>
            <w:ind w:left="-115"/>
          </w:pPr>
        </w:p>
      </w:tc>
      <w:tc>
        <w:tcPr>
          <w:tcW w:w="3210" w:type="dxa"/>
        </w:tcPr>
        <w:p w14:paraId="77EEF221" w14:textId="77777777" w:rsidR="006145FA" w:rsidRDefault="006145FA" w:rsidP="7BDB84E4">
          <w:pPr>
            <w:pStyle w:val="Zhlav"/>
            <w:jc w:val="center"/>
          </w:pPr>
        </w:p>
      </w:tc>
      <w:tc>
        <w:tcPr>
          <w:tcW w:w="3210" w:type="dxa"/>
        </w:tcPr>
        <w:p w14:paraId="24CBCB55" w14:textId="77777777" w:rsidR="006145FA" w:rsidRDefault="006145FA" w:rsidP="7BDB84E4">
          <w:pPr>
            <w:pStyle w:val="Zhlav"/>
            <w:ind w:right="-115"/>
            <w:jc w:val="right"/>
          </w:pPr>
        </w:p>
      </w:tc>
    </w:tr>
  </w:tbl>
  <w:p w14:paraId="0D264AB1" w14:textId="77777777" w:rsidR="006145FA" w:rsidRDefault="006145FA" w:rsidP="7BDB84E4">
    <w:pPr>
      <w:pStyle w:val="Zhlav"/>
    </w:pPr>
  </w:p>
  <w:p w14:paraId="4DD4F02B" w14:textId="77777777" w:rsidR="006145FA" w:rsidRDefault="006145F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6" w14:textId="33008622" w:rsidR="006145FA" w:rsidRPr="00C27E4F" w:rsidRDefault="006145FA" w:rsidP="00C27E4F">
    <w:pPr>
      <w:pStyle w:val="Zhlav"/>
    </w:pPr>
    <w:r>
      <w:t>The Czech Economy Development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7" w14:textId="66FE4D49" w:rsidR="006145FA" w:rsidRPr="006F5416" w:rsidRDefault="006145FA" w:rsidP="00937AE2">
    <w:pPr>
      <w:pStyle w:val="Zhlav"/>
    </w:pPr>
    <w: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14329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02530768" o:spid="_x0000_i1026" type="#_x0000_t75" style="width:11.25pt;height:11.25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5"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3"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26"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29"/>
  </w:num>
  <w:num w:numId="14">
    <w:abstractNumId w:val="14"/>
  </w:num>
  <w:num w:numId="15">
    <w:abstractNumId w:val="20"/>
  </w:num>
  <w:num w:numId="16">
    <w:abstractNumId w:val="16"/>
  </w:num>
  <w:num w:numId="17">
    <w:abstractNumId w:val="30"/>
  </w:num>
  <w:num w:numId="18">
    <w:abstractNumId w:val="21"/>
  </w:num>
  <w:num w:numId="19">
    <w:abstractNumId w:val="32"/>
  </w:num>
  <w:num w:numId="20">
    <w:abstractNumId w:val="37"/>
  </w:num>
  <w:num w:numId="21">
    <w:abstractNumId w:val="28"/>
  </w:num>
  <w:num w:numId="22">
    <w:abstractNumId w:val="19"/>
  </w:num>
  <w:num w:numId="23">
    <w:abstractNumId w:val="17"/>
  </w:num>
  <w:num w:numId="24">
    <w:abstractNumId w:val="18"/>
  </w:num>
  <w:num w:numId="25">
    <w:abstractNumId w:val="35"/>
  </w:num>
  <w:num w:numId="26">
    <w:abstractNumId w:val="36"/>
  </w:num>
  <w:num w:numId="27">
    <w:abstractNumId w:val="13"/>
  </w:num>
  <w:num w:numId="28">
    <w:abstractNumId w:val="23"/>
  </w:num>
  <w:num w:numId="29">
    <w:abstractNumId w:val="22"/>
  </w:num>
  <w:num w:numId="30">
    <w:abstractNumId w:val="10"/>
  </w:num>
  <w:num w:numId="31">
    <w:abstractNumId w:val="24"/>
  </w:num>
  <w:num w:numId="32">
    <w:abstractNumId w:val="12"/>
  </w:num>
  <w:num w:numId="33">
    <w:abstractNumId w:val="39"/>
  </w:num>
  <w:num w:numId="34">
    <w:abstractNumId w:val="11"/>
  </w:num>
  <w:num w:numId="35">
    <w:abstractNumId w:val="31"/>
  </w:num>
  <w:num w:numId="36">
    <w:abstractNumId w:val="26"/>
  </w:num>
  <w:num w:numId="37">
    <w:abstractNumId w:val="25"/>
  </w:num>
  <w:num w:numId="38">
    <w:abstractNumId w:val="33"/>
  </w:num>
  <w:num w:numId="39">
    <w:abstractNumId w:val="3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62"/>
    <w:rsid w:val="0000209D"/>
    <w:rsid w:val="000024D3"/>
    <w:rsid w:val="00004D5A"/>
    <w:rsid w:val="000056D5"/>
    <w:rsid w:val="00006ABD"/>
    <w:rsid w:val="0000767A"/>
    <w:rsid w:val="00010256"/>
    <w:rsid w:val="00010702"/>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3793"/>
    <w:rsid w:val="001706D6"/>
    <w:rsid w:val="001714F2"/>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C5B"/>
    <w:rsid w:val="003103E0"/>
    <w:rsid w:val="00313B2D"/>
    <w:rsid w:val="00314F9F"/>
    <w:rsid w:val="00315D45"/>
    <w:rsid w:val="003209D6"/>
    <w:rsid w:val="00321924"/>
    <w:rsid w:val="0032656E"/>
    <w:rsid w:val="00326FE1"/>
    <w:rsid w:val="00332190"/>
    <w:rsid w:val="0034335E"/>
    <w:rsid w:val="00344668"/>
    <w:rsid w:val="003462D9"/>
    <w:rsid w:val="00360C86"/>
    <w:rsid w:val="00360FBC"/>
    <w:rsid w:val="00362E90"/>
    <w:rsid w:val="00364199"/>
    <w:rsid w:val="00364FA0"/>
    <w:rsid w:val="003657F3"/>
    <w:rsid w:val="003818DC"/>
    <w:rsid w:val="0038369B"/>
    <w:rsid w:val="00384327"/>
    <w:rsid w:val="00385D98"/>
    <w:rsid w:val="003905A9"/>
    <w:rsid w:val="003A2B4D"/>
    <w:rsid w:val="003A2D12"/>
    <w:rsid w:val="003A478C"/>
    <w:rsid w:val="003A5525"/>
    <w:rsid w:val="003A6B38"/>
    <w:rsid w:val="003B461F"/>
    <w:rsid w:val="003B5A32"/>
    <w:rsid w:val="003C3490"/>
    <w:rsid w:val="003C7E62"/>
    <w:rsid w:val="003D6920"/>
    <w:rsid w:val="003E0A6F"/>
    <w:rsid w:val="003E48F2"/>
    <w:rsid w:val="003E4C91"/>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41A0"/>
    <w:rsid w:val="004455BA"/>
    <w:rsid w:val="0045078A"/>
    <w:rsid w:val="0045086D"/>
    <w:rsid w:val="00451504"/>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2007E"/>
    <w:rsid w:val="0052337A"/>
    <w:rsid w:val="00525137"/>
    <w:rsid w:val="005251DD"/>
    <w:rsid w:val="0053014E"/>
    <w:rsid w:val="00530B52"/>
    <w:rsid w:val="00532CE7"/>
    <w:rsid w:val="0053324C"/>
    <w:rsid w:val="00534A28"/>
    <w:rsid w:val="00541508"/>
    <w:rsid w:val="00543498"/>
    <w:rsid w:val="0055599F"/>
    <w:rsid w:val="00556A6D"/>
    <w:rsid w:val="00556D68"/>
    <w:rsid w:val="00563EB8"/>
    <w:rsid w:val="005647BF"/>
    <w:rsid w:val="00564AF1"/>
    <w:rsid w:val="0057364B"/>
    <w:rsid w:val="00573683"/>
    <w:rsid w:val="00574773"/>
    <w:rsid w:val="00583FFD"/>
    <w:rsid w:val="005911BE"/>
    <w:rsid w:val="00593152"/>
    <w:rsid w:val="005A10F2"/>
    <w:rsid w:val="005A21E0"/>
    <w:rsid w:val="005A28FF"/>
    <w:rsid w:val="005A3DF8"/>
    <w:rsid w:val="005A5549"/>
    <w:rsid w:val="005A7038"/>
    <w:rsid w:val="005B121D"/>
    <w:rsid w:val="005C06ED"/>
    <w:rsid w:val="005C159F"/>
    <w:rsid w:val="005C2609"/>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4093"/>
    <w:rsid w:val="00625F8F"/>
    <w:rsid w:val="006350D5"/>
    <w:rsid w:val="006404A7"/>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95BEF"/>
    <w:rsid w:val="006977F6"/>
    <w:rsid w:val="00697A13"/>
    <w:rsid w:val="006A109C"/>
    <w:rsid w:val="006B0F92"/>
    <w:rsid w:val="006B344A"/>
    <w:rsid w:val="006B78D8"/>
    <w:rsid w:val="006C113F"/>
    <w:rsid w:val="006C123E"/>
    <w:rsid w:val="006C1752"/>
    <w:rsid w:val="006C56D4"/>
    <w:rsid w:val="006C6924"/>
    <w:rsid w:val="006C7CA6"/>
    <w:rsid w:val="006D3E8A"/>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3946"/>
    <w:rsid w:val="007240E2"/>
    <w:rsid w:val="00725BB5"/>
    <w:rsid w:val="007301CE"/>
    <w:rsid w:val="00730AE8"/>
    <w:rsid w:val="00730F1B"/>
    <w:rsid w:val="00741493"/>
    <w:rsid w:val="00752180"/>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60D1"/>
    <w:rsid w:val="009B6FD3"/>
    <w:rsid w:val="009C1750"/>
    <w:rsid w:val="009C2E29"/>
    <w:rsid w:val="009C554B"/>
    <w:rsid w:val="009C719E"/>
    <w:rsid w:val="009C7A10"/>
    <w:rsid w:val="009D3ACD"/>
    <w:rsid w:val="009E5273"/>
    <w:rsid w:val="009E5DDB"/>
    <w:rsid w:val="009F4CA7"/>
    <w:rsid w:val="00A10D66"/>
    <w:rsid w:val="00A119FE"/>
    <w:rsid w:val="00A14114"/>
    <w:rsid w:val="00A14699"/>
    <w:rsid w:val="00A16413"/>
    <w:rsid w:val="00A16E1D"/>
    <w:rsid w:val="00A17D5B"/>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FED"/>
    <w:rsid w:val="00AA2996"/>
    <w:rsid w:val="00AA52BF"/>
    <w:rsid w:val="00AA559A"/>
    <w:rsid w:val="00AB2AF1"/>
    <w:rsid w:val="00AC45BD"/>
    <w:rsid w:val="00AD168E"/>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6D1E"/>
    <w:rsid w:val="00B80EC6"/>
    <w:rsid w:val="00B84CF6"/>
    <w:rsid w:val="00B879AA"/>
    <w:rsid w:val="00B92D1D"/>
    <w:rsid w:val="00B938C5"/>
    <w:rsid w:val="00B95940"/>
    <w:rsid w:val="00BA6C2B"/>
    <w:rsid w:val="00BB46F3"/>
    <w:rsid w:val="00BB4CB1"/>
    <w:rsid w:val="00BB4F98"/>
    <w:rsid w:val="00BC5C12"/>
    <w:rsid w:val="00BC7154"/>
    <w:rsid w:val="00BC731E"/>
    <w:rsid w:val="00BD366B"/>
    <w:rsid w:val="00BD6D50"/>
    <w:rsid w:val="00BE18B9"/>
    <w:rsid w:val="00BE1EB2"/>
    <w:rsid w:val="00BE2495"/>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D040DD"/>
    <w:rsid w:val="00D075BE"/>
    <w:rsid w:val="00D13986"/>
    <w:rsid w:val="00D21D83"/>
    <w:rsid w:val="00D235B7"/>
    <w:rsid w:val="00D23C02"/>
    <w:rsid w:val="00D25F28"/>
    <w:rsid w:val="00D26071"/>
    <w:rsid w:val="00D27973"/>
    <w:rsid w:val="00D35E1A"/>
    <w:rsid w:val="00D42211"/>
    <w:rsid w:val="00D50F46"/>
    <w:rsid w:val="00D57677"/>
    <w:rsid w:val="00D66223"/>
    <w:rsid w:val="00D71625"/>
    <w:rsid w:val="00D77C2A"/>
    <w:rsid w:val="00D8084C"/>
    <w:rsid w:val="00D8546D"/>
    <w:rsid w:val="00D915EA"/>
    <w:rsid w:val="00DA7C0C"/>
    <w:rsid w:val="00DB08A9"/>
    <w:rsid w:val="00DB2EC8"/>
    <w:rsid w:val="00DC5B3B"/>
    <w:rsid w:val="00DD129F"/>
    <w:rsid w:val="00DE02BD"/>
    <w:rsid w:val="00DF42FF"/>
    <w:rsid w:val="00E01C0E"/>
    <w:rsid w:val="00E03F9A"/>
    <w:rsid w:val="00E04694"/>
    <w:rsid w:val="00E063CE"/>
    <w:rsid w:val="00E12B1E"/>
    <w:rsid w:val="00E17262"/>
    <w:rsid w:val="00E200EF"/>
    <w:rsid w:val="00E253A2"/>
    <w:rsid w:val="00E3309D"/>
    <w:rsid w:val="00E43C1C"/>
    <w:rsid w:val="00E47EBA"/>
    <w:rsid w:val="00E50156"/>
    <w:rsid w:val="00E51643"/>
    <w:rsid w:val="00E53470"/>
    <w:rsid w:val="00E539F6"/>
    <w:rsid w:val="00E551F6"/>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D4FDC"/>
    <w:rsid w:val="00ED62C6"/>
    <w:rsid w:val="00ED64C1"/>
    <w:rsid w:val="00EE3446"/>
    <w:rsid w:val="00EE3E78"/>
    <w:rsid w:val="00EE4B1B"/>
    <w:rsid w:val="00EE7F19"/>
    <w:rsid w:val="00EF150D"/>
    <w:rsid w:val="00EF1F5A"/>
    <w:rsid w:val="00EF3741"/>
    <w:rsid w:val="00EF47BF"/>
    <w:rsid w:val="00F00320"/>
    <w:rsid w:val="00F04811"/>
    <w:rsid w:val="00F0488C"/>
    <w:rsid w:val="00F10F11"/>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hart" Target="charts/chart2.xml"/><Relationship Id="rId26" Type="http://schemas.openxmlformats.org/officeDocument/2006/relationships/chart" Target="charts/chart10.xml"/><Relationship Id="rId39" Type="http://schemas.openxmlformats.org/officeDocument/2006/relationships/footer" Target="footer3.xml"/><Relationship Id="rId21" Type="http://schemas.openxmlformats.org/officeDocument/2006/relationships/chart" Target="charts/chart5.xml"/><Relationship Id="rId34" Type="http://schemas.openxmlformats.org/officeDocument/2006/relationships/chart" Target="charts/chart18.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chart" Target="charts/chart4.xml"/><Relationship Id="rId29" Type="http://schemas.openxmlformats.org/officeDocument/2006/relationships/chart" Target="charts/chart1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header" Target="header3.xm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chart" Target="charts/chart20.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chart" Target="charts/chart1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3" Type="http://schemas.openxmlformats.org/officeDocument/2006/relationships/hyperlink" Target="https://csu.gov.cz/rychle-informace/analyza-ctvrtletnich-sektorovych-uctu-3-ctvrtleti-2024" TargetMode="External"/><Relationship Id="rId2" Type="http://schemas.openxmlformats.org/officeDocument/2006/relationships/hyperlink" Target="https://csu.gov.cz/methodological-note-to-consumer-price-index-imputed-rentals" TargetMode="External"/><Relationship Id="rId1" Type="http://schemas.openxmlformats.org/officeDocument/2006/relationships/hyperlink" Target="https://csu.gov.cz/update-of-the-compilation-method-international-trade-in-goods-change-of-ownership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4Q4/eng/Makroanal&#253;za%20grafy_eng.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4Q4/eng/Makroanal&#253;za%20grafy_eng.xlsx" TargetMode="External"/><Relationship Id="rId2" Type="http://schemas.microsoft.com/office/2011/relationships/chartColorStyle" Target="colors2.xml"/><Relationship Id="rId1" Type="http://schemas.microsoft.com/office/2011/relationships/chartStyle" Target="style2.xml"/></Relationships>
</file>

<file path=word/charts/_rels/chart1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4Q4/eng/Makroanal&#253;za%20grafy_eng.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4Q4/eng/Makroanal&#253;za%20grafy_eng.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4Q4/eng/Makroanal&#253;za%20grafy_eng.xlsx" TargetMode="External"/><Relationship Id="rId2" Type="http://schemas.microsoft.com/office/2011/relationships/chartColorStyle" Target="colors3.xml"/><Relationship Id="rId1" Type="http://schemas.microsoft.com/office/2011/relationships/chartStyle" Target="style3.xml"/></Relationships>
</file>

<file path=word/charts/_rels/chart14.xml.rels><?xml version="1.0" encoding="UTF-8" standalone="yes"?>
<Relationships xmlns="http://schemas.openxmlformats.org/package/2006/relationships"><Relationship Id="rId1" Type="http://schemas.openxmlformats.org/officeDocument/2006/relationships/oleObject" Target="file:///F:\Qmakro-2024\Celorok\ENGL\ENGL-Grafy-Ttrh%20pr&#225;ce-rok-2024.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F:\Qmakro-2024\Celorok\ENGL\ENGL-Grafy-Ttrh%20pr&#225;ce-rok-2024.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F:\Qmakro-2024\Celorok\ENGL\ENGL-Grafy-Ttrh%20pr&#225;ce-rok-2024.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4Q4/eng/Makroanal&#253;za%20grafy_eng.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F:\Qmakro-2024\Celorok\ENGL\ENGL-Grafy-st&#225;tn&#237;%20rozpo&#269;et-rok-2024.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F:\Qmakro-2024\Celorok\ENGL\ENGL-Grafy-st&#225;tn&#237;%20rozpo&#269;et-rok-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4Q4/eng/Makroanal&#253;za%20grafy_eng.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F:\Qmakro-2024\Celorok\ENGL\ENGL-Grafy-st&#225;tn&#237;%20rozpo&#269;et-rok-2024.xlsx" TargetMode="External"/><Relationship Id="rId2" Type="http://schemas.microsoft.com/office/2011/relationships/chartColorStyle" Target="colors4.xml"/><Relationship Id="rId1" Type="http://schemas.microsoft.com/office/2011/relationships/chartStyle" Target="style4.xml"/></Relationships>
</file>

<file path=word/charts/_rels/chart3.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4Q4/eng/Makroanal&#253;za%20grafy_e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Qmakro-2024\Celorok\ENGL\ENGL_Grafy_Odv&#283;tv&#237;_rok202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Qmakro-2024\Celorok\ENGL\ENGL_Grafy_Odv&#283;tv&#237;_rok202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Qmakro-2024\Celorok\ENGL\ENGL_Grafy_Odv&#283;tv&#237;_rok202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Qmakro-2024\Celorok\ENGL\ENGL_Grafy_Odv&#283;tv&#237;_rok202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Qmakro-2024\Celorok\ENGL\ENGL_Grafy_Odv&#283;tv&#237;_rok2024.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4Q4/eng/Makroanal&#253;za%20grafy_e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2240163796014418E-2"/>
          <c:y val="2.3046636085626952E-2"/>
          <c:w val="0.93617042384329663"/>
          <c:h val="0.74192840256670856"/>
        </c:manualLayout>
      </c:layout>
      <c:barChart>
        <c:barDir val="col"/>
        <c:grouping val="clustered"/>
        <c:varyColors val="0"/>
        <c:ser>
          <c:idx val="0"/>
          <c:order val="0"/>
          <c:tx>
            <c:strRef>
              <c:f>'souhrnná výkonnost 1'!$C$4</c:f>
              <c:strCache>
                <c:ptCount val="1"/>
                <c:pt idx="0">
                  <c:v>CR year-on-year change</c:v>
                </c:pt>
              </c:strCache>
            </c:strRef>
          </c:tx>
          <c:spPr>
            <a:solidFill>
              <a:schemeClr val="bg1">
                <a:lumMod val="65000"/>
              </a:schemeClr>
            </a:solidFill>
            <a:ln>
              <a:noFill/>
            </a:ln>
          </c:spPr>
          <c:invertIfNegative val="0"/>
          <c:cat>
            <c:multiLvlStrRef>
              <c:f>'souhrnná výkonnost 1'!$A$9:$B$32</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1'!$C$9:$C$32</c:f>
              <c:numCache>
                <c:formatCode>0.0</c:formatCode>
                <c:ptCount val="24"/>
                <c:pt idx="0">
                  <c:v>3.4189856936099829</c:v>
                </c:pt>
                <c:pt idx="1">
                  <c:v>3.6131741333642537</c:v>
                </c:pt>
                <c:pt idx="2">
                  <c:v>3.6825803056472921</c:v>
                </c:pt>
                <c:pt idx="3">
                  <c:v>3.3199919158713271</c:v>
                </c:pt>
                <c:pt idx="4">
                  <c:v>-1.5501786832516729</c:v>
                </c:pt>
                <c:pt idx="5">
                  <c:v>-10.594932915034789</c:v>
                </c:pt>
                <c:pt idx="6">
                  <c:v>-4.7011751782364399</c:v>
                </c:pt>
                <c:pt idx="7">
                  <c:v>-4.4366398308301314</c:v>
                </c:pt>
                <c:pt idx="8">
                  <c:v>-1.2288638498452684</c:v>
                </c:pt>
                <c:pt idx="9">
                  <c:v>9.7404575003667162</c:v>
                </c:pt>
                <c:pt idx="10">
                  <c:v>3.9736849039729805</c:v>
                </c:pt>
                <c:pt idx="11">
                  <c:v>3.9029603596385698</c:v>
                </c:pt>
                <c:pt idx="12">
                  <c:v>4.8437098358771209</c:v>
                </c:pt>
                <c:pt idx="13">
                  <c:v>3.6483773841026448</c:v>
                </c:pt>
                <c:pt idx="14">
                  <c:v>2.0520198238941418</c:v>
                </c:pt>
                <c:pt idx="15">
                  <c:v>0.95157210327245423</c:v>
                </c:pt>
                <c:pt idx="16">
                  <c:v>0.30014334247493935</c:v>
                </c:pt>
                <c:pt idx="17">
                  <c:v>0.20720793280359828</c:v>
                </c:pt>
                <c:pt idx="18">
                  <c:v>-0.34013313783994192</c:v>
                </c:pt>
                <c:pt idx="19">
                  <c:v>9.2684914641580463E-2</c:v>
                </c:pt>
                <c:pt idx="20">
                  <c:v>0.34978279714887606</c:v>
                </c:pt>
                <c:pt idx="21">
                  <c:v>0.45659851919911887</c:v>
                </c:pt>
                <c:pt idx="22">
                  <c:v>1.4360510889264333</c:v>
                </c:pt>
                <c:pt idx="23" formatCode="General">
                  <c:v>1.8131087108279758</c:v>
                </c:pt>
              </c:numCache>
            </c:numRef>
          </c:val>
          <c:extLst>
            <c:ext xmlns:c16="http://schemas.microsoft.com/office/drawing/2014/chart" uri="{C3380CC4-5D6E-409C-BE32-E72D297353CC}">
              <c16:uniqueId val="{00000000-EDE7-4A6F-ABCF-1E7FE3F1090B}"/>
            </c:ext>
          </c:extLst>
        </c:ser>
        <c:ser>
          <c:idx val="1"/>
          <c:order val="1"/>
          <c:tx>
            <c:strRef>
              <c:f>'souhrnná výkonnost 1'!$D$4</c:f>
              <c:strCache>
                <c:ptCount val="1"/>
                <c:pt idx="0">
                  <c:v>EU28 year-on-year change</c:v>
                </c:pt>
              </c:strCache>
            </c:strRef>
          </c:tx>
          <c:spPr>
            <a:solidFill>
              <a:schemeClr val="bg1">
                <a:lumMod val="50000"/>
              </a:schemeClr>
            </a:solidFill>
            <a:ln>
              <a:noFill/>
            </a:ln>
          </c:spPr>
          <c:invertIfNegative val="0"/>
          <c:cat>
            <c:multiLvlStrRef>
              <c:f>'souhrnná výkonnost 1'!$A$9:$B$32</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1'!$D$9:$D$32</c:f>
              <c:numCache>
                <c:formatCode>#\ ##0.0</c:formatCode>
                <c:ptCount val="24"/>
                <c:pt idx="0" formatCode="#\ ##0.##########">
                  <c:v>2.1</c:v>
                </c:pt>
                <c:pt idx="1">
                  <c:v>2</c:v>
                </c:pt>
                <c:pt idx="2">
                  <c:v>2</c:v>
                </c:pt>
                <c:pt idx="3" formatCode="#\ ##0.##########">
                  <c:v>1.5</c:v>
                </c:pt>
                <c:pt idx="4" formatCode="#\ ##0.##########">
                  <c:v>-2.2000000000000002</c:v>
                </c:pt>
                <c:pt idx="5" formatCode="#\ ##0.##########">
                  <c:v>-13.1</c:v>
                </c:pt>
                <c:pt idx="6" formatCode="#\ ##0.##########">
                  <c:v>-3.9</c:v>
                </c:pt>
                <c:pt idx="7" formatCode="#\ ##0.##########">
                  <c:v>-3.5</c:v>
                </c:pt>
                <c:pt idx="8" formatCode="#\ ##0.##########">
                  <c:v>0.2</c:v>
                </c:pt>
                <c:pt idx="9" formatCode="#\ ##0.##########">
                  <c:v>14.7</c:v>
                </c:pt>
                <c:pt idx="10" formatCode="#\ ##0.##########">
                  <c:v>5.3</c:v>
                </c:pt>
                <c:pt idx="11" formatCode="#\ ##0.##########">
                  <c:v>5.8</c:v>
                </c:pt>
                <c:pt idx="12" formatCode="#\ ##0.##########">
                  <c:v>5.6</c:v>
                </c:pt>
                <c:pt idx="13" formatCode="#\ ##0.##########">
                  <c:v>4.0999999999999996</c:v>
                </c:pt>
                <c:pt idx="14" formatCode="#\ ##0.##########">
                  <c:v>2.9</c:v>
                </c:pt>
                <c:pt idx="15" formatCode="#\ ##0.##########">
                  <c:v>1.7</c:v>
                </c:pt>
                <c:pt idx="16" formatCode="#\ ##0.##########">
                  <c:v>1.2</c:v>
                </c:pt>
                <c:pt idx="17" formatCode="#\ ##0.##########">
                  <c:v>0.5</c:v>
                </c:pt>
                <c:pt idx="18" formatCode="#\ ##0.##########">
                  <c:v>0.1</c:v>
                </c:pt>
                <c:pt idx="19" formatCode="#\ ##0.##########">
                  <c:v>0.4</c:v>
                </c:pt>
                <c:pt idx="20" formatCode="#\ ##0.##########">
                  <c:v>0.6</c:v>
                </c:pt>
                <c:pt idx="21" formatCode="#\ ##0.##########">
                  <c:v>0.8</c:v>
                </c:pt>
                <c:pt idx="22" formatCode="#\ ##0.##########">
                  <c:v>1.1000000000000001</c:v>
                </c:pt>
                <c:pt idx="23" formatCode="#\ ##0.##########">
                  <c:v>1.4</c:v>
                </c:pt>
              </c:numCache>
            </c:numRef>
          </c:val>
          <c:extLst>
            <c:ext xmlns:c16="http://schemas.microsoft.com/office/drawing/2014/chart" uri="{C3380CC4-5D6E-409C-BE32-E72D297353CC}">
              <c16:uniqueId val="{00000001-EDE7-4A6F-ABCF-1E7FE3F1090B}"/>
            </c:ext>
          </c:extLst>
        </c:ser>
        <c:dLbls>
          <c:showLegendKey val="0"/>
          <c:showVal val="0"/>
          <c:showCatName val="0"/>
          <c:showSerName val="0"/>
          <c:showPercent val="0"/>
          <c:showBubbleSize val="0"/>
        </c:dLbls>
        <c:gapWidth val="100"/>
        <c:axId val="115054080"/>
        <c:axId val="115056000"/>
      </c:barChart>
      <c:lineChart>
        <c:grouping val="standard"/>
        <c:varyColors val="0"/>
        <c:ser>
          <c:idx val="2"/>
          <c:order val="2"/>
          <c:tx>
            <c:strRef>
              <c:f>'souhrnná výkonnost 1'!$E$4</c:f>
              <c:strCache>
                <c:ptCount val="1"/>
                <c:pt idx="0">
                  <c:v>ČR quarter-on-quarter change</c:v>
                </c:pt>
              </c:strCache>
            </c:strRef>
          </c:tx>
          <c:spPr>
            <a:ln w="19050">
              <a:noFill/>
            </a:ln>
          </c:spPr>
          <c:marker>
            <c:symbol val="dash"/>
            <c:size val="8"/>
            <c:spPr>
              <a:solidFill>
                <a:schemeClr val="accent1"/>
              </a:solidFill>
              <a:ln>
                <a:noFill/>
              </a:ln>
            </c:spPr>
          </c:marker>
          <c:cat>
            <c:multiLvlStrRef>
              <c:f>'souhrnná výkonnost 1'!$A$9:$B$32</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1'!$E$9:$E$32</c:f>
              <c:numCache>
                <c:formatCode>0.0</c:formatCode>
                <c:ptCount val="24"/>
                <c:pt idx="0">
                  <c:v>1.3072240756125382</c:v>
                </c:pt>
                <c:pt idx="1">
                  <c:v>0.49696583288741181</c:v>
                </c:pt>
                <c:pt idx="2">
                  <c:v>0.73496507853789694</c:v>
                </c:pt>
                <c:pt idx="3">
                  <c:v>0.74204395610576057</c:v>
                </c:pt>
                <c:pt idx="4">
                  <c:v>-3.4680711506351827</c:v>
                </c:pt>
                <c:pt idx="5">
                  <c:v>-8.7358630828085069</c:v>
                </c:pt>
                <c:pt idx="6">
                  <c:v>7.3756119585801656</c:v>
                </c:pt>
                <c:pt idx="7">
                  <c:v>1.0216888693163071</c:v>
                </c:pt>
                <c:pt idx="8">
                  <c:v>-0.22778321796964462</c:v>
                </c:pt>
                <c:pt idx="9">
                  <c:v>1.3997462117176838</c:v>
                </c:pt>
                <c:pt idx="10">
                  <c:v>1.7331100894615759</c:v>
                </c:pt>
                <c:pt idx="11">
                  <c:v>0.95297231935684579</c:v>
                </c:pt>
                <c:pt idx="12">
                  <c:v>0.67556602593998605</c:v>
                </c:pt>
                <c:pt idx="13">
                  <c:v>0.24367869523720742</c:v>
                </c:pt>
                <c:pt idx="14">
                  <c:v>0.16625083402912821</c:v>
                </c:pt>
                <c:pt idx="15">
                  <c:v>-0.13562414811659096</c:v>
                </c:pt>
                <c:pt idx="16">
                  <c:v>2.5918300278277684E-2</c:v>
                </c:pt>
                <c:pt idx="17">
                  <c:v>0.15079560418620019</c:v>
                </c:pt>
                <c:pt idx="18">
                  <c:v>-0.38086652513939612</c:v>
                </c:pt>
                <c:pt idx="19">
                  <c:v>0.29808207716142476</c:v>
                </c:pt>
                <c:pt idx="20">
                  <c:v>0.28284468618527114</c:v>
                </c:pt>
                <c:pt idx="21">
                  <c:v>0.25739951750003343</c:v>
                </c:pt>
                <c:pt idx="22">
                  <c:v>0.5904207542851907</c:v>
                </c:pt>
                <c:pt idx="23" formatCode="General">
                  <c:v>0.67090964589382907</c:v>
                </c:pt>
              </c:numCache>
            </c:numRef>
          </c:val>
          <c:smooth val="0"/>
          <c:extLst>
            <c:ext xmlns:c16="http://schemas.microsoft.com/office/drawing/2014/chart" uri="{C3380CC4-5D6E-409C-BE32-E72D297353CC}">
              <c16:uniqueId val="{00000002-EDE7-4A6F-ABCF-1E7FE3F1090B}"/>
            </c:ext>
          </c:extLst>
        </c:ser>
        <c:ser>
          <c:idx val="3"/>
          <c:order val="3"/>
          <c:tx>
            <c:strRef>
              <c:f>'souhrnná výkonnost 1'!$F$4</c:f>
              <c:strCache>
                <c:ptCount val="1"/>
                <c:pt idx="0">
                  <c:v>EU28 quarter-on-quarter change</c:v>
                </c:pt>
              </c:strCache>
            </c:strRef>
          </c:tx>
          <c:spPr>
            <a:ln w="19050">
              <a:noFill/>
            </a:ln>
          </c:spPr>
          <c:marker>
            <c:symbol val="dash"/>
            <c:size val="8"/>
            <c:spPr>
              <a:solidFill>
                <a:schemeClr val="accent2"/>
              </a:solidFill>
              <a:ln>
                <a:noFill/>
              </a:ln>
            </c:spPr>
          </c:marker>
          <c:cat>
            <c:multiLvlStrRef>
              <c:f>'souhrnná výkonnost 1'!$A$9:$B$32</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1'!$F$9:$F$32</c:f>
              <c:numCache>
                <c:formatCode>#\ ##0.##########</c:formatCode>
                <c:ptCount val="24"/>
                <c:pt idx="0">
                  <c:v>0.7</c:v>
                </c:pt>
                <c:pt idx="1">
                  <c:v>0.4</c:v>
                </c:pt>
                <c:pt idx="2">
                  <c:v>0.2</c:v>
                </c:pt>
                <c:pt idx="3">
                  <c:v>0.1</c:v>
                </c:pt>
                <c:pt idx="4" formatCode="#\ ##0.0">
                  <c:v>-3</c:v>
                </c:pt>
                <c:pt idx="5">
                  <c:v>-10.8</c:v>
                </c:pt>
                <c:pt idx="6">
                  <c:v>10.8</c:v>
                </c:pt>
                <c:pt idx="7">
                  <c:v>0.5</c:v>
                </c:pt>
                <c:pt idx="8">
                  <c:v>0.8</c:v>
                </c:pt>
                <c:pt idx="9">
                  <c:v>2.2000000000000002</c:v>
                </c:pt>
                <c:pt idx="10">
                  <c:v>1.7</c:v>
                </c:pt>
                <c:pt idx="11" formatCode="#\ ##0.0">
                  <c:v>1</c:v>
                </c:pt>
                <c:pt idx="12">
                  <c:v>0.6</c:v>
                </c:pt>
                <c:pt idx="13">
                  <c:v>0.8</c:v>
                </c:pt>
                <c:pt idx="14">
                  <c:v>0.5</c:v>
                </c:pt>
                <c:pt idx="15">
                  <c:v>-0.2</c:v>
                </c:pt>
                <c:pt idx="16">
                  <c:v>0.1</c:v>
                </c:pt>
                <c:pt idx="17">
                  <c:v>0.1</c:v>
                </c:pt>
                <c:pt idx="18">
                  <c:v>0.1</c:v>
                </c:pt>
                <c:pt idx="19">
                  <c:v>0.1</c:v>
                </c:pt>
                <c:pt idx="20">
                  <c:v>0.3</c:v>
                </c:pt>
                <c:pt idx="21">
                  <c:v>0.3</c:v>
                </c:pt>
                <c:pt idx="22">
                  <c:v>0.4</c:v>
                </c:pt>
                <c:pt idx="23">
                  <c:v>0.4</c:v>
                </c:pt>
              </c:numCache>
            </c:numRef>
          </c:val>
          <c:smooth val="0"/>
          <c:extLst>
            <c:ext xmlns:c16="http://schemas.microsoft.com/office/drawing/2014/chart" uri="{C3380CC4-5D6E-409C-BE32-E72D297353CC}">
              <c16:uniqueId val="{00000003-EDE7-4A6F-ABCF-1E7FE3F1090B}"/>
            </c:ext>
          </c:extLst>
        </c:ser>
        <c:dLbls>
          <c:showLegendKey val="0"/>
          <c:showVal val="0"/>
          <c:showCatName val="0"/>
          <c:showSerName val="0"/>
          <c:showPercent val="0"/>
          <c:showBubbleSize val="0"/>
        </c:dLbls>
        <c:marker val="1"/>
        <c:smooth val="0"/>
        <c:axId val="115054080"/>
        <c:axId val="115056000"/>
      </c:lineChart>
      <c:catAx>
        <c:axId val="115054080"/>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15056000"/>
        <c:crosses val="autoZero"/>
        <c:auto val="1"/>
        <c:lblAlgn val="ctr"/>
        <c:lblOffset val="100"/>
        <c:noMultiLvlLbl val="0"/>
      </c:catAx>
      <c:valAx>
        <c:axId val="115056000"/>
        <c:scaling>
          <c:orientation val="minMax"/>
          <c:max val="15"/>
          <c:min val="-15"/>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054080"/>
        <c:crosses val="autoZero"/>
        <c:crossBetween val="between"/>
        <c:majorUnit val="3"/>
      </c:valAx>
      <c:spPr>
        <a:ln>
          <a:solidFill>
            <a:schemeClr val="tx1"/>
          </a:solidFill>
        </a:ln>
      </c:spPr>
    </c:plotArea>
    <c:legend>
      <c:legendPos val="b"/>
      <c:layout>
        <c:manualLayout>
          <c:xMode val="edge"/>
          <c:yMode val="edge"/>
          <c:x val="5.0375530939407026E-2"/>
          <c:y val="0.89437255125717996"/>
          <c:w val="0.92644083516900477"/>
          <c:h val="9.0301755758791014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069916774474014E-2"/>
          <c:y val="4.15424531457926E-2"/>
          <c:w val="0.88202003907252513"/>
          <c:h val="0.83555297762624581"/>
        </c:manualLayout>
      </c:layout>
      <c:barChart>
        <c:barDir val="col"/>
        <c:grouping val="clustered"/>
        <c:varyColors val="0"/>
        <c:ser>
          <c:idx val="2"/>
          <c:order val="2"/>
          <c:tx>
            <c:strRef>
              <c:f>'Vnější vztahy_a'!$D$4</c:f>
              <c:strCache>
                <c:ptCount val="1"/>
                <c:pt idx="0">
                  <c:v>Balance</c:v>
                </c:pt>
              </c:strCache>
            </c:strRef>
          </c:tx>
          <c:spPr>
            <a:solidFill>
              <a:schemeClr val="bg1">
                <a:lumMod val="50000"/>
              </a:schemeClr>
            </a:solidFill>
            <a:ln>
              <a:noFill/>
            </a:ln>
            <a:effectLst/>
          </c:spPr>
          <c:invertIfNegative val="0"/>
          <c:cat>
            <c:strRef>
              <c:f>'Vnější vztahy_a'!$A$9:$A$23</c:f>
              <c:strCache>
                <c:ptCount val="15"/>
                <c:pt idx="0">
                  <c:v>2010</c:v>
                </c:pt>
                <c:pt idx="1">
                  <c:v>2011</c:v>
                </c:pt>
                <c:pt idx="2">
                  <c:v>2012</c:v>
                </c:pt>
                <c:pt idx="3">
                  <c:v>2013</c:v>
                </c:pt>
                <c:pt idx="4">
                  <c:v>2014</c:v>
                </c:pt>
                <c:pt idx="5">
                  <c:v> 2015</c:v>
                </c:pt>
                <c:pt idx="6">
                  <c:v>2016</c:v>
                </c:pt>
                <c:pt idx="7">
                  <c:v>2017</c:v>
                </c:pt>
                <c:pt idx="8">
                  <c:v>2018</c:v>
                </c:pt>
                <c:pt idx="9">
                  <c:v>2019</c:v>
                </c:pt>
                <c:pt idx="10">
                  <c:v>2020</c:v>
                </c:pt>
                <c:pt idx="11">
                  <c:v>2021</c:v>
                </c:pt>
                <c:pt idx="12">
                  <c:v>2022</c:v>
                </c:pt>
                <c:pt idx="13">
                  <c:v>2023</c:v>
                </c:pt>
                <c:pt idx="14">
                  <c:v>2024</c:v>
                </c:pt>
              </c:strCache>
            </c:strRef>
          </c:cat>
          <c:val>
            <c:numRef>
              <c:f>'Vnější vztahy_a'!$D$9:$D$23</c:f>
              <c:numCache>
                <c:formatCode>General</c:formatCode>
                <c:ptCount val="15"/>
                <c:pt idx="0">
                  <c:v>-20.579000000000001</c:v>
                </c:pt>
                <c:pt idx="1">
                  <c:v>11.977</c:v>
                </c:pt>
                <c:pt idx="2">
                  <c:v>64.41</c:v>
                </c:pt>
                <c:pt idx="3">
                  <c:v>106.518</c:v>
                </c:pt>
                <c:pt idx="4">
                  <c:v>146.00899999999999</c:v>
                </c:pt>
                <c:pt idx="5">
                  <c:v>130.97677807700001</c:v>
                </c:pt>
                <c:pt idx="6">
                  <c:v>163.65449183600001</c:v>
                </c:pt>
                <c:pt idx="7">
                  <c:v>163.466347926</c:v>
                </c:pt>
                <c:pt idx="8">
                  <c:v>98.465823833000002</c:v>
                </c:pt>
                <c:pt idx="9">
                  <c:v>145.69471741100003</c:v>
                </c:pt>
                <c:pt idx="10">
                  <c:v>179.640176981</c:v>
                </c:pt>
                <c:pt idx="11">
                  <c:v>-9.2046428370000104</c:v>
                </c:pt>
                <c:pt idx="12">
                  <c:v>-204.81458465799997</c:v>
                </c:pt>
                <c:pt idx="13">
                  <c:v>122.50250792899999</c:v>
                </c:pt>
                <c:pt idx="14">
                  <c:v>228.03810857400001</c:v>
                </c:pt>
              </c:numCache>
            </c:numRef>
          </c:val>
          <c:extLst>
            <c:ext xmlns:c16="http://schemas.microsoft.com/office/drawing/2014/chart" uri="{C3380CC4-5D6E-409C-BE32-E72D297353CC}">
              <c16:uniqueId val="{00000000-4397-4DE6-8AF4-11FA603F52B9}"/>
            </c:ext>
          </c:extLst>
        </c:ser>
        <c:dLbls>
          <c:showLegendKey val="0"/>
          <c:showVal val="0"/>
          <c:showCatName val="0"/>
          <c:showSerName val="0"/>
          <c:showPercent val="0"/>
          <c:showBubbleSize val="0"/>
        </c:dLbls>
        <c:gapWidth val="100"/>
        <c:axId val="1171842912"/>
        <c:axId val="1599917024"/>
      </c:barChart>
      <c:lineChart>
        <c:grouping val="standard"/>
        <c:varyColors val="0"/>
        <c:ser>
          <c:idx val="0"/>
          <c:order val="0"/>
          <c:tx>
            <c:strRef>
              <c:f>'Vnější vztahy_a'!$B$4</c:f>
              <c:strCache>
                <c:ptCount val="1"/>
                <c:pt idx="0">
                  <c:v>Export</c:v>
                </c:pt>
              </c:strCache>
            </c:strRef>
          </c:tx>
          <c:spPr>
            <a:ln w="28575" cap="rnd">
              <a:noFill/>
              <a:round/>
            </a:ln>
            <a:effectLst/>
          </c:spPr>
          <c:marker>
            <c:symbol val="dash"/>
            <c:size val="10"/>
            <c:spPr>
              <a:solidFill>
                <a:srgbClr val="0070C0"/>
              </a:solidFill>
              <a:ln w="9525">
                <a:solidFill>
                  <a:srgbClr val="0070C0"/>
                </a:solidFill>
              </a:ln>
              <a:effectLst/>
            </c:spPr>
          </c:marker>
          <c:cat>
            <c:strRef>
              <c:f>'Vnější vztahy_a'!$A$9:$A$23</c:f>
              <c:strCache>
                <c:ptCount val="15"/>
                <c:pt idx="0">
                  <c:v>2010</c:v>
                </c:pt>
                <c:pt idx="1">
                  <c:v>2011</c:v>
                </c:pt>
                <c:pt idx="2">
                  <c:v>2012</c:v>
                </c:pt>
                <c:pt idx="3">
                  <c:v>2013</c:v>
                </c:pt>
                <c:pt idx="4">
                  <c:v>2014</c:v>
                </c:pt>
                <c:pt idx="5">
                  <c:v> 2015</c:v>
                </c:pt>
                <c:pt idx="6">
                  <c:v>2016</c:v>
                </c:pt>
                <c:pt idx="7">
                  <c:v>2017</c:v>
                </c:pt>
                <c:pt idx="8">
                  <c:v>2018</c:v>
                </c:pt>
                <c:pt idx="9">
                  <c:v>2019</c:v>
                </c:pt>
                <c:pt idx="10">
                  <c:v>2020</c:v>
                </c:pt>
                <c:pt idx="11">
                  <c:v>2021</c:v>
                </c:pt>
                <c:pt idx="12">
                  <c:v>2022</c:v>
                </c:pt>
                <c:pt idx="13">
                  <c:v>2023</c:v>
                </c:pt>
                <c:pt idx="14">
                  <c:v>2024</c:v>
                </c:pt>
              </c:strCache>
            </c:strRef>
          </c:cat>
          <c:val>
            <c:numRef>
              <c:f>'Vnější vztahy_a'!$B$9:$B$23</c:f>
              <c:numCache>
                <c:formatCode>General</c:formatCode>
                <c:ptCount val="15"/>
                <c:pt idx="0">
                  <c:v>14.827022335007905</c:v>
                </c:pt>
                <c:pt idx="1">
                  <c:v>10.112037607700053</c:v>
                </c:pt>
                <c:pt idx="2">
                  <c:v>6.0251090942966021</c:v>
                </c:pt>
                <c:pt idx="3">
                  <c:v>2.2153513610284965</c:v>
                </c:pt>
                <c:pt idx="4">
                  <c:v>13.027208809035864</c:v>
                </c:pt>
                <c:pt idx="5">
                  <c:v>3.612768163576892</c:v>
                </c:pt>
                <c:pt idx="6">
                  <c:v>1.1074296541764621</c:v>
                </c:pt>
                <c:pt idx="7">
                  <c:v>6.4802705295808352</c:v>
                </c:pt>
                <c:pt idx="8">
                  <c:v>2.9418083571864679</c:v>
                </c:pt>
                <c:pt idx="9">
                  <c:v>2.0884439685547518</c:v>
                </c:pt>
                <c:pt idx="10">
                  <c:v>-7.0747075448299643</c:v>
                </c:pt>
                <c:pt idx="11">
                  <c:v>13.140723420675538</c:v>
                </c:pt>
                <c:pt idx="12">
                  <c:v>13.550170704130682</c:v>
                </c:pt>
                <c:pt idx="13">
                  <c:v>0.79694469771656307</c:v>
                </c:pt>
                <c:pt idx="14">
                  <c:v>4.6525170878743634</c:v>
                </c:pt>
              </c:numCache>
            </c:numRef>
          </c:val>
          <c:smooth val="0"/>
          <c:extLst>
            <c:ext xmlns:c16="http://schemas.microsoft.com/office/drawing/2014/chart" uri="{C3380CC4-5D6E-409C-BE32-E72D297353CC}">
              <c16:uniqueId val="{00000001-4397-4DE6-8AF4-11FA603F52B9}"/>
            </c:ext>
          </c:extLst>
        </c:ser>
        <c:ser>
          <c:idx val="1"/>
          <c:order val="1"/>
          <c:tx>
            <c:strRef>
              <c:f>'Vnější vztahy_a'!$C$4</c:f>
              <c:strCache>
                <c:ptCount val="1"/>
                <c:pt idx="0">
                  <c:v>Import</c:v>
                </c:pt>
              </c:strCache>
            </c:strRef>
          </c:tx>
          <c:spPr>
            <a:ln w="28575" cap="rnd">
              <a:noFill/>
              <a:round/>
            </a:ln>
            <a:effectLst/>
          </c:spPr>
          <c:marker>
            <c:symbol val="dash"/>
            <c:size val="10"/>
            <c:spPr>
              <a:solidFill>
                <a:srgbClr val="BD1B21"/>
              </a:solidFill>
              <a:ln w="9525">
                <a:solidFill>
                  <a:srgbClr val="BD1B21"/>
                </a:solidFill>
              </a:ln>
              <a:effectLst/>
            </c:spPr>
          </c:marker>
          <c:cat>
            <c:strRef>
              <c:f>'Vnější vztahy_a'!$A$9:$A$23</c:f>
              <c:strCache>
                <c:ptCount val="15"/>
                <c:pt idx="0">
                  <c:v>2010</c:v>
                </c:pt>
                <c:pt idx="1">
                  <c:v>2011</c:v>
                </c:pt>
                <c:pt idx="2">
                  <c:v>2012</c:v>
                </c:pt>
                <c:pt idx="3">
                  <c:v>2013</c:v>
                </c:pt>
                <c:pt idx="4">
                  <c:v>2014</c:v>
                </c:pt>
                <c:pt idx="5">
                  <c:v> 2015</c:v>
                </c:pt>
                <c:pt idx="6">
                  <c:v>2016</c:v>
                </c:pt>
                <c:pt idx="7">
                  <c:v>2017</c:v>
                </c:pt>
                <c:pt idx="8">
                  <c:v>2018</c:v>
                </c:pt>
                <c:pt idx="9">
                  <c:v>2019</c:v>
                </c:pt>
                <c:pt idx="10">
                  <c:v>2020</c:v>
                </c:pt>
                <c:pt idx="11">
                  <c:v>2021</c:v>
                </c:pt>
                <c:pt idx="12">
                  <c:v>2022</c:v>
                </c:pt>
                <c:pt idx="13">
                  <c:v>2023</c:v>
                </c:pt>
                <c:pt idx="14">
                  <c:v>2024</c:v>
                </c:pt>
              </c:strCache>
            </c:strRef>
          </c:cat>
          <c:val>
            <c:numRef>
              <c:f>'Vnější vztahy_a'!$C$9:$C$23</c:f>
              <c:numCache>
                <c:formatCode>General</c:formatCode>
                <c:ptCount val="15"/>
                <c:pt idx="0">
                  <c:v>17.636423931022911</c:v>
                </c:pt>
                <c:pt idx="1">
                  <c:v>8.6415161627225725</c:v>
                </c:pt>
                <c:pt idx="2">
                  <c:v>4.0042767307394715</c:v>
                </c:pt>
                <c:pt idx="3">
                  <c:v>0.68681070942259659</c:v>
                </c:pt>
                <c:pt idx="4">
                  <c:v>12.071376353644107</c:v>
                </c:pt>
                <c:pt idx="5">
                  <c:v>4.2889556626306211</c:v>
                </c:pt>
                <c:pt idx="6">
                  <c:v>0.11038963287046219</c:v>
                </c:pt>
                <c:pt idx="7">
                  <c:v>6.8245079237178157</c:v>
                </c:pt>
                <c:pt idx="8">
                  <c:v>5.0260247733996914</c:v>
                </c:pt>
                <c:pt idx="9">
                  <c:v>0.80432261722676923</c:v>
                </c:pt>
                <c:pt idx="10">
                  <c:v>-8.3226511448622933</c:v>
                </c:pt>
                <c:pt idx="11">
                  <c:v>19.675778990593603</c:v>
                </c:pt>
                <c:pt idx="12">
                  <c:v>18.545883799731584</c:v>
                </c:pt>
                <c:pt idx="13">
                  <c:v>-6.3353146664739706</c:v>
                </c:pt>
                <c:pt idx="14">
                  <c:v>2.3414633609236661</c:v>
                </c:pt>
              </c:numCache>
            </c:numRef>
          </c:val>
          <c:smooth val="0"/>
          <c:extLst>
            <c:ext xmlns:c16="http://schemas.microsoft.com/office/drawing/2014/chart" uri="{C3380CC4-5D6E-409C-BE32-E72D297353CC}">
              <c16:uniqueId val="{00000002-4397-4DE6-8AF4-11FA603F52B9}"/>
            </c:ext>
          </c:extLst>
        </c:ser>
        <c:dLbls>
          <c:showLegendKey val="0"/>
          <c:showVal val="0"/>
          <c:showCatName val="0"/>
          <c:showSerName val="0"/>
          <c:showPercent val="0"/>
          <c:showBubbleSize val="0"/>
        </c:dLbls>
        <c:marker val="1"/>
        <c:smooth val="0"/>
        <c:axId val="1603910352"/>
        <c:axId val="1603910768"/>
      </c:lineChart>
      <c:catAx>
        <c:axId val="16039103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603910768"/>
        <c:crosses val="autoZero"/>
        <c:auto val="1"/>
        <c:lblAlgn val="ctr"/>
        <c:lblOffset val="100"/>
        <c:noMultiLvlLbl val="0"/>
      </c:catAx>
      <c:valAx>
        <c:axId val="1603910768"/>
        <c:scaling>
          <c:orientation val="minMax"/>
          <c:max val="21"/>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603910352"/>
        <c:crosses val="autoZero"/>
        <c:crossBetween val="between"/>
        <c:majorUnit val="3"/>
      </c:valAx>
      <c:valAx>
        <c:axId val="1599917024"/>
        <c:scaling>
          <c:orientation val="minMax"/>
          <c:max val="315"/>
          <c:min val="-225"/>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171842912"/>
        <c:crosses val="max"/>
        <c:crossBetween val="between"/>
        <c:majorUnit val="45"/>
      </c:valAx>
      <c:catAx>
        <c:axId val="1171842912"/>
        <c:scaling>
          <c:orientation val="minMax"/>
        </c:scaling>
        <c:delete val="1"/>
        <c:axPos val="b"/>
        <c:numFmt formatCode="General" sourceLinked="1"/>
        <c:majorTickMark val="out"/>
        <c:minorTickMark val="none"/>
        <c:tickLblPos val="nextTo"/>
        <c:crossAx val="1599917024"/>
        <c:crosses val="autoZero"/>
        <c:auto val="1"/>
        <c:lblAlgn val="ctr"/>
        <c:lblOffset val="100"/>
        <c:noMultiLvlLbl val="0"/>
      </c:catAx>
      <c:spPr>
        <a:noFill/>
        <a:ln>
          <a:noFill/>
        </a:ln>
        <a:effectLst/>
      </c:spPr>
    </c:plotArea>
    <c:legend>
      <c:legendPos val="b"/>
      <c:layout>
        <c:manualLayout>
          <c:xMode val="edge"/>
          <c:yMode val="edge"/>
          <c:x val="6.7324160543034778E-2"/>
          <c:y val="0.92127482102101654"/>
          <c:w val="0.85470865828300857"/>
          <c:h val="5.606565908127839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defRPr>
      </a:pPr>
      <a:endParaRPr lang="cs-CZ"/>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249577845322527E-2"/>
          <c:y val="2.1811335019919161E-2"/>
          <c:w val="0.92237743255066085"/>
          <c:h val="0.73318107621299466"/>
        </c:manualLayout>
      </c:layout>
      <c:barChart>
        <c:barDir val="col"/>
        <c:grouping val="clustered"/>
        <c:varyColors val="0"/>
        <c:ser>
          <c:idx val="0"/>
          <c:order val="0"/>
          <c:tx>
            <c:strRef>
              <c:f>'Ceny 2'!$C$5</c:f>
              <c:strCache>
                <c:ptCount val="1"/>
                <c:pt idx="0">
                  <c:v>Total</c:v>
                </c:pt>
              </c:strCache>
            </c:strRef>
          </c:tx>
          <c:spPr>
            <a:solidFill>
              <a:schemeClr val="bg1">
                <a:lumMod val="65000"/>
              </a:schemeClr>
            </a:solidFill>
            <a:ln w="19050">
              <a:noFill/>
            </a:ln>
          </c:spPr>
          <c:invertIfNegative val="0"/>
          <c:cat>
            <c:multiLvlStrRef>
              <c:f>'Ceny 2'!$A$10:$B$33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2'!$C$10:$C$33</c:f>
              <c:numCache>
                <c:formatCode>0.0</c:formatCode>
                <c:ptCount val="24"/>
                <c:pt idx="0">
                  <c:v>2.7</c:v>
                </c:pt>
                <c:pt idx="1">
                  <c:v>2.8</c:v>
                </c:pt>
                <c:pt idx="2">
                  <c:v>2.8</c:v>
                </c:pt>
                <c:pt idx="3">
                  <c:v>3</c:v>
                </c:pt>
                <c:pt idx="4">
                  <c:v>3.6</c:v>
                </c:pt>
                <c:pt idx="5">
                  <c:v>3.1</c:v>
                </c:pt>
                <c:pt idx="6">
                  <c:v>3.3</c:v>
                </c:pt>
                <c:pt idx="7">
                  <c:v>2.6</c:v>
                </c:pt>
                <c:pt idx="8">
                  <c:v>2.2000000000000002</c:v>
                </c:pt>
                <c:pt idx="9">
                  <c:v>2.9</c:v>
                </c:pt>
                <c:pt idx="10">
                  <c:v>4.0999999999999996</c:v>
                </c:pt>
                <c:pt idx="11">
                  <c:v>6.1</c:v>
                </c:pt>
                <c:pt idx="12">
                  <c:v>11.2</c:v>
                </c:pt>
                <c:pt idx="13">
                  <c:v>15.8</c:v>
                </c:pt>
                <c:pt idx="14">
                  <c:v>17.600000000000001</c:v>
                </c:pt>
                <c:pt idx="15">
                  <c:v>15.7</c:v>
                </c:pt>
                <c:pt idx="16">
                  <c:v>16.399999999999999</c:v>
                </c:pt>
                <c:pt idx="17">
                  <c:v>11.1</c:v>
                </c:pt>
                <c:pt idx="18">
                  <c:v>8</c:v>
                </c:pt>
                <c:pt idx="19">
                  <c:v>7.6</c:v>
                </c:pt>
                <c:pt idx="20">
                  <c:v>2.1</c:v>
                </c:pt>
                <c:pt idx="21">
                  <c:v>2.5</c:v>
                </c:pt>
                <c:pt idx="22">
                  <c:v>2.2999999999999998</c:v>
                </c:pt>
                <c:pt idx="23">
                  <c:v>2.9</c:v>
                </c:pt>
              </c:numCache>
            </c:numRef>
          </c:val>
          <c:extLst>
            <c:ext xmlns:c16="http://schemas.microsoft.com/office/drawing/2014/chart" uri="{C3380CC4-5D6E-409C-BE32-E72D297353CC}">
              <c16:uniqueId val="{00000000-BB4A-4058-A973-48C2CFB25E9E}"/>
            </c:ext>
          </c:extLst>
        </c:ser>
        <c:dLbls>
          <c:showLegendKey val="0"/>
          <c:showVal val="0"/>
          <c:showCatName val="0"/>
          <c:showSerName val="0"/>
          <c:showPercent val="0"/>
          <c:showBubbleSize val="0"/>
        </c:dLbls>
        <c:gapWidth val="95"/>
        <c:axId val="130513536"/>
        <c:axId val="130531712"/>
      </c:barChart>
      <c:lineChart>
        <c:grouping val="standard"/>
        <c:varyColors val="0"/>
        <c:ser>
          <c:idx val="1"/>
          <c:order val="1"/>
          <c:tx>
            <c:strRef>
              <c:f>'Ceny 2'!$D$5</c:f>
              <c:strCache>
                <c:ptCount val="1"/>
                <c:pt idx="0">
                  <c:v>Food</c:v>
                </c:pt>
              </c:strCache>
            </c:strRef>
          </c:tx>
          <c:spPr>
            <a:ln w="19050">
              <a:solidFill>
                <a:srgbClr val="0071BC"/>
              </a:solidFill>
            </a:ln>
          </c:spPr>
          <c:marker>
            <c:symbol val="none"/>
          </c:marker>
          <c:cat>
            <c:multiLvlStrRef>
              <c:f>'Ceny 2'!$A$10:$B$33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2'!$D$10:$D$33</c:f>
              <c:numCache>
                <c:formatCode>0.0</c:formatCode>
                <c:ptCount val="24"/>
                <c:pt idx="0">
                  <c:v>1</c:v>
                </c:pt>
                <c:pt idx="1">
                  <c:v>2.5</c:v>
                </c:pt>
                <c:pt idx="2">
                  <c:v>3.5</c:v>
                </c:pt>
                <c:pt idx="3">
                  <c:v>4.3</c:v>
                </c:pt>
                <c:pt idx="4">
                  <c:v>6.1</c:v>
                </c:pt>
                <c:pt idx="5">
                  <c:v>6.5</c:v>
                </c:pt>
                <c:pt idx="6">
                  <c:v>4</c:v>
                </c:pt>
                <c:pt idx="7">
                  <c:v>1.7</c:v>
                </c:pt>
                <c:pt idx="8">
                  <c:v>0.3</c:v>
                </c:pt>
                <c:pt idx="9">
                  <c:v>-0.8</c:v>
                </c:pt>
                <c:pt idx="10">
                  <c:v>1.4</c:v>
                </c:pt>
                <c:pt idx="11">
                  <c:v>2.2999999999999998</c:v>
                </c:pt>
                <c:pt idx="12">
                  <c:v>6.7</c:v>
                </c:pt>
                <c:pt idx="13">
                  <c:v>14.6</c:v>
                </c:pt>
                <c:pt idx="14">
                  <c:v>20</c:v>
                </c:pt>
                <c:pt idx="15">
                  <c:v>25.5</c:v>
                </c:pt>
                <c:pt idx="16">
                  <c:v>24.1</c:v>
                </c:pt>
                <c:pt idx="17">
                  <c:v>14.6</c:v>
                </c:pt>
                <c:pt idx="18">
                  <c:v>7.8</c:v>
                </c:pt>
                <c:pt idx="19">
                  <c:v>1.6</c:v>
                </c:pt>
                <c:pt idx="20">
                  <c:v>-4.9000000000000004</c:v>
                </c:pt>
                <c:pt idx="21">
                  <c:v>-3.6</c:v>
                </c:pt>
                <c:pt idx="22">
                  <c:v>-1.4</c:v>
                </c:pt>
                <c:pt idx="23">
                  <c:v>0.9</c:v>
                </c:pt>
              </c:numCache>
            </c:numRef>
          </c:val>
          <c:smooth val="0"/>
          <c:extLst>
            <c:ext xmlns:c16="http://schemas.microsoft.com/office/drawing/2014/chart" uri="{C3380CC4-5D6E-409C-BE32-E72D297353CC}">
              <c16:uniqueId val="{00000001-BB4A-4058-A973-48C2CFB25E9E}"/>
            </c:ext>
          </c:extLst>
        </c:ser>
        <c:ser>
          <c:idx val="3"/>
          <c:order val="2"/>
          <c:tx>
            <c:strRef>
              <c:f>'Ceny 2'!$F$5</c:f>
              <c:strCache>
                <c:ptCount val="1"/>
                <c:pt idx="0">
                  <c:v>Housing and energy</c:v>
                </c:pt>
              </c:strCache>
            </c:strRef>
          </c:tx>
          <c:spPr>
            <a:ln w="19050">
              <a:solidFill>
                <a:srgbClr val="7DBB2D"/>
              </a:solidFill>
            </a:ln>
          </c:spPr>
          <c:marker>
            <c:symbol val="none"/>
          </c:marker>
          <c:cat>
            <c:multiLvlStrRef>
              <c:f>'Ceny 2'!$A$10:$B$33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2'!$F$10:$F$33</c:f>
              <c:numCache>
                <c:formatCode>0.0</c:formatCode>
                <c:ptCount val="24"/>
                <c:pt idx="0">
                  <c:v>5.4</c:v>
                </c:pt>
                <c:pt idx="1">
                  <c:v>5.7</c:v>
                </c:pt>
                <c:pt idx="2">
                  <c:v>5.2</c:v>
                </c:pt>
                <c:pt idx="3">
                  <c:v>5</c:v>
                </c:pt>
                <c:pt idx="4">
                  <c:v>4.2</c:v>
                </c:pt>
                <c:pt idx="5">
                  <c:v>3.2</c:v>
                </c:pt>
                <c:pt idx="6">
                  <c:v>2.7</c:v>
                </c:pt>
                <c:pt idx="7">
                  <c:v>1.4</c:v>
                </c:pt>
                <c:pt idx="8">
                  <c:v>0.6</c:v>
                </c:pt>
                <c:pt idx="9">
                  <c:v>1.3</c:v>
                </c:pt>
                <c:pt idx="10">
                  <c:v>3.6</c:v>
                </c:pt>
                <c:pt idx="11">
                  <c:v>5.6</c:v>
                </c:pt>
                <c:pt idx="12">
                  <c:v>16</c:v>
                </c:pt>
                <c:pt idx="13">
                  <c:v>21.4</c:v>
                </c:pt>
                <c:pt idx="14">
                  <c:v>23.6</c:v>
                </c:pt>
                <c:pt idx="15">
                  <c:v>14.9</c:v>
                </c:pt>
                <c:pt idx="16">
                  <c:v>22.2</c:v>
                </c:pt>
                <c:pt idx="17">
                  <c:v>16</c:v>
                </c:pt>
                <c:pt idx="18">
                  <c:v>11.6</c:v>
                </c:pt>
                <c:pt idx="19">
                  <c:v>17.8</c:v>
                </c:pt>
                <c:pt idx="20">
                  <c:v>3.4</c:v>
                </c:pt>
                <c:pt idx="21">
                  <c:v>3.1</c:v>
                </c:pt>
                <c:pt idx="22">
                  <c:v>3.2</c:v>
                </c:pt>
                <c:pt idx="23">
                  <c:v>4.2</c:v>
                </c:pt>
              </c:numCache>
            </c:numRef>
          </c:val>
          <c:smooth val="0"/>
          <c:extLst>
            <c:ext xmlns:c16="http://schemas.microsoft.com/office/drawing/2014/chart" uri="{C3380CC4-5D6E-409C-BE32-E72D297353CC}">
              <c16:uniqueId val="{00000002-BB4A-4058-A973-48C2CFB25E9E}"/>
            </c:ext>
          </c:extLst>
        </c:ser>
        <c:ser>
          <c:idx val="4"/>
          <c:order val="3"/>
          <c:tx>
            <c:strRef>
              <c:f>'Ceny 2'!$G$5</c:f>
              <c:strCache>
                <c:ptCount val="1"/>
                <c:pt idx="0">
                  <c:v>Transportation</c:v>
                </c:pt>
              </c:strCache>
            </c:strRef>
          </c:tx>
          <c:spPr>
            <a:ln w="19050">
              <a:solidFill>
                <a:srgbClr val="FFC000"/>
              </a:solidFill>
            </a:ln>
          </c:spPr>
          <c:marker>
            <c:symbol val="none"/>
          </c:marker>
          <c:cat>
            <c:multiLvlStrRef>
              <c:f>'Ceny 2'!$A$10:$B$33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2'!$G$10:$G$33</c:f>
              <c:numCache>
                <c:formatCode>0.0</c:formatCode>
                <c:ptCount val="24"/>
                <c:pt idx="0">
                  <c:v>0.6</c:v>
                </c:pt>
                <c:pt idx="1">
                  <c:v>0.8</c:v>
                </c:pt>
                <c:pt idx="2">
                  <c:v>-0.2</c:v>
                </c:pt>
                <c:pt idx="3">
                  <c:v>0.5</c:v>
                </c:pt>
                <c:pt idx="4" formatCode="General">
                  <c:v>1.7</c:v>
                </c:pt>
                <c:pt idx="5">
                  <c:v>-3.4</c:v>
                </c:pt>
                <c:pt idx="6">
                  <c:v>-0.2</c:v>
                </c:pt>
                <c:pt idx="7">
                  <c:v>0.6</c:v>
                </c:pt>
                <c:pt idx="8">
                  <c:v>2.4</c:v>
                </c:pt>
                <c:pt idx="9">
                  <c:v>9.1</c:v>
                </c:pt>
                <c:pt idx="10">
                  <c:v>8.8000000000000007</c:v>
                </c:pt>
                <c:pt idx="11">
                  <c:v>13.1</c:v>
                </c:pt>
                <c:pt idx="12">
                  <c:v>17.2</c:v>
                </c:pt>
                <c:pt idx="13">
                  <c:v>22.7</c:v>
                </c:pt>
                <c:pt idx="14">
                  <c:v>19.7</c:v>
                </c:pt>
                <c:pt idx="15">
                  <c:v>13.1</c:v>
                </c:pt>
                <c:pt idx="16">
                  <c:v>4.5</c:v>
                </c:pt>
                <c:pt idx="17">
                  <c:v>-4</c:v>
                </c:pt>
                <c:pt idx="18">
                  <c:v>-2.4</c:v>
                </c:pt>
                <c:pt idx="19">
                  <c:v>-1.6</c:v>
                </c:pt>
                <c:pt idx="20">
                  <c:v>1.7</c:v>
                </c:pt>
                <c:pt idx="21">
                  <c:v>4.5999999999999996</c:v>
                </c:pt>
                <c:pt idx="22">
                  <c:v>0.9</c:v>
                </c:pt>
                <c:pt idx="23">
                  <c:v>0.1</c:v>
                </c:pt>
              </c:numCache>
            </c:numRef>
          </c:val>
          <c:smooth val="0"/>
          <c:extLst>
            <c:ext xmlns:c16="http://schemas.microsoft.com/office/drawing/2014/chart" uri="{C3380CC4-5D6E-409C-BE32-E72D297353CC}">
              <c16:uniqueId val="{00000003-BB4A-4058-A973-48C2CFB25E9E}"/>
            </c:ext>
          </c:extLst>
        </c:ser>
        <c:ser>
          <c:idx val="2"/>
          <c:order val="5"/>
          <c:tx>
            <c:strRef>
              <c:f>'Ceny 2'!$H$5</c:f>
              <c:strCache>
                <c:ptCount val="1"/>
                <c:pt idx="0">
                  <c:v>Restaurants and hotels</c:v>
                </c:pt>
              </c:strCache>
              <c:extLst xmlns:c15="http://schemas.microsoft.com/office/drawing/2012/chart"/>
            </c:strRef>
          </c:tx>
          <c:spPr>
            <a:ln w="19050">
              <a:solidFill>
                <a:srgbClr val="7030A0"/>
              </a:solidFill>
            </a:ln>
          </c:spPr>
          <c:marker>
            <c:symbol val="none"/>
          </c:marker>
          <c:cat>
            <c:multiLvlStrRef>
              <c:f>'Ceny 2'!$A$10:$B$33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2'!$H$10:$H$33</c:f>
              <c:numCache>
                <c:formatCode>0.0</c:formatCode>
                <c:ptCount val="24"/>
                <c:pt idx="0">
                  <c:v>3.8</c:v>
                </c:pt>
                <c:pt idx="1">
                  <c:v>4</c:v>
                </c:pt>
                <c:pt idx="2">
                  <c:v>4.5</c:v>
                </c:pt>
                <c:pt idx="3">
                  <c:v>4.5999999999999996</c:v>
                </c:pt>
                <c:pt idx="4">
                  <c:v>5.5</c:v>
                </c:pt>
                <c:pt idx="5">
                  <c:v>5.0999999999999996</c:v>
                </c:pt>
                <c:pt idx="6">
                  <c:v>4.9000000000000004</c:v>
                </c:pt>
                <c:pt idx="7">
                  <c:v>4.3</c:v>
                </c:pt>
                <c:pt idx="8">
                  <c:v>3</c:v>
                </c:pt>
                <c:pt idx="9">
                  <c:v>2.9</c:v>
                </c:pt>
                <c:pt idx="10">
                  <c:v>4.5999999999999996</c:v>
                </c:pt>
                <c:pt idx="11">
                  <c:v>6.8</c:v>
                </c:pt>
                <c:pt idx="12">
                  <c:v>12.3</c:v>
                </c:pt>
                <c:pt idx="13">
                  <c:v>21.4</c:v>
                </c:pt>
                <c:pt idx="14">
                  <c:v>24.3</c:v>
                </c:pt>
                <c:pt idx="15">
                  <c:v>25.6</c:v>
                </c:pt>
                <c:pt idx="16">
                  <c:v>22.4</c:v>
                </c:pt>
                <c:pt idx="17">
                  <c:v>15.4</c:v>
                </c:pt>
                <c:pt idx="18">
                  <c:v>11.6</c:v>
                </c:pt>
                <c:pt idx="19">
                  <c:v>8.8000000000000007</c:v>
                </c:pt>
                <c:pt idx="20">
                  <c:v>8.6</c:v>
                </c:pt>
                <c:pt idx="21">
                  <c:v>7.8</c:v>
                </c:pt>
                <c:pt idx="22">
                  <c:v>7.2</c:v>
                </c:pt>
                <c:pt idx="23">
                  <c:v>7</c:v>
                </c:pt>
              </c:numCache>
            </c:numRef>
          </c:val>
          <c:smooth val="0"/>
          <c:extLst xmlns:c15="http://schemas.microsoft.com/office/drawing/2012/chart">
            <c:ext xmlns:c16="http://schemas.microsoft.com/office/drawing/2014/chart" uri="{C3380CC4-5D6E-409C-BE32-E72D297353CC}">
              <c16:uniqueId val="{00000004-BB4A-4058-A973-48C2CFB25E9E}"/>
            </c:ext>
          </c:extLst>
        </c:ser>
        <c:ser>
          <c:idx val="6"/>
          <c:order val="6"/>
          <c:tx>
            <c:strRef>
              <c:f>'Ceny 2'!$I$5</c:f>
              <c:strCache>
                <c:ptCount val="1"/>
                <c:pt idx="0">
                  <c:v>Recreation and culture</c:v>
                </c:pt>
              </c:strCache>
            </c:strRef>
          </c:tx>
          <c:spPr>
            <a:ln w="22225">
              <a:solidFill>
                <a:srgbClr val="FF0000"/>
              </a:solidFill>
            </a:ln>
          </c:spPr>
          <c:marker>
            <c:symbol val="none"/>
          </c:marker>
          <c:cat>
            <c:multiLvlStrRef>
              <c:f>'Ceny 2'!$A$10:$B$33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2'!$I$10:$I$33</c:f>
              <c:numCache>
                <c:formatCode>General</c:formatCode>
                <c:ptCount val="24"/>
                <c:pt idx="0">
                  <c:v>1.7000000000000028</c:v>
                </c:pt>
                <c:pt idx="1">
                  <c:v>1</c:v>
                </c:pt>
                <c:pt idx="2">
                  <c:v>1.7000000000000028</c:v>
                </c:pt>
                <c:pt idx="3">
                  <c:v>2.0999999999999943</c:v>
                </c:pt>
                <c:pt idx="4">
                  <c:v>2.0999999999999943</c:v>
                </c:pt>
                <c:pt idx="5">
                  <c:v>2</c:v>
                </c:pt>
                <c:pt idx="6">
                  <c:v>2.2000000000000028</c:v>
                </c:pt>
                <c:pt idx="7">
                  <c:v>2.5</c:v>
                </c:pt>
                <c:pt idx="8">
                  <c:v>1.4000000000000057</c:v>
                </c:pt>
                <c:pt idx="9">
                  <c:v>2</c:v>
                </c:pt>
                <c:pt idx="10">
                  <c:v>3.0999999999999943</c:v>
                </c:pt>
                <c:pt idx="11">
                  <c:v>5.2999999999999972</c:v>
                </c:pt>
                <c:pt idx="12">
                  <c:v>8.5</c:v>
                </c:pt>
                <c:pt idx="13">
                  <c:v>11.299999999999997</c:v>
                </c:pt>
                <c:pt idx="14">
                  <c:v>12.599999999999994</c:v>
                </c:pt>
                <c:pt idx="15" formatCode="0.0">
                  <c:v>13.2</c:v>
                </c:pt>
                <c:pt idx="16" formatCode="0.0">
                  <c:v>14</c:v>
                </c:pt>
                <c:pt idx="17" formatCode="0.0">
                  <c:v>11.7</c:v>
                </c:pt>
                <c:pt idx="18" formatCode="0.0">
                  <c:v>9.6999999999999993</c:v>
                </c:pt>
                <c:pt idx="19" formatCode="0.0">
                  <c:v>6.9</c:v>
                </c:pt>
                <c:pt idx="20" formatCode="0.0">
                  <c:v>4.4000000000000004</c:v>
                </c:pt>
                <c:pt idx="21" formatCode="0.0">
                  <c:v>3.8</c:v>
                </c:pt>
                <c:pt idx="22" formatCode="0.0">
                  <c:v>3.4</c:v>
                </c:pt>
                <c:pt idx="23" formatCode="0.0">
                  <c:v>3.5</c:v>
                </c:pt>
              </c:numCache>
            </c:numRef>
          </c:val>
          <c:smooth val="0"/>
          <c:extLst>
            <c:ext xmlns:c16="http://schemas.microsoft.com/office/drawing/2014/chart" uri="{C3380CC4-5D6E-409C-BE32-E72D297353CC}">
              <c16:uniqueId val="{00000005-BB4A-4058-A973-48C2CFB25E9E}"/>
            </c:ext>
          </c:extLst>
        </c:ser>
        <c:dLbls>
          <c:showLegendKey val="0"/>
          <c:showVal val="0"/>
          <c:showCatName val="0"/>
          <c:showSerName val="0"/>
          <c:showPercent val="0"/>
          <c:showBubbleSize val="0"/>
        </c:dLbls>
        <c:marker val="1"/>
        <c:smooth val="0"/>
        <c:axId val="130513536"/>
        <c:axId val="130531712"/>
        <c:extLst>
          <c:ext xmlns:c15="http://schemas.microsoft.com/office/drawing/2012/chart" uri="{02D57815-91ED-43cb-92C2-25804820EDAC}">
            <c15:filteredLineSeries>
              <c15:ser>
                <c:idx val="5"/>
                <c:order val="4"/>
                <c:tx>
                  <c:strRef>
                    <c:extLst>
                      <c:ext uri="{02D57815-91ED-43cb-92C2-25804820EDAC}">
                        <c15:formulaRef>
                          <c15:sqref>'Ceny 2'!$E$5</c15:sqref>
                        </c15:formulaRef>
                      </c:ext>
                    </c:extLst>
                    <c:strCache>
                      <c:ptCount val="1"/>
                      <c:pt idx="0">
                        <c:v>Alcoholic beverages and tobacco</c:v>
                      </c:pt>
                    </c:strCache>
                  </c:strRef>
                </c:tx>
                <c:spPr>
                  <a:ln w="22225">
                    <a:solidFill>
                      <a:schemeClr val="accent2"/>
                    </a:solidFill>
                  </a:ln>
                </c:spPr>
                <c:marker>
                  <c:symbol val="none"/>
                </c:marker>
                <c:cat>
                  <c:multiLvlStrRef>
                    <c:extLst>
                      <c:ext uri="{02D57815-91ED-43cb-92C2-25804820EDAC}">
                        <c15:formulaRef>
                          <c15:sqref>'Ceny 2'!$A$10:$B$33</c15:sqref>
                        </c15:formulaRef>
                      </c:ext>
                    </c:extLst>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extLst>
                      <c:ext uri="{02D57815-91ED-43cb-92C2-25804820EDAC}">
                        <c15:formulaRef>
                          <c15:sqref>'Ceny 2'!$E$6:$E$25</c15:sqref>
                        </c15:formulaRef>
                      </c:ext>
                    </c:extLst>
                    <c:numCache>
                      <c:formatCode>0.0</c:formatCode>
                      <c:ptCount val="20"/>
                      <c:pt idx="0">
                        <c:v>2.5</c:v>
                      </c:pt>
                      <c:pt idx="1">
                        <c:v>3.6</c:v>
                      </c:pt>
                      <c:pt idx="2">
                        <c:v>2.8</c:v>
                      </c:pt>
                      <c:pt idx="3">
                        <c:v>3.1</c:v>
                      </c:pt>
                      <c:pt idx="4">
                        <c:v>3.3</c:v>
                      </c:pt>
                      <c:pt idx="5">
                        <c:v>1.7</c:v>
                      </c:pt>
                      <c:pt idx="6">
                        <c:v>1.9</c:v>
                      </c:pt>
                      <c:pt idx="7">
                        <c:v>1.8</c:v>
                      </c:pt>
                      <c:pt idx="8" formatCode="General">
                        <c:v>3.5</c:v>
                      </c:pt>
                      <c:pt idx="9">
                        <c:v>6.6</c:v>
                      </c:pt>
                      <c:pt idx="10">
                        <c:v>10.3</c:v>
                      </c:pt>
                      <c:pt idx="11">
                        <c:v>9.9</c:v>
                      </c:pt>
                      <c:pt idx="12">
                        <c:v>9.9</c:v>
                      </c:pt>
                      <c:pt idx="13">
                        <c:v>9.8000000000000007</c:v>
                      </c:pt>
                      <c:pt idx="14">
                        <c:v>6.5</c:v>
                      </c:pt>
                      <c:pt idx="15">
                        <c:v>7.7</c:v>
                      </c:pt>
                      <c:pt idx="16">
                        <c:v>7.1</c:v>
                      </c:pt>
                      <c:pt idx="17">
                        <c:v>5.6</c:v>
                      </c:pt>
                      <c:pt idx="18">
                        <c:v>6.3</c:v>
                      </c:pt>
                      <c:pt idx="19">
                        <c:v>6</c:v>
                      </c:pt>
                    </c:numCache>
                  </c:numRef>
                </c:val>
                <c:smooth val="0"/>
                <c:extLst>
                  <c:ext xmlns:c16="http://schemas.microsoft.com/office/drawing/2014/chart" uri="{C3380CC4-5D6E-409C-BE32-E72D297353CC}">
                    <c16:uniqueId val="{00000006-BB4A-4058-A973-48C2CFB25E9E}"/>
                  </c:ext>
                </c:extLst>
              </c15:ser>
            </c15:filteredLineSeries>
          </c:ext>
        </c:extLst>
      </c:lineChart>
      <c:catAx>
        <c:axId val="130513536"/>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30531712"/>
        <c:crosses val="autoZero"/>
        <c:auto val="1"/>
        <c:lblAlgn val="ctr"/>
        <c:lblOffset val="100"/>
        <c:noMultiLvlLbl val="0"/>
      </c:catAx>
      <c:valAx>
        <c:axId val="130531712"/>
        <c:scaling>
          <c:orientation val="minMax"/>
          <c:max val="27"/>
          <c:min val="-6"/>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0513536"/>
        <c:crosses val="autoZero"/>
        <c:crossBetween val="between"/>
        <c:majorUnit val="3"/>
      </c:valAx>
      <c:spPr>
        <a:ln>
          <a:solidFill>
            <a:schemeClr val="tx1"/>
          </a:solidFill>
        </a:ln>
      </c:spPr>
    </c:plotArea>
    <c:legend>
      <c:legendPos val="b"/>
      <c:layout>
        <c:manualLayout>
          <c:xMode val="edge"/>
          <c:yMode val="edge"/>
          <c:x val="5.6562816616008108E-2"/>
          <c:y val="0.87970674321738151"/>
          <c:w val="0.9271700861195542"/>
          <c:h val="0.10577132432771774"/>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258203189717562E-2"/>
          <c:y val="2.9569886214146503E-2"/>
          <c:w val="0.92637856314472322"/>
          <c:h val="0.73556653157716956"/>
        </c:manualLayout>
      </c:layout>
      <c:barChart>
        <c:barDir val="col"/>
        <c:grouping val="clustered"/>
        <c:varyColors val="0"/>
        <c:ser>
          <c:idx val="0"/>
          <c:order val="0"/>
          <c:tx>
            <c:strRef>
              <c:f>'Ceny 1'!$C$5</c:f>
              <c:strCache>
                <c:ptCount val="1"/>
                <c:pt idx="0">
                  <c:v>Realised prices of older flats, the CR</c:v>
                </c:pt>
              </c:strCache>
            </c:strRef>
          </c:tx>
          <c:spPr>
            <a:solidFill>
              <a:schemeClr val="bg1">
                <a:lumMod val="65000"/>
              </a:schemeClr>
            </a:solidFill>
            <a:ln w="19050">
              <a:noFill/>
            </a:ln>
          </c:spPr>
          <c:invertIfNegative val="0"/>
          <c:cat>
            <c:multiLvlStrRef>
              <c:f>'Ceny 1'!$A$10:$B$33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1'!$C$10:$C$33</c:f>
              <c:numCache>
                <c:formatCode>General</c:formatCode>
                <c:ptCount val="24"/>
                <c:pt idx="0">
                  <c:v>11.299999999999997</c:v>
                </c:pt>
                <c:pt idx="1">
                  <c:v>10.599999999999994</c:v>
                </c:pt>
                <c:pt idx="2">
                  <c:v>9.5</c:v>
                </c:pt>
                <c:pt idx="3">
                  <c:v>9.4000000000000057</c:v>
                </c:pt>
                <c:pt idx="4">
                  <c:v>10.599999999999994</c:v>
                </c:pt>
                <c:pt idx="5">
                  <c:v>10.200000000000003</c:v>
                </c:pt>
                <c:pt idx="6">
                  <c:v>11.200000000000003</c:v>
                </c:pt>
                <c:pt idx="7">
                  <c:v>13.299999999999997</c:v>
                </c:pt>
                <c:pt idx="8">
                  <c:v>15.200000000000003</c:v>
                </c:pt>
                <c:pt idx="9">
                  <c:v>17.900000000000006</c:v>
                </c:pt>
                <c:pt idx="10">
                  <c:v>21.299999999999997</c:v>
                </c:pt>
                <c:pt idx="11">
                  <c:v>25.200000000000003</c:v>
                </c:pt>
                <c:pt idx="12">
                  <c:v>27.299999999999997</c:v>
                </c:pt>
                <c:pt idx="13">
                  <c:v>27.599999999999994</c:v>
                </c:pt>
                <c:pt idx="14">
                  <c:v>23.400000000000006</c:v>
                </c:pt>
                <c:pt idx="15">
                  <c:v>13.799999999999997</c:v>
                </c:pt>
                <c:pt idx="16">
                  <c:v>3.7000000000000028</c:v>
                </c:pt>
                <c:pt idx="17">
                  <c:v>-4.0999999999999943</c:v>
                </c:pt>
                <c:pt idx="18">
                  <c:v>-7</c:v>
                </c:pt>
                <c:pt idx="19">
                  <c:v>-5.5</c:v>
                </c:pt>
                <c:pt idx="20">
                  <c:v>9.9999999999994316E-2</c:v>
                </c:pt>
                <c:pt idx="21">
                  <c:v>6.0999999999999943</c:v>
                </c:pt>
                <c:pt idx="22">
                  <c:v>10.700000000000003</c:v>
                </c:pt>
                <c:pt idx="23">
                  <c:v>14.200000000000003</c:v>
                </c:pt>
              </c:numCache>
            </c:numRef>
          </c:val>
          <c:extLst>
            <c:ext xmlns:c16="http://schemas.microsoft.com/office/drawing/2014/chart" uri="{C3380CC4-5D6E-409C-BE32-E72D297353CC}">
              <c16:uniqueId val="{00000000-868A-4EC4-9CF3-D45A96955AA4}"/>
            </c:ext>
          </c:extLst>
        </c:ser>
        <c:ser>
          <c:idx val="1"/>
          <c:order val="1"/>
          <c:tx>
            <c:strRef>
              <c:f>'Ceny 1'!$D$5</c:f>
              <c:strCache>
                <c:ptCount val="1"/>
                <c:pt idx="0">
                  <c:v>Realised prices of older flats, Prague</c:v>
                </c:pt>
              </c:strCache>
            </c:strRef>
          </c:tx>
          <c:spPr>
            <a:solidFill>
              <a:prstClr val="black">
                <a:lumMod val="50000"/>
                <a:lumOff val="50000"/>
              </a:prstClr>
            </a:solidFill>
            <a:ln w="19050">
              <a:noFill/>
            </a:ln>
          </c:spPr>
          <c:invertIfNegative val="0"/>
          <c:cat>
            <c:multiLvlStrRef>
              <c:f>'Ceny 1'!$A$10:$B$33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1'!$D$10:$D$33</c:f>
              <c:numCache>
                <c:formatCode>General</c:formatCode>
                <c:ptCount val="24"/>
                <c:pt idx="0">
                  <c:v>9.4000000000000057</c:v>
                </c:pt>
                <c:pt idx="1">
                  <c:v>8.7000000000000028</c:v>
                </c:pt>
                <c:pt idx="2">
                  <c:v>6.5</c:v>
                </c:pt>
                <c:pt idx="3">
                  <c:v>7.0999999999999943</c:v>
                </c:pt>
                <c:pt idx="4">
                  <c:v>6.2000000000000028</c:v>
                </c:pt>
                <c:pt idx="5">
                  <c:v>8</c:v>
                </c:pt>
                <c:pt idx="6">
                  <c:v>9.4000000000000057</c:v>
                </c:pt>
                <c:pt idx="7">
                  <c:v>10.599999999999994</c:v>
                </c:pt>
                <c:pt idx="8">
                  <c:v>14.299999999999997</c:v>
                </c:pt>
                <c:pt idx="9">
                  <c:v>15.799999999999997</c:v>
                </c:pt>
                <c:pt idx="10">
                  <c:v>16.599999999999994</c:v>
                </c:pt>
                <c:pt idx="11">
                  <c:v>20</c:v>
                </c:pt>
                <c:pt idx="12">
                  <c:v>19</c:v>
                </c:pt>
                <c:pt idx="13">
                  <c:v>16.700000000000003</c:v>
                </c:pt>
                <c:pt idx="14">
                  <c:v>15.599999999999994</c:v>
                </c:pt>
                <c:pt idx="15">
                  <c:v>8.4000000000000057</c:v>
                </c:pt>
                <c:pt idx="16">
                  <c:v>1.2000000000000028</c:v>
                </c:pt>
                <c:pt idx="17">
                  <c:v>-3.5999999999999943</c:v>
                </c:pt>
                <c:pt idx="18">
                  <c:v>-5.2999999999999972</c:v>
                </c:pt>
                <c:pt idx="19">
                  <c:v>-2.5999999999999943</c:v>
                </c:pt>
                <c:pt idx="20">
                  <c:v>1</c:v>
                </c:pt>
                <c:pt idx="21">
                  <c:v>8.5999999999999943</c:v>
                </c:pt>
                <c:pt idx="22">
                  <c:v>11.799999999999997</c:v>
                </c:pt>
                <c:pt idx="23">
                  <c:v>12.099999999999994</c:v>
                </c:pt>
              </c:numCache>
            </c:numRef>
          </c:val>
          <c:extLst>
            <c:ext xmlns:c16="http://schemas.microsoft.com/office/drawing/2014/chart" uri="{C3380CC4-5D6E-409C-BE32-E72D297353CC}">
              <c16:uniqueId val="{00000001-868A-4EC4-9CF3-D45A96955AA4}"/>
            </c:ext>
          </c:extLst>
        </c:ser>
        <c:dLbls>
          <c:showLegendKey val="0"/>
          <c:showVal val="0"/>
          <c:showCatName val="0"/>
          <c:showSerName val="0"/>
          <c:showPercent val="0"/>
          <c:showBubbleSize val="0"/>
        </c:dLbls>
        <c:gapWidth val="95"/>
        <c:axId val="130418560"/>
        <c:axId val="130420096"/>
      </c:barChart>
      <c:lineChart>
        <c:grouping val="standard"/>
        <c:varyColors val="0"/>
        <c:ser>
          <c:idx val="2"/>
          <c:order val="2"/>
          <c:tx>
            <c:strRef>
              <c:f>'Ceny 1'!$E$5</c:f>
              <c:strCache>
                <c:ptCount val="1"/>
                <c:pt idx="0">
                  <c:v>Catalogue prices of flats, the CR</c:v>
                </c:pt>
              </c:strCache>
            </c:strRef>
          </c:tx>
          <c:spPr>
            <a:ln w="19050">
              <a:solidFill>
                <a:schemeClr val="accent2"/>
              </a:solidFill>
            </a:ln>
          </c:spPr>
          <c:marker>
            <c:symbol val="none"/>
          </c:marker>
          <c:cat>
            <c:multiLvlStrRef>
              <c:f>'Ceny 1'!$A$10:$B$33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1'!$E$10:$E$33</c:f>
              <c:numCache>
                <c:formatCode>0.0</c:formatCode>
                <c:ptCount val="24"/>
                <c:pt idx="0">
                  <c:v>7.4232690935046435</c:v>
                </c:pt>
                <c:pt idx="1">
                  <c:v>5.7262569832402335</c:v>
                </c:pt>
                <c:pt idx="2">
                  <c:v>5.1912568306010911</c:v>
                </c:pt>
                <c:pt idx="3">
                  <c:v>5.5144586415601964</c:v>
                </c:pt>
                <c:pt idx="4">
                  <c:v>6.0465116279069662</c:v>
                </c:pt>
                <c:pt idx="5">
                  <c:v>7.1334214002641829</c:v>
                </c:pt>
                <c:pt idx="6">
                  <c:v>7.9870129870129887</c:v>
                </c:pt>
                <c:pt idx="7">
                  <c:v>7.6481835564053569</c:v>
                </c:pt>
                <c:pt idx="8">
                  <c:v>7.6441102756892292</c:v>
                </c:pt>
                <c:pt idx="9">
                  <c:v>7.9531442663378584</c:v>
                </c:pt>
                <c:pt idx="10">
                  <c:v>9.3205051112447421</c:v>
                </c:pt>
                <c:pt idx="11">
                  <c:v>12.433392539964473</c:v>
                </c:pt>
                <c:pt idx="12">
                  <c:v>16.880093131548307</c:v>
                </c:pt>
                <c:pt idx="13">
                  <c:v>24.671616219303274</c:v>
                </c:pt>
                <c:pt idx="14">
                  <c:v>22.937293729372925</c:v>
                </c:pt>
                <c:pt idx="15">
                  <c:v>18.325434439178508</c:v>
                </c:pt>
                <c:pt idx="16">
                  <c:v>9.8107569721115624</c:v>
                </c:pt>
                <c:pt idx="17" formatCode="General">
                  <c:v>-0.73293632615667548</c:v>
                </c:pt>
                <c:pt idx="18" formatCode="General">
                  <c:v>-3.3109619686800897</c:v>
                </c:pt>
                <c:pt idx="19" formatCode="General">
                  <c:v>-4.1833555852247315</c:v>
                </c:pt>
                <c:pt idx="20" formatCode="General">
                  <c:v>-0.68027210884353906</c:v>
                </c:pt>
                <c:pt idx="21" formatCode="General">
                  <c:v>3.3687125057683573</c:v>
                </c:pt>
                <c:pt idx="22" formatCode="General">
                  <c:v>6.9412309116150084</c:v>
                </c:pt>
                <c:pt idx="23" formatCode="General">
                  <c:v>10.682768230376212</c:v>
                </c:pt>
              </c:numCache>
            </c:numRef>
          </c:val>
          <c:smooth val="0"/>
          <c:extLst>
            <c:ext xmlns:c16="http://schemas.microsoft.com/office/drawing/2014/chart" uri="{C3380CC4-5D6E-409C-BE32-E72D297353CC}">
              <c16:uniqueId val="{00000002-868A-4EC4-9CF3-D45A96955AA4}"/>
            </c:ext>
          </c:extLst>
        </c:ser>
        <c:ser>
          <c:idx val="3"/>
          <c:order val="3"/>
          <c:tx>
            <c:strRef>
              <c:f>'Ceny 1'!$F$5</c:f>
              <c:strCache>
                <c:ptCount val="1"/>
                <c:pt idx="0">
                  <c:v>Catalogue prices of flats, Prague</c:v>
                </c:pt>
              </c:strCache>
            </c:strRef>
          </c:tx>
          <c:spPr>
            <a:ln>
              <a:solidFill>
                <a:schemeClr val="accent1"/>
              </a:solidFill>
            </a:ln>
          </c:spPr>
          <c:marker>
            <c:symbol val="none"/>
          </c:marker>
          <c:cat>
            <c:multiLvlStrRef>
              <c:f>'Ceny 1'!$A$10:$B$33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1'!$F$10:$F$33</c:f>
              <c:numCache>
                <c:formatCode>0.0</c:formatCode>
                <c:ptCount val="24"/>
                <c:pt idx="0">
                  <c:v>8.3178150217256359</c:v>
                </c:pt>
                <c:pt idx="1">
                  <c:v>4.9397590361445651</c:v>
                </c:pt>
                <c:pt idx="2">
                  <c:v>3.3096926713947994</c:v>
                </c:pt>
                <c:pt idx="3">
                  <c:v>2.9530978575564575</c:v>
                </c:pt>
                <c:pt idx="4">
                  <c:v>3.5530085959885298</c:v>
                </c:pt>
                <c:pt idx="5">
                  <c:v>5.2812858783008068</c:v>
                </c:pt>
                <c:pt idx="6">
                  <c:v>6.2356979405034281</c:v>
                </c:pt>
                <c:pt idx="7">
                  <c:v>5.1743532058492718</c:v>
                </c:pt>
                <c:pt idx="8">
                  <c:v>4.759269507470961</c:v>
                </c:pt>
                <c:pt idx="9">
                  <c:v>4.5256270447110012</c:v>
                </c:pt>
                <c:pt idx="10">
                  <c:v>6.2466343564889826</c:v>
                </c:pt>
                <c:pt idx="11">
                  <c:v>9.1443850267379503</c:v>
                </c:pt>
                <c:pt idx="12">
                  <c:v>12.255678816693077</c:v>
                </c:pt>
                <c:pt idx="13">
                  <c:v>19.718309859154942</c:v>
                </c:pt>
                <c:pt idx="14">
                  <c:v>18.499746578813998</c:v>
                </c:pt>
                <c:pt idx="15">
                  <c:v>16.903478686918177</c:v>
                </c:pt>
                <c:pt idx="16">
                  <c:v>10.305882352941182</c:v>
                </c:pt>
                <c:pt idx="17" formatCode="General">
                  <c:v>0.30501089324617681</c:v>
                </c:pt>
                <c:pt idx="18" formatCode="General">
                  <c:v>-1.5825491873396089</c:v>
                </c:pt>
                <c:pt idx="19" formatCode="General">
                  <c:v>-3.5624476110645418</c:v>
                </c:pt>
                <c:pt idx="20" formatCode="General">
                  <c:v>0.3412969283276226</c:v>
                </c:pt>
                <c:pt idx="21" formatCode="General">
                  <c:v>3.9965247610773247</c:v>
                </c:pt>
                <c:pt idx="22" formatCode="General">
                  <c:v>6.7796610169491629</c:v>
                </c:pt>
                <c:pt idx="23" formatCode="General">
                  <c:v>10.386788352890036</c:v>
                </c:pt>
              </c:numCache>
            </c:numRef>
          </c:val>
          <c:smooth val="0"/>
          <c:extLst>
            <c:ext xmlns:c16="http://schemas.microsoft.com/office/drawing/2014/chart" uri="{C3380CC4-5D6E-409C-BE32-E72D297353CC}">
              <c16:uniqueId val="{00000003-868A-4EC4-9CF3-D45A96955AA4}"/>
            </c:ext>
          </c:extLst>
        </c:ser>
        <c:dLbls>
          <c:showLegendKey val="0"/>
          <c:showVal val="0"/>
          <c:showCatName val="0"/>
          <c:showSerName val="0"/>
          <c:showPercent val="0"/>
          <c:showBubbleSize val="0"/>
        </c:dLbls>
        <c:marker val="1"/>
        <c:smooth val="0"/>
        <c:axId val="130418560"/>
        <c:axId val="130420096"/>
      </c:lineChart>
      <c:catAx>
        <c:axId val="130418560"/>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130420096"/>
        <c:crosses val="autoZero"/>
        <c:auto val="1"/>
        <c:lblAlgn val="ctr"/>
        <c:lblOffset val="100"/>
        <c:noMultiLvlLbl val="0"/>
      </c:catAx>
      <c:valAx>
        <c:axId val="130420096"/>
        <c:scaling>
          <c:orientation val="minMax"/>
          <c:max val="28"/>
          <c:min val="-8"/>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0418560"/>
        <c:crosses val="autoZero"/>
        <c:crossBetween val="between"/>
        <c:majorUnit val="4"/>
      </c:valAx>
      <c:spPr>
        <a:ln>
          <a:solidFill>
            <a:schemeClr val="tx1"/>
          </a:solidFill>
        </a:ln>
      </c:spPr>
    </c:plotArea>
    <c:legend>
      <c:legendPos val="b"/>
      <c:layout>
        <c:manualLayout>
          <c:xMode val="edge"/>
          <c:yMode val="edge"/>
          <c:x val="4.6528021206651497E-2"/>
          <c:y val="0.88817854328492629"/>
          <c:w val="0.9267997314289258"/>
          <c:h val="9.8380614657210319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536533717322946E-2"/>
          <c:y val="2.0784574468085106E-2"/>
          <c:w val="0.93242262856416824"/>
          <c:h val="0.66772044917257678"/>
        </c:manualLayout>
      </c:layout>
      <c:barChart>
        <c:barDir val="col"/>
        <c:grouping val="clustered"/>
        <c:varyColors val="0"/>
        <c:ser>
          <c:idx val="0"/>
          <c:order val="0"/>
          <c:tx>
            <c:strRef>
              <c:f>'Ceny 4'!$C$5</c:f>
              <c:strCache>
                <c:ptCount val="1"/>
                <c:pt idx="0">
                  <c:v>Total</c:v>
                </c:pt>
              </c:strCache>
            </c:strRef>
          </c:tx>
          <c:spPr>
            <a:solidFill>
              <a:schemeClr val="bg1">
                <a:lumMod val="65000"/>
              </a:schemeClr>
            </a:solidFill>
            <a:ln>
              <a:noFill/>
            </a:ln>
            <a:effectLst/>
          </c:spPr>
          <c:invertIfNegative val="0"/>
          <c:cat>
            <c:multiLvlStrRef>
              <c:f>'Ceny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4'!$C$10:$C$33</c:f>
              <c:numCache>
                <c:formatCode>General</c:formatCode>
                <c:ptCount val="24"/>
                <c:pt idx="0">
                  <c:v>3.5</c:v>
                </c:pt>
                <c:pt idx="1">
                  <c:v>3.5</c:v>
                </c:pt>
                <c:pt idx="2">
                  <c:v>2</c:v>
                </c:pt>
                <c:pt idx="3">
                  <c:v>1.2999999999999972</c:v>
                </c:pt>
                <c:pt idx="4">
                  <c:v>1.4000000000000057</c:v>
                </c:pt>
                <c:pt idx="5">
                  <c:v>-0.59999999999999432</c:v>
                </c:pt>
                <c:pt idx="6">
                  <c:v>-0.29999999999999716</c:v>
                </c:pt>
                <c:pt idx="7">
                  <c:v>9.9999999999994316E-2</c:v>
                </c:pt>
                <c:pt idx="8">
                  <c:v>1.5</c:v>
                </c:pt>
                <c:pt idx="9">
                  <c:v>5.2999999999999972</c:v>
                </c:pt>
                <c:pt idx="10">
                  <c:v>9</c:v>
                </c:pt>
                <c:pt idx="11">
                  <c:v>12.799999999999997</c:v>
                </c:pt>
                <c:pt idx="12">
                  <c:v>21.799999999999997</c:v>
                </c:pt>
                <c:pt idx="13">
                  <c:v>27.700000000000003</c:v>
                </c:pt>
                <c:pt idx="14">
                  <c:v>25.900000000000006</c:v>
                </c:pt>
                <c:pt idx="15">
                  <c:v>21.799999999999997</c:v>
                </c:pt>
                <c:pt idx="16">
                  <c:v>15</c:v>
                </c:pt>
                <c:pt idx="17">
                  <c:v>3.9000000000000057</c:v>
                </c:pt>
                <c:pt idx="18">
                  <c:v>1.3</c:v>
                </c:pt>
                <c:pt idx="19">
                  <c:v>0.8</c:v>
                </c:pt>
                <c:pt idx="20">
                  <c:v>-0.9</c:v>
                </c:pt>
                <c:pt idx="21">
                  <c:v>1.1000000000000001</c:v>
                </c:pt>
                <c:pt idx="22">
                  <c:v>1.2</c:v>
                </c:pt>
                <c:pt idx="23">
                  <c:v>1.8</c:v>
                </c:pt>
              </c:numCache>
            </c:numRef>
          </c:val>
          <c:extLst>
            <c:ext xmlns:c16="http://schemas.microsoft.com/office/drawing/2014/chart" uri="{C3380CC4-5D6E-409C-BE32-E72D297353CC}">
              <c16:uniqueId val="{00000000-3D12-4006-A0E6-FBC2A90B4D0F}"/>
            </c:ext>
          </c:extLst>
        </c:ser>
        <c:dLbls>
          <c:showLegendKey val="0"/>
          <c:showVal val="0"/>
          <c:showCatName val="0"/>
          <c:showSerName val="0"/>
          <c:showPercent val="0"/>
          <c:showBubbleSize val="0"/>
        </c:dLbls>
        <c:gapWidth val="90"/>
        <c:axId val="1717494240"/>
        <c:axId val="1718275936"/>
      </c:barChart>
      <c:lineChart>
        <c:grouping val="standard"/>
        <c:varyColors val="0"/>
        <c:ser>
          <c:idx val="1"/>
          <c:order val="1"/>
          <c:tx>
            <c:strRef>
              <c:f>'Ceny 4'!$D$5</c:f>
              <c:strCache>
                <c:ptCount val="1"/>
                <c:pt idx="0">
                  <c:v>Mining and quarrying</c:v>
                </c:pt>
              </c:strCache>
            </c:strRef>
          </c:tx>
          <c:spPr>
            <a:ln w="22225" cap="rnd">
              <a:solidFill>
                <a:srgbClr val="7DBB2D"/>
              </a:solidFill>
              <a:round/>
            </a:ln>
            <a:effectLst/>
          </c:spPr>
          <c:marker>
            <c:symbol val="none"/>
          </c:marker>
          <c:cat>
            <c:multiLvlStrRef>
              <c:f>'Ceny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4'!$D$10:$D$33</c:f>
              <c:numCache>
                <c:formatCode>General</c:formatCode>
                <c:ptCount val="24"/>
                <c:pt idx="0">
                  <c:v>7.7000000000000028</c:v>
                </c:pt>
                <c:pt idx="1">
                  <c:v>7.7000000000000028</c:v>
                </c:pt>
                <c:pt idx="2">
                  <c:v>6.7000000000000028</c:v>
                </c:pt>
                <c:pt idx="3">
                  <c:v>3.7000000000000028</c:v>
                </c:pt>
                <c:pt idx="4">
                  <c:v>-2.0999999999999943</c:v>
                </c:pt>
                <c:pt idx="5">
                  <c:v>-3.5</c:v>
                </c:pt>
                <c:pt idx="6">
                  <c:v>-3.5999999999999943</c:v>
                </c:pt>
                <c:pt idx="7">
                  <c:v>-2</c:v>
                </c:pt>
                <c:pt idx="8">
                  <c:v>-0.5</c:v>
                </c:pt>
                <c:pt idx="9">
                  <c:v>0.79999999999999716</c:v>
                </c:pt>
                <c:pt idx="10">
                  <c:v>3.2999999999999972</c:v>
                </c:pt>
                <c:pt idx="11">
                  <c:v>13.799999999999997</c:v>
                </c:pt>
                <c:pt idx="12">
                  <c:v>25.200000000000003</c:v>
                </c:pt>
                <c:pt idx="13">
                  <c:v>31.900000000000006</c:v>
                </c:pt>
                <c:pt idx="14">
                  <c:v>30.199999999999989</c:v>
                </c:pt>
                <c:pt idx="15">
                  <c:v>23.299999999999997</c:v>
                </c:pt>
                <c:pt idx="16">
                  <c:v>54</c:v>
                </c:pt>
                <c:pt idx="17">
                  <c:v>47.599999999999994</c:v>
                </c:pt>
                <c:pt idx="18">
                  <c:v>44.5</c:v>
                </c:pt>
                <c:pt idx="19">
                  <c:v>40.200000000000003</c:v>
                </c:pt>
                <c:pt idx="20">
                  <c:v>-1.2</c:v>
                </c:pt>
                <c:pt idx="21">
                  <c:v>-1.7</c:v>
                </c:pt>
                <c:pt idx="22">
                  <c:v>-0.5</c:v>
                </c:pt>
                <c:pt idx="23">
                  <c:v>-1.8</c:v>
                </c:pt>
              </c:numCache>
            </c:numRef>
          </c:val>
          <c:smooth val="0"/>
          <c:extLst>
            <c:ext xmlns:c16="http://schemas.microsoft.com/office/drawing/2014/chart" uri="{C3380CC4-5D6E-409C-BE32-E72D297353CC}">
              <c16:uniqueId val="{00000001-3D12-4006-A0E6-FBC2A90B4D0F}"/>
            </c:ext>
          </c:extLst>
        </c:ser>
        <c:ser>
          <c:idx val="2"/>
          <c:order val="2"/>
          <c:tx>
            <c:strRef>
              <c:f>'Ceny 4'!$E$5</c:f>
              <c:strCache>
                <c:ptCount val="1"/>
                <c:pt idx="0">
                  <c:v>Manufacturing</c:v>
                </c:pt>
              </c:strCache>
            </c:strRef>
          </c:tx>
          <c:spPr>
            <a:ln w="22225" cap="rnd">
              <a:solidFill>
                <a:srgbClr val="BD1B21"/>
              </a:solidFill>
              <a:round/>
            </a:ln>
            <a:effectLst/>
          </c:spPr>
          <c:marker>
            <c:symbol val="none"/>
          </c:marker>
          <c:cat>
            <c:multiLvlStrRef>
              <c:f>'Ceny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4'!$E$10:$E$33</c:f>
              <c:numCache>
                <c:formatCode>General</c:formatCode>
                <c:ptCount val="24"/>
                <c:pt idx="0">
                  <c:v>2.5999999999999943</c:v>
                </c:pt>
                <c:pt idx="1">
                  <c:v>2.5999999999999943</c:v>
                </c:pt>
                <c:pt idx="2">
                  <c:v>0.79999999999999716</c:v>
                </c:pt>
                <c:pt idx="3">
                  <c:v>-9.9999999999994316E-2</c:v>
                </c:pt>
                <c:pt idx="4">
                  <c:v>0</c:v>
                </c:pt>
                <c:pt idx="5">
                  <c:v>-2.2999999999999972</c:v>
                </c:pt>
                <c:pt idx="6">
                  <c:v>-1.7999999999999972</c:v>
                </c:pt>
                <c:pt idx="7">
                  <c:v>-1.2000000000000028</c:v>
                </c:pt>
                <c:pt idx="8">
                  <c:v>1.7999999999999972</c:v>
                </c:pt>
                <c:pt idx="9">
                  <c:v>6.5</c:v>
                </c:pt>
                <c:pt idx="10">
                  <c:v>11</c:v>
                </c:pt>
                <c:pt idx="11">
                  <c:v>14.5</c:v>
                </c:pt>
                <c:pt idx="12">
                  <c:v>17.5</c:v>
                </c:pt>
                <c:pt idx="13">
                  <c:v>24.200000000000003</c:v>
                </c:pt>
                <c:pt idx="14">
                  <c:v>20.5</c:v>
                </c:pt>
                <c:pt idx="15">
                  <c:v>16</c:v>
                </c:pt>
                <c:pt idx="16">
                  <c:v>10.299999999999997</c:v>
                </c:pt>
                <c:pt idx="17">
                  <c:v>-0.90000000000000568</c:v>
                </c:pt>
                <c:pt idx="18">
                  <c:v>-2.4</c:v>
                </c:pt>
                <c:pt idx="19">
                  <c:v>-2.2999999999999998</c:v>
                </c:pt>
                <c:pt idx="20">
                  <c:v>-1.7</c:v>
                </c:pt>
                <c:pt idx="21">
                  <c:v>0.1</c:v>
                </c:pt>
                <c:pt idx="22">
                  <c:v>0.2</c:v>
                </c:pt>
                <c:pt idx="23">
                  <c:v>0.4</c:v>
                </c:pt>
              </c:numCache>
            </c:numRef>
          </c:val>
          <c:smooth val="0"/>
          <c:extLst>
            <c:ext xmlns:c16="http://schemas.microsoft.com/office/drawing/2014/chart" uri="{C3380CC4-5D6E-409C-BE32-E72D297353CC}">
              <c16:uniqueId val="{00000002-3D12-4006-A0E6-FBC2A90B4D0F}"/>
            </c:ext>
          </c:extLst>
        </c:ser>
        <c:ser>
          <c:idx val="3"/>
          <c:order val="3"/>
          <c:tx>
            <c:strRef>
              <c:f>'Ceny 4'!$F$5</c:f>
              <c:strCache>
                <c:ptCount val="1"/>
                <c:pt idx="0">
                  <c:v>Electricity, gas, steam and air conditioning supply</c:v>
                </c:pt>
              </c:strCache>
            </c:strRef>
          </c:tx>
          <c:spPr>
            <a:ln w="22225" cap="rnd">
              <a:solidFill>
                <a:srgbClr val="FFC000"/>
              </a:solidFill>
              <a:round/>
            </a:ln>
            <a:effectLst/>
          </c:spPr>
          <c:marker>
            <c:symbol val="none"/>
          </c:marker>
          <c:cat>
            <c:multiLvlStrRef>
              <c:f>'Ceny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4'!$F$10:$F$33</c:f>
              <c:numCache>
                <c:formatCode>General</c:formatCode>
                <c:ptCount val="24"/>
                <c:pt idx="0">
                  <c:v>7.7000000000000028</c:v>
                </c:pt>
                <c:pt idx="1">
                  <c:v>8.2999999999999972</c:v>
                </c:pt>
                <c:pt idx="2">
                  <c:v>7.7999999999999972</c:v>
                </c:pt>
                <c:pt idx="3">
                  <c:v>8.2999999999999972</c:v>
                </c:pt>
                <c:pt idx="4">
                  <c:v>8.9000000000000057</c:v>
                </c:pt>
                <c:pt idx="5">
                  <c:v>8.2000000000000028</c:v>
                </c:pt>
                <c:pt idx="6">
                  <c:v>7.7999999999999972</c:v>
                </c:pt>
                <c:pt idx="7">
                  <c:v>6.0999999999999943</c:v>
                </c:pt>
                <c:pt idx="8">
                  <c:v>0.29999999999999716</c:v>
                </c:pt>
                <c:pt idx="9">
                  <c:v>9.9999999999994316E-2</c:v>
                </c:pt>
                <c:pt idx="10">
                  <c:v>0.79999999999999716</c:v>
                </c:pt>
                <c:pt idx="11">
                  <c:v>5.5</c:v>
                </c:pt>
                <c:pt idx="12">
                  <c:v>45</c:v>
                </c:pt>
                <c:pt idx="13">
                  <c:v>47.199999999999989</c:v>
                </c:pt>
                <c:pt idx="14">
                  <c:v>56</c:v>
                </c:pt>
                <c:pt idx="15">
                  <c:v>54.300000000000011</c:v>
                </c:pt>
                <c:pt idx="16">
                  <c:v>28.400000000000006</c:v>
                </c:pt>
                <c:pt idx="17">
                  <c:v>18.400000000000006</c:v>
                </c:pt>
                <c:pt idx="18">
                  <c:v>10.5</c:v>
                </c:pt>
                <c:pt idx="19">
                  <c:v>7.1</c:v>
                </c:pt>
                <c:pt idx="20">
                  <c:v>0.8</c:v>
                </c:pt>
                <c:pt idx="21">
                  <c:v>4.5</c:v>
                </c:pt>
                <c:pt idx="22">
                  <c:v>4.2</c:v>
                </c:pt>
                <c:pt idx="23">
                  <c:v>6.7</c:v>
                </c:pt>
              </c:numCache>
            </c:numRef>
          </c:val>
          <c:smooth val="0"/>
          <c:extLst>
            <c:ext xmlns:c16="http://schemas.microsoft.com/office/drawing/2014/chart" uri="{C3380CC4-5D6E-409C-BE32-E72D297353CC}">
              <c16:uniqueId val="{00000003-3D12-4006-A0E6-FBC2A90B4D0F}"/>
            </c:ext>
          </c:extLst>
        </c:ser>
        <c:ser>
          <c:idx val="4"/>
          <c:order val="4"/>
          <c:tx>
            <c:strRef>
              <c:f>'Ceny 4'!$G$5</c:f>
              <c:strCache>
                <c:ptCount val="1"/>
                <c:pt idx="0">
                  <c:v>Water supply, sewerage</c:v>
                </c:pt>
              </c:strCache>
            </c:strRef>
          </c:tx>
          <c:spPr>
            <a:ln w="22225" cap="rnd">
              <a:solidFill>
                <a:srgbClr val="0071BC"/>
              </a:solidFill>
              <a:round/>
            </a:ln>
            <a:effectLst/>
          </c:spPr>
          <c:marker>
            <c:symbol val="none"/>
          </c:marker>
          <c:cat>
            <c:multiLvlStrRef>
              <c:f>'Ceny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'Ceny 4'!$G$10:$G$33</c:f>
              <c:numCache>
                <c:formatCode>General</c:formatCode>
                <c:ptCount val="24"/>
                <c:pt idx="0">
                  <c:v>2.9000000000000057</c:v>
                </c:pt>
                <c:pt idx="1">
                  <c:v>2.9000000000000057</c:v>
                </c:pt>
                <c:pt idx="2">
                  <c:v>2.9000000000000057</c:v>
                </c:pt>
                <c:pt idx="3">
                  <c:v>2.9000000000000057</c:v>
                </c:pt>
                <c:pt idx="4">
                  <c:v>5.4000000000000057</c:v>
                </c:pt>
                <c:pt idx="5">
                  <c:v>6.0999999999999943</c:v>
                </c:pt>
                <c:pt idx="6">
                  <c:v>6.4000000000000057</c:v>
                </c:pt>
                <c:pt idx="7">
                  <c:v>6.4000000000000057</c:v>
                </c:pt>
                <c:pt idx="8">
                  <c:v>6.9000000000000057</c:v>
                </c:pt>
                <c:pt idx="9">
                  <c:v>6.2000000000000028</c:v>
                </c:pt>
                <c:pt idx="10">
                  <c:v>5.9000000000000057</c:v>
                </c:pt>
                <c:pt idx="11">
                  <c:v>5.9000000000000057</c:v>
                </c:pt>
                <c:pt idx="12">
                  <c:v>5.2999999999999972</c:v>
                </c:pt>
                <c:pt idx="13">
                  <c:v>5.2999999999999972</c:v>
                </c:pt>
                <c:pt idx="14">
                  <c:v>5.2999999999999972</c:v>
                </c:pt>
                <c:pt idx="15">
                  <c:v>5.2999999999999972</c:v>
                </c:pt>
                <c:pt idx="16">
                  <c:v>16.299999999999997</c:v>
                </c:pt>
                <c:pt idx="17">
                  <c:v>16.299999999999997</c:v>
                </c:pt>
                <c:pt idx="18">
                  <c:v>16.3</c:v>
                </c:pt>
                <c:pt idx="19">
                  <c:v>16.3</c:v>
                </c:pt>
                <c:pt idx="20">
                  <c:v>9.1999999999999993</c:v>
                </c:pt>
                <c:pt idx="21">
                  <c:v>9.1999999999999993</c:v>
                </c:pt>
                <c:pt idx="22">
                  <c:v>9.1999999999999993</c:v>
                </c:pt>
                <c:pt idx="23">
                  <c:v>9.1999999999999993</c:v>
                </c:pt>
              </c:numCache>
            </c:numRef>
          </c:val>
          <c:smooth val="0"/>
          <c:extLst>
            <c:ext xmlns:c16="http://schemas.microsoft.com/office/drawing/2014/chart" uri="{C3380CC4-5D6E-409C-BE32-E72D297353CC}">
              <c16:uniqueId val="{00000004-3D12-4006-A0E6-FBC2A90B4D0F}"/>
            </c:ext>
          </c:extLst>
        </c:ser>
        <c:dLbls>
          <c:showLegendKey val="0"/>
          <c:showVal val="0"/>
          <c:showCatName val="0"/>
          <c:showSerName val="0"/>
          <c:showPercent val="0"/>
          <c:showBubbleSize val="0"/>
        </c:dLbls>
        <c:marker val="1"/>
        <c:smooth val="0"/>
        <c:axId val="1717494240"/>
        <c:axId val="1718275936"/>
      </c:lineChart>
      <c:catAx>
        <c:axId val="1717494240"/>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718275936"/>
        <c:crosses val="autoZero"/>
        <c:auto val="1"/>
        <c:lblAlgn val="ctr"/>
        <c:lblOffset val="100"/>
        <c:noMultiLvlLbl val="0"/>
      </c:catAx>
      <c:valAx>
        <c:axId val="1718275936"/>
        <c:scaling>
          <c:orientation val="minMax"/>
          <c:max val="60"/>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717494240"/>
        <c:crosses val="autoZero"/>
        <c:crossBetween val="between"/>
        <c:majorUnit val="5"/>
      </c:valAx>
      <c:spPr>
        <a:noFill/>
        <a:ln>
          <a:solidFill>
            <a:schemeClr val="tx1"/>
          </a:solidFill>
        </a:ln>
        <a:effectLst/>
      </c:spPr>
    </c:plotArea>
    <c:legend>
      <c:legendPos val="b"/>
      <c:layout>
        <c:manualLayout>
          <c:xMode val="edge"/>
          <c:yMode val="edge"/>
          <c:x val="5.4913125880123238E-2"/>
          <c:y val="0.80408628841607566"/>
          <c:w val="0.93175198788738656"/>
          <c:h val="0.18321187943262413"/>
        </c:manualLayout>
      </c:layout>
      <c:overlay val="0"/>
      <c:spPr>
        <a:noFill/>
        <a:ln>
          <a:solidFill>
            <a:schemeClr val="tx1"/>
          </a:solid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defRPr>
      </a:pPr>
      <a:endParaRPr lang="cs-CZ"/>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88731014312048E-2"/>
          <c:y val="1.4522051060224651E-2"/>
          <c:w val="0.84495121574960907"/>
          <c:h val="0.67557130739459548"/>
        </c:manualLayout>
      </c:layout>
      <c:barChart>
        <c:barDir val="col"/>
        <c:grouping val="stacked"/>
        <c:varyColors val="0"/>
        <c:ser>
          <c:idx val="0"/>
          <c:order val="0"/>
          <c:tx>
            <c:strRef>
              <c:f>'Trh práce 1-SNÚ'!$AC$7</c:f>
              <c:strCache>
                <c:ptCount val="1"/>
                <c:pt idx="0">
                  <c:v>Agriculture, forestry and fishing</c:v>
                </c:pt>
              </c:strCache>
            </c:strRef>
          </c:tx>
          <c:spPr>
            <a:solidFill>
              <a:srgbClr val="7DBB2D"/>
            </a:solidFill>
            <a:ln>
              <a:noFill/>
            </a:ln>
          </c:spPr>
          <c:invertIfNegative val="0"/>
          <c:cat>
            <c:multiLvlStrRef>
              <c:f>'Trh práce 1-SNÚ'!$AA$28:$AB$68</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 1-SNÚ'!$AC$28:$AC$68</c:f>
              <c:numCache>
                <c:formatCode>#\ ##0.0</c:formatCode>
                <c:ptCount val="41"/>
                <c:pt idx="0">
                  <c:v>-6.1573326356334918E-2</c:v>
                </c:pt>
                <c:pt idx="1">
                  <c:v>-5.9676888347252419E-2</c:v>
                </c:pt>
                <c:pt idx="2">
                  <c:v>-7.707844703464159E-2</c:v>
                </c:pt>
                <c:pt idx="3">
                  <c:v>-0.14243709499262253</c:v>
                </c:pt>
                <c:pt idx="4">
                  <c:v>-0.13840014711933823</c:v>
                </c:pt>
                <c:pt idx="5">
                  <c:v>-4.8650842041975666E-2</c:v>
                </c:pt>
                <c:pt idx="6">
                  <c:v>-5.6369916424211908E-2</c:v>
                </c:pt>
                <c:pt idx="7">
                  <c:v>5.3611107528481909E-2</c:v>
                </c:pt>
                <c:pt idx="8">
                  <c:v>0.11362815565462964</c:v>
                </c:pt>
                <c:pt idx="9">
                  <c:v>5.0071347365045656E-2</c:v>
                </c:pt>
                <c:pt idx="10">
                  <c:v>4.1044524794336977E-2</c:v>
                </c:pt>
                <c:pt idx="11">
                  <c:v>-6.8207996146105745E-2</c:v>
                </c:pt>
                <c:pt idx="12">
                  <c:v>1.1563918372028041E-2</c:v>
                </c:pt>
                <c:pt idx="13">
                  <c:v>9.9469652773378076E-3</c:v>
                </c:pt>
                <c:pt idx="14">
                  <c:v>-4.5877079510242644E-3</c:v>
                </c:pt>
                <c:pt idx="15">
                  <c:v>6.1002100013741969E-2</c:v>
                </c:pt>
                <c:pt idx="16">
                  <c:v>-7.7206500491187602E-2</c:v>
                </c:pt>
                <c:pt idx="17">
                  <c:v>-0.12546310619157755</c:v>
                </c:pt>
                <c:pt idx="18">
                  <c:v>-0.15916772896693915</c:v>
                </c:pt>
                <c:pt idx="19">
                  <c:v>-0.17729355041451639</c:v>
                </c:pt>
                <c:pt idx="20">
                  <c:v>-0.22963797478861914</c:v>
                </c:pt>
                <c:pt idx="21">
                  <c:v>-0.16486981249577076</c:v>
                </c:pt>
                <c:pt idx="22">
                  <c:v>-7.1458262303198058E-2</c:v>
                </c:pt>
                <c:pt idx="23">
                  <c:v>-7.1155713762608958E-2</c:v>
                </c:pt>
                <c:pt idx="24">
                  <c:v>1.988648589111628E-2</c:v>
                </c:pt>
                <c:pt idx="25">
                  <c:v>-4.5264025753272527E-2</c:v>
                </c:pt>
                <c:pt idx="26">
                  <c:v>-5.6861720003765062E-2</c:v>
                </c:pt>
                <c:pt idx="27">
                  <c:v>-7.103915889635871E-4</c:v>
                </c:pt>
                <c:pt idx="28">
                  <c:v>0.1001903961167062</c:v>
                </c:pt>
                <c:pt idx="29">
                  <c:v>0.19187936731668201</c:v>
                </c:pt>
                <c:pt idx="30">
                  <c:v>0.16694191816358248</c:v>
                </c:pt>
                <c:pt idx="31">
                  <c:v>8.0972483290481317E-2</c:v>
                </c:pt>
                <c:pt idx="32">
                  <c:v>2.6983862251070734E-2</c:v>
                </c:pt>
                <c:pt idx="33">
                  <c:v>1.5720339649167119E-3</c:v>
                </c:pt>
                <c:pt idx="34">
                  <c:v>-7.4409908857209078E-3</c:v>
                </c:pt>
                <c:pt idx="35">
                  <c:v>2.8532291098131043E-2</c:v>
                </c:pt>
                <c:pt idx="36">
                  <c:v>5.1710353470813208E-2</c:v>
                </c:pt>
                <c:pt idx="37">
                  <c:v>4.5731331942630953E-2</c:v>
                </c:pt>
                <c:pt idx="38">
                  <c:v>-1.9597614213169266E-2</c:v>
                </c:pt>
                <c:pt idx="39">
                  <c:v>1.4498178550444683E-2</c:v>
                </c:pt>
              </c:numCache>
            </c:numRef>
          </c:val>
          <c:extLst>
            <c:ext xmlns:c16="http://schemas.microsoft.com/office/drawing/2014/chart" uri="{C3380CC4-5D6E-409C-BE32-E72D297353CC}">
              <c16:uniqueId val="{00000000-E739-46ED-ADBE-BC23FCF4C7C9}"/>
            </c:ext>
          </c:extLst>
        </c:ser>
        <c:ser>
          <c:idx val="1"/>
          <c:order val="1"/>
          <c:tx>
            <c:strRef>
              <c:f>'Trh práce 1-SNÚ'!$AD$7</c:f>
              <c:strCache>
                <c:ptCount val="1"/>
                <c:pt idx="0">
                  <c:v>Manufacturing </c:v>
                </c:pt>
              </c:strCache>
            </c:strRef>
          </c:tx>
          <c:spPr>
            <a:solidFill>
              <a:srgbClr val="A6CDE8"/>
            </a:solidFill>
            <a:ln>
              <a:noFill/>
            </a:ln>
          </c:spPr>
          <c:invertIfNegative val="0"/>
          <c:cat>
            <c:multiLvlStrRef>
              <c:f>'Trh práce 1-SNÚ'!$AA$28:$AB$68</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 1-SNÚ'!$AD$28:$AD$68</c:f>
              <c:numCache>
                <c:formatCode>#\ ##0.0</c:formatCode>
                <c:ptCount val="41"/>
                <c:pt idx="0">
                  <c:v>0.88665589953122292</c:v>
                </c:pt>
                <c:pt idx="1">
                  <c:v>0.90523042979145274</c:v>
                </c:pt>
                <c:pt idx="2">
                  <c:v>0.77326960941049294</c:v>
                </c:pt>
                <c:pt idx="3">
                  <c:v>0.91244318301403449</c:v>
                </c:pt>
                <c:pt idx="4">
                  <c:v>0.62615046214619641</c:v>
                </c:pt>
                <c:pt idx="5">
                  <c:v>0.36311412514139912</c:v>
                </c:pt>
                <c:pt idx="6">
                  <c:v>0.36892459176709286</c:v>
                </c:pt>
                <c:pt idx="7">
                  <c:v>0.20801494720027841</c:v>
                </c:pt>
                <c:pt idx="8">
                  <c:v>0.34123025002420737</c:v>
                </c:pt>
                <c:pt idx="9">
                  <c:v>0.52235302041005405</c:v>
                </c:pt>
                <c:pt idx="10">
                  <c:v>0.6007043202184712</c:v>
                </c:pt>
                <c:pt idx="11">
                  <c:v>0.58624629993025279</c:v>
                </c:pt>
                <c:pt idx="12">
                  <c:v>0.11964573015131148</c:v>
                </c:pt>
                <c:pt idx="13">
                  <c:v>7.6152907170797243E-2</c:v>
                </c:pt>
                <c:pt idx="14">
                  <c:v>-0.12298441683462999</c:v>
                </c:pt>
                <c:pt idx="15">
                  <c:v>-0.10363777422981803</c:v>
                </c:pt>
                <c:pt idx="16">
                  <c:v>-4.3879683818856575E-2</c:v>
                </c:pt>
                <c:pt idx="17">
                  <c:v>-0.13090182754073737</c:v>
                </c:pt>
                <c:pt idx="18">
                  <c:v>-0.222700438793799</c:v>
                </c:pt>
                <c:pt idx="19">
                  <c:v>-0.5875860652367344</c:v>
                </c:pt>
                <c:pt idx="20">
                  <c:v>-1.0288745963154016</c:v>
                </c:pt>
                <c:pt idx="21">
                  <c:v>-1.3602085728947291</c:v>
                </c:pt>
                <c:pt idx="22">
                  <c:v>-1.3450219745832801</c:v>
                </c:pt>
                <c:pt idx="23">
                  <c:v>-1.0779931429042369</c:v>
                </c:pt>
                <c:pt idx="24">
                  <c:v>-0.34893294500656458</c:v>
                </c:pt>
                <c:pt idx="25">
                  <c:v>2.32270870065563E-3</c:v>
                </c:pt>
                <c:pt idx="26">
                  <c:v>0.30744821432919089</c:v>
                </c:pt>
                <c:pt idx="27">
                  <c:v>0.30287641394325915</c:v>
                </c:pt>
                <c:pt idx="28">
                  <c:v>-3.0965857946131374E-2</c:v>
                </c:pt>
                <c:pt idx="29">
                  <c:v>0.16543682902296636</c:v>
                </c:pt>
                <c:pt idx="30">
                  <c:v>-2.5206250094264231E-2</c:v>
                </c:pt>
                <c:pt idx="31">
                  <c:v>-8.6847696031558105E-2</c:v>
                </c:pt>
                <c:pt idx="32">
                  <c:v>0.20649178400959525</c:v>
                </c:pt>
                <c:pt idx="33">
                  <c:v>-2.3355933193048291E-2</c:v>
                </c:pt>
                <c:pt idx="34">
                  <c:v>-0.23908389810703257</c:v>
                </c:pt>
                <c:pt idx="35">
                  <c:v>-0.18167614037140023</c:v>
                </c:pt>
                <c:pt idx="36">
                  <c:v>-0.56719163916873283</c:v>
                </c:pt>
                <c:pt idx="37">
                  <c:v>-0.66004724155549699</c:v>
                </c:pt>
                <c:pt idx="38">
                  <c:v>-0.39451230447202923</c:v>
                </c:pt>
                <c:pt idx="39">
                  <c:v>-0.39793977545619524</c:v>
                </c:pt>
              </c:numCache>
            </c:numRef>
          </c:val>
          <c:extLst>
            <c:ext xmlns:c16="http://schemas.microsoft.com/office/drawing/2014/chart" uri="{C3380CC4-5D6E-409C-BE32-E72D297353CC}">
              <c16:uniqueId val="{00000001-E739-46ED-ADBE-BC23FCF4C7C9}"/>
            </c:ext>
          </c:extLst>
        </c:ser>
        <c:ser>
          <c:idx val="2"/>
          <c:order val="2"/>
          <c:tx>
            <c:strRef>
              <c:f>'Trh práce 1-SNÚ'!$AE$7</c:f>
              <c:strCache>
                <c:ptCount val="1"/>
                <c:pt idx="0">
                  <c:v>Construction</c:v>
                </c:pt>
              </c:strCache>
            </c:strRef>
          </c:tx>
          <c:spPr>
            <a:solidFill>
              <a:srgbClr val="48AEE7"/>
            </a:solidFill>
            <a:ln w="19050">
              <a:noFill/>
            </a:ln>
          </c:spPr>
          <c:invertIfNegative val="0"/>
          <c:cat>
            <c:multiLvlStrRef>
              <c:f>'Trh práce 1-SNÚ'!$AA$28:$AB$68</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 1-SNÚ'!$AE$28:$AE$68</c:f>
              <c:numCache>
                <c:formatCode>#\ ##0.0</c:formatCode>
                <c:ptCount val="41"/>
                <c:pt idx="0">
                  <c:v>-0.10117304071905125</c:v>
                </c:pt>
                <c:pt idx="1">
                  <c:v>-9.1106454297089121E-2</c:v>
                </c:pt>
                <c:pt idx="2">
                  <c:v>-0.14253348773808819</c:v>
                </c:pt>
                <c:pt idx="3">
                  <c:v>-0.16445842723255458</c:v>
                </c:pt>
                <c:pt idx="4">
                  <c:v>-0.1244766301438134</c:v>
                </c:pt>
                <c:pt idx="5">
                  <c:v>-0.14361558611517708</c:v>
                </c:pt>
                <c:pt idx="6">
                  <c:v>-5.3202850205105789E-2</c:v>
                </c:pt>
                <c:pt idx="7">
                  <c:v>-1.892269971292557E-2</c:v>
                </c:pt>
                <c:pt idx="8">
                  <c:v>-2.522295323322548E-2</c:v>
                </c:pt>
                <c:pt idx="9">
                  <c:v>-4.955475341057251E-3</c:v>
                </c:pt>
                <c:pt idx="10">
                  <c:v>4.3264182079252173E-2</c:v>
                </c:pt>
                <c:pt idx="11">
                  <c:v>-9.7203529235831032E-2</c:v>
                </c:pt>
                <c:pt idx="12">
                  <c:v>5.0774905955341509E-2</c:v>
                </c:pt>
                <c:pt idx="13">
                  <c:v>9.1527209015807957E-3</c:v>
                </c:pt>
                <c:pt idx="14">
                  <c:v>-5.7910411840798107E-3</c:v>
                </c:pt>
                <c:pt idx="15">
                  <c:v>5.1320718963795246E-2</c:v>
                </c:pt>
                <c:pt idx="16">
                  <c:v>-4.7853409991260497E-2</c:v>
                </c:pt>
                <c:pt idx="17">
                  <c:v>2.6839717342942881E-2</c:v>
                </c:pt>
                <c:pt idx="18">
                  <c:v>4.1303727040787566E-2</c:v>
                </c:pt>
                <c:pt idx="19">
                  <c:v>5.3863451406236225E-2</c:v>
                </c:pt>
                <c:pt idx="20">
                  <c:v>-5.219809701293044E-2</c:v>
                </c:pt>
                <c:pt idx="21">
                  <c:v>-0.28539533059612732</c:v>
                </c:pt>
                <c:pt idx="22">
                  <c:v>-0.16438202614531755</c:v>
                </c:pt>
                <c:pt idx="23">
                  <c:v>-8.379854260961106E-2</c:v>
                </c:pt>
                <c:pt idx="24">
                  <c:v>0.10062675606296018</c:v>
                </c:pt>
                <c:pt idx="25">
                  <c:v>0.31345049895046107</c:v>
                </c:pt>
                <c:pt idx="26">
                  <c:v>0.17250227801546797</c:v>
                </c:pt>
                <c:pt idx="27">
                  <c:v>0.23625320276207945</c:v>
                </c:pt>
                <c:pt idx="28">
                  <c:v>0.12256523305435475</c:v>
                </c:pt>
                <c:pt idx="29">
                  <c:v>0.14558592922631924</c:v>
                </c:pt>
                <c:pt idx="30">
                  <c:v>0.1425086346017527</c:v>
                </c:pt>
                <c:pt idx="31">
                  <c:v>0.1263359047432184</c:v>
                </c:pt>
                <c:pt idx="32">
                  <c:v>0.27042481713564304</c:v>
                </c:pt>
                <c:pt idx="33">
                  <c:v>0.23488807492463867</c:v>
                </c:pt>
                <c:pt idx="34">
                  <c:v>0.19670016358962225</c:v>
                </c:pt>
                <c:pt idx="35">
                  <c:v>9.2659876591769372E-2</c:v>
                </c:pt>
                <c:pt idx="36">
                  <c:v>-9.4069627171328066E-2</c:v>
                </c:pt>
                <c:pt idx="37">
                  <c:v>-6.1061511233521E-2</c:v>
                </c:pt>
                <c:pt idx="38">
                  <c:v>1.6943770621802592E-2</c:v>
                </c:pt>
                <c:pt idx="39">
                  <c:v>7.1990316254957429E-2</c:v>
                </c:pt>
              </c:numCache>
            </c:numRef>
          </c:val>
          <c:extLst>
            <c:ext xmlns:c16="http://schemas.microsoft.com/office/drawing/2014/chart" uri="{C3380CC4-5D6E-409C-BE32-E72D297353CC}">
              <c16:uniqueId val="{00000002-E739-46ED-ADBE-BC23FCF4C7C9}"/>
            </c:ext>
          </c:extLst>
        </c:ser>
        <c:ser>
          <c:idx val="3"/>
          <c:order val="3"/>
          <c:tx>
            <c:strRef>
              <c:f>'Trh práce 1-SNÚ'!$AF$7</c:f>
              <c:strCache>
                <c:ptCount val="1"/>
                <c:pt idx="0">
                  <c:v>Trade,transport,accommod.,food service</c:v>
                </c:pt>
              </c:strCache>
            </c:strRef>
          </c:tx>
          <c:spPr>
            <a:solidFill>
              <a:srgbClr val="FDDEB3"/>
            </a:solidFill>
            <a:ln w="19050">
              <a:noFill/>
            </a:ln>
          </c:spPr>
          <c:invertIfNegative val="0"/>
          <c:cat>
            <c:multiLvlStrRef>
              <c:f>'Trh práce 1-SNÚ'!$AA$28:$AB$68</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 1-SNÚ'!$AF$28:$AF$68</c:f>
              <c:numCache>
                <c:formatCode>#\ ##0.0</c:formatCode>
                <c:ptCount val="41"/>
                <c:pt idx="0">
                  <c:v>0.25998500994419238</c:v>
                </c:pt>
                <c:pt idx="1">
                  <c:v>0.48955477662614383</c:v>
                </c:pt>
                <c:pt idx="2">
                  <c:v>0.32600328194900458</c:v>
                </c:pt>
                <c:pt idx="3">
                  <c:v>0.15828076146259132</c:v>
                </c:pt>
                <c:pt idx="4">
                  <c:v>-5.6703862717618583E-2</c:v>
                </c:pt>
                <c:pt idx="5">
                  <c:v>7.8393714906065587E-2</c:v>
                </c:pt>
                <c:pt idx="6">
                  <c:v>-0.13956333881390184</c:v>
                </c:pt>
                <c:pt idx="7">
                  <c:v>-7.6460796805432718E-2</c:v>
                </c:pt>
                <c:pt idx="8">
                  <c:v>0.15973256369708291</c:v>
                </c:pt>
                <c:pt idx="9">
                  <c:v>-1.5191688883395588E-2</c:v>
                </c:pt>
                <c:pt idx="10">
                  <c:v>0.35531738037577776</c:v>
                </c:pt>
                <c:pt idx="11">
                  <c:v>0.17142372253177482</c:v>
                </c:pt>
                <c:pt idx="12">
                  <c:v>0.11459482327617278</c:v>
                </c:pt>
                <c:pt idx="13">
                  <c:v>0.34360524541678317</c:v>
                </c:pt>
                <c:pt idx="14">
                  <c:v>0.13954905087091021</c:v>
                </c:pt>
                <c:pt idx="15">
                  <c:v>0.16123729177746221</c:v>
                </c:pt>
                <c:pt idx="16">
                  <c:v>9.5669331999762464E-2</c:v>
                </c:pt>
                <c:pt idx="17">
                  <c:v>-0.18752413199774384</c:v>
                </c:pt>
                <c:pt idx="18">
                  <c:v>-0.32173233019841657</c:v>
                </c:pt>
                <c:pt idx="19">
                  <c:v>-0.34416791851901818</c:v>
                </c:pt>
                <c:pt idx="20">
                  <c:v>-0.17007381394220211</c:v>
                </c:pt>
                <c:pt idx="21">
                  <c:v>-0.68801691905386031</c:v>
                </c:pt>
                <c:pt idx="22">
                  <c:v>-0.5805213183815886</c:v>
                </c:pt>
                <c:pt idx="23">
                  <c:v>-1.024799611162776</c:v>
                </c:pt>
                <c:pt idx="24">
                  <c:v>-0.89384919901442583</c:v>
                </c:pt>
                <c:pt idx="25">
                  <c:v>-0.27162254639898481</c:v>
                </c:pt>
                <c:pt idx="26">
                  <c:v>0.18479100442221555</c:v>
                </c:pt>
                <c:pt idx="27">
                  <c:v>0.62815896259788329</c:v>
                </c:pt>
                <c:pt idx="28">
                  <c:v>6.9644543642100654E-2</c:v>
                </c:pt>
                <c:pt idx="29">
                  <c:v>0.38341680525887634</c:v>
                </c:pt>
                <c:pt idx="30">
                  <c:v>-5.4710948222554075E-2</c:v>
                </c:pt>
                <c:pt idx="31">
                  <c:v>-0.15716194082380397</c:v>
                </c:pt>
                <c:pt idx="32">
                  <c:v>0.2259118446485929</c:v>
                </c:pt>
                <c:pt idx="33">
                  <c:v>0.16575600984842043</c:v>
                </c:pt>
                <c:pt idx="34">
                  <c:v>0.26144426267819387</c:v>
                </c:pt>
                <c:pt idx="35">
                  <c:v>0.30554029079020223</c:v>
                </c:pt>
                <c:pt idx="36">
                  <c:v>0.34271148528675127</c:v>
                </c:pt>
                <c:pt idx="37">
                  <c:v>0.38114380541336057</c:v>
                </c:pt>
                <c:pt idx="38">
                  <c:v>0.21822759993622859</c:v>
                </c:pt>
                <c:pt idx="39">
                  <c:v>-4.0231518483970538E-2</c:v>
                </c:pt>
              </c:numCache>
            </c:numRef>
          </c:val>
          <c:extLst>
            <c:ext xmlns:c16="http://schemas.microsoft.com/office/drawing/2014/chart" uri="{C3380CC4-5D6E-409C-BE32-E72D297353CC}">
              <c16:uniqueId val="{00000003-E739-46ED-ADBE-BC23FCF4C7C9}"/>
            </c:ext>
          </c:extLst>
        </c:ser>
        <c:ser>
          <c:idx val="4"/>
          <c:order val="4"/>
          <c:tx>
            <c:strRef>
              <c:f>'Trh práce 1-SNÚ'!$AG$7</c:f>
              <c:strCache>
                <c:ptCount val="1"/>
                <c:pt idx="0">
                  <c:v>Information and communication</c:v>
                </c:pt>
              </c:strCache>
            </c:strRef>
          </c:tx>
          <c:spPr>
            <a:solidFill>
              <a:srgbClr val="F8A124"/>
            </a:solidFill>
            <a:ln w="19050">
              <a:noFill/>
            </a:ln>
          </c:spPr>
          <c:invertIfNegative val="0"/>
          <c:cat>
            <c:multiLvlStrRef>
              <c:f>'Trh práce 1-SNÚ'!$AA$28:$AB$68</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 1-SNÚ'!$AG$28:$AG$68</c:f>
              <c:numCache>
                <c:formatCode>#\ ##0.0</c:formatCode>
                <c:ptCount val="41"/>
                <c:pt idx="0">
                  <c:v>1.4183504250133379E-2</c:v>
                </c:pt>
                <c:pt idx="1">
                  <c:v>5.629821000764499E-2</c:v>
                </c:pt>
                <c:pt idx="2">
                  <c:v>6.26372452292175E-2</c:v>
                </c:pt>
                <c:pt idx="3">
                  <c:v>9.4516337489973887E-2</c:v>
                </c:pt>
                <c:pt idx="4">
                  <c:v>0.10299907118296198</c:v>
                </c:pt>
                <c:pt idx="5">
                  <c:v>9.0773702896897832E-2</c:v>
                </c:pt>
                <c:pt idx="6">
                  <c:v>0.11426543181982249</c:v>
                </c:pt>
                <c:pt idx="7">
                  <c:v>0.13630888775913119</c:v>
                </c:pt>
                <c:pt idx="8">
                  <c:v>0.10306256214490077</c:v>
                </c:pt>
                <c:pt idx="9">
                  <c:v>0.113076676701345</c:v>
                </c:pt>
                <c:pt idx="10">
                  <c:v>0.14247903571964249</c:v>
                </c:pt>
                <c:pt idx="11">
                  <c:v>0.13951722056886845</c:v>
                </c:pt>
                <c:pt idx="12">
                  <c:v>0.13227299733915818</c:v>
                </c:pt>
                <c:pt idx="13">
                  <c:v>0.14892082045443958</c:v>
                </c:pt>
                <c:pt idx="14">
                  <c:v>0.10555488703709108</c:v>
                </c:pt>
                <c:pt idx="15">
                  <c:v>0.12454203777844085</c:v>
                </c:pt>
                <c:pt idx="16">
                  <c:v>0.1256784621979638</c:v>
                </c:pt>
                <c:pt idx="17">
                  <c:v>7.6458736775003838E-2</c:v>
                </c:pt>
                <c:pt idx="18">
                  <c:v>0.11512037432787062</c:v>
                </c:pt>
                <c:pt idx="19">
                  <c:v>0.12022992158448997</c:v>
                </c:pt>
                <c:pt idx="20">
                  <c:v>9.8320126142908748E-2</c:v>
                </c:pt>
                <c:pt idx="21">
                  <c:v>5.3757438014449162E-2</c:v>
                </c:pt>
                <c:pt idx="22">
                  <c:v>7.7959563030390977E-2</c:v>
                </c:pt>
                <c:pt idx="23">
                  <c:v>5.8793836667762431E-2</c:v>
                </c:pt>
                <c:pt idx="24">
                  <c:v>2.8455305359929017E-2</c:v>
                </c:pt>
                <c:pt idx="25">
                  <c:v>8.2292993386038724E-2</c:v>
                </c:pt>
                <c:pt idx="26">
                  <c:v>6.4760246180956965E-2</c:v>
                </c:pt>
                <c:pt idx="27">
                  <c:v>-2.2214136984618119E-2</c:v>
                </c:pt>
                <c:pt idx="28">
                  <c:v>0.19577982320442494</c:v>
                </c:pt>
                <c:pt idx="29">
                  <c:v>0.1773093767482338</c:v>
                </c:pt>
                <c:pt idx="30">
                  <c:v>0.17446420222312728</c:v>
                </c:pt>
                <c:pt idx="31">
                  <c:v>0.25679575689123113</c:v>
                </c:pt>
                <c:pt idx="32">
                  <c:v>0.14193473725055147</c:v>
                </c:pt>
                <c:pt idx="33">
                  <c:v>6.7279310760423566E-2</c:v>
                </c:pt>
                <c:pt idx="34">
                  <c:v>2.942743631689625E-2</c:v>
                </c:pt>
                <c:pt idx="35">
                  <c:v>1.8012526927700279E-2</c:v>
                </c:pt>
                <c:pt idx="36">
                  <c:v>5.1356428140861686E-2</c:v>
                </c:pt>
                <c:pt idx="37">
                  <c:v>2.0588356728828187E-2</c:v>
                </c:pt>
                <c:pt idx="38">
                  <c:v>9.4276401707291541E-3</c:v>
                </c:pt>
                <c:pt idx="39">
                  <c:v>-0.11798773439262143</c:v>
                </c:pt>
              </c:numCache>
            </c:numRef>
          </c:val>
          <c:extLst>
            <c:ext xmlns:c16="http://schemas.microsoft.com/office/drawing/2014/chart" uri="{C3380CC4-5D6E-409C-BE32-E72D297353CC}">
              <c16:uniqueId val="{00000004-E739-46ED-ADBE-BC23FCF4C7C9}"/>
            </c:ext>
          </c:extLst>
        </c:ser>
        <c:ser>
          <c:idx val="5"/>
          <c:order val="5"/>
          <c:tx>
            <c:strRef>
              <c:f>'Trh práce 1-SNÚ'!$AH$7</c:f>
              <c:strCache>
                <c:ptCount val="1"/>
                <c:pt idx="0">
                  <c:v>Professional,scientific,technic+admin.act.</c:v>
                </c:pt>
              </c:strCache>
            </c:strRef>
          </c:tx>
          <c:spPr>
            <a:solidFill>
              <a:srgbClr val="E8C0BE"/>
            </a:solidFill>
            <a:ln w="19050">
              <a:noFill/>
            </a:ln>
          </c:spPr>
          <c:invertIfNegative val="0"/>
          <c:cat>
            <c:multiLvlStrRef>
              <c:f>'Trh práce 1-SNÚ'!$AA$28:$AB$68</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 1-SNÚ'!$AH$28:$AH$68</c:f>
              <c:numCache>
                <c:formatCode>#\ ##0.0</c:formatCode>
                <c:ptCount val="41"/>
                <c:pt idx="0">
                  <c:v>0.11759915174382432</c:v>
                </c:pt>
                <c:pt idx="1">
                  <c:v>0.14665821211342547</c:v>
                </c:pt>
                <c:pt idx="2">
                  <c:v>0.27033225330885341</c:v>
                </c:pt>
                <c:pt idx="3">
                  <c:v>0.34628057749677232</c:v>
                </c:pt>
                <c:pt idx="4">
                  <c:v>0.1873751956720211</c:v>
                </c:pt>
                <c:pt idx="5">
                  <c:v>0.20516788210079692</c:v>
                </c:pt>
                <c:pt idx="6">
                  <c:v>0.18977292521436465</c:v>
                </c:pt>
                <c:pt idx="7">
                  <c:v>0.2038377083012908</c:v>
                </c:pt>
                <c:pt idx="8">
                  <c:v>0.29841078105477886</c:v>
                </c:pt>
                <c:pt idx="9">
                  <c:v>0.23426579179886092</c:v>
                </c:pt>
                <c:pt idx="10">
                  <c:v>0.20577753829291368</c:v>
                </c:pt>
                <c:pt idx="11">
                  <c:v>5.6773405997204894E-2</c:v>
                </c:pt>
                <c:pt idx="12">
                  <c:v>0.10777799783190666</c:v>
                </c:pt>
                <c:pt idx="13">
                  <c:v>0.10518064804667848</c:v>
                </c:pt>
                <c:pt idx="14">
                  <c:v>9.8748533437620648E-2</c:v>
                </c:pt>
                <c:pt idx="15">
                  <c:v>0.22141224467237378</c:v>
                </c:pt>
                <c:pt idx="16">
                  <c:v>3.724431087059718E-2</c:v>
                </c:pt>
                <c:pt idx="17">
                  <c:v>2.5573165795878261E-2</c:v>
                </c:pt>
                <c:pt idx="18">
                  <c:v>2.2396959985967045E-2</c:v>
                </c:pt>
                <c:pt idx="19">
                  <c:v>-0.18724759065711963</c:v>
                </c:pt>
                <c:pt idx="20">
                  <c:v>-0.19133070373579164</c:v>
                </c:pt>
                <c:pt idx="21">
                  <c:v>-0.3504112611767094</c:v>
                </c:pt>
                <c:pt idx="22">
                  <c:v>-0.52251402310016892</c:v>
                </c:pt>
                <c:pt idx="23">
                  <c:v>-0.24405342203916677</c:v>
                </c:pt>
                <c:pt idx="24">
                  <c:v>-0.10997283570482894</c:v>
                </c:pt>
                <c:pt idx="25">
                  <c:v>0.14882612029903389</c:v>
                </c:pt>
                <c:pt idx="26">
                  <c:v>0.28609151976270597</c:v>
                </c:pt>
                <c:pt idx="27">
                  <c:v>0.12335853943489318</c:v>
                </c:pt>
                <c:pt idx="28">
                  <c:v>0.16279030253185092</c:v>
                </c:pt>
                <c:pt idx="29">
                  <c:v>0.11160194861751378</c:v>
                </c:pt>
                <c:pt idx="30">
                  <c:v>0.16264347012955688</c:v>
                </c:pt>
                <c:pt idx="31">
                  <c:v>0.22346522307166092</c:v>
                </c:pt>
                <c:pt idx="32">
                  <c:v>0.24935962964601949</c:v>
                </c:pt>
                <c:pt idx="33">
                  <c:v>0.2471274822229188</c:v>
                </c:pt>
                <c:pt idx="34">
                  <c:v>0.29077821921009361</c:v>
                </c:pt>
                <c:pt idx="35">
                  <c:v>0.28952707961070101</c:v>
                </c:pt>
                <c:pt idx="36">
                  <c:v>0.16679196865189538</c:v>
                </c:pt>
                <c:pt idx="37">
                  <c:v>6.0320922861980417E-2</c:v>
                </c:pt>
                <c:pt idx="38">
                  <c:v>8.0431874999882177E-2</c:v>
                </c:pt>
                <c:pt idx="39">
                  <c:v>2.3007979003966565E-2</c:v>
                </c:pt>
              </c:numCache>
            </c:numRef>
          </c:val>
          <c:extLst>
            <c:ext xmlns:c16="http://schemas.microsoft.com/office/drawing/2014/chart" uri="{C3380CC4-5D6E-409C-BE32-E72D297353CC}">
              <c16:uniqueId val="{00000005-E739-46ED-ADBE-BC23FCF4C7C9}"/>
            </c:ext>
          </c:extLst>
        </c:ser>
        <c:ser>
          <c:idx val="6"/>
          <c:order val="6"/>
          <c:tx>
            <c:strRef>
              <c:f>'Trh práce 1-SNÚ'!$AI$7</c:f>
              <c:strCache>
                <c:ptCount val="1"/>
                <c:pt idx="0">
                  <c:v>Public admin, education, health+soc.work</c:v>
                </c:pt>
              </c:strCache>
            </c:strRef>
          </c:tx>
          <c:spPr>
            <a:solidFill>
              <a:srgbClr val="D58D8B"/>
            </a:solidFill>
            <a:ln>
              <a:noFill/>
            </a:ln>
          </c:spPr>
          <c:invertIfNegative val="0"/>
          <c:cat>
            <c:multiLvlStrRef>
              <c:f>'Trh práce 1-SNÚ'!$AA$28:$AB$68</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 1-SNÚ'!$AI$28:$AI$68</c:f>
              <c:numCache>
                <c:formatCode>#\ ##0.0</c:formatCode>
                <c:ptCount val="41"/>
                <c:pt idx="0">
                  <c:v>0.29810932511306687</c:v>
                </c:pt>
                <c:pt idx="1">
                  <c:v>0.22837508358300088</c:v>
                </c:pt>
                <c:pt idx="2">
                  <c:v>8.7664748087127292E-2</c:v>
                </c:pt>
                <c:pt idx="3">
                  <c:v>6.3608520735520563E-2</c:v>
                </c:pt>
                <c:pt idx="4">
                  <c:v>0.31886213213126613</c:v>
                </c:pt>
                <c:pt idx="5">
                  <c:v>0.28817753636693877</c:v>
                </c:pt>
                <c:pt idx="6">
                  <c:v>0.36508162726951909</c:v>
                </c:pt>
                <c:pt idx="7">
                  <c:v>0.46049727622848979</c:v>
                </c:pt>
                <c:pt idx="8">
                  <c:v>0.25543763072520886</c:v>
                </c:pt>
                <c:pt idx="9">
                  <c:v>0.32021171933565312</c:v>
                </c:pt>
                <c:pt idx="10">
                  <c:v>0.40612074323310393</c:v>
                </c:pt>
                <c:pt idx="11">
                  <c:v>0.45188510919558089</c:v>
                </c:pt>
                <c:pt idx="12">
                  <c:v>0.60669746453968465</c:v>
                </c:pt>
                <c:pt idx="13">
                  <c:v>0.67766064774410706</c:v>
                </c:pt>
                <c:pt idx="14">
                  <c:v>0.54779865226677038</c:v>
                </c:pt>
                <c:pt idx="15">
                  <c:v>0.53702526690063701</c:v>
                </c:pt>
                <c:pt idx="16">
                  <c:v>0.28440258119756973</c:v>
                </c:pt>
                <c:pt idx="17">
                  <c:v>0.27707677667843045</c:v>
                </c:pt>
                <c:pt idx="18">
                  <c:v>0.33524516272328342</c:v>
                </c:pt>
                <c:pt idx="19">
                  <c:v>0.37920241903644225</c:v>
                </c:pt>
                <c:pt idx="20">
                  <c:v>0.39000877571158382</c:v>
                </c:pt>
                <c:pt idx="21">
                  <c:v>0.31581562839071159</c:v>
                </c:pt>
                <c:pt idx="22">
                  <c:v>0.4292913488797877</c:v>
                </c:pt>
                <c:pt idx="23">
                  <c:v>0.43905266815196531</c:v>
                </c:pt>
                <c:pt idx="24">
                  <c:v>0.48013825373146052</c:v>
                </c:pt>
                <c:pt idx="25">
                  <c:v>0.61638162295910981</c:v>
                </c:pt>
                <c:pt idx="26">
                  <c:v>0.58629302803612371</c:v>
                </c:pt>
                <c:pt idx="27">
                  <c:v>0.47863113300738547</c:v>
                </c:pt>
                <c:pt idx="28">
                  <c:v>0.23949857455870413</c:v>
                </c:pt>
                <c:pt idx="29">
                  <c:v>0.19858498227191301</c:v>
                </c:pt>
                <c:pt idx="30">
                  <c:v>0.21793885646200037</c:v>
                </c:pt>
                <c:pt idx="31">
                  <c:v>0.27781094092662112</c:v>
                </c:pt>
                <c:pt idx="32">
                  <c:v>0.47869409452407552</c:v>
                </c:pt>
                <c:pt idx="33">
                  <c:v>0.43457381784917815</c:v>
                </c:pt>
                <c:pt idx="34">
                  <c:v>0.2684926384669295</c:v>
                </c:pt>
                <c:pt idx="35">
                  <c:v>0.25836017617148521</c:v>
                </c:pt>
                <c:pt idx="36">
                  <c:v>0.31972496648884663</c:v>
                </c:pt>
                <c:pt idx="37">
                  <c:v>0.29247686263066441</c:v>
                </c:pt>
                <c:pt idx="38">
                  <c:v>0.42578415046661211</c:v>
                </c:pt>
                <c:pt idx="39">
                  <c:v>0.51948716494048597</c:v>
                </c:pt>
              </c:numCache>
            </c:numRef>
          </c:val>
          <c:extLst>
            <c:ext xmlns:c16="http://schemas.microsoft.com/office/drawing/2014/chart" uri="{C3380CC4-5D6E-409C-BE32-E72D297353CC}">
              <c16:uniqueId val="{00000006-E739-46ED-ADBE-BC23FCF4C7C9}"/>
            </c:ext>
          </c:extLst>
        </c:ser>
        <c:ser>
          <c:idx val="7"/>
          <c:order val="7"/>
          <c:tx>
            <c:strRef>
              <c:f>'Trh práce 1-SNÚ'!$AJ$7</c:f>
              <c:strCache>
                <c:ptCount val="1"/>
                <c:pt idx="0">
                  <c:v>Other branches*</c:v>
                </c:pt>
              </c:strCache>
            </c:strRef>
          </c:tx>
          <c:spPr>
            <a:solidFill>
              <a:schemeClr val="bg1">
                <a:lumMod val="85000"/>
              </a:schemeClr>
            </a:solidFill>
            <a:ln>
              <a:noFill/>
            </a:ln>
          </c:spPr>
          <c:invertIfNegative val="0"/>
          <c:cat>
            <c:multiLvlStrRef>
              <c:f>'Trh práce 1-SNÚ'!$AA$28:$AB$68</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 1-SNÚ'!$AJ$28:$AJ$68</c:f>
              <c:numCache>
                <c:formatCode>#\ ##0.0</c:formatCode>
                <c:ptCount val="41"/>
                <c:pt idx="0">
                  <c:v>-0.11167788297920554</c:v>
                </c:pt>
                <c:pt idx="1">
                  <c:v>3.2922470332453942E-2</c:v>
                </c:pt>
                <c:pt idx="2">
                  <c:v>2.8686723369582272E-2</c:v>
                </c:pt>
                <c:pt idx="3">
                  <c:v>-3.2096578937316919E-2</c:v>
                </c:pt>
                <c:pt idx="4">
                  <c:v>0.1719564056042851</c:v>
                </c:pt>
                <c:pt idx="5">
                  <c:v>0.10973961273620712</c:v>
                </c:pt>
                <c:pt idx="6">
                  <c:v>0.13297815844368727</c:v>
                </c:pt>
                <c:pt idx="7">
                  <c:v>0.21049819060105912</c:v>
                </c:pt>
                <c:pt idx="8">
                  <c:v>-7.8204602142011373E-2</c:v>
                </c:pt>
                <c:pt idx="9">
                  <c:v>-4.3087762424945671E-2</c:v>
                </c:pt>
                <c:pt idx="10">
                  <c:v>-2.4186610414937963E-2</c:v>
                </c:pt>
                <c:pt idx="11">
                  <c:v>-3.215383918742503E-2</c:v>
                </c:pt>
                <c:pt idx="12">
                  <c:v>0.16045174095835293</c:v>
                </c:pt>
                <c:pt idx="13">
                  <c:v>0.15856521644577473</c:v>
                </c:pt>
                <c:pt idx="14">
                  <c:v>-1.9178123401822754E-2</c:v>
                </c:pt>
                <c:pt idx="15">
                  <c:v>-1.4963843331568139E-2</c:v>
                </c:pt>
                <c:pt idx="16">
                  <c:v>-0.11518182702557608</c:v>
                </c:pt>
                <c:pt idx="17">
                  <c:v>-3.7866166105623093E-2</c:v>
                </c:pt>
                <c:pt idx="18">
                  <c:v>9.4440514607494364E-2</c:v>
                </c:pt>
                <c:pt idx="19">
                  <c:v>7.8646220757913818E-2</c:v>
                </c:pt>
                <c:pt idx="20">
                  <c:v>-0.19809850857772601</c:v>
                </c:pt>
                <c:pt idx="21">
                  <c:v>-0.41738438003451656</c:v>
                </c:pt>
                <c:pt idx="22">
                  <c:v>-0.37552484458995661</c:v>
                </c:pt>
                <c:pt idx="23">
                  <c:v>-0.44219932777610815</c:v>
                </c:pt>
                <c:pt idx="24">
                  <c:v>2.3886532147575315E-2</c:v>
                </c:pt>
                <c:pt idx="25">
                  <c:v>0.20574208143493422</c:v>
                </c:pt>
                <c:pt idx="26">
                  <c:v>0.14351545379237532</c:v>
                </c:pt>
                <c:pt idx="27">
                  <c:v>0.21300227805302802</c:v>
                </c:pt>
                <c:pt idx="28">
                  <c:v>0.10114495400653761</c:v>
                </c:pt>
                <c:pt idx="29">
                  <c:v>0.12974320154172242</c:v>
                </c:pt>
                <c:pt idx="30">
                  <c:v>5.4560125484518086E-2</c:v>
                </c:pt>
                <c:pt idx="31">
                  <c:v>5.7942402577863039E-2</c:v>
                </c:pt>
                <c:pt idx="32">
                  <c:v>-8.6700075978387789E-2</c:v>
                </c:pt>
                <c:pt idx="33">
                  <c:v>-4.7722459649257365E-2</c:v>
                </c:pt>
                <c:pt idx="34">
                  <c:v>-5.881748071979391E-2</c:v>
                </c:pt>
                <c:pt idx="35">
                  <c:v>-2.7112216361092401E-2</c:v>
                </c:pt>
                <c:pt idx="36">
                  <c:v>4.4156424997580948E-2</c:v>
                </c:pt>
                <c:pt idx="37">
                  <c:v>0.14876132132077546</c:v>
                </c:pt>
                <c:pt idx="38">
                  <c:v>0.10913734518859322</c:v>
                </c:pt>
                <c:pt idx="39">
                  <c:v>0.14907909683392032</c:v>
                </c:pt>
              </c:numCache>
            </c:numRef>
          </c:val>
          <c:extLst>
            <c:ext xmlns:c16="http://schemas.microsoft.com/office/drawing/2014/chart" uri="{C3380CC4-5D6E-409C-BE32-E72D297353CC}">
              <c16:uniqueId val="{00000007-E739-46ED-ADBE-BC23FCF4C7C9}"/>
            </c:ext>
          </c:extLst>
        </c:ser>
        <c:dLbls>
          <c:showLegendKey val="0"/>
          <c:showVal val="0"/>
          <c:showCatName val="0"/>
          <c:showSerName val="0"/>
          <c:showPercent val="0"/>
          <c:showBubbleSize val="0"/>
        </c:dLbls>
        <c:gapWidth val="47"/>
        <c:overlap val="100"/>
        <c:axId val="101898496"/>
        <c:axId val="101781504"/>
      </c:barChart>
      <c:lineChart>
        <c:grouping val="standard"/>
        <c:varyColors val="0"/>
        <c:ser>
          <c:idx val="8"/>
          <c:order val="8"/>
          <c:tx>
            <c:strRef>
              <c:f>'Trh práce 1-SNÚ'!$AK$7</c:f>
              <c:strCache>
                <c:ptCount val="1"/>
                <c:pt idx="0">
                  <c:v>Total employment</c:v>
                </c:pt>
              </c:strCache>
            </c:strRef>
          </c:tx>
          <c:spPr>
            <a:ln w="19050">
              <a:solidFill>
                <a:schemeClr val="tx1">
                  <a:lumMod val="95000"/>
                  <a:lumOff val="5000"/>
                </a:schemeClr>
              </a:solidFill>
            </a:ln>
          </c:spPr>
          <c:marker>
            <c:symbol val="none"/>
          </c:marker>
          <c:cat>
            <c:multiLvlStrRef>
              <c:f>'Trh práce 1-SNÚ'!$AA$28:$AB$68</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 1-SNÚ'!$AK$28:$AK$68</c:f>
              <c:numCache>
                <c:formatCode>#\ ##0.0</c:formatCode>
                <c:ptCount val="41"/>
                <c:pt idx="0">
                  <c:v>1.3021086405278481</c:v>
                </c:pt>
                <c:pt idx="1">
                  <c:v>1.7082558398097802</c:v>
                </c:pt>
                <c:pt idx="2">
                  <c:v>1.3289819265815481</c:v>
                </c:pt>
                <c:pt idx="3">
                  <c:v>1.2361372790363987</c:v>
                </c:pt>
                <c:pt idx="4">
                  <c:v>1.0877626267559606</c:v>
                </c:pt>
                <c:pt idx="5">
                  <c:v>0.94310014599115277</c:v>
                </c:pt>
                <c:pt idx="6">
                  <c:v>0.92188662907126684</c:v>
                </c:pt>
                <c:pt idx="7">
                  <c:v>1.1773846211003729</c:v>
                </c:pt>
                <c:pt idx="8">
                  <c:v>1.1680743879255715</c:v>
                </c:pt>
                <c:pt idx="9">
                  <c:v>1.1767436289615603</c:v>
                </c:pt>
                <c:pt idx="10">
                  <c:v>1.7705211142985604</c:v>
                </c:pt>
                <c:pt idx="11">
                  <c:v>1.2082803936543201</c:v>
                </c:pt>
                <c:pt idx="12">
                  <c:v>1.3037795784239563</c:v>
                </c:pt>
                <c:pt idx="13">
                  <c:v>1.5291851714574989</c:v>
                </c:pt>
                <c:pt idx="14">
                  <c:v>0.73910983424083554</c:v>
                </c:pt>
                <c:pt idx="15">
                  <c:v>1.0379380425450648</c:v>
                </c:pt>
                <c:pt idx="16">
                  <c:v>0.25887326493901242</c:v>
                </c:pt>
                <c:pt idx="17">
                  <c:v>-7.5806835243426463E-2</c:v>
                </c:pt>
                <c:pt idx="18">
                  <c:v>-9.5093759273751743E-2</c:v>
                </c:pt>
                <c:pt idx="19">
                  <c:v>-0.66435311204230629</c:v>
                </c:pt>
                <c:pt idx="20">
                  <c:v>-1.3818847925181785</c:v>
                </c:pt>
                <c:pt idx="21">
                  <c:v>-2.8967132098465527</c:v>
                </c:pt>
                <c:pt idx="22">
                  <c:v>-2.5521715371933311</c:v>
                </c:pt>
                <c:pt idx="23">
                  <c:v>-2.4461532554347798</c:v>
                </c:pt>
                <c:pt idx="24">
                  <c:v>-0.69976164653277806</c:v>
                </c:pt>
                <c:pt idx="25">
                  <c:v>1.0521294535779759</c:v>
                </c:pt>
                <c:pt idx="26">
                  <c:v>1.6885400245352713</c:v>
                </c:pt>
                <c:pt idx="27">
                  <c:v>1.9593560012249469</c:v>
                </c:pt>
                <c:pt idx="28">
                  <c:v>0.96064796916854789</c:v>
                </c:pt>
                <c:pt idx="29">
                  <c:v>1.5035584400042268</c:v>
                </c:pt>
                <c:pt idx="30">
                  <c:v>0.83914000874771943</c:v>
                </c:pt>
                <c:pt idx="31">
                  <c:v>0.77931307464571375</c:v>
                </c:pt>
                <c:pt idx="32">
                  <c:v>1.5131006934871607</c:v>
                </c:pt>
                <c:pt idx="33">
                  <c:v>1.0801183367281908</c:v>
                </c:pt>
                <c:pt idx="34">
                  <c:v>0.74150035054918817</c:v>
                </c:pt>
                <c:pt idx="35">
                  <c:v>0.78384388445749664</c:v>
                </c:pt>
                <c:pt idx="36">
                  <c:v>0.31519036069668971</c:v>
                </c:pt>
                <c:pt idx="37">
                  <c:v>0.22791384810922466</c:v>
                </c:pt>
                <c:pt idx="38">
                  <c:v>0.44584246269864991</c:v>
                </c:pt>
                <c:pt idx="39">
                  <c:v>0.22190370725098774</c:v>
                </c:pt>
              </c:numCache>
            </c:numRef>
          </c:val>
          <c:smooth val="0"/>
          <c:extLst>
            <c:ext xmlns:c16="http://schemas.microsoft.com/office/drawing/2014/chart" uri="{C3380CC4-5D6E-409C-BE32-E72D297353CC}">
              <c16:uniqueId val="{00000008-E739-46ED-ADBE-BC23FCF4C7C9}"/>
            </c:ext>
          </c:extLst>
        </c:ser>
        <c:dLbls>
          <c:showLegendKey val="0"/>
          <c:showVal val="0"/>
          <c:showCatName val="0"/>
          <c:showSerName val="0"/>
          <c:showPercent val="0"/>
          <c:showBubbleSize val="0"/>
        </c:dLbls>
        <c:marker val="1"/>
        <c:smooth val="0"/>
        <c:axId val="101898496"/>
        <c:axId val="101781504"/>
      </c:lineChart>
      <c:lineChart>
        <c:grouping val="standard"/>
        <c:varyColors val="0"/>
        <c:ser>
          <c:idx val="9"/>
          <c:order val="9"/>
          <c:tx>
            <c:strRef>
              <c:f>'Trh práce 1-SNÚ'!$AL$7</c:f>
              <c:strCache>
                <c:ptCount val="1"/>
              </c:strCache>
            </c:strRef>
          </c:tx>
          <c:spPr>
            <a:ln>
              <a:noFill/>
            </a:ln>
          </c:spPr>
          <c:marker>
            <c:symbol val="none"/>
          </c:marker>
          <c:cat>
            <c:multiLvlStrRef>
              <c:f>'Trh práce 1-SNÚ'!$AA$28:$AB$68</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 1-SNÚ'!$AL$28:$AL$68</c:f>
              <c:numCache>
                <c:formatCode>General</c:formatCode>
                <c:ptCount val="41"/>
              </c:numCache>
            </c:numRef>
          </c:val>
          <c:smooth val="0"/>
          <c:extLst>
            <c:ext xmlns:c16="http://schemas.microsoft.com/office/drawing/2014/chart" uri="{C3380CC4-5D6E-409C-BE32-E72D297353CC}">
              <c16:uniqueId val="{00000009-E739-46ED-ADBE-BC23FCF4C7C9}"/>
            </c:ext>
          </c:extLst>
        </c:ser>
        <c:ser>
          <c:idx val="10"/>
          <c:order val="10"/>
          <c:tx>
            <c:strRef>
              <c:f>'Trh práce 1-SNÚ'!$AM$7</c:f>
              <c:strCache>
                <c:ptCount val="1"/>
                <c:pt idx="0">
                  <c:v>Employment expectations (industry)</c:v>
                </c:pt>
              </c:strCache>
            </c:strRef>
          </c:tx>
          <c:spPr>
            <a:ln w="15875">
              <a:solidFill>
                <a:schemeClr val="tx1">
                  <a:lumMod val="95000"/>
                  <a:lumOff val="5000"/>
                </a:schemeClr>
              </a:solidFill>
              <a:prstDash val="sysDot"/>
            </a:ln>
          </c:spPr>
          <c:marker>
            <c:symbol val="none"/>
          </c:marker>
          <c:cat>
            <c:multiLvlStrRef>
              <c:f>'Trh práce 1-SNÚ'!$AA$28:$AB$68</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 1-SNÚ'!$AM$28:$AM$68</c:f>
              <c:numCache>
                <c:formatCode>#\ ##0.0</c:formatCode>
                <c:ptCount val="41"/>
                <c:pt idx="0">
                  <c:v>-3</c:v>
                </c:pt>
                <c:pt idx="1">
                  <c:v>4.3</c:v>
                </c:pt>
                <c:pt idx="2">
                  <c:v>5.5</c:v>
                </c:pt>
                <c:pt idx="3">
                  <c:v>7.8</c:v>
                </c:pt>
                <c:pt idx="4">
                  <c:v>8.1999999999999993</c:v>
                </c:pt>
                <c:pt idx="5">
                  <c:v>9.9</c:v>
                </c:pt>
                <c:pt idx="6">
                  <c:v>3.8</c:v>
                </c:pt>
                <c:pt idx="7">
                  <c:v>9.5</c:v>
                </c:pt>
                <c:pt idx="8">
                  <c:v>11.1</c:v>
                </c:pt>
                <c:pt idx="9">
                  <c:v>5.7</c:v>
                </c:pt>
                <c:pt idx="10">
                  <c:v>8.1999999999999993</c:v>
                </c:pt>
                <c:pt idx="11">
                  <c:v>7.3</c:v>
                </c:pt>
                <c:pt idx="12">
                  <c:v>9.8000000000000007</c:v>
                </c:pt>
                <c:pt idx="13">
                  <c:v>9.4</c:v>
                </c:pt>
                <c:pt idx="14">
                  <c:v>6.2</c:v>
                </c:pt>
                <c:pt idx="15">
                  <c:v>6.3</c:v>
                </c:pt>
                <c:pt idx="16">
                  <c:v>2.5</c:v>
                </c:pt>
                <c:pt idx="17">
                  <c:v>2.6</c:v>
                </c:pt>
                <c:pt idx="18">
                  <c:v>0.5</c:v>
                </c:pt>
                <c:pt idx="19">
                  <c:v>-2.8</c:v>
                </c:pt>
                <c:pt idx="20">
                  <c:v>2.9</c:v>
                </c:pt>
                <c:pt idx="21">
                  <c:v>-19</c:v>
                </c:pt>
                <c:pt idx="22">
                  <c:v>-10.9</c:v>
                </c:pt>
                <c:pt idx="23">
                  <c:v>-3.5</c:v>
                </c:pt>
                <c:pt idx="24">
                  <c:v>4.4000000000000004</c:v>
                </c:pt>
                <c:pt idx="25">
                  <c:v>8.6</c:v>
                </c:pt>
                <c:pt idx="26">
                  <c:v>4.7</c:v>
                </c:pt>
                <c:pt idx="27">
                  <c:v>1.8</c:v>
                </c:pt>
                <c:pt idx="28">
                  <c:v>11.2</c:v>
                </c:pt>
                <c:pt idx="29">
                  <c:v>2.2999999999999998</c:v>
                </c:pt>
                <c:pt idx="30">
                  <c:v>2.1</c:v>
                </c:pt>
                <c:pt idx="31">
                  <c:v>-9.9</c:v>
                </c:pt>
                <c:pt idx="32">
                  <c:v>-13.6</c:v>
                </c:pt>
                <c:pt idx="33">
                  <c:v>-5.8</c:v>
                </c:pt>
                <c:pt idx="34">
                  <c:v>-4.3</c:v>
                </c:pt>
                <c:pt idx="35">
                  <c:v>-8.3000000000000007</c:v>
                </c:pt>
                <c:pt idx="36">
                  <c:v>-6</c:v>
                </c:pt>
                <c:pt idx="37">
                  <c:v>-9.6</c:v>
                </c:pt>
                <c:pt idx="38">
                  <c:v>-10.7</c:v>
                </c:pt>
                <c:pt idx="39">
                  <c:v>-13.2</c:v>
                </c:pt>
                <c:pt idx="40">
                  <c:v>-13</c:v>
                </c:pt>
              </c:numCache>
            </c:numRef>
          </c:val>
          <c:smooth val="0"/>
          <c:extLst>
            <c:ext xmlns:c16="http://schemas.microsoft.com/office/drawing/2014/chart" uri="{C3380CC4-5D6E-409C-BE32-E72D297353CC}">
              <c16:uniqueId val="{0000000A-E739-46ED-ADBE-BC23FCF4C7C9}"/>
            </c:ext>
          </c:extLst>
        </c:ser>
        <c:ser>
          <c:idx val="11"/>
          <c:order val="11"/>
          <c:tx>
            <c:strRef>
              <c:f>'Trh práce 1-SNÚ'!$AN$7</c:f>
              <c:strCache>
                <c:ptCount val="1"/>
                <c:pt idx="0">
                  <c:v>Employment expectations (construction)</c:v>
                </c:pt>
              </c:strCache>
            </c:strRef>
          </c:tx>
          <c:spPr>
            <a:ln w="15875">
              <a:solidFill>
                <a:srgbClr val="00B0F0"/>
              </a:solidFill>
              <a:prstDash val="sysDot"/>
            </a:ln>
          </c:spPr>
          <c:marker>
            <c:symbol val="none"/>
          </c:marker>
          <c:cat>
            <c:multiLvlStrRef>
              <c:f>'Trh práce 1-SNÚ'!$AA$28:$AB$68</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 1-SNÚ'!$AN$28:$AN$68</c:f>
              <c:numCache>
                <c:formatCode>#\ ##0.0</c:formatCode>
                <c:ptCount val="41"/>
                <c:pt idx="0">
                  <c:v>-4.0999999999999996</c:v>
                </c:pt>
                <c:pt idx="1">
                  <c:v>7.5</c:v>
                </c:pt>
                <c:pt idx="2">
                  <c:v>1.1000000000000001</c:v>
                </c:pt>
                <c:pt idx="3">
                  <c:v>-0.5</c:v>
                </c:pt>
                <c:pt idx="4">
                  <c:v>-3.4</c:v>
                </c:pt>
                <c:pt idx="5">
                  <c:v>-6.1</c:v>
                </c:pt>
                <c:pt idx="6">
                  <c:v>-4.5</c:v>
                </c:pt>
                <c:pt idx="7">
                  <c:v>-7.5</c:v>
                </c:pt>
                <c:pt idx="8">
                  <c:v>-7.4</c:v>
                </c:pt>
                <c:pt idx="9">
                  <c:v>-11.8</c:v>
                </c:pt>
                <c:pt idx="10">
                  <c:v>-6</c:v>
                </c:pt>
                <c:pt idx="11">
                  <c:v>-3.6</c:v>
                </c:pt>
                <c:pt idx="12">
                  <c:v>4.4000000000000004</c:v>
                </c:pt>
                <c:pt idx="13">
                  <c:v>6</c:v>
                </c:pt>
                <c:pt idx="14">
                  <c:v>9.1999999999999993</c:v>
                </c:pt>
                <c:pt idx="15">
                  <c:v>8.4</c:v>
                </c:pt>
                <c:pt idx="16">
                  <c:v>6.5</c:v>
                </c:pt>
                <c:pt idx="17">
                  <c:v>10.4</c:v>
                </c:pt>
                <c:pt idx="18">
                  <c:v>4.3</c:v>
                </c:pt>
                <c:pt idx="19">
                  <c:v>9.1</c:v>
                </c:pt>
                <c:pt idx="20">
                  <c:v>5.6</c:v>
                </c:pt>
                <c:pt idx="21">
                  <c:v>-3.1</c:v>
                </c:pt>
                <c:pt idx="22">
                  <c:v>1.9</c:v>
                </c:pt>
                <c:pt idx="23">
                  <c:v>-3.6</c:v>
                </c:pt>
                <c:pt idx="24">
                  <c:v>3.4</c:v>
                </c:pt>
                <c:pt idx="25">
                  <c:v>5.6</c:v>
                </c:pt>
                <c:pt idx="26">
                  <c:v>4.8</c:v>
                </c:pt>
                <c:pt idx="27">
                  <c:v>6</c:v>
                </c:pt>
                <c:pt idx="28">
                  <c:v>9.3000000000000007</c:v>
                </c:pt>
                <c:pt idx="29">
                  <c:v>9.1</c:v>
                </c:pt>
                <c:pt idx="30">
                  <c:v>2.2000000000000002</c:v>
                </c:pt>
                <c:pt idx="31">
                  <c:v>-3.4</c:v>
                </c:pt>
                <c:pt idx="32">
                  <c:v>-12.7</c:v>
                </c:pt>
                <c:pt idx="33">
                  <c:v>-11.8</c:v>
                </c:pt>
                <c:pt idx="34">
                  <c:v>-7.3</c:v>
                </c:pt>
                <c:pt idx="35">
                  <c:v>-2.5</c:v>
                </c:pt>
                <c:pt idx="36">
                  <c:v>-0.5</c:v>
                </c:pt>
                <c:pt idx="37">
                  <c:v>-7.5</c:v>
                </c:pt>
                <c:pt idx="38">
                  <c:v>-5.5</c:v>
                </c:pt>
                <c:pt idx="39">
                  <c:v>7.1</c:v>
                </c:pt>
                <c:pt idx="40">
                  <c:v>2.2000000000000002</c:v>
                </c:pt>
              </c:numCache>
            </c:numRef>
          </c:val>
          <c:smooth val="0"/>
          <c:extLst>
            <c:ext xmlns:c16="http://schemas.microsoft.com/office/drawing/2014/chart" uri="{C3380CC4-5D6E-409C-BE32-E72D297353CC}">
              <c16:uniqueId val="{0000000B-E739-46ED-ADBE-BC23FCF4C7C9}"/>
            </c:ext>
          </c:extLst>
        </c:ser>
        <c:ser>
          <c:idx val="12"/>
          <c:order val="12"/>
          <c:tx>
            <c:strRef>
              <c:f>'Trh práce 1-SNÚ'!$AO$7</c:f>
              <c:strCache>
                <c:ptCount val="1"/>
                <c:pt idx="0">
                  <c:v>Employment expectations (trade)</c:v>
                </c:pt>
              </c:strCache>
            </c:strRef>
          </c:tx>
          <c:spPr>
            <a:ln w="15875">
              <a:solidFill>
                <a:schemeClr val="accent6">
                  <a:lumMod val="75000"/>
                </a:schemeClr>
              </a:solidFill>
              <a:prstDash val="sysDot"/>
            </a:ln>
          </c:spPr>
          <c:marker>
            <c:symbol val="none"/>
          </c:marker>
          <c:cat>
            <c:multiLvlStrRef>
              <c:f>'Trh práce 1-SNÚ'!$AA$28:$AB$68</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 1-SNÚ'!$AO$28:$AO$68</c:f>
              <c:numCache>
                <c:formatCode>#\ ##0.0</c:formatCode>
                <c:ptCount val="41"/>
                <c:pt idx="0">
                  <c:v>12</c:v>
                </c:pt>
                <c:pt idx="1">
                  <c:v>3.7</c:v>
                </c:pt>
                <c:pt idx="2">
                  <c:v>1</c:v>
                </c:pt>
                <c:pt idx="3">
                  <c:v>2</c:v>
                </c:pt>
                <c:pt idx="4">
                  <c:v>14.9</c:v>
                </c:pt>
                <c:pt idx="5">
                  <c:v>18.100000000000001</c:v>
                </c:pt>
                <c:pt idx="6">
                  <c:v>18.899999999999999</c:v>
                </c:pt>
                <c:pt idx="7">
                  <c:v>21</c:v>
                </c:pt>
                <c:pt idx="8">
                  <c:v>14.7</c:v>
                </c:pt>
                <c:pt idx="9">
                  <c:v>17</c:v>
                </c:pt>
                <c:pt idx="10">
                  <c:v>19</c:v>
                </c:pt>
                <c:pt idx="11">
                  <c:v>14.9</c:v>
                </c:pt>
                <c:pt idx="12">
                  <c:v>30.1</c:v>
                </c:pt>
                <c:pt idx="13">
                  <c:v>32.5</c:v>
                </c:pt>
                <c:pt idx="14">
                  <c:v>27.5</c:v>
                </c:pt>
                <c:pt idx="15">
                  <c:v>14.7</c:v>
                </c:pt>
                <c:pt idx="16">
                  <c:v>12.2</c:v>
                </c:pt>
                <c:pt idx="17">
                  <c:v>15.8</c:v>
                </c:pt>
                <c:pt idx="18">
                  <c:v>14.1</c:v>
                </c:pt>
                <c:pt idx="19">
                  <c:v>12.3</c:v>
                </c:pt>
                <c:pt idx="20">
                  <c:v>11.7</c:v>
                </c:pt>
                <c:pt idx="21">
                  <c:v>-5.9</c:v>
                </c:pt>
                <c:pt idx="22">
                  <c:v>-3.1</c:v>
                </c:pt>
                <c:pt idx="23">
                  <c:v>-0.2</c:v>
                </c:pt>
                <c:pt idx="24">
                  <c:v>6</c:v>
                </c:pt>
                <c:pt idx="25">
                  <c:v>13.2</c:v>
                </c:pt>
                <c:pt idx="26">
                  <c:v>11.4</c:v>
                </c:pt>
                <c:pt idx="27">
                  <c:v>8.5</c:v>
                </c:pt>
                <c:pt idx="28">
                  <c:v>10.5</c:v>
                </c:pt>
                <c:pt idx="29">
                  <c:v>3.2</c:v>
                </c:pt>
                <c:pt idx="30">
                  <c:v>5.9</c:v>
                </c:pt>
                <c:pt idx="31">
                  <c:v>12.5</c:v>
                </c:pt>
                <c:pt idx="32">
                  <c:v>11.3</c:v>
                </c:pt>
                <c:pt idx="33">
                  <c:v>9.1999999999999993</c:v>
                </c:pt>
                <c:pt idx="34">
                  <c:v>11.7</c:v>
                </c:pt>
                <c:pt idx="35">
                  <c:v>10.4</c:v>
                </c:pt>
                <c:pt idx="36">
                  <c:v>6.3</c:v>
                </c:pt>
                <c:pt idx="37">
                  <c:v>9.3000000000000007</c:v>
                </c:pt>
                <c:pt idx="38">
                  <c:v>3</c:v>
                </c:pt>
                <c:pt idx="39">
                  <c:v>7.3</c:v>
                </c:pt>
                <c:pt idx="40">
                  <c:v>4.3</c:v>
                </c:pt>
              </c:numCache>
            </c:numRef>
          </c:val>
          <c:smooth val="0"/>
          <c:extLst>
            <c:ext xmlns:c16="http://schemas.microsoft.com/office/drawing/2014/chart" uri="{C3380CC4-5D6E-409C-BE32-E72D297353CC}">
              <c16:uniqueId val="{0000000C-E739-46ED-ADBE-BC23FCF4C7C9}"/>
            </c:ext>
          </c:extLst>
        </c:ser>
        <c:ser>
          <c:idx val="13"/>
          <c:order val="13"/>
          <c:tx>
            <c:strRef>
              <c:f>'Trh práce 1-SNÚ'!$AP$7</c:f>
              <c:strCache>
                <c:ptCount val="1"/>
                <c:pt idx="0">
                  <c:v>Employment expect. (selected services)</c:v>
                </c:pt>
              </c:strCache>
            </c:strRef>
          </c:tx>
          <c:spPr>
            <a:ln w="15875">
              <a:solidFill>
                <a:srgbClr val="C00000"/>
              </a:solidFill>
              <a:prstDash val="sysDot"/>
            </a:ln>
          </c:spPr>
          <c:marker>
            <c:symbol val="none"/>
          </c:marker>
          <c:cat>
            <c:multiLvlStrRef>
              <c:f>'Trh práce 1-SNÚ'!$AA$28:$AB$68</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 1-SNÚ'!$AP$28:$AP$68</c:f>
              <c:numCache>
                <c:formatCode>#\ ##0.0</c:formatCode>
                <c:ptCount val="41"/>
                <c:pt idx="0">
                  <c:v>-16.2</c:v>
                </c:pt>
                <c:pt idx="1">
                  <c:v>-24.6</c:v>
                </c:pt>
                <c:pt idx="2">
                  <c:v>5.2</c:v>
                </c:pt>
                <c:pt idx="3">
                  <c:v>5.2</c:v>
                </c:pt>
                <c:pt idx="4">
                  <c:v>2.8</c:v>
                </c:pt>
                <c:pt idx="5">
                  <c:v>21.8</c:v>
                </c:pt>
                <c:pt idx="6">
                  <c:v>-4.8</c:v>
                </c:pt>
                <c:pt idx="7">
                  <c:v>7.9</c:v>
                </c:pt>
                <c:pt idx="8">
                  <c:v>11.1</c:v>
                </c:pt>
                <c:pt idx="9">
                  <c:v>11</c:v>
                </c:pt>
                <c:pt idx="10">
                  <c:v>19.7</c:v>
                </c:pt>
                <c:pt idx="11">
                  <c:v>3.1</c:v>
                </c:pt>
                <c:pt idx="12">
                  <c:v>15.7</c:v>
                </c:pt>
                <c:pt idx="13">
                  <c:v>10.5</c:v>
                </c:pt>
                <c:pt idx="14">
                  <c:v>9.5</c:v>
                </c:pt>
                <c:pt idx="15">
                  <c:v>-7.6</c:v>
                </c:pt>
                <c:pt idx="16">
                  <c:v>-6.5</c:v>
                </c:pt>
                <c:pt idx="17">
                  <c:v>-1.1000000000000001</c:v>
                </c:pt>
                <c:pt idx="18">
                  <c:v>-4.5999999999999996</c:v>
                </c:pt>
                <c:pt idx="19">
                  <c:v>-15.4</c:v>
                </c:pt>
                <c:pt idx="20">
                  <c:v>-20.5</c:v>
                </c:pt>
                <c:pt idx="21">
                  <c:v>-32.299999999999997</c:v>
                </c:pt>
                <c:pt idx="22">
                  <c:v>-28.6</c:v>
                </c:pt>
                <c:pt idx="23">
                  <c:v>-30.1</c:v>
                </c:pt>
                <c:pt idx="24">
                  <c:v>-27</c:v>
                </c:pt>
                <c:pt idx="25">
                  <c:v>-27.7</c:v>
                </c:pt>
                <c:pt idx="26">
                  <c:v>-12.1</c:v>
                </c:pt>
                <c:pt idx="27">
                  <c:v>-15.8</c:v>
                </c:pt>
                <c:pt idx="28">
                  <c:v>-6.8</c:v>
                </c:pt>
                <c:pt idx="29">
                  <c:v>-3.5</c:v>
                </c:pt>
                <c:pt idx="30">
                  <c:v>-6.1</c:v>
                </c:pt>
                <c:pt idx="31">
                  <c:v>-6.4</c:v>
                </c:pt>
                <c:pt idx="32">
                  <c:v>-10.7</c:v>
                </c:pt>
                <c:pt idx="33">
                  <c:v>-16.7</c:v>
                </c:pt>
                <c:pt idx="34">
                  <c:v>-14.5</c:v>
                </c:pt>
                <c:pt idx="35">
                  <c:v>-15.2</c:v>
                </c:pt>
                <c:pt idx="36">
                  <c:v>-23.7</c:v>
                </c:pt>
                <c:pt idx="37">
                  <c:v>-16</c:v>
                </c:pt>
                <c:pt idx="38">
                  <c:v>-15.7</c:v>
                </c:pt>
                <c:pt idx="39">
                  <c:v>-6.6</c:v>
                </c:pt>
                <c:pt idx="40">
                  <c:v>-14.3</c:v>
                </c:pt>
              </c:numCache>
            </c:numRef>
          </c:val>
          <c:smooth val="0"/>
          <c:extLst>
            <c:ext xmlns:c16="http://schemas.microsoft.com/office/drawing/2014/chart" uri="{C3380CC4-5D6E-409C-BE32-E72D297353CC}">
              <c16:uniqueId val="{0000000D-E739-46ED-ADBE-BC23FCF4C7C9}"/>
            </c:ext>
          </c:extLst>
        </c:ser>
        <c:dLbls>
          <c:showLegendKey val="0"/>
          <c:showVal val="0"/>
          <c:showCatName val="0"/>
          <c:showSerName val="0"/>
          <c:showPercent val="0"/>
          <c:showBubbleSize val="0"/>
        </c:dLbls>
        <c:marker val="1"/>
        <c:smooth val="0"/>
        <c:axId val="332941824"/>
        <c:axId val="332936832"/>
      </c:lineChart>
      <c:catAx>
        <c:axId val="101898496"/>
        <c:scaling>
          <c:orientation val="minMax"/>
        </c:scaling>
        <c:delete val="0"/>
        <c:axPos val="b"/>
        <c:numFmt formatCode="General" sourceLinked="1"/>
        <c:majorTickMark val="out"/>
        <c:minorTickMark val="none"/>
        <c:tickLblPos val="low"/>
        <c:spPr>
          <a:ln>
            <a:solidFill>
              <a:schemeClr val="tx1"/>
            </a:solidFill>
          </a:ln>
        </c:spPr>
        <c:crossAx val="101781504"/>
        <c:crosses val="autoZero"/>
        <c:auto val="1"/>
        <c:lblAlgn val="ctr"/>
        <c:lblOffset val="10"/>
        <c:noMultiLvlLbl val="0"/>
      </c:catAx>
      <c:valAx>
        <c:axId val="101781504"/>
        <c:scaling>
          <c:orientation val="minMax"/>
          <c:max val="2.5"/>
          <c:min val="-4.5"/>
        </c:scaling>
        <c:delete val="0"/>
        <c:axPos val="l"/>
        <c:majorGridlines>
          <c:spPr>
            <a:ln w="6350">
              <a:solidFill>
                <a:schemeClr val="bg1">
                  <a:lumMod val="75000"/>
                </a:schemeClr>
              </a:solidFill>
            </a:ln>
          </c:spPr>
        </c:majorGridlines>
        <c:title>
          <c:tx>
            <c:rich>
              <a:bodyPr/>
              <a:lstStyle/>
              <a:p>
                <a:pPr>
                  <a:defRPr sz="700" b="0" i="1"/>
                </a:pPr>
                <a:r>
                  <a:rPr lang="cs-CZ" sz="700" b="0" i="1"/>
                  <a:t>Contribution to the employment growth</a:t>
                </a:r>
              </a:p>
            </c:rich>
          </c:tx>
          <c:layout/>
          <c:overlay val="0"/>
        </c:title>
        <c:numFmt formatCode="0.0" sourceLinked="0"/>
        <c:majorTickMark val="out"/>
        <c:minorTickMark val="none"/>
        <c:tickLblPos val="nextTo"/>
        <c:spPr>
          <a:ln>
            <a:solidFill>
              <a:schemeClr val="tx1"/>
            </a:solidFill>
          </a:ln>
        </c:spPr>
        <c:crossAx val="101898496"/>
        <c:crosses val="autoZero"/>
        <c:crossBetween val="between"/>
        <c:majorUnit val="0.5"/>
      </c:valAx>
      <c:valAx>
        <c:axId val="332936832"/>
        <c:scaling>
          <c:orientation val="minMax"/>
          <c:max val="100"/>
          <c:min val="-40"/>
        </c:scaling>
        <c:delete val="0"/>
        <c:axPos val="r"/>
        <c:title>
          <c:tx>
            <c:rich>
              <a:bodyPr/>
              <a:lstStyle/>
              <a:p>
                <a:pPr>
                  <a:defRPr sz="700" b="0" i="1"/>
                </a:pPr>
                <a:r>
                  <a:rPr lang="cs-CZ" sz="700" b="0" i="1"/>
                  <a:t>Expectations of the employment</a:t>
                </a:r>
              </a:p>
            </c:rich>
          </c:tx>
          <c:layout/>
          <c:overlay val="0"/>
        </c:title>
        <c:numFmt formatCode="#,##0" sourceLinked="0"/>
        <c:majorTickMark val="out"/>
        <c:minorTickMark val="none"/>
        <c:tickLblPos val="nextTo"/>
        <c:crossAx val="332941824"/>
        <c:crosses val="max"/>
        <c:crossBetween val="between"/>
        <c:majorUnit val="10"/>
      </c:valAx>
      <c:catAx>
        <c:axId val="332941824"/>
        <c:scaling>
          <c:orientation val="minMax"/>
        </c:scaling>
        <c:delete val="1"/>
        <c:axPos val="b"/>
        <c:numFmt formatCode="General" sourceLinked="1"/>
        <c:majorTickMark val="out"/>
        <c:minorTickMark val="none"/>
        <c:tickLblPos val="nextTo"/>
        <c:crossAx val="332936832"/>
        <c:crosses val="autoZero"/>
        <c:auto val="1"/>
        <c:lblAlgn val="ctr"/>
        <c:lblOffset val="100"/>
        <c:noMultiLvlLbl val="0"/>
      </c:catAx>
      <c:spPr>
        <a:ln>
          <a:solidFill>
            <a:schemeClr val="tx1"/>
          </a:solidFill>
        </a:ln>
      </c:spPr>
    </c:plotArea>
    <c:legend>
      <c:legendPos val="b"/>
      <c:layout>
        <c:manualLayout>
          <c:xMode val="edge"/>
          <c:yMode val="edge"/>
          <c:x val="1.5472441370721637E-2"/>
          <c:y val="0.77992823117070742"/>
          <c:w val="0.96005692595618608"/>
          <c:h val="0.21194618315349945"/>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036417007492182E-2"/>
          <c:y val="1.6081916099773243E-2"/>
          <c:w val="0.84656372322027451"/>
          <c:h val="0.76494082349138992"/>
        </c:manualLayout>
      </c:layout>
      <c:barChart>
        <c:barDir val="col"/>
        <c:grouping val="clustered"/>
        <c:varyColors val="0"/>
        <c:ser>
          <c:idx val="0"/>
          <c:order val="0"/>
          <c:tx>
            <c:strRef>
              <c:f>'Trh práce-2b'!$A$32</c:f>
              <c:strCache>
                <c:ptCount val="1"/>
                <c:pt idx="0">
                  <c:v>Male unemployment rate</c:v>
                </c:pt>
              </c:strCache>
            </c:strRef>
          </c:tx>
          <c:spPr>
            <a:solidFill>
              <a:srgbClr val="BCBCBC"/>
            </a:solidFill>
          </c:spPr>
          <c:invertIfNegative val="0"/>
          <c:cat>
            <c:multiLvlStrRef>
              <c:f>'Trh práce-2b'!$B$30:$AP$31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práce-2b'!$B$32:$AP$32</c:f>
              <c:numCache>
                <c:formatCode>0.0</c:formatCode>
                <c:ptCount val="41"/>
                <c:pt idx="0">
                  <c:v>5.0058051640958512</c:v>
                </c:pt>
                <c:pt idx="1">
                  <c:v>4.3524444937807516</c:v>
                </c:pt>
                <c:pt idx="2">
                  <c:v>4.0807151898674574</c:v>
                </c:pt>
                <c:pt idx="3">
                  <c:v>3.7845567377550418</c:v>
                </c:pt>
                <c:pt idx="4">
                  <c:v>3.6309206389179773</c:v>
                </c:pt>
                <c:pt idx="5">
                  <c:v>3.5715167595159865</c:v>
                </c:pt>
                <c:pt idx="6">
                  <c:v>3.3849739455714514</c:v>
                </c:pt>
                <c:pt idx="7">
                  <c:v>3.1694993005821241</c:v>
                </c:pt>
                <c:pt idx="8">
                  <c:v>2.6988706435551912</c:v>
                </c:pt>
                <c:pt idx="9">
                  <c:v>2.4615719861358922</c:v>
                </c:pt>
                <c:pt idx="10">
                  <c:v>2.264323659014273</c:v>
                </c:pt>
                <c:pt idx="11">
                  <c:v>2.0528790539390447</c:v>
                </c:pt>
                <c:pt idx="12">
                  <c:v>1.891926718244531</c:v>
                </c:pt>
                <c:pt idx="13">
                  <c:v>1.8517464771970182</c:v>
                </c:pt>
                <c:pt idx="14">
                  <c:v>1.8812597941053213</c:v>
                </c:pt>
                <c:pt idx="15">
                  <c:v>1.6734969649939924</c:v>
                </c:pt>
                <c:pt idx="16">
                  <c:v>1.7964733039298741</c:v>
                </c:pt>
                <c:pt idx="17">
                  <c:v>1.6817598444088826</c:v>
                </c:pt>
                <c:pt idx="18">
                  <c:v>1.7697285460098422</c:v>
                </c:pt>
                <c:pt idx="19">
                  <c:v>1.8671073609881972</c:v>
                </c:pt>
                <c:pt idx="20">
                  <c:v>1.8419377261115273</c:v>
                </c:pt>
                <c:pt idx="21">
                  <c:v>2.2515285483985372</c:v>
                </c:pt>
                <c:pt idx="22">
                  <c:v>2.5210724110543103</c:v>
                </c:pt>
                <c:pt idx="23">
                  <c:v>2.5497226022391533</c:v>
                </c:pt>
                <c:pt idx="24">
                  <c:v>2.6716954602833582</c:v>
                </c:pt>
                <c:pt idx="25">
                  <c:v>2.5549914989531142</c:v>
                </c:pt>
                <c:pt idx="26">
                  <c:v>2.273705517368287</c:v>
                </c:pt>
                <c:pt idx="27">
                  <c:v>1.9813967726510178</c:v>
                </c:pt>
                <c:pt idx="28">
                  <c:v>1.9652125011822994</c:v>
                </c:pt>
                <c:pt idx="29">
                  <c:v>1.8990081705700053</c:v>
                </c:pt>
                <c:pt idx="30">
                  <c:v>1.9241256937035081</c:v>
                </c:pt>
                <c:pt idx="31">
                  <c:v>2.1039897404255146</c:v>
                </c:pt>
                <c:pt idx="32">
                  <c:v>2.1574118637930568</c:v>
                </c:pt>
                <c:pt idx="33">
                  <c:v>2.2427710400973342</c:v>
                </c:pt>
                <c:pt idx="34">
                  <c:v>2.3151063484266534</c:v>
                </c:pt>
                <c:pt idx="35">
                  <c:v>2.3406054642843581</c:v>
                </c:pt>
                <c:pt idx="36">
                  <c:v>2.3832603352200188</c:v>
                </c:pt>
                <c:pt idx="37">
                  <c:v>2.437940868173516</c:v>
                </c:pt>
                <c:pt idx="38">
                  <c:v>2.3821902878118024</c:v>
                </c:pt>
                <c:pt idx="39">
                  <c:v>2.2218618221886914</c:v>
                </c:pt>
              </c:numCache>
            </c:numRef>
          </c:val>
          <c:extLst>
            <c:ext xmlns:c16="http://schemas.microsoft.com/office/drawing/2014/chart" uri="{C3380CC4-5D6E-409C-BE32-E72D297353CC}">
              <c16:uniqueId val="{00000000-F583-40F7-A520-7C8FD1A0DEB4}"/>
            </c:ext>
          </c:extLst>
        </c:ser>
        <c:ser>
          <c:idx val="1"/>
          <c:order val="1"/>
          <c:tx>
            <c:strRef>
              <c:f>'Trh práce-2b'!$A$33</c:f>
              <c:strCache>
                <c:ptCount val="1"/>
                <c:pt idx="0">
                  <c:v>Female unemployment rate</c:v>
                </c:pt>
              </c:strCache>
            </c:strRef>
          </c:tx>
          <c:spPr>
            <a:solidFill>
              <a:schemeClr val="bg1">
                <a:lumMod val="95000"/>
              </a:schemeClr>
            </a:solidFill>
            <a:ln>
              <a:solidFill>
                <a:schemeClr val="bg1">
                  <a:lumMod val="65000"/>
                </a:schemeClr>
              </a:solidFill>
            </a:ln>
          </c:spPr>
          <c:invertIfNegative val="0"/>
          <c:cat>
            <c:multiLvlStrRef>
              <c:f>'Trh práce-2b'!$B$30:$AP$31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práce-2b'!$B$33:$AP$33</c:f>
              <c:numCache>
                <c:formatCode>0.0</c:formatCode>
                <c:ptCount val="41"/>
                <c:pt idx="0">
                  <c:v>6.9207856651438</c:v>
                </c:pt>
                <c:pt idx="1">
                  <c:v>6.1558591808040193</c:v>
                </c:pt>
                <c:pt idx="2">
                  <c:v>5.9813130938267003</c:v>
                </c:pt>
                <c:pt idx="3">
                  <c:v>5.6625073058713324</c:v>
                </c:pt>
                <c:pt idx="4">
                  <c:v>5.0654757792210923</c:v>
                </c:pt>
                <c:pt idx="5">
                  <c:v>4.8024068700366636</c:v>
                </c:pt>
                <c:pt idx="6">
                  <c:v>4.8139599778297599</c:v>
                </c:pt>
                <c:pt idx="7">
                  <c:v>4.3661039623264601</c:v>
                </c:pt>
                <c:pt idx="8">
                  <c:v>4.2644083530687276</c:v>
                </c:pt>
                <c:pt idx="9">
                  <c:v>3.8930864281784365</c:v>
                </c:pt>
                <c:pt idx="10">
                  <c:v>3.4142177691688596</c:v>
                </c:pt>
                <c:pt idx="11">
                  <c:v>3.0265212200029379</c:v>
                </c:pt>
                <c:pt idx="12">
                  <c:v>2.93560923470057</c:v>
                </c:pt>
                <c:pt idx="13">
                  <c:v>2.8906425825901452</c:v>
                </c:pt>
                <c:pt idx="14">
                  <c:v>2.8627693038037862</c:v>
                </c:pt>
                <c:pt idx="15">
                  <c:v>2.6813344350612236</c:v>
                </c:pt>
                <c:pt idx="16">
                  <c:v>2.2407108468132892</c:v>
                </c:pt>
                <c:pt idx="17">
                  <c:v>2.4706939951473177</c:v>
                </c:pt>
                <c:pt idx="18">
                  <c:v>2.5703902808520014</c:v>
                </c:pt>
                <c:pt idx="19">
                  <c:v>2.4360025139376575</c:v>
                </c:pt>
                <c:pt idx="20">
                  <c:v>2.0392822170403488</c:v>
                </c:pt>
                <c:pt idx="21">
                  <c:v>2.8104501806370918</c:v>
                </c:pt>
                <c:pt idx="22">
                  <c:v>3.3742996821413196</c:v>
                </c:pt>
                <c:pt idx="23">
                  <c:v>3.8980522491060001</c:v>
                </c:pt>
                <c:pt idx="24">
                  <c:v>4.1461427222181015</c:v>
                </c:pt>
                <c:pt idx="25">
                  <c:v>3.9050486236993525</c:v>
                </c:pt>
                <c:pt idx="26">
                  <c:v>3.2655737597165539</c:v>
                </c:pt>
                <c:pt idx="27">
                  <c:v>2.7366851884066157</c:v>
                </c:pt>
                <c:pt idx="28">
                  <c:v>2.9894048219769354</c:v>
                </c:pt>
                <c:pt idx="29">
                  <c:v>3.2092569970214662</c:v>
                </c:pt>
                <c:pt idx="30">
                  <c:v>2.9004106049239446</c:v>
                </c:pt>
                <c:pt idx="31">
                  <c:v>2.7986304810578915</c:v>
                </c:pt>
                <c:pt idx="32">
                  <c:v>3.0206028735083259</c:v>
                </c:pt>
                <c:pt idx="33">
                  <c:v>3.1938796182703673</c:v>
                </c:pt>
                <c:pt idx="34">
                  <c:v>3.2180965554616203</c:v>
                </c:pt>
                <c:pt idx="35">
                  <c:v>3.3001116125059653</c:v>
                </c:pt>
                <c:pt idx="36">
                  <c:v>3.5280274888123544</c:v>
                </c:pt>
                <c:pt idx="37">
                  <c:v>3.2159817769687629</c:v>
                </c:pt>
                <c:pt idx="38">
                  <c:v>3.3040067122227668</c:v>
                </c:pt>
                <c:pt idx="39">
                  <c:v>3.3436373122328811</c:v>
                </c:pt>
              </c:numCache>
            </c:numRef>
          </c:val>
          <c:extLst>
            <c:ext xmlns:c16="http://schemas.microsoft.com/office/drawing/2014/chart" uri="{C3380CC4-5D6E-409C-BE32-E72D297353CC}">
              <c16:uniqueId val="{00000001-F583-40F7-A520-7C8FD1A0DEB4}"/>
            </c:ext>
          </c:extLst>
        </c:ser>
        <c:dLbls>
          <c:showLegendKey val="0"/>
          <c:showVal val="0"/>
          <c:showCatName val="0"/>
          <c:showSerName val="0"/>
          <c:showPercent val="0"/>
          <c:showBubbleSize val="0"/>
        </c:dLbls>
        <c:gapWidth val="68"/>
        <c:axId val="100654464"/>
        <c:axId val="101647488"/>
      </c:barChart>
      <c:lineChart>
        <c:grouping val="standard"/>
        <c:varyColors val="0"/>
        <c:ser>
          <c:idx val="4"/>
          <c:order val="2"/>
          <c:tx>
            <c:strRef>
              <c:f>'Trh práce-2b'!$A$34</c:f>
              <c:strCache>
                <c:ptCount val="1"/>
                <c:pt idx="0">
                  <c:v>Vacancies for lower qualifications</c:v>
                </c:pt>
              </c:strCache>
            </c:strRef>
          </c:tx>
          <c:spPr>
            <a:ln w="19050">
              <a:noFill/>
              <a:prstDash val="sysDash"/>
            </a:ln>
          </c:spPr>
          <c:marker>
            <c:symbol val="circle"/>
            <c:size val="4"/>
            <c:spPr>
              <a:solidFill>
                <a:schemeClr val="tx2">
                  <a:lumMod val="60000"/>
                  <a:lumOff val="40000"/>
                </a:schemeClr>
              </a:solidFill>
              <a:ln>
                <a:noFill/>
              </a:ln>
            </c:spPr>
          </c:marker>
          <c:cat>
            <c:multiLvlStrRef>
              <c:f>'Trh práce-2b'!$B$30:$AP$31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práce-2b'!$B$34:$AP$34</c:f>
              <c:numCache>
                <c:formatCode>0.0</c:formatCode>
                <c:ptCount val="41"/>
                <c:pt idx="0">
                  <c:v>31.7</c:v>
                </c:pt>
                <c:pt idx="1">
                  <c:v>39.700000000000003</c:v>
                </c:pt>
                <c:pt idx="2">
                  <c:v>44.4</c:v>
                </c:pt>
                <c:pt idx="3">
                  <c:v>41.2</c:v>
                </c:pt>
                <c:pt idx="4">
                  <c:v>45.3</c:v>
                </c:pt>
                <c:pt idx="5">
                  <c:v>51.4</c:v>
                </c:pt>
                <c:pt idx="6">
                  <c:v>52.8</c:v>
                </c:pt>
                <c:pt idx="7">
                  <c:v>47.2</c:v>
                </c:pt>
                <c:pt idx="8">
                  <c:v>51.5</c:v>
                </c:pt>
                <c:pt idx="9">
                  <c:v>59.1</c:v>
                </c:pt>
                <c:pt idx="10">
                  <c:v>63.1</c:v>
                </c:pt>
                <c:pt idx="11">
                  <c:v>60.9</c:v>
                </c:pt>
                <c:pt idx="12">
                  <c:v>65.3</c:v>
                </c:pt>
                <c:pt idx="13">
                  <c:v>73.3</c:v>
                </c:pt>
                <c:pt idx="14">
                  <c:v>74.2</c:v>
                </c:pt>
                <c:pt idx="15">
                  <c:v>70.400000000000006</c:v>
                </c:pt>
                <c:pt idx="16">
                  <c:v>70.2</c:v>
                </c:pt>
                <c:pt idx="17">
                  <c:v>68</c:v>
                </c:pt>
                <c:pt idx="18">
                  <c:v>65.8</c:v>
                </c:pt>
                <c:pt idx="19">
                  <c:v>59.1</c:v>
                </c:pt>
                <c:pt idx="20">
                  <c:v>57.7</c:v>
                </c:pt>
                <c:pt idx="21">
                  <c:v>54.3</c:v>
                </c:pt>
                <c:pt idx="22">
                  <c:v>49.1</c:v>
                </c:pt>
                <c:pt idx="23">
                  <c:v>46.6</c:v>
                </c:pt>
                <c:pt idx="24">
                  <c:v>47.9</c:v>
                </c:pt>
                <c:pt idx="25">
                  <c:v>53.9</c:v>
                </c:pt>
                <c:pt idx="26">
                  <c:v>55.5</c:v>
                </c:pt>
                <c:pt idx="27">
                  <c:v>48.9</c:v>
                </c:pt>
                <c:pt idx="28">
                  <c:v>53.7</c:v>
                </c:pt>
                <c:pt idx="29">
                  <c:v>51.3</c:v>
                </c:pt>
                <c:pt idx="30">
                  <c:v>48.2</c:v>
                </c:pt>
                <c:pt idx="31">
                  <c:v>43.887</c:v>
                </c:pt>
                <c:pt idx="32">
                  <c:v>43.122</c:v>
                </c:pt>
                <c:pt idx="33">
                  <c:v>42.853999999999999</c:v>
                </c:pt>
                <c:pt idx="34">
                  <c:v>41.186</c:v>
                </c:pt>
                <c:pt idx="35">
                  <c:v>38.177999999999997</c:v>
                </c:pt>
                <c:pt idx="36">
                  <c:v>37.228000000000002</c:v>
                </c:pt>
                <c:pt idx="37">
                  <c:v>36.956000000000003</c:v>
                </c:pt>
                <c:pt idx="38">
                  <c:v>37.122999999999998</c:v>
                </c:pt>
                <c:pt idx="39">
                  <c:v>34.851999999999997</c:v>
                </c:pt>
              </c:numCache>
            </c:numRef>
          </c:val>
          <c:smooth val="0"/>
          <c:extLst>
            <c:ext xmlns:c16="http://schemas.microsoft.com/office/drawing/2014/chart" uri="{C3380CC4-5D6E-409C-BE32-E72D297353CC}">
              <c16:uniqueId val="{00000002-F583-40F7-A520-7C8FD1A0DEB4}"/>
            </c:ext>
          </c:extLst>
        </c:ser>
        <c:ser>
          <c:idx val="5"/>
          <c:order val="3"/>
          <c:tx>
            <c:strRef>
              <c:f>'Trh práce-2b'!$A$35</c:f>
              <c:strCache>
                <c:ptCount val="1"/>
                <c:pt idx="0">
                  <c:v>Vacancies for higher qualifications</c:v>
                </c:pt>
              </c:strCache>
            </c:strRef>
          </c:tx>
          <c:spPr>
            <a:ln w="19050">
              <a:noFill/>
              <a:prstDash val="dash"/>
            </a:ln>
          </c:spPr>
          <c:marker>
            <c:symbol val="triangle"/>
            <c:size val="5"/>
            <c:spPr>
              <a:solidFill>
                <a:srgbClr val="00B050"/>
              </a:solidFill>
              <a:ln>
                <a:noFill/>
              </a:ln>
            </c:spPr>
          </c:marker>
          <c:cat>
            <c:multiLvlStrRef>
              <c:f>'Trh práce-2b'!$B$30:$AP$31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práce-2b'!$B$35:$AP$35</c:f>
              <c:numCache>
                <c:formatCode>0.0</c:formatCode>
                <c:ptCount val="41"/>
                <c:pt idx="0">
                  <c:v>16.600000000000001</c:v>
                </c:pt>
                <c:pt idx="1">
                  <c:v>19.3</c:v>
                </c:pt>
                <c:pt idx="2">
                  <c:v>20</c:v>
                </c:pt>
                <c:pt idx="3">
                  <c:v>19.600000000000001</c:v>
                </c:pt>
                <c:pt idx="4">
                  <c:v>23.4</c:v>
                </c:pt>
                <c:pt idx="5">
                  <c:v>24.8</c:v>
                </c:pt>
                <c:pt idx="6">
                  <c:v>25.2</c:v>
                </c:pt>
                <c:pt idx="7">
                  <c:v>23.5</c:v>
                </c:pt>
                <c:pt idx="8">
                  <c:v>25.9</c:v>
                </c:pt>
                <c:pt idx="9">
                  <c:v>30.3</c:v>
                </c:pt>
                <c:pt idx="10">
                  <c:v>31.4</c:v>
                </c:pt>
                <c:pt idx="11">
                  <c:v>31.8</c:v>
                </c:pt>
                <c:pt idx="12">
                  <c:v>34.299999999999997</c:v>
                </c:pt>
                <c:pt idx="13">
                  <c:v>38</c:v>
                </c:pt>
                <c:pt idx="14">
                  <c:v>37.200000000000003</c:v>
                </c:pt>
                <c:pt idx="15">
                  <c:v>36.6</c:v>
                </c:pt>
                <c:pt idx="16">
                  <c:v>37.299999999999997</c:v>
                </c:pt>
                <c:pt idx="17">
                  <c:v>38.299999999999997</c:v>
                </c:pt>
                <c:pt idx="18">
                  <c:v>38.6</c:v>
                </c:pt>
                <c:pt idx="19">
                  <c:v>36.299999999999997</c:v>
                </c:pt>
                <c:pt idx="20">
                  <c:v>37.700000000000003</c:v>
                </c:pt>
                <c:pt idx="21">
                  <c:v>38.1</c:v>
                </c:pt>
                <c:pt idx="22">
                  <c:v>34.4</c:v>
                </c:pt>
                <c:pt idx="23">
                  <c:v>34.1</c:v>
                </c:pt>
                <c:pt idx="24">
                  <c:v>36.299999999999997</c:v>
                </c:pt>
                <c:pt idx="25">
                  <c:v>39.6</c:v>
                </c:pt>
                <c:pt idx="26">
                  <c:v>40.299999999999997</c:v>
                </c:pt>
                <c:pt idx="27">
                  <c:v>39.200000000000003</c:v>
                </c:pt>
                <c:pt idx="28">
                  <c:v>42.5</c:v>
                </c:pt>
                <c:pt idx="29">
                  <c:v>41</c:v>
                </c:pt>
                <c:pt idx="30">
                  <c:v>38.5</c:v>
                </c:pt>
                <c:pt idx="31">
                  <c:v>36.56</c:v>
                </c:pt>
                <c:pt idx="32">
                  <c:v>37.613</c:v>
                </c:pt>
                <c:pt idx="33">
                  <c:v>38.130000000000003</c:v>
                </c:pt>
                <c:pt idx="34">
                  <c:v>36.289000000000001</c:v>
                </c:pt>
                <c:pt idx="35">
                  <c:v>34.274000000000001</c:v>
                </c:pt>
                <c:pt idx="36">
                  <c:v>35.200000000000003</c:v>
                </c:pt>
                <c:pt idx="37">
                  <c:v>33.491999999999997</c:v>
                </c:pt>
                <c:pt idx="38">
                  <c:v>32.277000000000001</c:v>
                </c:pt>
                <c:pt idx="39">
                  <c:v>29.664999999999999</c:v>
                </c:pt>
              </c:numCache>
            </c:numRef>
          </c:val>
          <c:smooth val="0"/>
          <c:extLst>
            <c:ext xmlns:c16="http://schemas.microsoft.com/office/drawing/2014/chart" uri="{C3380CC4-5D6E-409C-BE32-E72D297353CC}">
              <c16:uniqueId val="{00000003-F583-40F7-A520-7C8FD1A0DEB4}"/>
            </c:ext>
          </c:extLst>
        </c:ser>
        <c:ser>
          <c:idx val="6"/>
          <c:order val="4"/>
          <c:tx>
            <c:strRef>
              <c:f>'Trh práce-2b'!$A$36</c:f>
              <c:strCache>
                <c:ptCount val="1"/>
                <c:pt idx="0">
                  <c:v>Working foreigners (Ukrainians</c:v>
                </c:pt>
              </c:strCache>
            </c:strRef>
          </c:tx>
          <c:spPr>
            <a:ln w="15875">
              <a:solidFill>
                <a:srgbClr val="FFC000"/>
              </a:solidFill>
              <a:prstDash val="sysDash"/>
            </a:ln>
          </c:spPr>
          <c:marker>
            <c:symbol val="none"/>
          </c:marker>
          <c:cat>
            <c:multiLvlStrRef>
              <c:f>'Trh práce-2b'!$B$30:$AP$31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práce-2b'!$B$36:$AP$36</c:f>
              <c:numCache>
                <c:formatCode>#,##0</c:formatCode>
                <c:ptCount val="41"/>
                <c:pt idx="0">
                  <c:v>35.723999999999997</c:v>
                </c:pt>
                <c:pt idx="1">
                  <c:v>38.613999999999997</c:v>
                </c:pt>
                <c:pt idx="2">
                  <c:v>40.725999999999999</c:v>
                </c:pt>
                <c:pt idx="3">
                  <c:v>41.776000000000003</c:v>
                </c:pt>
                <c:pt idx="4">
                  <c:v>43.104999999999997</c:v>
                </c:pt>
                <c:pt idx="5">
                  <c:v>49.847000000000001</c:v>
                </c:pt>
                <c:pt idx="6">
                  <c:v>54.764000000000003</c:v>
                </c:pt>
                <c:pt idx="7">
                  <c:v>54.540999999999997</c:v>
                </c:pt>
                <c:pt idx="8">
                  <c:v>59.363</c:v>
                </c:pt>
                <c:pt idx="9">
                  <c:v>69.864000000000004</c:v>
                </c:pt>
                <c:pt idx="10">
                  <c:v>76.724000000000004</c:v>
                </c:pt>
                <c:pt idx="11">
                  <c:v>81.688999999999993</c:v>
                </c:pt>
                <c:pt idx="12">
                  <c:v>97.317999999999998</c:v>
                </c:pt>
                <c:pt idx="13">
                  <c:v>115.39100000000001</c:v>
                </c:pt>
                <c:pt idx="14">
                  <c:v>134.202</c:v>
                </c:pt>
                <c:pt idx="15">
                  <c:v>121.08499999999999</c:v>
                </c:pt>
                <c:pt idx="16">
                  <c:v>146.08500000000001</c:v>
                </c:pt>
                <c:pt idx="17">
                  <c:v>152.69800000000001</c:v>
                </c:pt>
                <c:pt idx="18">
                  <c:v>164.92400000000001</c:v>
                </c:pt>
                <c:pt idx="19">
                  <c:v>144.114</c:v>
                </c:pt>
                <c:pt idx="20">
                  <c:v>169.14699999999999</c:v>
                </c:pt>
                <c:pt idx="21">
                  <c:v>133.08600000000001</c:v>
                </c:pt>
                <c:pt idx="22">
                  <c:v>173.584</c:v>
                </c:pt>
                <c:pt idx="23">
                  <c:v>159.46799999999999</c:v>
                </c:pt>
                <c:pt idx="24">
                  <c:v>186.35599999999999</c:v>
                </c:pt>
                <c:pt idx="25">
                  <c:v>191.58500000000001</c:v>
                </c:pt>
                <c:pt idx="26">
                  <c:v>214.10599999999999</c:v>
                </c:pt>
                <c:pt idx="27">
                  <c:v>195.11600000000001</c:v>
                </c:pt>
                <c:pt idx="28">
                  <c:v>238.024</c:v>
                </c:pt>
                <c:pt idx="29">
                  <c:v>248.58799999999999</c:v>
                </c:pt>
                <c:pt idx="30">
                  <c:v>262.17899999999997</c:v>
                </c:pt>
                <c:pt idx="31">
                  <c:v>269.911</c:v>
                </c:pt>
                <c:pt idx="32">
                  <c:v>261.31299999999999</c:v>
                </c:pt>
                <c:pt idx="33">
                  <c:v>269.04500000000002</c:v>
                </c:pt>
                <c:pt idx="34">
                  <c:v>282.22300000000001</c:v>
                </c:pt>
                <c:pt idx="35">
                  <c:v>285.54500000000002</c:v>
                </c:pt>
                <c:pt idx="36">
                  <c:v>283.649</c:v>
                </c:pt>
                <c:pt idx="37">
                  <c:v>286.25599999999997</c:v>
                </c:pt>
                <c:pt idx="38">
                  <c:v>291.79199999999997</c:v>
                </c:pt>
                <c:pt idx="39">
                  <c:v>304.68200000000002</c:v>
                </c:pt>
              </c:numCache>
            </c:numRef>
          </c:val>
          <c:smooth val="0"/>
          <c:extLst>
            <c:ext xmlns:c16="http://schemas.microsoft.com/office/drawing/2014/chart" uri="{C3380CC4-5D6E-409C-BE32-E72D297353CC}">
              <c16:uniqueId val="{00000004-F583-40F7-A520-7C8FD1A0DEB4}"/>
            </c:ext>
          </c:extLst>
        </c:ser>
        <c:ser>
          <c:idx val="7"/>
          <c:order val="5"/>
          <c:tx>
            <c:strRef>
              <c:f>'Trh práce-2b'!$A$37</c:f>
              <c:strCache>
                <c:ptCount val="1"/>
                <c:pt idx="0">
                  <c:v>Working foreigners (Slovakians) </c:v>
                </c:pt>
              </c:strCache>
            </c:strRef>
          </c:tx>
          <c:spPr>
            <a:ln w="19050">
              <a:solidFill>
                <a:schemeClr val="accent2">
                  <a:lumMod val="60000"/>
                  <a:lumOff val="40000"/>
                </a:schemeClr>
              </a:solidFill>
              <a:prstDash val="sysDash"/>
            </a:ln>
          </c:spPr>
          <c:marker>
            <c:symbol val="none"/>
          </c:marker>
          <c:cat>
            <c:multiLvlStrRef>
              <c:f>'Trh práce-2b'!$B$30:$AP$31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práce-2b'!$B$37:$AP$37</c:f>
              <c:numCache>
                <c:formatCode>#,##0</c:formatCode>
                <c:ptCount val="41"/>
                <c:pt idx="0">
                  <c:v>132.65199999999999</c:v>
                </c:pt>
                <c:pt idx="1">
                  <c:v>141.858</c:v>
                </c:pt>
                <c:pt idx="2">
                  <c:v>148.23099999999999</c:v>
                </c:pt>
                <c:pt idx="3">
                  <c:v>150.31700000000001</c:v>
                </c:pt>
                <c:pt idx="4">
                  <c:v>148.67500000000001</c:v>
                </c:pt>
                <c:pt idx="5">
                  <c:v>153.64599999999999</c:v>
                </c:pt>
                <c:pt idx="6">
                  <c:v>159.30099999999999</c:v>
                </c:pt>
                <c:pt idx="7">
                  <c:v>161.559</c:v>
                </c:pt>
                <c:pt idx="8">
                  <c:v>159.88200000000001</c:v>
                </c:pt>
                <c:pt idx="9">
                  <c:v>165.69800000000001</c:v>
                </c:pt>
                <c:pt idx="10">
                  <c:v>170.643</c:v>
                </c:pt>
                <c:pt idx="11">
                  <c:v>177.059</c:v>
                </c:pt>
                <c:pt idx="12">
                  <c:v>180.01900000000001</c:v>
                </c:pt>
                <c:pt idx="13">
                  <c:v>187.33799999999999</c:v>
                </c:pt>
                <c:pt idx="14">
                  <c:v>192.66499999999999</c:v>
                </c:pt>
                <c:pt idx="15">
                  <c:v>191.81800000000001</c:v>
                </c:pt>
                <c:pt idx="16">
                  <c:v>187.18299999999999</c:v>
                </c:pt>
                <c:pt idx="17">
                  <c:v>191.41800000000001</c:v>
                </c:pt>
                <c:pt idx="18">
                  <c:v>199.02799999999999</c:v>
                </c:pt>
                <c:pt idx="19">
                  <c:v>201.952</c:v>
                </c:pt>
                <c:pt idx="20">
                  <c:v>198.05799999999999</c:v>
                </c:pt>
                <c:pt idx="21">
                  <c:v>199.249</c:v>
                </c:pt>
                <c:pt idx="22">
                  <c:v>202.91</c:v>
                </c:pt>
                <c:pt idx="23">
                  <c:v>204.29400000000001</c:v>
                </c:pt>
                <c:pt idx="24">
                  <c:v>201.91800000000001</c:v>
                </c:pt>
                <c:pt idx="25">
                  <c:v>204.476</c:v>
                </c:pt>
                <c:pt idx="26">
                  <c:v>208.249</c:v>
                </c:pt>
                <c:pt idx="27">
                  <c:v>209.273</c:v>
                </c:pt>
                <c:pt idx="28">
                  <c:v>207.86</c:v>
                </c:pt>
                <c:pt idx="29">
                  <c:v>211.31700000000001</c:v>
                </c:pt>
                <c:pt idx="30">
                  <c:v>212.55099999999999</c:v>
                </c:pt>
                <c:pt idx="31">
                  <c:v>213.447</c:v>
                </c:pt>
                <c:pt idx="32">
                  <c:v>209.79599999999999</c:v>
                </c:pt>
                <c:pt idx="33">
                  <c:v>212.12299999999999</c:v>
                </c:pt>
                <c:pt idx="34">
                  <c:v>215.20599999999999</c:v>
                </c:pt>
                <c:pt idx="35">
                  <c:v>216.239</c:v>
                </c:pt>
                <c:pt idx="36">
                  <c:v>213.9</c:v>
                </c:pt>
                <c:pt idx="37">
                  <c:v>216.68</c:v>
                </c:pt>
                <c:pt idx="38">
                  <c:v>212.44300000000001</c:v>
                </c:pt>
                <c:pt idx="39">
                  <c:v>215.61099999999999</c:v>
                </c:pt>
              </c:numCache>
            </c:numRef>
          </c:val>
          <c:smooth val="0"/>
          <c:extLst>
            <c:ext xmlns:c16="http://schemas.microsoft.com/office/drawing/2014/chart" uri="{C3380CC4-5D6E-409C-BE32-E72D297353CC}">
              <c16:uniqueId val="{00000005-F583-40F7-A520-7C8FD1A0DEB4}"/>
            </c:ext>
          </c:extLst>
        </c:ser>
        <c:ser>
          <c:idx val="2"/>
          <c:order val="6"/>
          <c:tx>
            <c:strRef>
              <c:f>'Trh práce-2b'!$A$38</c:f>
              <c:strCache>
                <c:ptCount val="1"/>
                <c:pt idx="0">
                  <c:v>Working foreigners (other citizens)</c:v>
                </c:pt>
              </c:strCache>
            </c:strRef>
          </c:tx>
          <c:spPr>
            <a:ln w="19050">
              <a:solidFill>
                <a:srgbClr val="D4A97E"/>
              </a:solidFill>
              <a:prstDash val="sysDash"/>
            </a:ln>
          </c:spPr>
          <c:marker>
            <c:symbol val="none"/>
          </c:marker>
          <c:cat>
            <c:multiLvlStrRef>
              <c:f>'Trh práce-2b'!$B$30:$AP$31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práce-2b'!$B$38:$AP$38</c:f>
              <c:numCache>
                <c:formatCode>#,##0</c:formatCode>
                <c:ptCount val="41"/>
                <c:pt idx="0">
                  <c:v>100.735</c:v>
                </c:pt>
                <c:pt idx="1">
                  <c:v>113.586</c:v>
                </c:pt>
                <c:pt idx="2">
                  <c:v>124.599</c:v>
                </c:pt>
                <c:pt idx="3">
                  <c:v>129.863</c:v>
                </c:pt>
                <c:pt idx="4">
                  <c:v>134.048</c:v>
                </c:pt>
                <c:pt idx="5">
                  <c:v>145.23599999999999</c:v>
                </c:pt>
                <c:pt idx="6">
                  <c:v>159.786</c:v>
                </c:pt>
                <c:pt idx="7">
                  <c:v>165.274</c:v>
                </c:pt>
                <c:pt idx="8">
                  <c:v>173.614</c:v>
                </c:pt>
                <c:pt idx="9">
                  <c:v>187.52799999999999</c:v>
                </c:pt>
                <c:pt idx="10">
                  <c:v>199.11799999999999</c:v>
                </c:pt>
                <c:pt idx="11">
                  <c:v>213.59899999999999</c:v>
                </c:pt>
                <c:pt idx="12">
                  <c:v>228.61600000000001</c:v>
                </c:pt>
                <c:pt idx="13">
                  <c:v>244.029</c:v>
                </c:pt>
                <c:pt idx="14">
                  <c:v>258.82100000000003</c:v>
                </c:pt>
                <c:pt idx="15">
                  <c:v>255.77199999999999</c:v>
                </c:pt>
                <c:pt idx="16">
                  <c:v>255.12200000000001</c:v>
                </c:pt>
                <c:pt idx="17">
                  <c:v>262.36599999999999</c:v>
                </c:pt>
                <c:pt idx="18">
                  <c:v>277.37400000000002</c:v>
                </c:pt>
                <c:pt idx="19">
                  <c:v>275.80399999999997</c:v>
                </c:pt>
                <c:pt idx="20">
                  <c:v>277.709</c:v>
                </c:pt>
                <c:pt idx="21">
                  <c:v>270.178</c:v>
                </c:pt>
                <c:pt idx="22">
                  <c:v>278.71699999999998</c:v>
                </c:pt>
                <c:pt idx="23">
                  <c:v>280.40199999999999</c:v>
                </c:pt>
                <c:pt idx="24">
                  <c:v>281.459</c:v>
                </c:pt>
                <c:pt idx="25">
                  <c:v>285.55</c:v>
                </c:pt>
                <c:pt idx="26">
                  <c:v>297.53500000000003</c:v>
                </c:pt>
                <c:pt idx="27">
                  <c:v>297.44099999999997</c:v>
                </c:pt>
                <c:pt idx="28">
                  <c:v>300.39299999999997</c:v>
                </c:pt>
                <c:pt idx="29">
                  <c:v>307.61</c:v>
                </c:pt>
                <c:pt idx="30">
                  <c:v>310.33499999999998</c:v>
                </c:pt>
                <c:pt idx="31">
                  <c:v>309.93200000000002</c:v>
                </c:pt>
                <c:pt idx="32">
                  <c:v>308.2</c:v>
                </c:pt>
                <c:pt idx="33">
                  <c:v>314.923</c:v>
                </c:pt>
                <c:pt idx="34">
                  <c:v>320.48399999999998</c:v>
                </c:pt>
                <c:pt idx="35">
                  <c:v>322.161</c:v>
                </c:pt>
                <c:pt idx="36">
                  <c:v>320.39100000000002</c:v>
                </c:pt>
                <c:pt idx="37">
                  <c:v>324.68299999999999</c:v>
                </c:pt>
                <c:pt idx="38">
                  <c:v>319.55900000000003</c:v>
                </c:pt>
                <c:pt idx="39">
                  <c:v>325.17500000000001</c:v>
                </c:pt>
              </c:numCache>
            </c:numRef>
          </c:val>
          <c:smooth val="0"/>
          <c:extLst>
            <c:ext xmlns:c16="http://schemas.microsoft.com/office/drawing/2014/chart" uri="{C3380CC4-5D6E-409C-BE32-E72D297353CC}">
              <c16:uniqueId val="{00000006-F583-40F7-A520-7C8FD1A0DEB4}"/>
            </c:ext>
          </c:extLst>
        </c:ser>
        <c:ser>
          <c:idx val="3"/>
          <c:order val="7"/>
          <c:tx>
            <c:strRef>
              <c:f>'Trh práce-2b'!$A$39</c:f>
              <c:strCache>
                <c:ptCount val="1"/>
                <c:pt idx="0">
                  <c:v>Unemployment expectations</c:v>
                </c:pt>
              </c:strCache>
            </c:strRef>
          </c:tx>
          <c:spPr>
            <a:ln w="15875">
              <a:solidFill>
                <a:schemeClr val="bg2">
                  <a:lumMod val="50000"/>
                </a:schemeClr>
              </a:solidFill>
              <a:prstDash val="solid"/>
            </a:ln>
          </c:spPr>
          <c:marker>
            <c:symbol val="none"/>
          </c:marker>
          <c:cat>
            <c:multiLvlStrRef>
              <c:f>'Trh práce-2b'!$B$30:$AP$31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'Trh práce-2b'!$B$39:$AP$39</c:f>
              <c:numCache>
                <c:formatCode>0.0</c:formatCode>
                <c:ptCount val="41"/>
                <c:pt idx="0">
                  <c:v>6</c:v>
                </c:pt>
                <c:pt idx="1">
                  <c:v>9</c:v>
                </c:pt>
                <c:pt idx="2">
                  <c:v>10</c:v>
                </c:pt>
                <c:pt idx="3">
                  <c:v>4</c:v>
                </c:pt>
                <c:pt idx="4">
                  <c:v>2</c:v>
                </c:pt>
                <c:pt idx="5">
                  <c:v>10</c:v>
                </c:pt>
                <c:pt idx="6">
                  <c:v>5</c:v>
                </c:pt>
                <c:pt idx="7">
                  <c:v>4</c:v>
                </c:pt>
                <c:pt idx="8">
                  <c:v>1</c:v>
                </c:pt>
                <c:pt idx="9">
                  <c:v>-3</c:v>
                </c:pt>
                <c:pt idx="10">
                  <c:v>0</c:v>
                </c:pt>
                <c:pt idx="11">
                  <c:v>-1</c:v>
                </c:pt>
                <c:pt idx="12">
                  <c:v>-1</c:v>
                </c:pt>
                <c:pt idx="13">
                  <c:v>-2</c:v>
                </c:pt>
                <c:pt idx="14">
                  <c:v>-2</c:v>
                </c:pt>
                <c:pt idx="15">
                  <c:v>4</c:v>
                </c:pt>
                <c:pt idx="16">
                  <c:v>8</c:v>
                </c:pt>
                <c:pt idx="17">
                  <c:v>8</c:v>
                </c:pt>
                <c:pt idx="18">
                  <c:v>11</c:v>
                </c:pt>
                <c:pt idx="19">
                  <c:v>12</c:v>
                </c:pt>
                <c:pt idx="20">
                  <c:v>18</c:v>
                </c:pt>
                <c:pt idx="21">
                  <c:v>49</c:v>
                </c:pt>
                <c:pt idx="22">
                  <c:v>46</c:v>
                </c:pt>
                <c:pt idx="23">
                  <c:v>60</c:v>
                </c:pt>
                <c:pt idx="24">
                  <c:v>57</c:v>
                </c:pt>
                <c:pt idx="25">
                  <c:v>24</c:v>
                </c:pt>
                <c:pt idx="26">
                  <c:v>16</c:v>
                </c:pt>
                <c:pt idx="27">
                  <c:v>20</c:v>
                </c:pt>
                <c:pt idx="28">
                  <c:v>14</c:v>
                </c:pt>
                <c:pt idx="29">
                  <c:v>20</c:v>
                </c:pt>
                <c:pt idx="30">
                  <c:v>26</c:v>
                </c:pt>
                <c:pt idx="31">
                  <c:v>40</c:v>
                </c:pt>
                <c:pt idx="32">
                  <c:v>35</c:v>
                </c:pt>
                <c:pt idx="33">
                  <c:v>29</c:v>
                </c:pt>
                <c:pt idx="34">
                  <c:v>25</c:v>
                </c:pt>
                <c:pt idx="35">
                  <c:v>17</c:v>
                </c:pt>
                <c:pt idx="36">
                  <c:v>25</c:v>
                </c:pt>
                <c:pt idx="37">
                  <c:v>22</c:v>
                </c:pt>
                <c:pt idx="38">
                  <c:v>24</c:v>
                </c:pt>
                <c:pt idx="39">
                  <c:v>19</c:v>
                </c:pt>
                <c:pt idx="40">
                  <c:v>30</c:v>
                </c:pt>
              </c:numCache>
            </c:numRef>
          </c:val>
          <c:smooth val="0"/>
          <c:extLst>
            <c:ext xmlns:c16="http://schemas.microsoft.com/office/drawing/2014/chart" uri="{C3380CC4-5D6E-409C-BE32-E72D297353CC}">
              <c16:uniqueId val="{00000007-F583-40F7-A520-7C8FD1A0DEB4}"/>
            </c:ext>
          </c:extLst>
        </c:ser>
        <c:dLbls>
          <c:showLegendKey val="0"/>
          <c:showVal val="0"/>
          <c:showCatName val="0"/>
          <c:showSerName val="0"/>
          <c:showPercent val="0"/>
          <c:showBubbleSize val="0"/>
        </c:dLbls>
        <c:marker val="1"/>
        <c:smooth val="0"/>
        <c:axId val="331670576"/>
        <c:axId val="323971328"/>
      </c:lineChart>
      <c:catAx>
        <c:axId val="100654464"/>
        <c:scaling>
          <c:orientation val="minMax"/>
        </c:scaling>
        <c:delete val="0"/>
        <c:axPos val="b"/>
        <c:numFmt formatCode="General" sourceLinked="0"/>
        <c:majorTickMark val="out"/>
        <c:minorTickMark val="none"/>
        <c:tickLblPos val="low"/>
        <c:spPr>
          <a:ln>
            <a:solidFill>
              <a:schemeClr val="tx1"/>
            </a:solidFill>
          </a:ln>
        </c:spPr>
        <c:crossAx val="101647488"/>
        <c:crossesAt val="-50"/>
        <c:auto val="1"/>
        <c:lblAlgn val="ctr"/>
        <c:lblOffset val="0"/>
        <c:noMultiLvlLbl val="0"/>
      </c:catAx>
      <c:valAx>
        <c:axId val="101647488"/>
        <c:scaling>
          <c:orientation val="minMax"/>
          <c:max val="7.5"/>
          <c:min val="0"/>
        </c:scaling>
        <c:delete val="0"/>
        <c:axPos val="l"/>
        <c:majorGridlines>
          <c:spPr>
            <a:ln w="6350">
              <a:solidFill>
                <a:schemeClr val="bg1">
                  <a:lumMod val="75000"/>
                </a:schemeClr>
              </a:solidFill>
            </a:ln>
          </c:spPr>
        </c:majorGridlines>
        <c:title>
          <c:tx>
            <c:rich>
              <a:bodyPr/>
              <a:lstStyle/>
              <a:p>
                <a:pPr>
                  <a:defRPr sz="700" b="0" i="1"/>
                </a:pPr>
                <a:r>
                  <a:rPr lang="cs-CZ" sz="700" b="0" i="1"/>
                  <a:t>Unemployment rate</a:t>
                </a:r>
              </a:p>
            </c:rich>
          </c:tx>
          <c:layout/>
          <c:overlay val="0"/>
        </c:title>
        <c:numFmt formatCode="0.0" sourceLinked="0"/>
        <c:majorTickMark val="out"/>
        <c:minorTickMark val="none"/>
        <c:tickLblPos val="nextTo"/>
        <c:spPr>
          <a:ln>
            <a:solidFill>
              <a:schemeClr val="tx1"/>
            </a:solidFill>
          </a:ln>
        </c:spPr>
        <c:crossAx val="100654464"/>
        <c:crosses val="autoZero"/>
        <c:crossBetween val="between"/>
        <c:majorUnit val="0.5"/>
      </c:valAx>
      <c:valAx>
        <c:axId val="323971328"/>
        <c:scaling>
          <c:orientation val="minMax"/>
          <c:max val="350"/>
          <c:min val="-25"/>
        </c:scaling>
        <c:delete val="0"/>
        <c:axPos val="r"/>
        <c:title>
          <c:tx>
            <c:rich>
              <a:bodyPr/>
              <a:lstStyle/>
              <a:p>
                <a:pPr>
                  <a:defRPr sz="700" b="0" i="1"/>
                </a:pPr>
                <a:r>
                  <a:rPr lang="cs-CZ" sz="700" b="0" i="1"/>
                  <a:t>Job vacancies, employed foreigners</a:t>
                </a:r>
              </a:p>
            </c:rich>
          </c:tx>
          <c:layout/>
          <c:overlay val="0"/>
        </c:title>
        <c:numFmt formatCode="#,##0" sourceLinked="0"/>
        <c:majorTickMark val="out"/>
        <c:minorTickMark val="none"/>
        <c:tickLblPos val="nextTo"/>
        <c:crossAx val="331670576"/>
        <c:crosses val="max"/>
        <c:crossBetween val="between"/>
        <c:majorUnit val="25"/>
      </c:valAx>
      <c:catAx>
        <c:axId val="331670576"/>
        <c:scaling>
          <c:orientation val="minMax"/>
        </c:scaling>
        <c:delete val="1"/>
        <c:axPos val="b"/>
        <c:numFmt formatCode="General" sourceLinked="1"/>
        <c:majorTickMark val="out"/>
        <c:minorTickMark val="none"/>
        <c:tickLblPos val="nextTo"/>
        <c:crossAx val="323971328"/>
        <c:crosses val="autoZero"/>
        <c:auto val="1"/>
        <c:lblAlgn val="ctr"/>
        <c:lblOffset val="100"/>
        <c:noMultiLvlLbl val="0"/>
      </c:catAx>
      <c:spPr>
        <a:ln>
          <a:solidFill>
            <a:schemeClr val="tx1"/>
          </a:solidFill>
        </a:ln>
      </c:spPr>
    </c:plotArea>
    <c:legend>
      <c:legendPos val="b"/>
      <c:layout>
        <c:manualLayout>
          <c:xMode val="edge"/>
          <c:yMode val="edge"/>
          <c:x val="7.2346890231882358E-2"/>
          <c:y val="0.87065667466923102"/>
          <c:w val="0.85260043993190393"/>
          <c:h val="0.12573975955987693"/>
        </c:manualLayout>
      </c:layout>
      <c:overlay val="0"/>
      <c:spPr>
        <a:ln w="6350">
          <a:solidFill>
            <a:schemeClr val="tx1"/>
          </a:solidFill>
        </a:ln>
      </c:spPr>
      <c:txPr>
        <a:bodyPr/>
        <a:lstStyle/>
        <a:p>
          <a:pPr>
            <a:defRPr sz="77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11162452186132E-2"/>
          <c:y val="1.6620151538667759E-2"/>
          <c:w val="0.94100987714831696"/>
          <c:h val="0.76753601512564729"/>
        </c:manualLayout>
      </c:layout>
      <c:barChart>
        <c:barDir val="col"/>
        <c:grouping val="clustered"/>
        <c:varyColors val="0"/>
        <c:ser>
          <c:idx val="4"/>
          <c:order val="1"/>
          <c:tx>
            <c:strRef>
              <c:f>'Trh práce 3'!$D$96</c:f>
              <c:strCache>
                <c:ptCount val="1"/>
                <c:pt idx="0">
                  <c:v>Total average wage (real)</c:v>
                </c:pt>
              </c:strCache>
            </c:strRef>
          </c:tx>
          <c:spPr>
            <a:solidFill>
              <a:srgbClr val="DBDBDB"/>
            </a:solidFill>
            <a:ln w="19050">
              <a:noFill/>
            </a:ln>
          </c:spPr>
          <c:invertIfNegative val="0"/>
          <c:cat>
            <c:multiLvlStrRef>
              <c:f>'Trh práce 3'!$A$97:$B$130</c:f>
              <c:multiLvlStrCache>
                <c:ptCount val="34"/>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lvl>
              </c:multiLvlStrCache>
            </c:multiLvlStrRef>
          </c:cat>
          <c:val>
            <c:numRef>
              <c:f>'Trh práce 3'!$D$97:$D$130</c:f>
              <c:numCache>
                <c:formatCode>0.0</c:formatCode>
                <c:ptCount val="34"/>
                <c:pt idx="0">
                  <c:v>1.4000000000000057</c:v>
                </c:pt>
                <c:pt idx="1">
                  <c:v>1.5</c:v>
                </c:pt>
                <c:pt idx="2">
                  <c:v>0.59999999999999432</c:v>
                </c:pt>
                <c:pt idx="3">
                  <c:v>4.0999999999999943</c:v>
                </c:pt>
                <c:pt idx="4">
                  <c:v>2</c:v>
                </c:pt>
                <c:pt idx="5">
                  <c:v>-0.55000000000001137</c:v>
                </c:pt>
                <c:pt idx="6">
                  <c:v>0.94999999999998863</c:v>
                </c:pt>
                <c:pt idx="7">
                  <c:v>0.15000000000000568</c:v>
                </c:pt>
                <c:pt idx="8">
                  <c:v>-0.90000000000000568</c:v>
                </c:pt>
                <c:pt idx="9">
                  <c:v>-0.69999999999998863</c:v>
                </c:pt>
                <c:pt idx="10">
                  <c:v>-1.4500000000000028</c:v>
                </c:pt>
                <c:pt idx="11">
                  <c:v>-1.5499999999999972</c:v>
                </c:pt>
                <c:pt idx="12">
                  <c:v>3.1500000000000057</c:v>
                </c:pt>
                <c:pt idx="13">
                  <c:v>1.9499999999999886</c:v>
                </c:pt>
                <c:pt idx="14">
                  <c:v>2.4000000000000057</c:v>
                </c:pt>
                <c:pt idx="15">
                  <c:v>3.3499999999999943</c:v>
                </c:pt>
                <c:pt idx="16">
                  <c:v>4</c:v>
                </c:pt>
                <c:pt idx="17">
                  <c:v>3.5999999999999943</c:v>
                </c:pt>
                <c:pt idx="18">
                  <c:v>3.75</c:v>
                </c:pt>
                <c:pt idx="19">
                  <c:v>4.5999999999999943</c:v>
                </c:pt>
                <c:pt idx="20">
                  <c:v>6.4000000000000057</c:v>
                </c:pt>
                <c:pt idx="21">
                  <c:v>5.4000000000000057</c:v>
                </c:pt>
                <c:pt idx="22">
                  <c:v>5.2999999999999972</c:v>
                </c:pt>
                <c:pt idx="23">
                  <c:v>4.6500000000000057</c:v>
                </c:pt>
                <c:pt idx="24">
                  <c:v>-0.15000000000000568</c:v>
                </c:pt>
                <c:pt idx="25">
                  <c:v>3</c:v>
                </c:pt>
                <c:pt idx="26">
                  <c:v>4.4499999999999886</c:v>
                </c:pt>
                <c:pt idx="27">
                  <c:v>-0.44999999999998863</c:v>
                </c:pt>
                <c:pt idx="28">
                  <c:v>-8.4000000000000057</c:v>
                </c:pt>
                <c:pt idx="29">
                  <c:v>-10.150000000000006</c:v>
                </c:pt>
                <c:pt idx="30">
                  <c:v>-4.4000000000000057</c:v>
                </c:pt>
                <c:pt idx="31">
                  <c:v>-0.34999999999999432</c:v>
                </c:pt>
                <c:pt idx="32">
                  <c:v>4.5499999999999972</c:v>
                </c:pt>
                <c:pt idx="33">
                  <c:v>4.4500000000000028</c:v>
                </c:pt>
              </c:numCache>
            </c:numRef>
          </c:val>
          <c:extLst>
            <c:ext xmlns:c16="http://schemas.microsoft.com/office/drawing/2014/chart" uri="{C3380CC4-5D6E-409C-BE32-E72D297353CC}">
              <c16:uniqueId val="{00000000-EE35-4F73-A9A8-4EABA06811E3}"/>
            </c:ext>
          </c:extLst>
        </c:ser>
        <c:dLbls>
          <c:showLegendKey val="0"/>
          <c:showVal val="0"/>
          <c:showCatName val="0"/>
          <c:showSerName val="0"/>
          <c:showPercent val="0"/>
          <c:showBubbleSize val="0"/>
        </c:dLbls>
        <c:gapWidth val="37"/>
        <c:axId val="100688640"/>
        <c:axId val="100690560"/>
      </c:barChart>
      <c:lineChart>
        <c:grouping val="standard"/>
        <c:varyColors val="0"/>
        <c:ser>
          <c:idx val="0"/>
          <c:order val="0"/>
          <c:tx>
            <c:strRef>
              <c:f>'Trh práce 3'!$C$96</c:f>
              <c:strCache>
                <c:ptCount val="1"/>
                <c:pt idx="0">
                  <c:v>Total average wage (nominal)</c:v>
                </c:pt>
              </c:strCache>
            </c:strRef>
          </c:tx>
          <c:spPr>
            <a:ln w="19050">
              <a:solidFill>
                <a:schemeClr val="tx1">
                  <a:lumMod val="95000"/>
                  <a:lumOff val="5000"/>
                </a:schemeClr>
              </a:solidFill>
              <a:prstDash val="sysDash"/>
            </a:ln>
          </c:spPr>
          <c:marker>
            <c:symbol val="none"/>
          </c:marker>
          <c:cat>
            <c:multiLvlStrRef>
              <c:f>'Trh práce 3'!$A$97:$B$130</c:f>
              <c:multiLvlStrCache>
                <c:ptCount val="34"/>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lvl>
              </c:multiLvlStrCache>
            </c:multiLvlStrRef>
          </c:cat>
          <c:val>
            <c:numRef>
              <c:f>'Trh práce 3'!$C$97:$C$130</c:f>
              <c:numCache>
                <c:formatCode>0.0</c:formatCode>
                <c:ptCount val="34"/>
                <c:pt idx="0">
                  <c:v>8.5999999999999943</c:v>
                </c:pt>
                <c:pt idx="1">
                  <c:v>7.2000000000000028</c:v>
                </c:pt>
                <c:pt idx="2">
                  <c:v>2.3499999999999943</c:v>
                </c:pt>
                <c:pt idx="3">
                  <c:v>4.3499999999999943</c:v>
                </c:pt>
                <c:pt idx="4">
                  <c:v>2.9499999999999886</c:v>
                </c:pt>
                <c:pt idx="5">
                  <c:v>1.4500000000000028</c:v>
                </c:pt>
                <c:pt idx="6">
                  <c:v>2.6999999999999886</c:v>
                </c:pt>
                <c:pt idx="7">
                  <c:v>2.25</c:v>
                </c:pt>
                <c:pt idx="8">
                  <c:v>2.6500000000000057</c:v>
                </c:pt>
                <c:pt idx="9">
                  <c:v>2.3000000000000114</c:v>
                </c:pt>
                <c:pt idx="10">
                  <c:v>0.20000000000000284</c:v>
                </c:pt>
                <c:pt idx="11">
                  <c:v>-0.40000000000000568</c:v>
                </c:pt>
                <c:pt idx="12">
                  <c:v>3.3499999999999943</c:v>
                </c:pt>
                <c:pt idx="13">
                  <c:v>2.5</c:v>
                </c:pt>
                <c:pt idx="14">
                  <c:v>2.7999999999999972</c:v>
                </c:pt>
                <c:pt idx="15">
                  <c:v>3.5999999999999943</c:v>
                </c:pt>
                <c:pt idx="16">
                  <c:v>4.3499999999999943</c:v>
                </c:pt>
                <c:pt idx="17">
                  <c:v>4.5500000000000114</c:v>
                </c:pt>
                <c:pt idx="18">
                  <c:v>6.1500000000000057</c:v>
                </c:pt>
                <c:pt idx="19">
                  <c:v>7.25</c:v>
                </c:pt>
                <c:pt idx="20">
                  <c:v>8.5999999999999943</c:v>
                </c:pt>
                <c:pt idx="21">
                  <c:v>7.75</c:v>
                </c:pt>
                <c:pt idx="22">
                  <c:v>8.1500000000000057</c:v>
                </c:pt>
                <c:pt idx="23">
                  <c:v>7.6500000000000057</c:v>
                </c:pt>
                <c:pt idx="24">
                  <c:v>3.2000000000000028</c:v>
                </c:pt>
                <c:pt idx="25">
                  <c:v>6.0500000000000114</c:v>
                </c:pt>
                <c:pt idx="26">
                  <c:v>7.0999999999999943</c:v>
                </c:pt>
                <c:pt idx="27">
                  <c:v>4.5999999999999943</c:v>
                </c:pt>
                <c:pt idx="28">
                  <c:v>3.9000000000000057</c:v>
                </c:pt>
                <c:pt idx="29">
                  <c:v>4.75</c:v>
                </c:pt>
                <c:pt idx="30">
                  <c:v>8.6500000000000057</c:v>
                </c:pt>
                <c:pt idx="31">
                  <c:v>7.4499999999999886</c:v>
                </c:pt>
                <c:pt idx="32">
                  <c:v>6.9499999999999886</c:v>
                </c:pt>
                <c:pt idx="33">
                  <c:v>7.1500000000000057</c:v>
                </c:pt>
              </c:numCache>
            </c:numRef>
          </c:val>
          <c:smooth val="0"/>
          <c:extLst>
            <c:ext xmlns:c16="http://schemas.microsoft.com/office/drawing/2014/chart" uri="{C3380CC4-5D6E-409C-BE32-E72D297353CC}">
              <c16:uniqueId val="{00000001-EE35-4F73-A9A8-4EABA06811E3}"/>
            </c:ext>
          </c:extLst>
        </c:ser>
        <c:ser>
          <c:idx val="5"/>
          <c:order val="2"/>
          <c:tx>
            <c:strRef>
              <c:f>'Trh práce 3'!$E$96</c:f>
              <c:strCache>
                <c:ptCount val="1"/>
                <c:pt idx="0">
                  <c:v>Wage in industry (nominal)</c:v>
                </c:pt>
              </c:strCache>
            </c:strRef>
          </c:tx>
          <c:spPr>
            <a:ln w="9525">
              <a:solidFill>
                <a:srgbClr val="C00000"/>
              </a:solidFill>
              <a:prstDash val="solid"/>
            </a:ln>
          </c:spPr>
          <c:marker>
            <c:symbol val="none"/>
          </c:marker>
          <c:cat>
            <c:multiLvlStrRef>
              <c:f>'Trh práce 3'!$A$97:$B$130</c:f>
              <c:multiLvlStrCache>
                <c:ptCount val="34"/>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lvl>
              </c:multiLvlStrCache>
            </c:multiLvlStrRef>
          </c:cat>
          <c:val>
            <c:numRef>
              <c:f>'Trh práce 3'!$E$97:$E$130</c:f>
              <c:numCache>
                <c:formatCode>0.0</c:formatCode>
                <c:ptCount val="34"/>
                <c:pt idx="0">
                  <c:v>10.965779626599343</c:v>
                </c:pt>
                <c:pt idx="1">
                  <c:v>7.2045848058037194</c:v>
                </c:pt>
                <c:pt idx="2">
                  <c:v>-0.10207158875207512</c:v>
                </c:pt>
                <c:pt idx="3">
                  <c:v>4.775678798547176</c:v>
                </c:pt>
                <c:pt idx="4">
                  <c:v>5.2247862331461405</c:v>
                </c:pt>
                <c:pt idx="5">
                  <c:v>3.4322578877170642</c:v>
                </c:pt>
                <c:pt idx="6">
                  <c:v>4.0718748809917713</c:v>
                </c:pt>
                <c:pt idx="7">
                  <c:v>2.4423868557449282</c:v>
                </c:pt>
                <c:pt idx="8">
                  <c:v>3.3491932249592722</c:v>
                </c:pt>
                <c:pt idx="9">
                  <c:v>2.7243464773580328</c:v>
                </c:pt>
                <c:pt idx="10">
                  <c:v>0.82649064706659914</c:v>
                </c:pt>
                <c:pt idx="11">
                  <c:v>0.83258081439371523</c:v>
                </c:pt>
                <c:pt idx="12">
                  <c:v>3.8171645430344086</c:v>
                </c:pt>
                <c:pt idx="13">
                  <c:v>2.8172030641298562</c:v>
                </c:pt>
                <c:pt idx="14">
                  <c:v>2.1650997607555382</c:v>
                </c:pt>
                <c:pt idx="15">
                  <c:v>2.9944452782884241</c:v>
                </c:pt>
                <c:pt idx="16">
                  <c:v>4.2995514923439941</c:v>
                </c:pt>
                <c:pt idx="17">
                  <c:v>4.275871439841552</c:v>
                </c:pt>
                <c:pt idx="18">
                  <c:v>6.6237644181187676</c:v>
                </c:pt>
                <c:pt idx="19">
                  <c:v>6.957870030534707</c:v>
                </c:pt>
                <c:pt idx="20">
                  <c:v>8.0477489864729392</c:v>
                </c:pt>
                <c:pt idx="21">
                  <c:v>7.4868067232467439</c:v>
                </c:pt>
                <c:pt idx="22">
                  <c:v>7.1445354202982472</c:v>
                </c:pt>
                <c:pt idx="23">
                  <c:v>6.1891260339134462</c:v>
                </c:pt>
                <c:pt idx="24">
                  <c:v>0.68490810298792582</c:v>
                </c:pt>
                <c:pt idx="25">
                  <c:v>3.4815846936054058</c:v>
                </c:pt>
                <c:pt idx="26">
                  <c:v>6.0344055023863206</c:v>
                </c:pt>
                <c:pt idx="27">
                  <c:v>4.2384595160887315</c:v>
                </c:pt>
                <c:pt idx="28">
                  <c:v>5.3935361837117028</c:v>
                </c:pt>
                <c:pt idx="29">
                  <c:v>6.5020185510501705</c:v>
                </c:pt>
                <c:pt idx="30">
                  <c:v>10.305502657517472</c:v>
                </c:pt>
                <c:pt idx="31">
                  <c:v>8.3069563442154859</c:v>
                </c:pt>
                <c:pt idx="32">
                  <c:v>7.8173267774648849</c:v>
                </c:pt>
                <c:pt idx="33">
                  <c:v>6.9651532720757316</c:v>
                </c:pt>
              </c:numCache>
            </c:numRef>
          </c:val>
          <c:smooth val="0"/>
          <c:extLst>
            <c:ext xmlns:c16="http://schemas.microsoft.com/office/drawing/2014/chart" uri="{C3380CC4-5D6E-409C-BE32-E72D297353CC}">
              <c16:uniqueId val="{00000002-EE35-4F73-A9A8-4EABA06811E3}"/>
            </c:ext>
          </c:extLst>
        </c:ser>
        <c:ser>
          <c:idx val="1"/>
          <c:order val="3"/>
          <c:tx>
            <c:strRef>
              <c:f>'Trh práce 3'!$F$96</c:f>
              <c:strCache>
                <c:ptCount val="1"/>
                <c:pt idx="0">
                  <c:v>Wage in trade (nominal)</c:v>
                </c:pt>
              </c:strCache>
            </c:strRef>
          </c:tx>
          <c:spPr>
            <a:ln w="9525">
              <a:solidFill>
                <a:srgbClr val="0070C0"/>
              </a:solidFill>
              <a:prstDash val="solid"/>
            </a:ln>
          </c:spPr>
          <c:marker>
            <c:symbol val="none"/>
          </c:marker>
          <c:cat>
            <c:multiLvlStrRef>
              <c:f>'Trh práce 3'!$A$97:$B$130</c:f>
              <c:multiLvlStrCache>
                <c:ptCount val="34"/>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lvl>
              </c:multiLvlStrCache>
            </c:multiLvlStrRef>
          </c:cat>
          <c:val>
            <c:numRef>
              <c:f>'Trh práce 3'!$F$97:$F$130</c:f>
              <c:numCache>
                <c:formatCode>0.0</c:formatCode>
                <c:ptCount val="34"/>
                <c:pt idx="0">
                  <c:v>9.5236281670593428</c:v>
                </c:pt>
                <c:pt idx="1">
                  <c:v>6.1173932151438422</c:v>
                </c:pt>
                <c:pt idx="2">
                  <c:v>-0.56987922579376971</c:v>
                </c:pt>
                <c:pt idx="3">
                  <c:v>0.86090696307550729</c:v>
                </c:pt>
                <c:pt idx="4">
                  <c:v>3.1242388374649579</c:v>
                </c:pt>
                <c:pt idx="5">
                  <c:v>3.1449702537917474</c:v>
                </c:pt>
                <c:pt idx="6">
                  <c:v>3.4890379198127093</c:v>
                </c:pt>
                <c:pt idx="7">
                  <c:v>3.5017847929104704</c:v>
                </c:pt>
                <c:pt idx="8">
                  <c:v>2.4115907095162967</c:v>
                </c:pt>
                <c:pt idx="9">
                  <c:v>2.0776709847314265</c:v>
                </c:pt>
                <c:pt idx="10">
                  <c:v>0.23379388629743403</c:v>
                </c:pt>
                <c:pt idx="11">
                  <c:v>-1.6674125328935219</c:v>
                </c:pt>
                <c:pt idx="12">
                  <c:v>3.8180889226283057</c:v>
                </c:pt>
                <c:pt idx="13">
                  <c:v>2.8255381000689113</c:v>
                </c:pt>
                <c:pt idx="14">
                  <c:v>3.5098256642731656</c:v>
                </c:pt>
                <c:pt idx="15">
                  <c:v>4.8703883325637847</c:v>
                </c:pt>
                <c:pt idx="16">
                  <c:v>4.8006939294931357</c:v>
                </c:pt>
                <c:pt idx="17">
                  <c:v>4.7464148837768363</c:v>
                </c:pt>
                <c:pt idx="18">
                  <c:v>6.7757963852022343</c:v>
                </c:pt>
                <c:pt idx="19">
                  <c:v>8.0429381053703324</c:v>
                </c:pt>
                <c:pt idx="20">
                  <c:v>7.140432936852541</c:v>
                </c:pt>
                <c:pt idx="21">
                  <c:v>6.7676237129747037</c:v>
                </c:pt>
                <c:pt idx="22">
                  <c:v>8.4786853865892482</c:v>
                </c:pt>
                <c:pt idx="23">
                  <c:v>7.232378367973638</c:v>
                </c:pt>
                <c:pt idx="24">
                  <c:v>3.6410633902801095</c:v>
                </c:pt>
                <c:pt idx="25">
                  <c:v>3.5929532276403506</c:v>
                </c:pt>
                <c:pt idx="26">
                  <c:v>6.061000040897909</c:v>
                </c:pt>
                <c:pt idx="27">
                  <c:v>7.6602746826361425</c:v>
                </c:pt>
                <c:pt idx="28">
                  <c:v>6.1888233099539818</c:v>
                </c:pt>
                <c:pt idx="29">
                  <c:v>4.4014967849833369</c:v>
                </c:pt>
                <c:pt idx="30">
                  <c:v>7.4395454698724777</c:v>
                </c:pt>
                <c:pt idx="31">
                  <c:v>5.7970253198096273</c:v>
                </c:pt>
                <c:pt idx="32">
                  <c:v>6.8182045381084322</c:v>
                </c:pt>
                <c:pt idx="33">
                  <c:v>8.0210643606135363</c:v>
                </c:pt>
              </c:numCache>
            </c:numRef>
          </c:val>
          <c:smooth val="0"/>
          <c:extLst>
            <c:ext xmlns:c16="http://schemas.microsoft.com/office/drawing/2014/chart" uri="{C3380CC4-5D6E-409C-BE32-E72D297353CC}">
              <c16:uniqueId val="{00000003-EE35-4F73-A9A8-4EABA06811E3}"/>
            </c:ext>
          </c:extLst>
        </c:ser>
        <c:ser>
          <c:idx val="2"/>
          <c:order val="4"/>
          <c:tx>
            <c:strRef>
              <c:f>'Trh práce 3'!$G$96</c:f>
              <c:strCache>
                <c:ptCount val="1"/>
                <c:pt idx="0">
                  <c:v>Average wage in public services (nominal)*</c:v>
                </c:pt>
              </c:strCache>
            </c:strRef>
          </c:tx>
          <c:spPr>
            <a:ln w="9525">
              <a:solidFill>
                <a:srgbClr val="00B050"/>
              </a:solidFill>
              <a:prstDash val="solid"/>
            </a:ln>
          </c:spPr>
          <c:marker>
            <c:symbol val="none"/>
          </c:marker>
          <c:cat>
            <c:multiLvlStrRef>
              <c:f>'Trh práce 3'!$A$97:$B$130</c:f>
              <c:multiLvlStrCache>
                <c:ptCount val="34"/>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lvl>
              </c:multiLvlStrCache>
            </c:multiLvlStrRef>
          </c:cat>
          <c:val>
            <c:numRef>
              <c:f>'Trh práce 3'!$G$97:$G$130</c:f>
              <c:numCache>
                <c:formatCode>0.0</c:formatCode>
                <c:ptCount val="34"/>
                <c:pt idx="0">
                  <c:v>3.5657045736146955</c:v>
                </c:pt>
                <c:pt idx="1">
                  <c:v>5.270641590760583</c:v>
                </c:pt>
                <c:pt idx="2">
                  <c:v>4.9793477923024483</c:v>
                </c:pt>
                <c:pt idx="3">
                  <c:v>6.1469428778748991</c:v>
                </c:pt>
                <c:pt idx="4">
                  <c:v>2.8386853624388522</c:v>
                </c:pt>
                <c:pt idx="5">
                  <c:v>-2.1753764637075363</c:v>
                </c:pt>
                <c:pt idx="6">
                  <c:v>0.19348481132529827</c:v>
                </c:pt>
                <c:pt idx="7">
                  <c:v>2.4787428508100575</c:v>
                </c:pt>
                <c:pt idx="8">
                  <c:v>2.4926987811426713</c:v>
                </c:pt>
                <c:pt idx="9">
                  <c:v>1.4759480783641123</c:v>
                </c:pt>
                <c:pt idx="10">
                  <c:v>0.81328517016101642</c:v>
                </c:pt>
                <c:pt idx="11">
                  <c:v>0.40922312282597773</c:v>
                </c:pt>
                <c:pt idx="12">
                  <c:v>2.0274703102504361</c:v>
                </c:pt>
                <c:pt idx="13">
                  <c:v>3.0167538052527476</c:v>
                </c:pt>
                <c:pt idx="14">
                  <c:v>3.8030490245786126</c:v>
                </c:pt>
                <c:pt idx="15">
                  <c:v>3.7263593007908256</c:v>
                </c:pt>
                <c:pt idx="16">
                  <c:v>4.2239545746046758</c:v>
                </c:pt>
                <c:pt idx="17">
                  <c:v>5.4939178255430079</c:v>
                </c:pt>
                <c:pt idx="18">
                  <c:v>6.3879284532635694</c:v>
                </c:pt>
                <c:pt idx="19">
                  <c:v>9.2411219451734112</c:v>
                </c:pt>
                <c:pt idx="20">
                  <c:v>12.035938363262254</c:v>
                </c:pt>
                <c:pt idx="21">
                  <c:v>8.7447651066878649</c:v>
                </c:pt>
                <c:pt idx="22">
                  <c:v>9.3592646182937287</c:v>
                </c:pt>
                <c:pt idx="23">
                  <c:v>9.7167924346275427</c:v>
                </c:pt>
                <c:pt idx="24">
                  <c:v>5.1117019583668011</c:v>
                </c:pt>
                <c:pt idx="25">
                  <c:v>11.379812548838132</c:v>
                </c:pt>
                <c:pt idx="26">
                  <c:v>11.167111313827647</c:v>
                </c:pt>
                <c:pt idx="27">
                  <c:v>2.5296257137618738</c:v>
                </c:pt>
                <c:pt idx="28">
                  <c:v>-2.3632409229601805</c:v>
                </c:pt>
                <c:pt idx="29">
                  <c:v>1.8533165396900202</c:v>
                </c:pt>
                <c:pt idx="30">
                  <c:v>6.4698068573460148</c:v>
                </c:pt>
                <c:pt idx="31">
                  <c:v>5.1051107198494066</c:v>
                </c:pt>
                <c:pt idx="32">
                  <c:v>5.591285515726959</c:v>
                </c:pt>
                <c:pt idx="33">
                  <c:v>5.2915564103289583</c:v>
                </c:pt>
              </c:numCache>
            </c:numRef>
          </c:val>
          <c:smooth val="0"/>
          <c:extLst>
            <c:ext xmlns:c16="http://schemas.microsoft.com/office/drawing/2014/chart" uri="{C3380CC4-5D6E-409C-BE32-E72D297353CC}">
              <c16:uniqueId val="{00000004-EE35-4F73-A9A8-4EABA06811E3}"/>
            </c:ext>
          </c:extLst>
        </c:ser>
        <c:ser>
          <c:idx val="3"/>
          <c:order val="5"/>
          <c:tx>
            <c:strRef>
              <c:f>'Trh práce 3'!$H$96</c:f>
              <c:strCache>
                <c:ptCount val="1"/>
                <c:pt idx="0">
                  <c:v>Labour productivity (real)**</c:v>
                </c:pt>
              </c:strCache>
            </c:strRef>
          </c:tx>
          <c:spPr>
            <a:ln w="19050">
              <a:noFill/>
            </a:ln>
          </c:spPr>
          <c:marker>
            <c:symbol val="circle"/>
            <c:size val="5"/>
            <c:spPr>
              <a:solidFill>
                <a:srgbClr val="FFFF00"/>
              </a:solidFill>
              <a:ln w="6350">
                <a:solidFill>
                  <a:schemeClr val="bg1">
                    <a:lumMod val="50000"/>
                  </a:schemeClr>
                </a:solidFill>
              </a:ln>
            </c:spPr>
          </c:marker>
          <c:cat>
            <c:multiLvlStrRef>
              <c:f>'Trh práce 3'!$A$97:$B$130</c:f>
              <c:multiLvlStrCache>
                <c:ptCount val="34"/>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lvl>
              </c:multiLvlStrCache>
            </c:multiLvlStrRef>
          </c:cat>
          <c:val>
            <c:numRef>
              <c:f>'Trh práce 3'!$H$97:$H$130</c:f>
              <c:numCache>
                <c:formatCode>#\ ##0.0</c:formatCode>
                <c:ptCount val="34"/>
                <c:pt idx="0">
                  <c:v>2.6043310494786382</c:v>
                </c:pt>
                <c:pt idx="1">
                  <c:v>0.11019089000820514</c:v>
                </c:pt>
                <c:pt idx="2">
                  <c:v>-5.0073946867922601</c:v>
                </c:pt>
                <c:pt idx="3">
                  <c:v>-2.3639851732210673</c:v>
                </c:pt>
                <c:pt idx="4">
                  <c:v>4.5679613561260481</c:v>
                </c:pt>
                <c:pt idx="5">
                  <c:v>4.1211850538912245</c:v>
                </c:pt>
                <c:pt idx="6">
                  <c:v>3.091964741880993</c:v>
                </c:pt>
                <c:pt idx="7">
                  <c:v>1.5568725472929188</c:v>
                </c:pt>
                <c:pt idx="8">
                  <c:v>-0.21156955642562991</c:v>
                </c:pt>
                <c:pt idx="9">
                  <c:v>-2.3789942590695787</c:v>
                </c:pt>
                <c:pt idx="10">
                  <c:v>-1.4715364618832822</c:v>
                </c:pt>
                <c:pt idx="11">
                  <c:v>0.6737870010327569</c:v>
                </c:pt>
                <c:pt idx="12">
                  <c:v>2.0290083708460855</c:v>
                </c:pt>
                <c:pt idx="13">
                  <c:v>2.5203545074903602</c:v>
                </c:pt>
                <c:pt idx="14">
                  <c:v>2.7374136873296706</c:v>
                </c:pt>
                <c:pt idx="15">
                  <c:v>3.0839020524035874</c:v>
                </c:pt>
                <c:pt idx="16">
                  <c:v>2.0395081016606866</c:v>
                </c:pt>
                <c:pt idx="17">
                  <c:v>0.97451928855153369</c:v>
                </c:pt>
                <c:pt idx="18">
                  <c:v>3.5823247243180631</c:v>
                </c:pt>
                <c:pt idx="19">
                  <c:v>4.0468969940137143</c:v>
                </c:pt>
                <c:pt idx="20">
                  <c:v>1.7938403063772626</c:v>
                </c:pt>
                <c:pt idx="21">
                  <c:v>1.8356024783068889</c:v>
                </c:pt>
                <c:pt idx="22">
                  <c:v>3.3440362024166106</c:v>
                </c:pt>
                <c:pt idx="23">
                  <c:v>4.1557082362080209</c:v>
                </c:pt>
                <c:pt idx="24">
                  <c:v>-3.7289870530664047</c:v>
                </c:pt>
                <c:pt idx="25">
                  <c:v>-1.76429176990478</c:v>
                </c:pt>
                <c:pt idx="26">
                  <c:v>4.1943628572136049</c:v>
                </c:pt>
                <c:pt idx="27">
                  <c:v>1.7136554110200777</c:v>
                </c:pt>
                <c:pt idx="28">
                  <c:v>2.8820461633566765</c:v>
                </c:pt>
                <c:pt idx="29">
                  <c:v>0.93470359421954896</c:v>
                </c:pt>
                <c:pt idx="30">
                  <c:v>-0.26418679110465604</c:v>
                </c:pt>
                <c:pt idx="31">
                  <c:v>-0.80194758181473702</c:v>
                </c:pt>
                <c:pt idx="32">
                  <c:v>-0.75049633768783508</c:v>
                </c:pt>
                <c:pt idx="33">
                  <c:v>1.0370396608171504</c:v>
                </c:pt>
              </c:numCache>
            </c:numRef>
          </c:val>
          <c:smooth val="0"/>
          <c:extLst>
            <c:ext xmlns:c16="http://schemas.microsoft.com/office/drawing/2014/chart" uri="{C3380CC4-5D6E-409C-BE32-E72D297353CC}">
              <c16:uniqueId val="{00000005-EE35-4F73-A9A8-4EABA06811E3}"/>
            </c:ext>
          </c:extLst>
        </c:ser>
        <c:dLbls>
          <c:showLegendKey val="0"/>
          <c:showVal val="0"/>
          <c:showCatName val="0"/>
          <c:showSerName val="0"/>
          <c:showPercent val="0"/>
          <c:showBubbleSize val="0"/>
        </c:dLbls>
        <c:marker val="1"/>
        <c:smooth val="0"/>
        <c:axId val="100688640"/>
        <c:axId val="100690560"/>
      </c:lineChart>
      <c:catAx>
        <c:axId val="100688640"/>
        <c:scaling>
          <c:orientation val="minMax"/>
        </c:scaling>
        <c:delete val="0"/>
        <c:axPos val="b"/>
        <c:numFmt formatCode="General" sourceLinked="1"/>
        <c:majorTickMark val="none"/>
        <c:minorTickMark val="none"/>
        <c:tickLblPos val="low"/>
        <c:spPr>
          <a:ln>
            <a:solidFill>
              <a:schemeClr val="tx1"/>
            </a:solidFill>
          </a:ln>
        </c:spPr>
        <c:txPr>
          <a:bodyPr rot="0" vert="horz"/>
          <a:lstStyle/>
          <a:p>
            <a:pPr>
              <a:defRPr/>
            </a:pPr>
            <a:endParaRPr lang="cs-CZ"/>
          </a:p>
        </c:txPr>
        <c:crossAx val="100690560"/>
        <c:crosses val="autoZero"/>
        <c:auto val="1"/>
        <c:lblAlgn val="ctr"/>
        <c:lblOffset val="0"/>
        <c:tickMarkSkip val="1"/>
        <c:noMultiLvlLbl val="0"/>
      </c:catAx>
      <c:valAx>
        <c:axId val="100690560"/>
        <c:scaling>
          <c:orientation val="minMax"/>
          <c:max val="14"/>
          <c:min val="-12"/>
        </c:scaling>
        <c:delete val="0"/>
        <c:axPos val="l"/>
        <c:majorGridlines>
          <c:spPr>
            <a:ln>
              <a:solidFill>
                <a:schemeClr val="bg1">
                  <a:lumMod val="75000"/>
                </a:schemeClr>
              </a:solidFill>
            </a:ln>
          </c:spPr>
        </c:majorGridlines>
        <c:numFmt formatCode="0" sourceLinked="0"/>
        <c:majorTickMark val="out"/>
        <c:minorTickMark val="none"/>
        <c:tickLblPos val="nextTo"/>
        <c:spPr>
          <a:ln>
            <a:solidFill>
              <a:schemeClr val="tx1"/>
            </a:solidFill>
          </a:ln>
        </c:spPr>
        <c:crossAx val="100688640"/>
        <c:crosses val="autoZero"/>
        <c:crossBetween val="midCat"/>
        <c:majorUnit val="2"/>
      </c:valAx>
      <c:spPr>
        <a:ln>
          <a:solidFill>
            <a:schemeClr val="tx1"/>
          </a:solidFill>
        </a:ln>
      </c:spPr>
    </c:plotArea>
    <c:legend>
      <c:legendPos val="b"/>
      <c:layout>
        <c:manualLayout>
          <c:xMode val="edge"/>
          <c:yMode val="edge"/>
          <c:x val="1.8875442035332712E-2"/>
          <c:y val="0.87578175045503925"/>
          <c:w val="0.97559048893060707"/>
          <c:h val="0.11341893424036281"/>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557159743329959E-2"/>
          <c:y val="2.1711264016309892E-2"/>
          <c:w val="0.93757303275920301"/>
          <c:h val="0.73130361364404473"/>
        </c:manualLayout>
      </c:layout>
      <c:barChart>
        <c:barDir val="col"/>
        <c:grouping val="clustered"/>
        <c:varyColors val="0"/>
        <c:ser>
          <c:idx val="0"/>
          <c:order val="0"/>
          <c:tx>
            <c:strRef>
              <c:f>'Měnové podmínky 1'!$C$5</c:f>
              <c:strCache>
                <c:ptCount val="1"/>
                <c:pt idx="0">
                  <c:v>2W repo rate</c:v>
                </c:pt>
              </c:strCache>
            </c:strRef>
          </c:tx>
          <c:spPr>
            <a:solidFill>
              <a:schemeClr val="bg1">
                <a:lumMod val="65000"/>
              </a:schemeClr>
            </a:solidFill>
          </c:spPr>
          <c:invertIfNegative val="0"/>
          <c:cat>
            <c:multiLvlStrRef>
              <c:f>'Měnové podmínky 1'!$A$18:$B$89</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2019</c:v>
                  </c:pt>
                  <c:pt idx="12">
                    <c:v>2020</c:v>
                  </c:pt>
                  <c:pt idx="24">
                    <c:v>2021</c:v>
                  </c:pt>
                  <c:pt idx="36">
                    <c:v>2022</c:v>
                  </c:pt>
                  <c:pt idx="48">
                    <c:v>2023</c:v>
                  </c:pt>
                  <c:pt idx="60">
                    <c:v>2024</c:v>
                  </c:pt>
                </c:lvl>
              </c:multiLvlStrCache>
            </c:multiLvlStrRef>
          </c:cat>
          <c:val>
            <c:numRef>
              <c:f>'Měnové podmínky 1'!$C$18:$C$89</c:f>
              <c:numCache>
                <c:formatCode>General</c:formatCode>
                <c:ptCount val="72"/>
                <c:pt idx="0">
                  <c:v>1.75</c:v>
                </c:pt>
                <c:pt idx="1">
                  <c:v>1.75</c:v>
                </c:pt>
                <c:pt idx="2">
                  <c:v>1.75</c:v>
                </c:pt>
                <c:pt idx="3">
                  <c:v>1.75</c:v>
                </c:pt>
                <c:pt idx="4">
                  <c:v>2</c:v>
                </c:pt>
                <c:pt idx="5">
                  <c:v>2</c:v>
                </c:pt>
                <c:pt idx="6">
                  <c:v>2</c:v>
                </c:pt>
                <c:pt idx="7">
                  <c:v>2</c:v>
                </c:pt>
                <c:pt idx="8">
                  <c:v>2</c:v>
                </c:pt>
                <c:pt idx="9">
                  <c:v>2</c:v>
                </c:pt>
                <c:pt idx="10">
                  <c:v>2</c:v>
                </c:pt>
                <c:pt idx="11">
                  <c:v>2</c:v>
                </c:pt>
                <c:pt idx="12">
                  <c:v>2</c:v>
                </c:pt>
                <c:pt idx="13">
                  <c:v>2.25</c:v>
                </c:pt>
                <c:pt idx="14">
                  <c:v>1</c:v>
                </c:pt>
                <c:pt idx="15">
                  <c:v>1</c:v>
                </c:pt>
                <c:pt idx="16">
                  <c:v>0.25</c:v>
                </c:pt>
                <c:pt idx="17">
                  <c:v>0.25</c:v>
                </c:pt>
                <c:pt idx="18">
                  <c:v>0.25</c:v>
                </c:pt>
                <c:pt idx="19">
                  <c:v>0.25</c:v>
                </c:pt>
                <c:pt idx="20">
                  <c:v>0.25</c:v>
                </c:pt>
                <c:pt idx="21">
                  <c:v>0.25</c:v>
                </c:pt>
                <c:pt idx="22">
                  <c:v>0.25</c:v>
                </c:pt>
                <c:pt idx="23">
                  <c:v>0.25</c:v>
                </c:pt>
                <c:pt idx="24">
                  <c:v>0.25</c:v>
                </c:pt>
                <c:pt idx="25">
                  <c:v>0.25</c:v>
                </c:pt>
                <c:pt idx="26">
                  <c:v>0.25</c:v>
                </c:pt>
                <c:pt idx="27">
                  <c:v>0.25</c:v>
                </c:pt>
                <c:pt idx="28">
                  <c:v>0.25</c:v>
                </c:pt>
                <c:pt idx="29">
                  <c:v>0.5</c:v>
                </c:pt>
                <c:pt idx="30">
                  <c:v>0.5</c:v>
                </c:pt>
                <c:pt idx="31">
                  <c:v>0.75</c:v>
                </c:pt>
                <c:pt idx="32">
                  <c:v>0.75</c:v>
                </c:pt>
                <c:pt idx="33">
                  <c:v>1.5</c:v>
                </c:pt>
                <c:pt idx="34">
                  <c:v>2.75</c:v>
                </c:pt>
                <c:pt idx="35">
                  <c:v>3.75</c:v>
                </c:pt>
                <c:pt idx="36">
                  <c:v>3.75</c:v>
                </c:pt>
                <c:pt idx="37">
                  <c:v>4.5</c:v>
                </c:pt>
                <c:pt idx="38">
                  <c:v>4.5</c:v>
                </c:pt>
                <c:pt idx="39">
                  <c:v>5</c:v>
                </c:pt>
                <c:pt idx="40">
                  <c:v>5.75</c:v>
                </c:pt>
                <c:pt idx="41">
                  <c:v>7</c:v>
                </c:pt>
                <c:pt idx="42">
                  <c:v>7</c:v>
                </c:pt>
                <c:pt idx="43">
                  <c:v>7</c:v>
                </c:pt>
                <c:pt idx="44">
                  <c:v>7</c:v>
                </c:pt>
                <c:pt idx="45">
                  <c:v>7</c:v>
                </c:pt>
                <c:pt idx="46">
                  <c:v>7</c:v>
                </c:pt>
                <c:pt idx="47">
                  <c:v>7</c:v>
                </c:pt>
                <c:pt idx="48">
                  <c:v>7</c:v>
                </c:pt>
                <c:pt idx="49">
                  <c:v>7</c:v>
                </c:pt>
                <c:pt idx="50">
                  <c:v>7</c:v>
                </c:pt>
                <c:pt idx="51" formatCode="###\ ###\ ###\ ###\ ##0.00;\-###\ ###\ ###\ ###\ ##0.00">
                  <c:v>7</c:v>
                </c:pt>
                <c:pt idx="52" formatCode="###\ ###\ ###\ ###\ ##0.00;\-###\ ###\ ###\ ###\ ##0.00">
                  <c:v>7</c:v>
                </c:pt>
                <c:pt idx="53" formatCode="###\ ###\ ###\ ###\ ##0.00;\-###\ ###\ ###\ ###\ ##0.00">
                  <c:v>7</c:v>
                </c:pt>
                <c:pt idx="54" formatCode="###\ ###\ ###\ ###\ ##0.00;\-###\ ###\ ###\ ###\ ##0.00">
                  <c:v>7</c:v>
                </c:pt>
                <c:pt idx="55" formatCode="###\ ###\ ###\ ###\ ##0.00;\-###\ ###\ ###\ ###\ ##0.00">
                  <c:v>7</c:v>
                </c:pt>
                <c:pt idx="56" formatCode="###\ ###\ ###\ ###\ ##0.00;\-###\ ###\ ###\ ###\ ##0.00">
                  <c:v>7</c:v>
                </c:pt>
                <c:pt idx="57" formatCode="###\ ###\ ###\ ###\ ##0.00;\-###\ ###\ ###\ ###\ ##0.00">
                  <c:v>7</c:v>
                </c:pt>
                <c:pt idx="58" formatCode="###\ ###\ ###\ ###\ ##0.00;\-###\ ###\ ###\ ###\ ##0.00">
                  <c:v>7</c:v>
                </c:pt>
                <c:pt idx="59" formatCode="###\ ###\ ###\ ###\ ##0.00;\-###\ ###\ ###\ ###\ ##0.00">
                  <c:v>6.75</c:v>
                </c:pt>
                <c:pt idx="60" formatCode="###\ ###\ ###\ ###\ ##0.00;\-###\ ###\ ###\ ###\ ##0.00">
                  <c:v>6.75</c:v>
                </c:pt>
                <c:pt idx="61" formatCode="###\ ###\ ###\ ###\ ##0.00;\-###\ ###\ ###\ ###\ ##0.00">
                  <c:v>6.25</c:v>
                </c:pt>
                <c:pt idx="62" formatCode="###\ ###\ ###\ ###\ ##0.00;\-###\ ###\ ###\ ###\ ##0.00">
                  <c:v>5.75</c:v>
                </c:pt>
                <c:pt idx="63" formatCode="###\ ###\ ###\ ###\ ##0.00;\-###\ ###\ ###\ ###\ ##0.00">
                  <c:v>5.75</c:v>
                </c:pt>
                <c:pt idx="64" formatCode="###\ ###\ ###\ ###\ ##0.00;\-###\ ###\ ###\ ###\ ##0.00">
                  <c:v>5.25</c:v>
                </c:pt>
                <c:pt idx="65" formatCode="###\ ###\ ###\ ###\ ##0.00;\-###\ ###\ ###\ ###\ ##0.00">
                  <c:v>4.75</c:v>
                </c:pt>
                <c:pt idx="66" formatCode="###\ ###\ ###\ ###\ ##0.00;\-###\ ###\ ###\ ###\ ##0.00">
                  <c:v>4.75</c:v>
                </c:pt>
                <c:pt idx="67" formatCode="###\ ###\ ###\ ###\ ##0.00;\-###\ ###\ ###\ ###\ ##0.00">
                  <c:v>4.5</c:v>
                </c:pt>
                <c:pt idx="68" formatCode="###\ ###\ ###\ ###\ ##0.00;\-###\ ###\ ###\ ###\ ##0.00">
                  <c:v>4.25</c:v>
                </c:pt>
                <c:pt idx="69" formatCode="###\ ###\ ###\ ###\ ##0.00;\-###\ ###\ ###\ ###\ ##0.00">
                  <c:v>4.25</c:v>
                </c:pt>
                <c:pt idx="70" formatCode="###\ ###\ ###\ ###\ ##0.00;\-###\ ###\ ###\ ###\ ##0.00">
                  <c:v>4</c:v>
                </c:pt>
                <c:pt idx="71" formatCode="###\ ###\ ###\ ###\ ##0.00;\-###\ ###\ ###\ ###\ ##0.00">
                  <c:v>4</c:v>
                </c:pt>
              </c:numCache>
            </c:numRef>
          </c:val>
          <c:extLst>
            <c:ext xmlns:c16="http://schemas.microsoft.com/office/drawing/2014/chart" uri="{C3380CC4-5D6E-409C-BE32-E72D297353CC}">
              <c16:uniqueId val="{00000000-ECEE-4DC5-8EC2-E980353AB105}"/>
            </c:ext>
          </c:extLst>
        </c:ser>
        <c:dLbls>
          <c:showLegendKey val="0"/>
          <c:showVal val="0"/>
          <c:showCatName val="0"/>
          <c:showSerName val="0"/>
          <c:showPercent val="0"/>
          <c:showBubbleSize val="0"/>
        </c:dLbls>
        <c:gapWidth val="31"/>
        <c:axId val="131001344"/>
        <c:axId val="131027712"/>
      </c:barChart>
      <c:lineChart>
        <c:grouping val="standard"/>
        <c:varyColors val="0"/>
        <c:ser>
          <c:idx val="3"/>
          <c:order val="1"/>
          <c:tx>
            <c:strRef>
              <c:f>'Měnové podmínky 1'!$F$5</c:f>
              <c:strCache>
                <c:ptCount val="1"/>
                <c:pt idx="0">
                  <c:v>Average yield of government bonds (2Y)</c:v>
                </c:pt>
              </c:strCache>
            </c:strRef>
          </c:tx>
          <c:spPr>
            <a:ln w="19050">
              <a:solidFill>
                <a:srgbClr val="7DBB2D"/>
              </a:solidFill>
            </a:ln>
          </c:spPr>
          <c:marker>
            <c:symbol val="none"/>
          </c:marker>
          <c:cat>
            <c:multiLvlStrRef>
              <c:f>'Měnové podmínky 1'!$A$18:$B$89</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2019</c:v>
                  </c:pt>
                  <c:pt idx="12">
                    <c:v>2020</c:v>
                  </c:pt>
                  <c:pt idx="24">
                    <c:v>2021</c:v>
                  </c:pt>
                  <c:pt idx="36">
                    <c:v>2022</c:v>
                  </c:pt>
                  <c:pt idx="48">
                    <c:v>2023</c:v>
                  </c:pt>
                  <c:pt idx="60">
                    <c:v>2024</c:v>
                  </c:pt>
                </c:lvl>
              </c:multiLvlStrCache>
            </c:multiLvlStrRef>
          </c:cat>
          <c:val>
            <c:numRef>
              <c:f>'Měnové podmínky 1'!$F$18:$F$89</c:f>
              <c:numCache>
                <c:formatCode>General</c:formatCode>
                <c:ptCount val="72"/>
                <c:pt idx="0">
                  <c:v>1.66</c:v>
                </c:pt>
                <c:pt idx="1">
                  <c:v>1.74</c:v>
                </c:pt>
                <c:pt idx="2">
                  <c:v>1.71</c:v>
                </c:pt>
                <c:pt idx="3">
                  <c:v>1.63</c:v>
                </c:pt>
                <c:pt idx="4">
                  <c:v>1.62</c:v>
                </c:pt>
                <c:pt idx="5">
                  <c:v>1.52</c:v>
                </c:pt>
                <c:pt idx="6">
                  <c:v>1.35</c:v>
                </c:pt>
                <c:pt idx="7">
                  <c:v>0.85</c:v>
                </c:pt>
                <c:pt idx="8">
                  <c:v>1.07</c:v>
                </c:pt>
                <c:pt idx="9">
                  <c:v>1.17</c:v>
                </c:pt>
                <c:pt idx="10">
                  <c:v>1.33</c:v>
                </c:pt>
                <c:pt idx="11">
                  <c:v>1.36</c:v>
                </c:pt>
                <c:pt idx="12">
                  <c:v>1.55</c:v>
                </c:pt>
                <c:pt idx="13">
                  <c:v>1.57</c:v>
                </c:pt>
                <c:pt idx="14">
                  <c:v>1.27</c:v>
                </c:pt>
                <c:pt idx="15">
                  <c:v>0.71</c:v>
                </c:pt>
                <c:pt idx="16">
                  <c:v>0.13</c:v>
                </c:pt>
                <c:pt idx="17">
                  <c:v>0.08</c:v>
                </c:pt>
                <c:pt idx="18">
                  <c:v>0.02</c:v>
                </c:pt>
                <c:pt idx="19">
                  <c:v>0.04</c:v>
                </c:pt>
                <c:pt idx="20">
                  <c:v>0.05</c:v>
                </c:pt>
                <c:pt idx="21">
                  <c:v>0</c:v>
                </c:pt>
                <c:pt idx="22">
                  <c:v>0.06</c:v>
                </c:pt>
                <c:pt idx="23">
                  <c:v>0.16</c:v>
                </c:pt>
                <c:pt idx="24">
                  <c:v>0.26</c:v>
                </c:pt>
                <c:pt idx="25">
                  <c:v>0.45</c:v>
                </c:pt>
                <c:pt idx="26">
                  <c:v>0.75</c:v>
                </c:pt>
                <c:pt idx="27">
                  <c:v>0.76</c:v>
                </c:pt>
                <c:pt idx="28">
                  <c:v>0.76</c:v>
                </c:pt>
                <c:pt idx="29">
                  <c:v>0.69</c:v>
                </c:pt>
                <c:pt idx="30">
                  <c:v>0.84</c:v>
                </c:pt>
                <c:pt idx="31">
                  <c:v>1.24</c:v>
                </c:pt>
                <c:pt idx="32">
                  <c:v>1.6</c:v>
                </c:pt>
                <c:pt idx="33">
                  <c:v>2.29</c:v>
                </c:pt>
                <c:pt idx="34">
                  <c:v>3</c:v>
                </c:pt>
                <c:pt idx="35">
                  <c:v>3.07</c:v>
                </c:pt>
                <c:pt idx="36">
                  <c:v>3.81</c:v>
                </c:pt>
                <c:pt idx="37">
                  <c:v>3.77</c:v>
                </c:pt>
                <c:pt idx="38">
                  <c:v>4.54</c:v>
                </c:pt>
                <c:pt idx="39">
                  <c:v>5.13</c:v>
                </c:pt>
                <c:pt idx="40">
                  <c:v>5.65</c:v>
                </c:pt>
                <c:pt idx="41">
                  <c:v>6.26</c:v>
                </c:pt>
                <c:pt idx="42">
                  <c:v>6.38</c:v>
                </c:pt>
                <c:pt idx="43">
                  <c:v>5.86</c:v>
                </c:pt>
                <c:pt idx="44">
                  <c:v>5.9</c:v>
                </c:pt>
                <c:pt idx="45">
                  <c:v>6.18</c:v>
                </c:pt>
                <c:pt idx="46">
                  <c:v>5.68</c:v>
                </c:pt>
                <c:pt idx="47">
                  <c:v>5.19</c:v>
                </c:pt>
                <c:pt idx="48" formatCode="###\ ###\ ###\ ###\ ##0.00;\-###\ ###\ ###\ ###\ ##0.00">
                  <c:v>5.3820143358172814</c:v>
                </c:pt>
                <c:pt idx="49" formatCode="###\ ###\ ###\ ###\ ##0.00;\-###\ ###\ ###\ ###\ ##0.00">
                  <c:v>5.5102623550618501</c:v>
                </c:pt>
                <c:pt idx="50" formatCode="###\ ###\ ###\ ###\ ##0.00;\-###\ ###\ ###\ ###\ ##0.00">
                  <c:v>5.2897725027111999</c:v>
                </c:pt>
                <c:pt idx="51" formatCode="###\ ###\ ###\ ###\ ##0.00;\-###\ ###\ ###\ ###\ ##0.00">
                  <c:v>5.4232360381175866</c:v>
                </c:pt>
                <c:pt idx="52" formatCode="###\ ###\ ###\ ###\ ##0.00;\-###\ ###\ ###\ ###\ ##0.00">
                  <c:v>5.4162815888395777</c:v>
                </c:pt>
                <c:pt idx="53" formatCode="###\ ###\ ###\ ###\ ##0.00;\-###\ ###\ ###\ ###\ ##0.00">
                  <c:v>5.3664752553650841</c:v>
                </c:pt>
                <c:pt idx="54" formatCode="###\ ###\ ###\ ###\ ##0.00;\-###\ ###\ ###\ ###\ ##0.00">
                  <c:v>5.2428078558777935</c:v>
                </c:pt>
                <c:pt idx="55" formatCode="###\ ###\ ###\ ###\ ##0.00;\-###\ ###\ ###\ ###\ ##0.00">
                  <c:v>5.1353490658602521</c:v>
                </c:pt>
                <c:pt idx="56" formatCode="###\ ###\ ###\ ###\ ##0.00;\-###\ ###\ ###\ ###\ ##0.00">
                  <c:v>5.0416686003519704</c:v>
                </c:pt>
                <c:pt idx="57" formatCode="###\ ###\ ###\ ###\ ##0.00;\-###\ ###\ ###\ ###\ ##0.00">
                  <c:v>5.0079198294298592</c:v>
                </c:pt>
                <c:pt idx="58" formatCode="###\ ###\ ###\ ###\ ##0.00;\-###\ ###\ ###\ ###\ ##0.00">
                  <c:v>4.8554647740100689</c:v>
                </c:pt>
                <c:pt idx="59" formatCode="###\ ###\ ###\ ###\ ##0.00;\-###\ ###\ ###\ ###\ ##0.00">
                  <c:v>4.6053753410259048</c:v>
                </c:pt>
                <c:pt idx="60" formatCode="###\ ###\ ###\ ###\ ##0.00;\-###\ ###\ ###\ ###\ ##0.00">
                  <c:v>4.2136537187056122</c:v>
                </c:pt>
                <c:pt idx="61" formatCode="###\ ###\ ###\ ###\ ##0.00;\-###\ ###\ ###\ ###\ ##0.00">
                  <c:v>3.7766020145670578</c:v>
                </c:pt>
                <c:pt idx="62" formatCode="###\ ###\ ###\ ###\ ##0.00;\-###\ ###\ ###\ ###\ ##0.00">
                  <c:v>3.7279261080474861</c:v>
                </c:pt>
                <c:pt idx="63" formatCode="###\ ###\ ###\ ###\ ##0.00;\-###\ ###\ ###\ ###\ ##0.00">
                  <c:v>4.0118973322405145</c:v>
                </c:pt>
                <c:pt idx="64" formatCode="###\ ###\ ###\ ###\ ##0.00;\-###\ ###\ ###\ ###\ ##0.00">
                  <c:v>4.1300681765456435</c:v>
                </c:pt>
                <c:pt idx="65" formatCode="###\ ###\ ###\ ###\ ##0.00;\-###\ ###\ ###\ ###\ ##0.00">
                  <c:v>4.2164856033630391</c:v>
                </c:pt>
                <c:pt idx="66" formatCode="###\ ###\ ###\ ###\ ##0.00;\-###\ ###\ ###\ ###\ ##0.00">
                  <c:v>3.9029960800170911</c:v>
                </c:pt>
                <c:pt idx="67" formatCode="###\ ###\ ###\ ###\ ##0.00;\-###\ ###\ ###\ ###\ ##0.00">
                  <c:v>3.6092171953235983</c:v>
                </c:pt>
                <c:pt idx="68" formatCode="###\ ###\ ###\ ###\ ##0.00;\-###\ ###\ ###\ ###\ ##0.00">
                  <c:v>3.5038942508225221</c:v>
                </c:pt>
                <c:pt idx="69" formatCode="###\ ###\ ###\ ###\ ##0.00;\-###\ ###\ ###\ ###\ ##0.00">
                  <c:v>3.5913124701621322</c:v>
                </c:pt>
                <c:pt idx="70" formatCode="###\ ###\ ###\ ###\ ##0.00;\-###\ ###\ ###\ ###\ ##0.00">
                  <c:v>3.6229260484095986</c:v>
                </c:pt>
                <c:pt idx="71" formatCode="###\ ###\ ###\ ###\ ##0.00;\-###\ ###\ ###\ ###\ ##0.00">
                  <c:v>3.633213073730468</c:v>
                </c:pt>
              </c:numCache>
            </c:numRef>
          </c:val>
          <c:smooth val="0"/>
          <c:extLst>
            <c:ext xmlns:c16="http://schemas.microsoft.com/office/drawing/2014/chart" uri="{C3380CC4-5D6E-409C-BE32-E72D297353CC}">
              <c16:uniqueId val="{00000001-ECEE-4DC5-8EC2-E980353AB105}"/>
            </c:ext>
          </c:extLst>
        </c:ser>
        <c:ser>
          <c:idx val="1"/>
          <c:order val="2"/>
          <c:tx>
            <c:strRef>
              <c:f>'Měnové podmínky 1'!$D$5</c:f>
              <c:strCache>
                <c:ptCount val="1"/>
                <c:pt idx="0">
                  <c:v>PRIBOR (3M)</c:v>
                </c:pt>
              </c:strCache>
            </c:strRef>
          </c:tx>
          <c:spPr>
            <a:ln w="19050">
              <a:solidFill>
                <a:srgbClr val="0071BC"/>
              </a:solidFill>
            </a:ln>
          </c:spPr>
          <c:marker>
            <c:symbol val="none"/>
          </c:marker>
          <c:cat>
            <c:multiLvlStrRef>
              <c:f>'Měnové podmínky 1'!$A$18:$B$89</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2019</c:v>
                  </c:pt>
                  <c:pt idx="12">
                    <c:v>2020</c:v>
                  </c:pt>
                  <c:pt idx="24">
                    <c:v>2021</c:v>
                  </c:pt>
                  <c:pt idx="36">
                    <c:v>2022</c:v>
                  </c:pt>
                  <c:pt idx="48">
                    <c:v>2023</c:v>
                  </c:pt>
                  <c:pt idx="60">
                    <c:v>2024</c:v>
                  </c:pt>
                </c:lvl>
              </c:multiLvlStrCache>
            </c:multiLvlStrRef>
          </c:cat>
          <c:val>
            <c:numRef>
              <c:f>'Měnové podmínky 1'!$D$18:$D$89</c:f>
              <c:numCache>
                <c:formatCode>General</c:formatCode>
                <c:ptCount val="72"/>
                <c:pt idx="0">
                  <c:v>2.0099999999999998</c:v>
                </c:pt>
                <c:pt idx="1">
                  <c:v>2.0099999999999998</c:v>
                </c:pt>
                <c:pt idx="2">
                  <c:v>2.0299999999999998</c:v>
                </c:pt>
                <c:pt idx="3">
                  <c:v>2.02</c:v>
                </c:pt>
                <c:pt idx="4">
                  <c:v>2.19</c:v>
                </c:pt>
                <c:pt idx="5">
                  <c:v>2.17</c:v>
                </c:pt>
                <c:pt idx="6">
                  <c:v>2.16</c:v>
                </c:pt>
                <c:pt idx="7">
                  <c:v>2.14</c:v>
                </c:pt>
                <c:pt idx="8">
                  <c:v>2.14</c:v>
                </c:pt>
                <c:pt idx="9">
                  <c:v>2.17</c:v>
                </c:pt>
                <c:pt idx="10">
                  <c:v>2.1800000000000002</c:v>
                </c:pt>
                <c:pt idx="11">
                  <c:v>2.1800000000000002</c:v>
                </c:pt>
                <c:pt idx="12">
                  <c:v>2.17</c:v>
                </c:pt>
                <c:pt idx="13">
                  <c:v>2.34</c:v>
                </c:pt>
                <c:pt idx="14">
                  <c:v>2</c:v>
                </c:pt>
                <c:pt idx="15">
                  <c:v>0.97</c:v>
                </c:pt>
                <c:pt idx="16">
                  <c:v>0.46</c:v>
                </c:pt>
                <c:pt idx="17">
                  <c:v>0.34</c:v>
                </c:pt>
                <c:pt idx="18">
                  <c:v>0.34</c:v>
                </c:pt>
                <c:pt idx="19">
                  <c:v>0.34</c:v>
                </c:pt>
                <c:pt idx="20">
                  <c:v>0.34</c:v>
                </c:pt>
                <c:pt idx="21">
                  <c:v>0.35</c:v>
                </c:pt>
                <c:pt idx="22">
                  <c:v>0.35</c:v>
                </c:pt>
                <c:pt idx="23">
                  <c:v>0.35</c:v>
                </c:pt>
                <c:pt idx="24">
                  <c:v>0.36</c:v>
                </c:pt>
                <c:pt idx="25">
                  <c:v>0.36</c:v>
                </c:pt>
                <c:pt idx="26">
                  <c:v>0.36</c:v>
                </c:pt>
                <c:pt idx="27">
                  <c:v>0.36</c:v>
                </c:pt>
                <c:pt idx="28">
                  <c:v>0.37</c:v>
                </c:pt>
                <c:pt idx="29">
                  <c:v>0.48</c:v>
                </c:pt>
                <c:pt idx="30">
                  <c:v>0.69</c:v>
                </c:pt>
                <c:pt idx="31">
                  <c:v>0.94</c:v>
                </c:pt>
                <c:pt idx="32">
                  <c:v>1.1100000000000001</c:v>
                </c:pt>
                <c:pt idx="33">
                  <c:v>2.02</c:v>
                </c:pt>
                <c:pt idx="34">
                  <c:v>2.97</c:v>
                </c:pt>
                <c:pt idx="35">
                  <c:v>3.5</c:v>
                </c:pt>
                <c:pt idx="36">
                  <c:v>4.21</c:v>
                </c:pt>
                <c:pt idx="37">
                  <c:v>4.6900000000000004</c:v>
                </c:pt>
                <c:pt idx="38">
                  <c:v>4.8600000000000003</c:v>
                </c:pt>
                <c:pt idx="39">
                  <c:v>5.36</c:v>
                </c:pt>
                <c:pt idx="40">
                  <c:v>5.97</c:v>
                </c:pt>
                <c:pt idx="41">
                  <c:v>6.64</c:v>
                </c:pt>
                <c:pt idx="42">
                  <c:v>7.3</c:v>
                </c:pt>
                <c:pt idx="43">
                  <c:v>7.27</c:v>
                </c:pt>
                <c:pt idx="44">
                  <c:v>7.25</c:v>
                </c:pt>
                <c:pt idx="45">
                  <c:v>7.28</c:v>
                </c:pt>
                <c:pt idx="46">
                  <c:v>7.27</c:v>
                </c:pt>
                <c:pt idx="47">
                  <c:v>7.26</c:v>
                </c:pt>
                <c:pt idx="48" formatCode="###\ ###\ ###\ ###\ ##0.00;\-###\ ###\ ###\ ###\ ##0.00">
                  <c:v>7.2161904761904765</c:v>
                </c:pt>
                <c:pt idx="49" formatCode="###\ ###\ ###\ ###\ ##0.00;\-###\ ###\ ###\ ###\ ##0.00">
                  <c:v>7.2010526315789471</c:v>
                </c:pt>
                <c:pt idx="50" formatCode="###\ ###\ ###\ ###\ ##0.00;\-###\ ###\ ###\ ###\ ##0.00">
                  <c:v>7.1931818181818183</c:v>
                </c:pt>
                <c:pt idx="51" formatCode="###\ ###\ ###\ ###\ ##0.00;\-###\ ###\ ###\ ###\ ##0.00">
                  <c:v>7.1788888888888893</c:v>
                </c:pt>
                <c:pt idx="52" formatCode="###\ ###\ ###\ ###\ ##0.00;\-###\ ###\ ###\ ###\ ##0.00">
                  <c:v>7.1790476190476191</c:v>
                </c:pt>
                <c:pt idx="53" formatCode="###\ ###\ ###\ ###\ ##0.00;\-###\ ###\ ###\ ###\ ##0.00">
                  <c:v>7.1472727272727274</c:v>
                </c:pt>
                <c:pt idx="54" formatCode="###\ ###\ ###\ ###\ ##0.00;\-###\ ###\ ###\ ###\ ##0.00">
                  <c:v>7.1121052631578952</c:v>
                </c:pt>
                <c:pt idx="55" formatCode="###\ ###\ ###\ ###\ ##0.00;\-###\ ###\ ###\ ###\ ##0.00">
                  <c:v>7.1030434782608696</c:v>
                </c:pt>
                <c:pt idx="56" formatCode="###\ ###\ ###\ ###\ ##0.00;\-###\ ###\ ###\ ###\ ##0.00">
                  <c:v>7.0895000000000001</c:v>
                </c:pt>
                <c:pt idx="57" formatCode="###\ ###\ ###\ ###\ ##0.00;\-###\ ###\ ###\ ###\ ##0.00">
                  <c:v>7.0472727272727269</c:v>
                </c:pt>
                <c:pt idx="58" formatCode="###\ ###\ ###\ ###\ ##0.00;\-###\ ###\ ###\ ###\ ##0.00">
                  <c:v>7.062380952380952</c:v>
                </c:pt>
                <c:pt idx="59" formatCode="###\ ###\ ###\ ###\ ##0.00;\-###\ ###\ ###\ ###\ ##0.00">
                  <c:v>6.9663157894736845</c:v>
                </c:pt>
                <c:pt idx="60" formatCode="###\ ###\ ###\ ###\ ##0.00;\-###\ ###\ ###\ ###\ ##0.00">
                  <c:v>6.6340909090909088</c:v>
                </c:pt>
                <c:pt idx="61" formatCode="###\ ###\ ###\ ###\ ##0.00;\-###\ ###\ ###\ ###\ ##0.00">
                  <c:v>6.2019047619047623</c:v>
                </c:pt>
                <c:pt idx="62" formatCode="###\ ###\ ###\ ###\ ##0.00;\-###\ ###\ ###\ ###\ ##0.00">
                  <c:v>5.8363157894736846</c:v>
                </c:pt>
                <c:pt idx="63" formatCode="###\ ###\ ###\ ###\ ##0.00;\-###\ ###\ ###\ ###\ ##0.00">
                  <c:v>5.5461904761904766</c:v>
                </c:pt>
                <c:pt idx="64" formatCode="###\ ###\ ###\ ###\ ##0.00;\-###\ ###\ ###\ ###\ ##0.00">
                  <c:v>5.1704761904761902</c:v>
                </c:pt>
                <c:pt idx="65" formatCode="###\ ###\ ###\ ###\ ##0.00;\-###\ ###\ ###\ ###\ ##0.00">
                  <c:v>5.0274999999999999</c:v>
                </c:pt>
                <c:pt idx="66" formatCode="###\ ###\ ###\ ###\ ##0.00;\-###\ ###\ ###\ ###\ ##0.00">
                  <c:v>4.6090909090909093</c:v>
                </c:pt>
                <c:pt idx="67" formatCode="###\ ###\ ###\ ###\ ##0.00;\-###\ ###\ ###\ ###\ ##0.00">
                  <c:v>4.4118181818181821</c:v>
                </c:pt>
                <c:pt idx="68" formatCode="###\ ###\ ###\ ###\ ##0.00;\-###\ ###\ ###\ ###\ ##0.00">
                  <c:v>4.3004761904761901</c:v>
                </c:pt>
                <c:pt idx="69" formatCode="###\ ###\ ###\ ###\ ##0.00;\-###\ ###\ ###\ ###\ ##0.00">
                  <c:v>4.1322727272727269</c:v>
                </c:pt>
                <c:pt idx="70" formatCode="###\ ###\ ###\ ###\ ##0.00;\-###\ ###\ ###\ ###\ ##0.00">
                  <c:v>3.9452380952380954</c:v>
                </c:pt>
                <c:pt idx="71" formatCode="###\ ###\ ###\ ###\ ##0.00;\-###\ ###\ ###\ ###\ ##0.00">
                  <c:v>3.9066666666666667</c:v>
                </c:pt>
              </c:numCache>
            </c:numRef>
          </c:val>
          <c:smooth val="0"/>
          <c:extLst>
            <c:ext xmlns:c16="http://schemas.microsoft.com/office/drawing/2014/chart" uri="{C3380CC4-5D6E-409C-BE32-E72D297353CC}">
              <c16:uniqueId val="{00000002-ECEE-4DC5-8EC2-E980353AB105}"/>
            </c:ext>
          </c:extLst>
        </c:ser>
        <c:ser>
          <c:idx val="4"/>
          <c:order val="3"/>
          <c:tx>
            <c:strRef>
              <c:f>'Měnové podmínky 1'!$G$5</c:f>
              <c:strCache>
                <c:ptCount val="1"/>
                <c:pt idx="0">
                  <c:v>Average yield of government bonds (5Y)</c:v>
                </c:pt>
              </c:strCache>
            </c:strRef>
          </c:tx>
          <c:spPr>
            <a:ln w="19050">
              <a:solidFill>
                <a:srgbClr val="F8A124"/>
              </a:solidFill>
            </a:ln>
          </c:spPr>
          <c:marker>
            <c:symbol val="none"/>
          </c:marker>
          <c:cat>
            <c:multiLvlStrRef>
              <c:f>'Měnové podmínky 1'!$A$18:$B$89</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2019</c:v>
                  </c:pt>
                  <c:pt idx="12">
                    <c:v>2020</c:v>
                  </c:pt>
                  <c:pt idx="24">
                    <c:v>2021</c:v>
                  </c:pt>
                  <c:pt idx="36">
                    <c:v>2022</c:v>
                  </c:pt>
                  <c:pt idx="48">
                    <c:v>2023</c:v>
                  </c:pt>
                  <c:pt idx="60">
                    <c:v>2024</c:v>
                  </c:pt>
                </c:lvl>
              </c:multiLvlStrCache>
            </c:multiLvlStrRef>
          </c:cat>
          <c:val>
            <c:numRef>
              <c:f>'Měnové podmínky 1'!$G$18:$G$89</c:f>
              <c:numCache>
                <c:formatCode>General</c:formatCode>
                <c:ptCount val="72"/>
                <c:pt idx="0">
                  <c:v>1.6</c:v>
                </c:pt>
                <c:pt idx="1">
                  <c:v>1.61</c:v>
                </c:pt>
                <c:pt idx="2">
                  <c:v>1.7</c:v>
                </c:pt>
                <c:pt idx="3">
                  <c:v>1.63</c:v>
                </c:pt>
                <c:pt idx="4">
                  <c:v>1.57</c:v>
                </c:pt>
                <c:pt idx="5">
                  <c:v>1.43</c:v>
                </c:pt>
                <c:pt idx="6">
                  <c:v>1.31</c:v>
                </c:pt>
                <c:pt idx="7">
                  <c:v>0.89</c:v>
                </c:pt>
                <c:pt idx="8">
                  <c:v>1.1299999999999999</c:v>
                </c:pt>
                <c:pt idx="9">
                  <c:v>1.23</c:v>
                </c:pt>
                <c:pt idx="10">
                  <c:v>1.32</c:v>
                </c:pt>
                <c:pt idx="11">
                  <c:v>1.31</c:v>
                </c:pt>
                <c:pt idx="12">
                  <c:v>1.51</c:v>
                </c:pt>
                <c:pt idx="13">
                  <c:v>1.52</c:v>
                </c:pt>
                <c:pt idx="14">
                  <c:v>1.23</c:v>
                </c:pt>
                <c:pt idx="15">
                  <c:v>1.06</c:v>
                </c:pt>
                <c:pt idx="16">
                  <c:v>0.56999999999999995</c:v>
                </c:pt>
                <c:pt idx="17">
                  <c:v>0.52</c:v>
                </c:pt>
                <c:pt idx="18">
                  <c:v>0.52</c:v>
                </c:pt>
                <c:pt idx="19">
                  <c:v>0.57999999999999996</c:v>
                </c:pt>
                <c:pt idx="20">
                  <c:v>0.57999999999999996</c:v>
                </c:pt>
                <c:pt idx="21">
                  <c:v>0.54</c:v>
                </c:pt>
                <c:pt idx="22">
                  <c:v>0.66</c:v>
                </c:pt>
                <c:pt idx="23">
                  <c:v>0.8</c:v>
                </c:pt>
                <c:pt idx="24">
                  <c:v>0.82</c:v>
                </c:pt>
                <c:pt idx="25">
                  <c:v>1.06</c:v>
                </c:pt>
                <c:pt idx="26">
                  <c:v>1.4</c:v>
                </c:pt>
                <c:pt idx="27">
                  <c:v>1.43</c:v>
                </c:pt>
                <c:pt idx="28">
                  <c:v>1.47</c:v>
                </c:pt>
                <c:pt idx="29">
                  <c:v>1.55</c:v>
                </c:pt>
                <c:pt idx="30">
                  <c:v>1.63</c:v>
                </c:pt>
                <c:pt idx="31">
                  <c:v>1.68</c:v>
                </c:pt>
                <c:pt idx="32">
                  <c:v>1.87</c:v>
                </c:pt>
                <c:pt idx="33">
                  <c:v>2.37</c:v>
                </c:pt>
                <c:pt idx="34">
                  <c:v>2.84</c:v>
                </c:pt>
                <c:pt idx="35">
                  <c:v>2.84</c:v>
                </c:pt>
                <c:pt idx="36">
                  <c:v>3.36</c:v>
                </c:pt>
                <c:pt idx="37">
                  <c:v>3.2</c:v>
                </c:pt>
                <c:pt idx="38">
                  <c:v>3.85</c:v>
                </c:pt>
                <c:pt idx="39">
                  <c:v>4.54</c:v>
                </c:pt>
                <c:pt idx="40">
                  <c:v>4.99</c:v>
                </c:pt>
                <c:pt idx="41">
                  <c:v>5.49</c:v>
                </c:pt>
                <c:pt idx="42">
                  <c:v>5.12</c:v>
                </c:pt>
                <c:pt idx="43">
                  <c:v>4.67</c:v>
                </c:pt>
                <c:pt idx="44">
                  <c:v>5.0599999999999996</c:v>
                </c:pt>
                <c:pt idx="45">
                  <c:v>5.69</c:v>
                </c:pt>
                <c:pt idx="46">
                  <c:v>5.31</c:v>
                </c:pt>
                <c:pt idx="47">
                  <c:v>4.9000000000000004</c:v>
                </c:pt>
                <c:pt idx="48" formatCode="###\ ###\ ###\ ###\ ##0.00;\-###\ ###\ ###\ ###\ ##0.00">
                  <c:v>4.7307064721228871</c:v>
                </c:pt>
                <c:pt idx="49" formatCode="###\ ###\ ###\ ###\ ##0.00;\-###\ ###\ ###\ ###\ ##0.00">
                  <c:v>4.869274267276765</c:v>
                </c:pt>
                <c:pt idx="50" formatCode="###\ ###\ ###\ ###\ ##0.00;\-###\ ###\ ###\ ###\ ##0.00">
                  <c:v>4.8901662581800389</c:v>
                </c:pt>
                <c:pt idx="51" formatCode="###\ ###\ ###\ ###\ ##0.00;\-###\ ###\ ###\ ###\ ##0.00">
                  <c:v>4.9165403661897455</c:v>
                </c:pt>
                <c:pt idx="52" formatCode="###\ ###\ ###\ ###\ ##0.00;\-###\ ###\ ###\ ###\ ##0.00">
                  <c:v>4.8278684891401031</c:v>
                </c:pt>
                <c:pt idx="53" formatCode="###\ ###\ ###\ ###\ ##0.00;\-###\ ###\ ###\ ###\ ##0.00">
                  <c:v>4.641252073600076</c:v>
                </c:pt>
                <c:pt idx="54" formatCode="###\ ###\ ###\ ###\ ##0.00;\-###\ ###\ ###\ ###\ ##0.00">
                  <c:v>4.3712476122939803</c:v>
                </c:pt>
                <c:pt idx="55" formatCode="###\ ###\ ###\ ###\ ##0.00;\-###\ ###\ ###\ ###\ ##0.00">
                  <c:v>4.4394883944569479</c:v>
                </c:pt>
                <c:pt idx="56" formatCode="###\ ###\ ###\ ###\ ##0.00;\-###\ ###\ ###\ ###\ ##0.00">
                  <c:v>4.5697569170379646</c:v>
                </c:pt>
                <c:pt idx="57" formatCode="###\ ###\ ###\ ###\ ##0.00;\-###\ ###\ ###\ ###\ ##0.00">
                  <c:v>4.6213398432367514</c:v>
                </c:pt>
                <c:pt idx="58" formatCode="###\ ###\ ###\ ###\ ##0.00;\-###\ ###\ ###\ ###\ ##0.00">
                  <c:v>4.3189525391351618</c:v>
                </c:pt>
                <c:pt idx="59" formatCode="###\ ###\ ###\ ###\ ##0.00;\-###\ ###\ ###\ ###\ ##0.00">
                  <c:v>3.9581509254616192</c:v>
                </c:pt>
                <c:pt idx="60" formatCode="###\ ###\ ###\ ###\ ##0.00;\-###\ ###\ ###\ ###\ ##0.00">
                  <c:v>3.7948081133062201</c:v>
                </c:pt>
                <c:pt idx="61" formatCode="###\ ###\ ###\ ###\ ##0.00;\-###\ ###\ ###\ ###\ ##0.00">
                  <c:v>3.5373832658022923</c:v>
                </c:pt>
                <c:pt idx="62" formatCode="###\ ###\ ###\ ###\ ##0.00;\-###\ ###\ ###\ ###\ ##0.00">
                  <c:v>3.5659496523361214</c:v>
                </c:pt>
                <c:pt idx="63" formatCode="###\ ###\ ###\ ###\ ##0.00;\-###\ ###\ ###\ ###\ ##0.00">
                  <c:v>4.0341267380705332</c:v>
                </c:pt>
                <c:pt idx="64" formatCode="###\ ###\ ###\ ###\ ##0.00;\-###\ ###\ ###\ ###\ ##0.00">
                  <c:v>4.0872759187026269</c:v>
                </c:pt>
                <c:pt idx="65" formatCode="###\ ###\ ###\ ###\ ##0.00;\-###\ ###\ ###\ ###\ ##0.00">
                  <c:v>4.1227102073974615</c:v>
                </c:pt>
                <c:pt idx="66" formatCode="###\ ###\ ###\ ###\ ##0.00;\-###\ ###\ ###\ ###\ ##0.00">
                  <c:v>3.7623325475565603</c:v>
                </c:pt>
                <c:pt idx="67" formatCode="###\ ###\ ###\ ###\ ##0.00;\-###\ ###\ ###\ ###\ ##0.00">
                  <c:v>3.5039129182503443</c:v>
                </c:pt>
                <c:pt idx="68" formatCode="###\ ###\ ###\ ###\ ##0.00;\-###\ ###\ ###\ ###\ ##0.00">
                  <c:v>3.4678035691094786</c:v>
                </c:pt>
                <c:pt idx="69" formatCode="###\ ###\ ###\ ###\ ##0.00;\-###\ ###\ ###\ ###\ ##0.00">
                  <c:v>3.6478032298510006</c:v>
                </c:pt>
                <c:pt idx="70" formatCode="###\ ###\ ###\ ###\ ##0.00;\-###\ ###\ ###\ ###\ ##0.00">
                  <c:v>3.6973093706088598</c:v>
                </c:pt>
                <c:pt idx="71" formatCode="###\ ###\ ###\ ###\ ##0.00;\-###\ ###\ ###\ ###\ ##0.00">
                  <c:v>3.7325675120007555</c:v>
                </c:pt>
              </c:numCache>
            </c:numRef>
          </c:val>
          <c:smooth val="0"/>
          <c:extLst>
            <c:ext xmlns:c16="http://schemas.microsoft.com/office/drawing/2014/chart" uri="{C3380CC4-5D6E-409C-BE32-E72D297353CC}">
              <c16:uniqueId val="{00000003-ECEE-4DC5-8EC2-E980353AB105}"/>
            </c:ext>
          </c:extLst>
        </c:ser>
        <c:ser>
          <c:idx val="2"/>
          <c:order val="4"/>
          <c:tx>
            <c:strRef>
              <c:f>'Měnové podmínky 1'!$E$5</c:f>
              <c:strCache>
                <c:ptCount val="1"/>
                <c:pt idx="0">
                  <c:v>PRIBOR (1Y)</c:v>
                </c:pt>
              </c:strCache>
            </c:strRef>
          </c:tx>
          <c:spPr>
            <a:ln w="19050">
              <a:solidFill>
                <a:srgbClr val="BD1B21"/>
              </a:solidFill>
            </a:ln>
          </c:spPr>
          <c:marker>
            <c:symbol val="none"/>
          </c:marker>
          <c:cat>
            <c:multiLvlStrRef>
              <c:f>'Měnové podmínky 1'!$A$18:$B$89</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2019</c:v>
                  </c:pt>
                  <c:pt idx="12">
                    <c:v>2020</c:v>
                  </c:pt>
                  <c:pt idx="24">
                    <c:v>2021</c:v>
                  </c:pt>
                  <c:pt idx="36">
                    <c:v>2022</c:v>
                  </c:pt>
                  <c:pt idx="48">
                    <c:v>2023</c:v>
                  </c:pt>
                  <c:pt idx="60">
                    <c:v>2024</c:v>
                  </c:pt>
                </c:lvl>
              </c:multiLvlStrCache>
            </c:multiLvlStrRef>
          </c:cat>
          <c:val>
            <c:numRef>
              <c:f>'Měnové podmínky 1'!$E$18:$E$89</c:f>
              <c:numCache>
                <c:formatCode>General</c:formatCode>
                <c:ptCount val="72"/>
                <c:pt idx="0">
                  <c:v>2.21</c:v>
                </c:pt>
                <c:pt idx="1">
                  <c:v>2.2000000000000002</c:v>
                </c:pt>
                <c:pt idx="2">
                  <c:v>2.2000000000000002</c:v>
                </c:pt>
                <c:pt idx="3">
                  <c:v>2.21</c:v>
                </c:pt>
                <c:pt idx="4">
                  <c:v>2.3199999999999998</c:v>
                </c:pt>
                <c:pt idx="5">
                  <c:v>2.29</c:v>
                </c:pt>
                <c:pt idx="6">
                  <c:v>2.2799999999999998</c:v>
                </c:pt>
                <c:pt idx="7">
                  <c:v>2.2200000000000002</c:v>
                </c:pt>
                <c:pt idx="8">
                  <c:v>2.2000000000000002</c:v>
                </c:pt>
                <c:pt idx="9">
                  <c:v>2.2799999999999998</c:v>
                </c:pt>
                <c:pt idx="10">
                  <c:v>2.2799999999999998</c:v>
                </c:pt>
                <c:pt idx="11">
                  <c:v>2.27</c:v>
                </c:pt>
                <c:pt idx="12">
                  <c:v>2.27</c:v>
                </c:pt>
                <c:pt idx="13">
                  <c:v>2.42</c:v>
                </c:pt>
                <c:pt idx="14">
                  <c:v>2.0099999999999998</c:v>
                </c:pt>
                <c:pt idx="15">
                  <c:v>0.92</c:v>
                </c:pt>
                <c:pt idx="16">
                  <c:v>0.51</c:v>
                </c:pt>
                <c:pt idx="17">
                  <c:v>0.43</c:v>
                </c:pt>
                <c:pt idx="18">
                  <c:v>0.43</c:v>
                </c:pt>
                <c:pt idx="19">
                  <c:v>0.43</c:v>
                </c:pt>
                <c:pt idx="20">
                  <c:v>0.44</c:v>
                </c:pt>
                <c:pt idx="21">
                  <c:v>0.43</c:v>
                </c:pt>
                <c:pt idx="22">
                  <c:v>0.44</c:v>
                </c:pt>
                <c:pt idx="23">
                  <c:v>0.49</c:v>
                </c:pt>
                <c:pt idx="24">
                  <c:v>0.49</c:v>
                </c:pt>
                <c:pt idx="25">
                  <c:v>0.54</c:v>
                </c:pt>
                <c:pt idx="26">
                  <c:v>0.56000000000000005</c:v>
                </c:pt>
                <c:pt idx="27">
                  <c:v>0.56000000000000005</c:v>
                </c:pt>
                <c:pt idx="28">
                  <c:v>0.67</c:v>
                </c:pt>
                <c:pt idx="29">
                  <c:v>0.78</c:v>
                </c:pt>
                <c:pt idx="30">
                  <c:v>1</c:v>
                </c:pt>
                <c:pt idx="31">
                  <c:v>1.3</c:v>
                </c:pt>
                <c:pt idx="32">
                  <c:v>1.52</c:v>
                </c:pt>
                <c:pt idx="33">
                  <c:v>2.44</c:v>
                </c:pt>
                <c:pt idx="34">
                  <c:v>3.5</c:v>
                </c:pt>
                <c:pt idx="35">
                  <c:v>3.96</c:v>
                </c:pt>
                <c:pt idx="36">
                  <c:v>4.55</c:v>
                </c:pt>
                <c:pt idx="37">
                  <c:v>4.87</c:v>
                </c:pt>
                <c:pt idx="38">
                  <c:v>5.12</c:v>
                </c:pt>
                <c:pt idx="39">
                  <c:v>5.74</c:v>
                </c:pt>
                <c:pt idx="40">
                  <c:v>6.33</c:v>
                </c:pt>
                <c:pt idx="41">
                  <c:v>7.02</c:v>
                </c:pt>
                <c:pt idx="42">
                  <c:v>7.55</c:v>
                </c:pt>
                <c:pt idx="43">
                  <c:v>7.48</c:v>
                </c:pt>
                <c:pt idx="44">
                  <c:v>7.44</c:v>
                </c:pt>
                <c:pt idx="45">
                  <c:v>7.45</c:v>
                </c:pt>
                <c:pt idx="46">
                  <c:v>7.39</c:v>
                </c:pt>
                <c:pt idx="47">
                  <c:v>7.28</c:v>
                </c:pt>
                <c:pt idx="48" formatCode="###\ ###\ ###\ ###\ ##0.00;\-###\ ###\ ###\ ###\ ##0.00">
                  <c:v>7.2480952380952379</c:v>
                </c:pt>
                <c:pt idx="49" formatCode="###\ ###\ ###\ ###\ ##0.00;\-###\ ###\ ###\ ###\ ##0.00">
                  <c:v>7.2326315789473687</c:v>
                </c:pt>
                <c:pt idx="50" formatCode="###\ ###\ ###\ ###\ ##0.00;\-###\ ###\ ###\ ###\ ##0.00">
                  <c:v>7.2263636363636365</c:v>
                </c:pt>
                <c:pt idx="51" formatCode="###\ ###\ ###\ ###\ ##0.00;\-###\ ###\ ###\ ###\ ##0.00">
                  <c:v>7.2088888888888887</c:v>
                </c:pt>
                <c:pt idx="52" formatCode="###\ ###\ ###\ ###\ ##0.00;\-###\ ###\ ###\ ###\ ##0.00">
                  <c:v>7.196190476190476</c:v>
                </c:pt>
                <c:pt idx="53" formatCode="###\ ###\ ###\ ###\ ##0.00;\-###\ ###\ ###\ ###\ ##0.00">
                  <c:v>7.1377272727272727</c:v>
                </c:pt>
                <c:pt idx="54" formatCode="###\ ###\ ###\ ###\ ##0.00;\-###\ ###\ ###\ ###\ ##0.00">
                  <c:v>7.0289473684210524</c:v>
                </c:pt>
                <c:pt idx="55" formatCode="###\ ###\ ###\ ###\ ##0.00;\-###\ ###\ ###\ ###\ ##0.00">
                  <c:v>6.9473913043478257</c:v>
                </c:pt>
                <c:pt idx="56" formatCode="###\ ###\ ###\ ###\ ##0.00;\-###\ ###\ ###\ ###\ ##0.00">
                  <c:v>6.8470000000000004</c:v>
                </c:pt>
                <c:pt idx="57" formatCode="###\ ###\ ###\ ###\ ##0.00;\-###\ ###\ ###\ ###\ ##0.00">
                  <c:v>6.6090909090909093</c:v>
                </c:pt>
                <c:pt idx="58" formatCode="###\ ###\ ###\ ###\ ##0.00;\-###\ ###\ ###\ ###\ ##0.00">
                  <c:v>6.4771428571428569</c:v>
                </c:pt>
                <c:pt idx="59" formatCode="###\ ###\ ###\ ###\ ##0.00;\-###\ ###\ ###\ ###\ ##0.00">
                  <c:v>6.1873684210526312</c:v>
                </c:pt>
                <c:pt idx="60" formatCode="###\ ###\ ###\ ###\ ##0.00;\-###\ ###\ ###\ ###\ ##0.00">
                  <c:v>5.4690909090909088</c:v>
                </c:pt>
                <c:pt idx="61" formatCode="###\ ###\ ###\ ###\ ##0.00;\-###\ ###\ ###\ ###\ ##0.00">
                  <c:v>5.0338095238095235</c:v>
                </c:pt>
                <c:pt idx="62" formatCode="###\ ###\ ###\ ###\ ##0.00;\-###\ ###\ ###\ ###\ ##0.00">
                  <c:v>4.7994736842105263</c:v>
                </c:pt>
                <c:pt idx="63" formatCode="###\ ###\ ###\ ###\ ##0.00;\-###\ ###\ ###\ ###\ ##0.00">
                  <c:v>4.588571428571429</c:v>
                </c:pt>
                <c:pt idx="64" formatCode="###\ ###\ ###\ ###\ ##0.00;\-###\ ###\ ###\ ###\ ##0.00">
                  <c:v>4.6500000000000004</c:v>
                </c:pt>
                <c:pt idx="65" formatCode="###\ ###\ ###\ ###\ ##0.00;\-###\ ###\ ###\ ###\ ##0.00">
                  <c:v>4.5715000000000003</c:v>
                </c:pt>
                <c:pt idx="66" formatCode="###\ ###\ ###\ ###\ ##0.00;\-###\ ###\ ###\ ###\ ##0.00">
                  <c:v>4.2559090909090909</c:v>
                </c:pt>
                <c:pt idx="67" formatCode="###\ ###\ ###\ ###\ ##0.00;\-###\ ###\ ###\ ###\ ##0.00">
                  <c:v>3.8945454545454545</c:v>
                </c:pt>
                <c:pt idx="68" formatCode="###\ ###\ ###\ ###\ ##0.00;\-###\ ###\ ###\ ###\ ##0.00">
                  <c:v>3.7338095238095237</c:v>
                </c:pt>
                <c:pt idx="69" formatCode="###\ ###\ ###\ ###\ ##0.00;\-###\ ###\ ###\ ###\ ##0.00">
                  <c:v>3.6840909090909091</c:v>
                </c:pt>
                <c:pt idx="70" formatCode="###\ ###\ ###\ ###\ ##0.00;\-###\ ###\ ###\ ###\ ##0.00">
                  <c:v>3.6609523809523807</c:v>
                </c:pt>
                <c:pt idx="71" formatCode="###\ ###\ ###\ ###\ ##0.00;\-###\ ###\ ###\ ###\ ##0.00">
                  <c:v>3.6933333333333334</c:v>
                </c:pt>
              </c:numCache>
            </c:numRef>
          </c:val>
          <c:smooth val="0"/>
          <c:extLst>
            <c:ext xmlns:c16="http://schemas.microsoft.com/office/drawing/2014/chart" uri="{C3380CC4-5D6E-409C-BE32-E72D297353CC}">
              <c16:uniqueId val="{00000004-ECEE-4DC5-8EC2-E980353AB105}"/>
            </c:ext>
          </c:extLst>
        </c:ser>
        <c:ser>
          <c:idx val="5"/>
          <c:order val="5"/>
          <c:tx>
            <c:strRef>
              <c:f>'Měnové podmínky 1'!$H$5</c:f>
              <c:strCache>
                <c:ptCount val="1"/>
                <c:pt idx="0">
                  <c:v>Average yield of government bonds (10Y)</c:v>
                </c:pt>
              </c:strCache>
            </c:strRef>
          </c:tx>
          <c:spPr>
            <a:ln w="19050">
              <a:solidFill>
                <a:srgbClr val="48AEE7"/>
              </a:solidFill>
            </a:ln>
          </c:spPr>
          <c:marker>
            <c:symbol val="none"/>
          </c:marker>
          <c:cat>
            <c:multiLvlStrRef>
              <c:f>'Měnové podmínky 1'!$A$18:$B$89</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2019</c:v>
                  </c:pt>
                  <c:pt idx="12">
                    <c:v>2020</c:v>
                  </c:pt>
                  <c:pt idx="24">
                    <c:v>2021</c:v>
                  </c:pt>
                  <c:pt idx="36">
                    <c:v>2022</c:v>
                  </c:pt>
                  <c:pt idx="48">
                    <c:v>2023</c:v>
                  </c:pt>
                  <c:pt idx="60">
                    <c:v>2024</c:v>
                  </c:pt>
                </c:lvl>
              </c:multiLvlStrCache>
            </c:multiLvlStrRef>
          </c:cat>
          <c:val>
            <c:numRef>
              <c:f>'Měnové podmínky 1'!$H$18:$H$89</c:f>
              <c:numCache>
                <c:formatCode>General</c:formatCode>
                <c:ptCount val="72"/>
                <c:pt idx="0">
                  <c:v>1.85</c:v>
                </c:pt>
                <c:pt idx="1">
                  <c:v>1.76</c:v>
                </c:pt>
                <c:pt idx="2">
                  <c:v>1.82</c:v>
                </c:pt>
                <c:pt idx="3">
                  <c:v>1.82</c:v>
                </c:pt>
                <c:pt idx="4">
                  <c:v>1.86</c:v>
                </c:pt>
                <c:pt idx="5">
                  <c:v>1.58</c:v>
                </c:pt>
                <c:pt idx="6">
                  <c:v>1.36</c:v>
                </c:pt>
                <c:pt idx="7">
                  <c:v>0.99</c:v>
                </c:pt>
                <c:pt idx="8">
                  <c:v>1.24</c:v>
                </c:pt>
                <c:pt idx="9">
                  <c:v>1.32</c:v>
                </c:pt>
                <c:pt idx="10">
                  <c:v>1.47</c:v>
                </c:pt>
                <c:pt idx="11">
                  <c:v>1.51</c:v>
                </c:pt>
                <c:pt idx="12">
                  <c:v>1.62</c:v>
                </c:pt>
                <c:pt idx="13">
                  <c:v>1.47</c:v>
                </c:pt>
                <c:pt idx="14">
                  <c:v>1.28</c:v>
                </c:pt>
                <c:pt idx="15">
                  <c:v>1.28</c:v>
                </c:pt>
                <c:pt idx="16">
                  <c:v>0.92</c:v>
                </c:pt>
                <c:pt idx="17">
                  <c:v>0.86</c:v>
                </c:pt>
                <c:pt idx="18">
                  <c:v>0.86</c:v>
                </c:pt>
                <c:pt idx="19">
                  <c:v>0.95</c:v>
                </c:pt>
                <c:pt idx="20">
                  <c:v>0.98</c:v>
                </c:pt>
                <c:pt idx="21">
                  <c:v>0.94</c:v>
                </c:pt>
                <c:pt idx="22">
                  <c:v>1.1200000000000001</c:v>
                </c:pt>
                <c:pt idx="23">
                  <c:v>1.26</c:v>
                </c:pt>
                <c:pt idx="24">
                  <c:v>1.28</c:v>
                </c:pt>
                <c:pt idx="25">
                  <c:v>1.49</c:v>
                </c:pt>
                <c:pt idx="26">
                  <c:v>1.87</c:v>
                </c:pt>
                <c:pt idx="27">
                  <c:v>1.86</c:v>
                </c:pt>
                <c:pt idx="28">
                  <c:v>1.74</c:v>
                </c:pt>
                <c:pt idx="29">
                  <c:v>1.67</c:v>
                </c:pt>
                <c:pt idx="30">
                  <c:v>1.72</c:v>
                </c:pt>
                <c:pt idx="31">
                  <c:v>1.74</c:v>
                </c:pt>
                <c:pt idx="32">
                  <c:v>1.9</c:v>
                </c:pt>
                <c:pt idx="33">
                  <c:v>2.34</c:v>
                </c:pt>
                <c:pt idx="34">
                  <c:v>2.62</c:v>
                </c:pt>
                <c:pt idx="35">
                  <c:v>2.62</c:v>
                </c:pt>
                <c:pt idx="36">
                  <c:v>3.12</c:v>
                </c:pt>
                <c:pt idx="37">
                  <c:v>3.03</c:v>
                </c:pt>
                <c:pt idx="38">
                  <c:v>3.53</c:v>
                </c:pt>
                <c:pt idx="39">
                  <c:v>4.01</c:v>
                </c:pt>
                <c:pt idx="40">
                  <c:v>4.6100000000000003</c:v>
                </c:pt>
                <c:pt idx="41">
                  <c:v>5.12</c:v>
                </c:pt>
                <c:pt idx="42">
                  <c:v>4.4000000000000004</c:v>
                </c:pt>
                <c:pt idx="43">
                  <c:v>4.1100000000000003</c:v>
                </c:pt>
                <c:pt idx="44">
                  <c:v>4.72</c:v>
                </c:pt>
                <c:pt idx="45">
                  <c:v>5.52</c:v>
                </c:pt>
                <c:pt idx="46">
                  <c:v>5.1100000000000003</c:v>
                </c:pt>
                <c:pt idx="47">
                  <c:v>4.71</c:v>
                </c:pt>
                <c:pt idx="48" formatCode="###\ ###\ ###\ ###\ ##0.00;\-###\ ###\ ###\ ###\ ##0.00">
                  <c:v>4.4683071740930735</c:v>
                </c:pt>
                <c:pt idx="49" formatCode="###\ ###\ ###\ ###\ ##0.00;\-###\ ###\ ###\ ###\ ##0.00">
                  <c:v>4.6124456250457779</c:v>
                </c:pt>
                <c:pt idx="50" formatCode="###\ ###\ ###\ ###\ ##0.00;\-###\ ###\ ###\ ###\ ##0.00">
                  <c:v>4.6664316498532505</c:v>
                </c:pt>
                <c:pt idx="51" formatCode="###\ ###\ ###\ ###\ ##0.00;\-###\ ###\ ###\ ###\ ##0.00">
                  <c:v>4.6464031535593682</c:v>
                </c:pt>
                <c:pt idx="52" formatCode="###\ ###\ ###\ ###\ ##0.00;\-###\ ###\ ###\ ###\ ##0.00">
                  <c:v>4.4999821517871696</c:v>
                </c:pt>
                <c:pt idx="53" formatCode="###\ ###\ ###\ ###\ ##0.00;\-###\ ###\ ###\ ###\ ##0.00">
                  <c:v>4.3475817201909166</c:v>
                </c:pt>
                <c:pt idx="54" formatCode="###\ ###\ ###\ ###\ ##0.00;\-###\ ###\ ###\ ###\ ##0.00">
                  <c:v>4.1488922058727873</c:v>
                </c:pt>
                <c:pt idx="55" formatCode="###\ ###\ ###\ ###\ ##0.00;\-###\ ###\ ###\ ###\ ##0.00">
                  <c:v>4.2612326220421171</c:v>
                </c:pt>
                <c:pt idx="56" formatCode="###\ ###\ ###\ ###\ ##0.00;\-###\ ###\ ###\ ###\ ##0.00">
                  <c:v>4.4941452526073471</c:v>
                </c:pt>
                <c:pt idx="57" formatCode="###\ ###\ ###\ ###\ ##0.00;\-###\ ###\ ###\ ###\ ##0.00">
                  <c:v>4.7196492538174732</c:v>
                </c:pt>
                <c:pt idx="58" formatCode="###\ ###\ ###\ ###\ ##0.00;\-###\ ###\ ###\ ###\ ##0.00">
                  <c:v>4.4238011822001155</c:v>
                </c:pt>
                <c:pt idx="59" formatCode="###\ ###\ ###\ ###\ ##0.00;\-###\ ###\ ###\ ###\ ##0.00">
                  <c:v>3.9723129766524465</c:v>
                </c:pt>
                <c:pt idx="60" formatCode="###\ ###\ ###\ ###\ ##0.00;\-###\ ###\ ###\ ###\ ##0.00">
                  <c:v>3.8808928950535173</c:v>
                </c:pt>
                <c:pt idx="61" formatCode="###\ ###\ ###\ ###\ ##0.00;\-###\ ###\ ###\ ###\ ##0.00">
                  <c:v>3.7595547903987336</c:v>
                </c:pt>
                <c:pt idx="62" formatCode="###\ ###\ ###\ ###\ ##0.00;\-###\ ###\ ###\ ###\ ##0.00">
                  <c:v>3.8237627295684833</c:v>
                </c:pt>
                <c:pt idx="63" formatCode="###\ ###\ ###\ ###\ ##0.00;\-###\ ###\ ###\ ###\ ##0.00">
                  <c:v>4.2047003389485704</c:v>
                </c:pt>
                <c:pt idx="64" formatCode="###\ ###\ ###\ ###\ ##0.00;\-###\ ###\ ###\ ###\ ##0.00">
                  <c:v>4.1563388742973695</c:v>
                </c:pt>
                <c:pt idx="65" formatCode="###\ ###\ ###\ ###\ ##0.00;\-###\ ###\ ###\ ###\ ##0.00">
                  <c:v>4.2111868231811522</c:v>
                </c:pt>
                <c:pt idx="66" formatCode="###\ ###\ ###\ ###\ ##0.00;\-###\ ###\ ###\ ###\ ##0.00">
                  <c:v>3.9530858135362124</c:v>
                </c:pt>
                <c:pt idx="67" formatCode="###\ ###\ ###\ ###\ ##0.00;\-###\ ###\ ###\ ###\ ##0.00">
                  <c:v>3.7819619047615758</c:v>
                </c:pt>
                <c:pt idx="68" formatCode="###\ ###\ ###\ ###\ ##0.00;\-###\ ###\ ###\ ###\ ##0.00">
                  <c:v>3.7680573318990085</c:v>
                </c:pt>
                <c:pt idx="69" formatCode="###\ ###\ ###\ ###\ ##0.00;\-###\ ###\ ###\ ###\ ##0.00">
                  <c:v>3.9822987021498251</c:v>
                </c:pt>
                <c:pt idx="70" formatCode="###\ ###\ ###\ ###\ ##0.00;\-###\ ###\ ###\ ###\ ##0.00">
                  <c:v>4.1040262289864691</c:v>
                </c:pt>
                <c:pt idx="71" formatCode="###\ ###\ ###\ ###\ ##0.00;\-###\ ###\ ###\ ###\ ##0.00">
                  <c:v>4.1331038326115088</c:v>
                </c:pt>
              </c:numCache>
            </c:numRef>
          </c:val>
          <c:smooth val="0"/>
          <c:extLst>
            <c:ext xmlns:c16="http://schemas.microsoft.com/office/drawing/2014/chart" uri="{C3380CC4-5D6E-409C-BE32-E72D297353CC}">
              <c16:uniqueId val="{00000005-ECEE-4DC5-8EC2-E980353AB105}"/>
            </c:ext>
          </c:extLst>
        </c:ser>
        <c:dLbls>
          <c:showLegendKey val="0"/>
          <c:showVal val="0"/>
          <c:showCatName val="0"/>
          <c:showSerName val="0"/>
          <c:showPercent val="0"/>
          <c:showBubbleSize val="0"/>
        </c:dLbls>
        <c:marker val="1"/>
        <c:smooth val="0"/>
        <c:axId val="131001344"/>
        <c:axId val="131027712"/>
      </c:lineChart>
      <c:catAx>
        <c:axId val="131001344"/>
        <c:scaling>
          <c:orientation val="minMax"/>
        </c:scaling>
        <c:delete val="0"/>
        <c:axPos val="b"/>
        <c:numFmt formatCode="General" sourceLinked="0"/>
        <c:majorTickMark val="out"/>
        <c:minorTickMark val="none"/>
        <c:tickLblPos val="low"/>
        <c:spPr>
          <a:ln>
            <a:solidFill>
              <a:schemeClr val="tx1"/>
            </a:solidFill>
          </a:ln>
        </c:spPr>
        <c:crossAx val="131027712"/>
        <c:crosses val="autoZero"/>
        <c:auto val="1"/>
        <c:lblAlgn val="ctr"/>
        <c:lblOffset val="100"/>
        <c:noMultiLvlLbl val="0"/>
      </c:catAx>
      <c:valAx>
        <c:axId val="131027712"/>
        <c:scaling>
          <c:orientation val="minMax"/>
          <c:min val="-1"/>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1001344"/>
        <c:crosses val="autoZero"/>
        <c:crossBetween val="between"/>
        <c:majorUnit val="1"/>
      </c:valAx>
      <c:spPr>
        <a:ln>
          <a:solidFill>
            <a:schemeClr val="tx1"/>
          </a:solidFill>
        </a:ln>
      </c:spPr>
    </c:plotArea>
    <c:legend>
      <c:legendPos val="b"/>
      <c:layout>
        <c:manualLayout>
          <c:xMode val="edge"/>
          <c:yMode val="edge"/>
          <c:x val="4.2139690982776527E-2"/>
          <c:y val="0.87558269120103249"/>
          <c:w val="0.93886651469098281"/>
          <c:h val="0.11015705924459968"/>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547146084085555E-2"/>
          <c:y val="1.7107287133586922E-2"/>
          <c:w val="0.83426501745522175"/>
          <c:h val="0.75194595942833931"/>
        </c:manualLayout>
      </c:layout>
      <c:barChart>
        <c:barDir val="col"/>
        <c:grouping val="stacked"/>
        <c:varyColors val="0"/>
        <c:ser>
          <c:idx val="1"/>
          <c:order val="1"/>
          <c:tx>
            <c:strRef>
              <c:f>'G1-SR-příjmy-příspěvky'!$A$34</c:f>
              <c:strCache>
                <c:ptCount val="1"/>
                <c:pt idx="0">
                  <c:v>Other taxes and fees</c:v>
                </c:pt>
              </c:strCache>
            </c:strRef>
          </c:tx>
          <c:spPr>
            <a:solidFill>
              <a:schemeClr val="bg1">
                <a:lumMod val="75000"/>
              </a:schemeClr>
            </a:solidFill>
            <a:ln w="12700">
              <a:noFill/>
              <a:prstDash val="solid"/>
            </a:ln>
          </c:spPr>
          <c:invertIfNegative val="0"/>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'G1-SR-příjmy-příspěvky'!$E$34:$U$34</c:f>
              <c:numCache>
                <c:formatCode>0.0</c:formatCode>
                <c:ptCount val="17"/>
                <c:pt idx="0">
                  <c:v>0.13436205726317316</c:v>
                </c:pt>
                <c:pt idx="1">
                  <c:v>-0.43783892347861714</c:v>
                </c:pt>
                <c:pt idx="2">
                  <c:v>0.39966089378708991</c:v>
                </c:pt>
                <c:pt idx="3">
                  <c:v>0.45359346851715154</c:v>
                </c:pt>
                <c:pt idx="4">
                  <c:v>0.36091954456633102</c:v>
                </c:pt>
                <c:pt idx="5">
                  <c:v>-0.19669432258787548</c:v>
                </c:pt>
                <c:pt idx="6">
                  <c:v>-3.3756193936022194E-2</c:v>
                </c:pt>
                <c:pt idx="7">
                  <c:v>-0.21161967177130644</c:v>
                </c:pt>
                <c:pt idx="8">
                  <c:v>0.99101056462652126</c:v>
                </c:pt>
                <c:pt idx="9">
                  <c:v>0.24244696058614976</c:v>
                </c:pt>
                <c:pt idx="10">
                  <c:v>0.15610407782379043</c:v>
                </c:pt>
                <c:pt idx="11">
                  <c:v>0.4561529259270794</c:v>
                </c:pt>
                <c:pt idx="12">
                  <c:v>-0.24507318270758718</c:v>
                </c:pt>
                <c:pt idx="13">
                  <c:v>0.38912595873892608</c:v>
                </c:pt>
                <c:pt idx="14">
                  <c:v>0.49625884514210111</c:v>
                </c:pt>
                <c:pt idx="15">
                  <c:v>4.9027758286436622</c:v>
                </c:pt>
                <c:pt idx="16">
                  <c:v>-0.34979676042511548</c:v>
                </c:pt>
              </c:numCache>
            </c:numRef>
          </c:val>
          <c:extLst>
            <c:ext xmlns:c16="http://schemas.microsoft.com/office/drawing/2014/chart" uri="{C3380CC4-5D6E-409C-BE32-E72D297353CC}">
              <c16:uniqueId val="{00000000-8A68-4AB0-97A4-6DEBF62E8F73}"/>
            </c:ext>
          </c:extLst>
        </c:ser>
        <c:ser>
          <c:idx val="3"/>
          <c:order val="2"/>
          <c:tx>
            <c:strRef>
              <c:f>'G1-SR-příjmy-příspěvky'!$A$35</c:f>
              <c:strCache>
                <c:ptCount val="1"/>
                <c:pt idx="0">
                  <c:v>Income tax of NP, paid by employees</c:v>
                </c:pt>
              </c:strCache>
            </c:strRef>
          </c:tx>
          <c:spPr>
            <a:solidFill>
              <a:srgbClr val="EA6C75"/>
            </a:solidFill>
            <a:ln w="19050">
              <a:noFill/>
              <a:prstDash val="sysDot"/>
            </a:ln>
          </c:spPr>
          <c:invertIfNegative val="0"/>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'G1-SR-příjmy-příspěvky'!$E$35:$U$35</c:f>
              <c:numCache>
                <c:formatCode>0.0</c:formatCode>
                <c:ptCount val="17"/>
                <c:pt idx="0">
                  <c:v>-1.5527821256908578</c:v>
                </c:pt>
                <c:pt idx="1">
                  <c:v>-0.55432817834906656</c:v>
                </c:pt>
                <c:pt idx="2">
                  <c:v>0.12110936175366264</c:v>
                </c:pt>
                <c:pt idx="3">
                  <c:v>1.0852176920748848</c:v>
                </c:pt>
                <c:pt idx="4">
                  <c:v>5.9256972671679085E-2</c:v>
                </c:pt>
                <c:pt idx="5">
                  <c:v>0.87185461004426801</c:v>
                </c:pt>
                <c:pt idx="6">
                  <c:v>0.631414777460238</c:v>
                </c:pt>
                <c:pt idx="7">
                  <c:v>0.67342941472377671</c:v>
                </c:pt>
                <c:pt idx="8">
                  <c:v>1.6207594849932943</c:v>
                </c:pt>
                <c:pt idx="9">
                  <c:v>2.2360758157590221</c:v>
                </c:pt>
                <c:pt idx="10">
                  <c:v>2.5650495208593513</c:v>
                </c:pt>
                <c:pt idx="11">
                  <c:v>2.2145487595779811</c:v>
                </c:pt>
                <c:pt idx="12">
                  <c:v>-1.0526560208410962</c:v>
                </c:pt>
                <c:pt idx="13">
                  <c:v>-6.4557034146693351</c:v>
                </c:pt>
                <c:pt idx="14">
                  <c:v>1.0630342864068227</c:v>
                </c:pt>
                <c:pt idx="15">
                  <c:v>2.2839349884944475</c:v>
                </c:pt>
                <c:pt idx="16">
                  <c:v>1.7763016879021192</c:v>
                </c:pt>
              </c:numCache>
            </c:numRef>
          </c:val>
          <c:extLst>
            <c:ext xmlns:c16="http://schemas.microsoft.com/office/drawing/2014/chart" uri="{C3380CC4-5D6E-409C-BE32-E72D297353CC}">
              <c16:uniqueId val="{00000001-8A68-4AB0-97A4-6DEBF62E8F73}"/>
            </c:ext>
          </c:extLst>
        </c:ser>
        <c:ser>
          <c:idx val="4"/>
          <c:order val="3"/>
          <c:tx>
            <c:strRef>
              <c:f>'G1-SR-příjmy-příspěvky'!$A$36</c:f>
              <c:strCache>
                <c:ptCount val="1"/>
                <c:pt idx="0">
                  <c:v>Income tax of NP, others</c:v>
                </c:pt>
              </c:strCache>
            </c:strRef>
          </c:tx>
          <c:spPr>
            <a:solidFill>
              <a:srgbClr val="FFD757"/>
            </a:solidFill>
            <a:ln w="19050">
              <a:noFill/>
            </a:ln>
          </c:spPr>
          <c:invertIfNegative val="0"/>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'G1-SR-příjmy-příspěvky'!$E$36:$U$36</c:f>
              <c:numCache>
                <c:formatCode>0.0</c:formatCode>
                <c:ptCount val="17"/>
                <c:pt idx="0">
                  <c:v>0.35321984125884731</c:v>
                </c:pt>
                <c:pt idx="1">
                  <c:v>-1.6643234919997332</c:v>
                </c:pt>
                <c:pt idx="2">
                  <c:v>0.37392515441443608</c:v>
                </c:pt>
                <c:pt idx="3">
                  <c:v>-0.60097712828051175</c:v>
                </c:pt>
                <c:pt idx="4">
                  <c:v>0.35272007542667466</c:v>
                </c:pt>
                <c:pt idx="5">
                  <c:v>-0.13614133500691225</c:v>
                </c:pt>
                <c:pt idx="6">
                  <c:v>5.5948144838251154E-2</c:v>
                </c:pt>
                <c:pt idx="7">
                  <c:v>0.29502621978374827</c:v>
                </c:pt>
                <c:pt idx="8">
                  <c:v>0.5813726562598428</c:v>
                </c:pt>
                <c:pt idx="9">
                  <c:v>6.7589193423445867E-2</c:v>
                </c:pt>
                <c:pt idx="10">
                  <c:v>0.27497666712976421</c:v>
                </c:pt>
                <c:pt idx="11">
                  <c:v>0.40549455394307243</c:v>
                </c:pt>
                <c:pt idx="12">
                  <c:v>-0.32978914864881098</c:v>
                </c:pt>
                <c:pt idx="13">
                  <c:v>0.71473521007537433</c:v>
                </c:pt>
                <c:pt idx="14">
                  <c:v>1.123549474244133</c:v>
                </c:pt>
                <c:pt idx="15">
                  <c:v>1.0754046813056026</c:v>
                </c:pt>
                <c:pt idx="16">
                  <c:v>0.22569119130030674</c:v>
                </c:pt>
              </c:numCache>
            </c:numRef>
          </c:val>
          <c:extLst>
            <c:ext xmlns:c16="http://schemas.microsoft.com/office/drawing/2014/chart" uri="{C3380CC4-5D6E-409C-BE32-E72D297353CC}">
              <c16:uniqueId val="{00000002-8A68-4AB0-97A4-6DEBF62E8F73}"/>
            </c:ext>
          </c:extLst>
        </c:ser>
        <c:ser>
          <c:idx val="2"/>
          <c:order val="4"/>
          <c:tx>
            <c:strRef>
              <c:f>'G1-SR-příjmy-příspěvky'!$A$37</c:f>
              <c:strCache>
                <c:ptCount val="1"/>
                <c:pt idx="0">
                  <c:v>Corporate tax (without extraordinary taxes)</c:v>
                </c:pt>
              </c:strCache>
            </c:strRef>
          </c:tx>
          <c:spPr>
            <a:solidFill>
              <a:srgbClr val="F9B073"/>
            </a:solidFill>
            <a:ln>
              <a:noFill/>
            </a:ln>
          </c:spPr>
          <c:invertIfNegative val="0"/>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'G1-SR-příjmy-příspěvky'!$E$37:$U$37</c:f>
              <c:numCache>
                <c:formatCode>0.0</c:formatCode>
                <c:ptCount val="17"/>
                <c:pt idx="0">
                  <c:v>2.731566772401758</c:v>
                </c:pt>
                <c:pt idx="1">
                  <c:v>-8.42337818839124</c:v>
                </c:pt>
                <c:pt idx="2">
                  <c:v>0.64490735133826005</c:v>
                </c:pt>
                <c:pt idx="3">
                  <c:v>-0.82868548863619973</c:v>
                </c:pt>
                <c:pt idx="4">
                  <c:v>1.3953606183879348</c:v>
                </c:pt>
                <c:pt idx="5">
                  <c:v>-1.0011201200508351</c:v>
                </c:pt>
                <c:pt idx="6">
                  <c:v>1.555891265977974</c:v>
                </c:pt>
                <c:pt idx="7">
                  <c:v>1.9381939917097666</c:v>
                </c:pt>
                <c:pt idx="8">
                  <c:v>2.1019797088722365</c:v>
                </c:pt>
                <c:pt idx="9">
                  <c:v>0.66800652833506169</c:v>
                </c:pt>
                <c:pt idx="10">
                  <c:v>0.35264183265496524</c:v>
                </c:pt>
                <c:pt idx="11">
                  <c:v>0.87073588998886398</c:v>
                </c:pt>
                <c:pt idx="12">
                  <c:v>-2.0708537130073017</c:v>
                </c:pt>
                <c:pt idx="13">
                  <c:v>3.8866812074730066</c:v>
                </c:pt>
                <c:pt idx="14">
                  <c:v>3.3224740440006921</c:v>
                </c:pt>
                <c:pt idx="15">
                  <c:v>6.5729866214661019</c:v>
                </c:pt>
                <c:pt idx="16">
                  <c:v>-1.5023121712316587</c:v>
                </c:pt>
              </c:numCache>
            </c:numRef>
          </c:val>
          <c:extLst>
            <c:ext xmlns:c16="http://schemas.microsoft.com/office/drawing/2014/chart" uri="{C3380CC4-5D6E-409C-BE32-E72D297353CC}">
              <c16:uniqueId val="{00000003-8A68-4AB0-97A4-6DEBF62E8F73}"/>
            </c:ext>
          </c:extLst>
        </c:ser>
        <c:ser>
          <c:idx val="5"/>
          <c:order val="5"/>
          <c:tx>
            <c:strRef>
              <c:f>'G1-SR-příjmy-příspěvky'!$A$38</c:f>
              <c:strCache>
                <c:ptCount val="1"/>
                <c:pt idx="0">
                  <c:v>Consumption tax</c:v>
                </c:pt>
              </c:strCache>
            </c:strRef>
          </c:tx>
          <c:spPr>
            <a:solidFill>
              <a:srgbClr val="00B050"/>
            </a:solidFill>
            <a:ln>
              <a:noFill/>
            </a:ln>
          </c:spPr>
          <c:invertIfNegative val="0"/>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'G1-SR-příjmy-příspěvky'!$E$38:$U$38</c:f>
              <c:numCache>
                <c:formatCode>0.0</c:formatCode>
                <c:ptCount val="17"/>
                <c:pt idx="0">
                  <c:v>-0.82002410205975518</c:v>
                </c:pt>
                <c:pt idx="1">
                  <c:v>-0.2624355626966588</c:v>
                </c:pt>
                <c:pt idx="2">
                  <c:v>1.089984255782974</c:v>
                </c:pt>
                <c:pt idx="3">
                  <c:v>1.1976306800985781</c:v>
                </c:pt>
                <c:pt idx="4">
                  <c:v>2.8217606034132009E-2</c:v>
                </c:pt>
                <c:pt idx="5">
                  <c:v>-0.46205544002346255</c:v>
                </c:pt>
                <c:pt idx="6">
                  <c:v>-0.28107282287786706</c:v>
                </c:pt>
                <c:pt idx="7">
                  <c:v>1.1788221564402921</c:v>
                </c:pt>
                <c:pt idx="8">
                  <c:v>0.94411988085893939</c:v>
                </c:pt>
                <c:pt idx="9">
                  <c:v>0.51818381624642562</c:v>
                </c:pt>
                <c:pt idx="10">
                  <c:v>0.48698157842828849</c:v>
                </c:pt>
                <c:pt idx="11">
                  <c:v>-3.2322029662130852E-2</c:v>
                </c:pt>
                <c:pt idx="12">
                  <c:v>-0.43076419151863088</c:v>
                </c:pt>
                <c:pt idx="13">
                  <c:v>-0.47146544798768619</c:v>
                </c:pt>
                <c:pt idx="14">
                  <c:v>0.28868970114685799</c:v>
                </c:pt>
                <c:pt idx="15">
                  <c:v>-0.42596944785138008</c:v>
                </c:pt>
                <c:pt idx="16">
                  <c:v>1.1237773758780198</c:v>
                </c:pt>
              </c:numCache>
            </c:numRef>
          </c:val>
          <c:extLst>
            <c:ext xmlns:c16="http://schemas.microsoft.com/office/drawing/2014/chart" uri="{C3380CC4-5D6E-409C-BE32-E72D297353CC}">
              <c16:uniqueId val="{00000004-8A68-4AB0-97A4-6DEBF62E8F73}"/>
            </c:ext>
          </c:extLst>
        </c:ser>
        <c:ser>
          <c:idx val="6"/>
          <c:order val="6"/>
          <c:tx>
            <c:strRef>
              <c:f>'G1-SR-příjmy-příspěvky'!$A$39</c:f>
              <c:strCache>
                <c:ptCount val="1"/>
                <c:pt idx="0">
                  <c:v>VAT</c:v>
                </c:pt>
              </c:strCache>
            </c:strRef>
          </c:tx>
          <c:spPr>
            <a:solidFill>
              <a:schemeClr val="accent5">
                <a:lumMod val="60000"/>
                <a:lumOff val="40000"/>
              </a:schemeClr>
            </a:solidFill>
            <a:ln w="19050">
              <a:noFill/>
            </a:ln>
          </c:spPr>
          <c:invertIfNegative val="0"/>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'G1-SR-příjmy-příspěvky'!$E$39:$U$39</c:f>
              <c:numCache>
                <c:formatCode>0.0</c:formatCode>
                <c:ptCount val="17"/>
                <c:pt idx="0">
                  <c:v>2.6055157702270293</c:v>
                </c:pt>
                <c:pt idx="1">
                  <c:v>-0.21155519850036503</c:v>
                </c:pt>
                <c:pt idx="2">
                  <c:v>2.4131040329417499</c:v>
                </c:pt>
                <c:pt idx="3">
                  <c:v>0.84165621802354074</c:v>
                </c:pt>
                <c:pt idx="4">
                  <c:v>0.40069000568471147</c:v>
                </c:pt>
                <c:pt idx="5">
                  <c:v>4.157123795211092</c:v>
                </c:pt>
                <c:pt idx="6">
                  <c:v>1.9208863061132175</c:v>
                </c:pt>
                <c:pt idx="7">
                  <c:v>1.1493195344619132</c:v>
                </c:pt>
                <c:pt idx="8">
                  <c:v>2.1838115743541984</c:v>
                </c:pt>
                <c:pt idx="9">
                  <c:v>3.6002510363555777</c:v>
                </c:pt>
                <c:pt idx="10">
                  <c:v>3.3186115323065781</c:v>
                </c:pt>
                <c:pt idx="11">
                  <c:v>1.7904445521930701</c:v>
                </c:pt>
                <c:pt idx="12">
                  <c:v>-0.47516406466209399</c:v>
                </c:pt>
                <c:pt idx="13">
                  <c:v>3.6157405564344423</c:v>
                </c:pt>
                <c:pt idx="14">
                  <c:v>6.9272296081153657</c:v>
                </c:pt>
                <c:pt idx="15">
                  <c:v>2.6134043336641852</c:v>
                </c:pt>
                <c:pt idx="16">
                  <c:v>1.2219543727578628</c:v>
                </c:pt>
              </c:numCache>
            </c:numRef>
          </c:val>
          <c:extLst>
            <c:ext xmlns:c16="http://schemas.microsoft.com/office/drawing/2014/chart" uri="{C3380CC4-5D6E-409C-BE32-E72D297353CC}">
              <c16:uniqueId val="{00000005-8A68-4AB0-97A4-6DEBF62E8F73}"/>
            </c:ext>
          </c:extLst>
        </c:ser>
        <c:dLbls>
          <c:showLegendKey val="0"/>
          <c:showVal val="0"/>
          <c:showCatName val="0"/>
          <c:showSerName val="0"/>
          <c:showPercent val="0"/>
          <c:showBubbleSize val="0"/>
        </c:dLbls>
        <c:gapWidth val="49"/>
        <c:overlap val="100"/>
        <c:axId val="194467712"/>
        <c:axId val="194473984"/>
      </c:barChart>
      <c:lineChart>
        <c:grouping val="standard"/>
        <c:varyColors val="0"/>
        <c:ser>
          <c:idx val="0"/>
          <c:order val="0"/>
          <c:tx>
            <c:strRef>
              <c:f>'G1-SR-příjmy-příspěvky'!$A$33</c:f>
              <c:strCache>
                <c:ptCount val="1"/>
                <c:pt idx="0">
                  <c:v>Total tax income (excl. soc.security premiums)</c:v>
                </c:pt>
              </c:strCache>
            </c:strRef>
          </c:tx>
          <c:spPr>
            <a:ln w="19050">
              <a:noFill/>
            </a:ln>
          </c:spPr>
          <c:marker>
            <c:symbol val="circle"/>
            <c:size val="7"/>
            <c:spPr>
              <a:solidFill>
                <a:schemeClr val="bg1"/>
              </a:solidFill>
              <a:ln>
                <a:solidFill>
                  <a:schemeClr val="tx1">
                    <a:lumMod val="95000"/>
                    <a:lumOff val="5000"/>
                  </a:schemeClr>
                </a:solidFill>
              </a:ln>
            </c:spPr>
          </c:marker>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'G1-SR-příjmy-příspěvky'!$E$33:$U$33</c:f>
              <c:numCache>
                <c:formatCode>0.0</c:formatCode>
                <c:ptCount val="17"/>
                <c:pt idx="0">
                  <c:v>3.4518582134002003</c:v>
                </c:pt>
                <c:pt idx="1">
                  <c:v>-11.553859543415683</c:v>
                </c:pt>
                <c:pt idx="2">
                  <c:v>5.0426910500181776</c:v>
                </c:pt>
                <c:pt idx="3">
                  <c:v>2.14843544179746</c:v>
                </c:pt>
                <c:pt idx="4">
                  <c:v>2.597164822771461</c:v>
                </c:pt>
                <c:pt idx="5">
                  <c:v>3.2329671875862829</c:v>
                </c:pt>
                <c:pt idx="6">
                  <c:v>3.8493114775757959</c:v>
                </c:pt>
                <c:pt idx="7">
                  <c:v>5.0231716453481852</c:v>
                </c:pt>
                <c:pt idx="8">
                  <c:v>8.4230538699650452</c:v>
                </c:pt>
                <c:pt idx="9">
                  <c:v>7.3325533507056804</c:v>
                </c:pt>
                <c:pt idx="10">
                  <c:v>7.1543652092027372</c:v>
                </c:pt>
                <c:pt idx="11">
                  <c:v>5.7050546519679273</c:v>
                </c:pt>
                <c:pt idx="12">
                  <c:v>-4.6043003213854945</c:v>
                </c:pt>
                <c:pt idx="13">
                  <c:v>1.6791140700647134</c:v>
                </c:pt>
                <c:pt idx="14">
                  <c:v>13.221235959055974</c:v>
                </c:pt>
                <c:pt idx="15">
                  <c:v>17.022537005722626</c:v>
                </c:pt>
                <c:pt idx="16">
                  <c:v>2.495615696181531</c:v>
                </c:pt>
              </c:numCache>
            </c:numRef>
          </c:val>
          <c:smooth val="0"/>
          <c:extLst>
            <c:ext xmlns:c16="http://schemas.microsoft.com/office/drawing/2014/chart" uri="{C3380CC4-5D6E-409C-BE32-E72D297353CC}">
              <c16:uniqueId val="{00000006-8A68-4AB0-97A4-6DEBF62E8F73}"/>
            </c:ext>
          </c:extLst>
        </c:ser>
        <c:ser>
          <c:idx val="7"/>
          <c:order val="7"/>
          <c:tx>
            <c:strRef>
              <c:f>'G1-SR-příjmy-příspěvky'!$A$40</c:f>
              <c:strCache>
                <c:ptCount val="1"/>
                <c:pt idx="0">
                  <c:v>Social security premiums revenues*</c:v>
                </c:pt>
              </c:strCache>
            </c:strRef>
          </c:tx>
          <c:spPr>
            <a:ln w="6350">
              <a:noFill/>
              <a:prstDash val="dash"/>
            </a:ln>
          </c:spPr>
          <c:marker>
            <c:symbol val="triangle"/>
            <c:size val="5"/>
            <c:spPr>
              <a:solidFill>
                <a:schemeClr val="tx1">
                  <a:lumMod val="85000"/>
                  <a:lumOff val="15000"/>
                </a:schemeClr>
              </a:solidFill>
              <a:ln>
                <a:solidFill>
                  <a:schemeClr val="tx1">
                    <a:lumMod val="95000"/>
                    <a:lumOff val="5000"/>
                  </a:schemeClr>
                </a:solidFill>
              </a:ln>
            </c:spPr>
          </c:marker>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'G1-SR-příjmy-příspěvky'!$E$40:$U$40</c:f>
              <c:numCache>
                <c:formatCode>0.0</c:formatCode>
                <c:ptCount val="17"/>
                <c:pt idx="0">
                  <c:v>4.963380435078534</c:v>
                </c:pt>
                <c:pt idx="1">
                  <c:v>-9.7530608009960531</c:v>
                </c:pt>
                <c:pt idx="2">
                  <c:v>2.2763853759484789</c:v>
                </c:pt>
                <c:pt idx="3">
                  <c:v>3.0856564748201549</c:v>
                </c:pt>
                <c:pt idx="4">
                  <c:v>1.2812823728258991</c:v>
                </c:pt>
                <c:pt idx="5">
                  <c:v>0.18004546818745837</c:v>
                </c:pt>
                <c:pt idx="6">
                  <c:v>2.8854393544132932</c:v>
                </c:pt>
                <c:pt idx="7">
                  <c:v>5.7035679195659696</c:v>
                </c:pt>
                <c:pt idx="8">
                  <c:v>5.8487562070294956</c:v>
                </c:pt>
                <c:pt idx="9">
                  <c:v>8.8257477392857737</c:v>
                </c:pt>
                <c:pt idx="10">
                  <c:v>10.091138884587664</c:v>
                </c:pt>
                <c:pt idx="11">
                  <c:v>7.4794726724714025</c:v>
                </c:pt>
                <c:pt idx="12">
                  <c:v>-2.0257445497974231</c:v>
                </c:pt>
                <c:pt idx="13">
                  <c:v>10.169913745206131</c:v>
                </c:pt>
                <c:pt idx="14">
                  <c:v>7.0843896490699052</c:v>
                </c:pt>
                <c:pt idx="15">
                  <c:v>8.0778415217012167</c:v>
                </c:pt>
                <c:pt idx="16">
                  <c:v>9.1978411930194284</c:v>
                </c:pt>
              </c:numCache>
            </c:numRef>
          </c:val>
          <c:smooth val="0"/>
          <c:extLst>
            <c:ext xmlns:c16="http://schemas.microsoft.com/office/drawing/2014/chart" uri="{C3380CC4-5D6E-409C-BE32-E72D297353CC}">
              <c16:uniqueId val="{00000007-8A68-4AB0-97A4-6DEBF62E8F73}"/>
            </c:ext>
          </c:extLst>
        </c:ser>
        <c:dLbls>
          <c:showLegendKey val="0"/>
          <c:showVal val="0"/>
          <c:showCatName val="0"/>
          <c:showSerName val="0"/>
          <c:showPercent val="0"/>
          <c:showBubbleSize val="0"/>
        </c:dLbls>
        <c:marker val="1"/>
        <c:smooth val="0"/>
        <c:axId val="194467712"/>
        <c:axId val="194473984"/>
      </c:lineChart>
      <c:lineChart>
        <c:grouping val="standard"/>
        <c:varyColors val="0"/>
        <c:ser>
          <c:idx val="8"/>
          <c:order val="8"/>
          <c:tx>
            <c:strRef>
              <c:f>'G1-SR-příjmy-příspěvky'!$A$41</c:f>
              <c:strCache>
                <c:ptCount val="1"/>
                <c:pt idx="0">
                  <c:v>State budget (SB) balance</c:v>
                </c:pt>
              </c:strCache>
            </c:strRef>
          </c:tx>
          <c:spPr>
            <a:ln w="19050">
              <a:solidFill>
                <a:schemeClr val="bg2">
                  <a:lumMod val="50000"/>
                </a:schemeClr>
              </a:solidFill>
            </a:ln>
          </c:spPr>
          <c:marker>
            <c:symbol val="none"/>
          </c:marker>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'G1-SR-příjmy-příspěvky'!$E$41:$U$41</c:f>
              <c:numCache>
                <c:formatCode>#\ ##0.0</c:formatCode>
                <c:ptCount val="17"/>
                <c:pt idx="0">
                  <c:v>-20.003</c:v>
                </c:pt>
                <c:pt idx="1">
                  <c:v>-192.39400000000001</c:v>
                </c:pt>
                <c:pt idx="2">
                  <c:v>-156.416</c:v>
                </c:pt>
                <c:pt idx="3">
                  <c:v>-142.77099999999999</c:v>
                </c:pt>
                <c:pt idx="4">
                  <c:v>-101</c:v>
                </c:pt>
                <c:pt idx="5">
                  <c:v>-81.263999999999996</c:v>
                </c:pt>
                <c:pt idx="6">
                  <c:v>-77.78</c:v>
                </c:pt>
                <c:pt idx="7">
                  <c:v>-62.8</c:v>
                </c:pt>
                <c:pt idx="8">
                  <c:v>61.77</c:v>
                </c:pt>
                <c:pt idx="9">
                  <c:v>-6.15</c:v>
                </c:pt>
                <c:pt idx="10">
                  <c:v>2.94</c:v>
                </c:pt>
                <c:pt idx="11">
                  <c:v>-28.52</c:v>
                </c:pt>
                <c:pt idx="12">
                  <c:v>-367.44914888590029</c:v>
                </c:pt>
                <c:pt idx="13">
                  <c:v>-419.6878585549</c:v>
                </c:pt>
                <c:pt idx="14">
                  <c:v>-360.40048457025</c:v>
                </c:pt>
                <c:pt idx="15">
                  <c:v>-288.51503705804953</c:v>
                </c:pt>
                <c:pt idx="16">
                  <c:v>-271.39801004010951</c:v>
                </c:pt>
              </c:numCache>
            </c:numRef>
          </c:val>
          <c:smooth val="0"/>
          <c:extLst>
            <c:ext xmlns:c16="http://schemas.microsoft.com/office/drawing/2014/chart" uri="{C3380CC4-5D6E-409C-BE32-E72D297353CC}">
              <c16:uniqueId val="{00000008-8A68-4AB0-97A4-6DEBF62E8F73}"/>
            </c:ext>
          </c:extLst>
        </c:ser>
        <c:ser>
          <c:idx val="9"/>
          <c:order val="9"/>
          <c:tx>
            <c:strRef>
              <c:f>'G1-SR-příjmy-příspěvky'!$A$42</c:f>
              <c:strCache>
                <c:ptCount val="1"/>
                <c:pt idx="0">
                  <c:v>SB balance adjusted for EU and FM effect**</c:v>
                </c:pt>
              </c:strCache>
            </c:strRef>
          </c:tx>
          <c:spPr>
            <a:ln w="19050">
              <a:solidFill>
                <a:schemeClr val="bg2">
                  <a:lumMod val="75000"/>
                </a:schemeClr>
              </a:solidFill>
              <a:prstDash val="sysDash"/>
            </a:ln>
          </c:spPr>
          <c:marker>
            <c:symbol val="none"/>
          </c:marker>
          <c:cat>
            <c:numRef>
              <c:f>'G1-SR-příjmy-příspěvky'!$E$32:$U$32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'G1-SR-příjmy-příspěvky'!$E$42:$U$42</c:f>
              <c:numCache>
                <c:formatCode>General</c:formatCode>
                <c:ptCount val="17"/>
                <c:pt idx="2" formatCode="#\ ##0.0">
                  <c:v>-139.30000000000001</c:v>
                </c:pt>
                <c:pt idx="3" formatCode="#\ ##0.0">
                  <c:v>-117.5</c:v>
                </c:pt>
                <c:pt idx="4" formatCode="#\ ##0.0">
                  <c:v>-70.599999999999994</c:v>
                </c:pt>
                <c:pt idx="5" formatCode="#\ ##0.0">
                  <c:v>-81.73296260617991</c:v>
                </c:pt>
                <c:pt idx="6" formatCode="#\ ##0.0">
                  <c:v>-64.099999999999994</c:v>
                </c:pt>
                <c:pt idx="7" formatCode="#\ ##0.0">
                  <c:v>-41.7</c:v>
                </c:pt>
                <c:pt idx="8" formatCode="#\ ##0.0">
                  <c:v>-13.6</c:v>
                </c:pt>
                <c:pt idx="9" formatCode="#\ ##0.0">
                  <c:v>-1.3</c:v>
                </c:pt>
                <c:pt idx="10" formatCode="#\ ##0.0">
                  <c:v>-3.5</c:v>
                </c:pt>
                <c:pt idx="11" formatCode="#\ ##0.0">
                  <c:v>-29.2</c:v>
                </c:pt>
                <c:pt idx="12" formatCode="#\ ##0.0">
                  <c:v>-364.9</c:v>
                </c:pt>
                <c:pt idx="13" formatCode="#\ ##0.0">
                  <c:v>-408.62534300788002</c:v>
                </c:pt>
                <c:pt idx="14" formatCode="#\ ##0.0">
                  <c:v>-316.78614650160944</c:v>
                </c:pt>
                <c:pt idx="15" formatCode="#\ ##0.0">
                  <c:v>-300.61728585086007</c:v>
                </c:pt>
                <c:pt idx="16" formatCode="#\ ##0.0">
                  <c:v>-287.4150820042496</c:v>
                </c:pt>
              </c:numCache>
            </c:numRef>
          </c:val>
          <c:smooth val="0"/>
          <c:extLst>
            <c:ext xmlns:c16="http://schemas.microsoft.com/office/drawing/2014/chart" uri="{C3380CC4-5D6E-409C-BE32-E72D297353CC}">
              <c16:uniqueId val="{00000009-8A68-4AB0-97A4-6DEBF62E8F73}"/>
            </c:ext>
          </c:extLst>
        </c:ser>
        <c:dLbls>
          <c:showLegendKey val="0"/>
          <c:showVal val="0"/>
          <c:showCatName val="0"/>
          <c:showSerName val="0"/>
          <c:showPercent val="0"/>
          <c:showBubbleSize val="0"/>
        </c:dLbls>
        <c:marker val="1"/>
        <c:smooth val="0"/>
        <c:axId val="539204576"/>
        <c:axId val="556140592"/>
      </c:lineChart>
      <c:catAx>
        <c:axId val="194467712"/>
        <c:scaling>
          <c:orientation val="minMax"/>
        </c:scaling>
        <c:delete val="0"/>
        <c:axPos val="b"/>
        <c:numFmt formatCode="General" sourceLinked="1"/>
        <c:majorTickMark val="out"/>
        <c:minorTickMark val="none"/>
        <c:tickLblPos val="low"/>
        <c:spPr>
          <a:ln w="6350">
            <a:solidFill>
              <a:schemeClr val="tx1"/>
            </a:solidFill>
          </a:ln>
        </c:spPr>
        <c:txPr>
          <a:bodyPr rot="-2220000"/>
          <a:lstStyle/>
          <a:p>
            <a:pPr>
              <a:defRPr sz="800" b="0" i="0"/>
            </a:pPr>
            <a:endParaRPr lang="cs-CZ"/>
          </a:p>
        </c:txPr>
        <c:crossAx val="194473984"/>
        <c:crosses val="autoZero"/>
        <c:auto val="1"/>
        <c:lblAlgn val="ctr"/>
        <c:lblOffset val="0"/>
        <c:noMultiLvlLbl val="0"/>
      </c:catAx>
      <c:valAx>
        <c:axId val="194473984"/>
        <c:scaling>
          <c:orientation val="minMax"/>
          <c:max val="20"/>
          <c:min val="-35"/>
        </c:scaling>
        <c:delete val="0"/>
        <c:axPos val="l"/>
        <c:majorGridlines>
          <c:spPr>
            <a:ln w="6350">
              <a:solidFill>
                <a:schemeClr val="bg1">
                  <a:lumMod val="75000"/>
                </a:schemeClr>
              </a:solidFill>
            </a:ln>
          </c:spPr>
        </c:majorGridlines>
        <c:title>
          <c:tx>
            <c:rich>
              <a:bodyPr/>
              <a:lstStyle/>
              <a:p>
                <a:pPr>
                  <a:defRPr b="0"/>
                </a:pPr>
                <a:r>
                  <a:rPr lang="cs-CZ" b="0"/>
                  <a:t>Insurance revenue growth, contribution to rax revenue growth </a:t>
                </a:r>
              </a:p>
            </c:rich>
          </c:tx>
          <c:layout/>
          <c:overlay val="0"/>
        </c:title>
        <c:numFmt formatCode="0" sourceLinked="0"/>
        <c:majorTickMark val="out"/>
        <c:minorTickMark val="none"/>
        <c:tickLblPos val="nextTo"/>
        <c:spPr>
          <a:ln w="6350">
            <a:solidFill>
              <a:schemeClr val="tx1"/>
            </a:solidFill>
          </a:ln>
        </c:spPr>
        <c:txPr>
          <a:bodyPr/>
          <a:lstStyle/>
          <a:p>
            <a:pPr>
              <a:defRPr sz="800" b="0" i="0"/>
            </a:pPr>
            <a:endParaRPr lang="cs-CZ"/>
          </a:p>
        </c:txPr>
        <c:crossAx val="194467712"/>
        <c:crosses val="autoZero"/>
        <c:crossBetween val="between"/>
        <c:majorUnit val="5"/>
      </c:valAx>
      <c:valAx>
        <c:axId val="556140592"/>
        <c:scaling>
          <c:orientation val="minMax"/>
          <c:max val="240"/>
          <c:min val="-420"/>
        </c:scaling>
        <c:delete val="0"/>
        <c:axPos val="r"/>
        <c:title>
          <c:tx>
            <c:rich>
              <a:bodyPr/>
              <a:lstStyle/>
              <a:p>
                <a:pPr>
                  <a:defRPr b="0"/>
                </a:pPr>
                <a:r>
                  <a:rPr lang="cs-CZ" b="0"/>
                  <a:t>State budget balance</a:t>
                </a:r>
              </a:p>
            </c:rich>
          </c:tx>
          <c:layout>
            <c:manualLayout>
              <c:xMode val="edge"/>
              <c:yMode val="edge"/>
              <c:x val="0.97036646544776606"/>
              <c:y val="0.20963215506367217"/>
            </c:manualLayout>
          </c:layout>
          <c:overlay val="0"/>
        </c:title>
        <c:numFmt formatCode="#,##0" sourceLinked="0"/>
        <c:majorTickMark val="out"/>
        <c:minorTickMark val="none"/>
        <c:tickLblPos val="nextTo"/>
        <c:txPr>
          <a:bodyPr/>
          <a:lstStyle/>
          <a:p>
            <a:pPr>
              <a:defRPr sz="800" b="0" i="0"/>
            </a:pPr>
            <a:endParaRPr lang="cs-CZ"/>
          </a:p>
        </c:txPr>
        <c:crossAx val="539204576"/>
        <c:crosses val="max"/>
        <c:crossBetween val="between"/>
        <c:majorUnit val="60"/>
      </c:valAx>
      <c:catAx>
        <c:axId val="539204576"/>
        <c:scaling>
          <c:orientation val="minMax"/>
        </c:scaling>
        <c:delete val="1"/>
        <c:axPos val="b"/>
        <c:numFmt formatCode="General" sourceLinked="1"/>
        <c:majorTickMark val="out"/>
        <c:minorTickMark val="none"/>
        <c:tickLblPos val="nextTo"/>
        <c:crossAx val="556140592"/>
        <c:crosses val="autoZero"/>
        <c:auto val="1"/>
        <c:lblAlgn val="ctr"/>
        <c:lblOffset val="100"/>
        <c:noMultiLvlLbl val="0"/>
      </c:catAx>
      <c:spPr>
        <a:ln w="6350">
          <a:solidFill>
            <a:schemeClr val="tx1"/>
          </a:solidFill>
        </a:ln>
      </c:spPr>
    </c:plotArea>
    <c:legend>
      <c:legendPos val="b"/>
      <c:layout>
        <c:manualLayout>
          <c:xMode val="edge"/>
          <c:yMode val="edge"/>
          <c:x val="3.7396313082827905E-2"/>
          <c:y val="0.84265959516578315"/>
          <c:w val="0.94125077913808075"/>
          <c:h val="0.1536733294810981"/>
        </c:manualLayout>
      </c:layout>
      <c:overlay val="0"/>
      <c:spPr>
        <a:ln w="6350">
          <a:solidFill>
            <a:schemeClr val="tx1"/>
          </a:solidFill>
        </a:ln>
      </c:spPr>
      <c:txPr>
        <a:bodyPr/>
        <a:lstStyle/>
        <a:p>
          <a:pPr>
            <a:defRPr sz="700" b="0" i="0"/>
          </a:pPr>
          <a:endParaRPr lang="cs-CZ"/>
        </a:p>
      </c:txPr>
    </c:legend>
    <c:plotVisOnly val="1"/>
    <c:dispBlanksAs val="gap"/>
    <c:showDLblsOverMax val="0"/>
  </c:chart>
  <c:spPr>
    <a:ln>
      <a:noFill/>
    </a:ln>
  </c:spPr>
  <c:txPr>
    <a:bodyPr/>
    <a:lstStyle/>
    <a:p>
      <a:pPr>
        <a:defRPr sz="700" b="1" i="1">
          <a:latin typeface="Arial" panose="020B0604020202020204" pitchFamily="34" charset="0"/>
          <a:cs typeface="Arial" panose="020B0604020202020204" pitchFamily="34" charset="0"/>
        </a:defRPr>
      </a:pPr>
      <a:endParaRPr lang="cs-CZ"/>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576336352808819E-2"/>
          <c:y val="1.7698902479006788E-2"/>
          <c:w val="0.8350684878939636"/>
          <c:h val="0.71002184388104528"/>
        </c:manualLayout>
      </c:layout>
      <c:barChart>
        <c:barDir val="col"/>
        <c:grouping val="clustered"/>
        <c:varyColors val="0"/>
        <c:ser>
          <c:idx val="0"/>
          <c:order val="0"/>
          <c:tx>
            <c:strRef>
              <c:f>'G2-St.rozpočet-výdaje-2024'!$B$33</c:f>
              <c:strCache>
                <c:ptCount val="1"/>
                <c:pt idx="0">
                  <c:v>Total current expenditures (right axis)</c:v>
                </c:pt>
              </c:strCache>
            </c:strRef>
          </c:tx>
          <c:spPr>
            <a:solidFill>
              <a:srgbClr val="E8E8E8"/>
            </a:solidFill>
            <a:ln w="6350">
              <a:solidFill>
                <a:schemeClr val="bg1">
                  <a:lumMod val="65000"/>
                </a:schemeClr>
              </a:solidFill>
            </a:ln>
          </c:spPr>
          <c:invertIfNegative val="0"/>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'G2-St.rozpočet-výdaje-2024'!$B$37:$B$53</c:f>
              <c:numCache>
                <c:formatCode>0.0</c:formatCode>
                <c:ptCount val="17"/>
                <c:pt idx="0">
                  <c:v>975.86</c:v>
                </c:pt>
                <c:pt idx="1">
                  <c:v>1032.78</c:v>
                </c:pt>
                <c:pt idx="2">
                  <c:v>1021.89</c:v>
                </c:pt>
                <c:pt idx="3">
                  <c:v>1031.83</c:v>
                </c:pt>
                <c:pt idx="4">
                  <c:v>1038.76</c:v>
                </c:pt>
                <c:pt idx="5">
                  <c:v>1070.8130000000001</c:v>
                </c:pt>
                <c:pt idx="6">
                  <c:v>1100.1020000000001</c:v>
                </c:pt>
                <c:pt idx="7">
                  <c:v>1121.6600000000001</c:v>
                </c:pt>
                <c:pt idx="8">
                  <c:v>1135.57</c:v>
                </c:pt>
                <c:pt idx="9">
                  <c:v>1198.05</c:v>
                </c:pt>
                <c:pt idx="10">
                  <c:v>1284.5</c:v>
                </c:pt>
                <c:pt idx="11">
                  <c:v>1412.5989294339895</c:v>
                </c:pt>
                <c:pt idx="12">
                  <c:v>1670.3085864663701</c:v>
                </c:pt>
                <c:pt idx="13">
                  <c:v>1729.78958897348</c:v>
                </c:pt>
                <c:pt idx="14">
                  <c:v>1797.9543482348001</c:v>
                </c:pt>
                <c:pt idx="15">
                  <c:v>1992.17183615831</c:v>
                </c:pt>
                <c:pt idx="16">
                  <c:v>2026.66137422776</c:v>
                </c:pt>
              </c:numCache>
            </c:numRef>
          </c:val>
          <c:extLst>
            <c:ext xmlns:c16="http://schemas.microsoft.com/office/drawing/2014/chart" uri="{C3380CC4-5D6E-409C-BE32-E72D297353CC}">
              <c16:uniqueId val="{00000000-28C9-4CA9-AE00-6855B7DE94B7}"/>
            </c:ext>
          </c:extLst>
        </c:ser>
        <c:ser>
          <c:idx val="1"/>
          <c:order val="1"/>
          <c:tx>
            <c:strRef>
              <c:f>'G2-St.rozpočet-výdaje-2024'!$C$33</c:f>
              <c:strCache>
                <c:ptCount val="1"/>
                <c:pt idx="0">
                  <c:v>In that expenditures on pensions (right axis)</c:v>
                </c:pt>
              </c:strCache>
            </c:strRef>
          </c:tx>
          <c:spPr>
            <a:solidFill>
              <a:schemeClr val="bg1">
                <a:lumMod val="75000"/>
              </a:schemeClr>
            </a:solidFill>
            <a:ln w="6350">
              <a:solidFill>
                <a:schemeClr val="bg1">
                  <a:lumMod val="75000"/>
                </a:schemeClr>
              </a:solidFill>
            </a:ln>
          </c:spPr>
          <c:invertIfNegative val="0"/>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'G2-St.rozpočet-výdaje-2024'!$C$37:$C$53</c:f>
              <c:numCache>
                <c:formatCode>0.0</c:formatCode>
                <c:ptCount val="17"/>
                <c:pt idx="0">
                  <c:v>312.53199999999998</c:v>
                </c:pt>
                <c:pt idx="1">
                  <c:v>339.78800000000001</c:v>
                </c:pt>
                <c:pt idx="2">
                  <c:v>346.21300000000002</c:v>
                </c:pt>
                <c:pt idx="3">
                  <c:v>368.06900000000002</c:v>
                </c:pt>
                <c:pt idx="4">
                  <c:v>382.03100000000001</c:v>
                </c:pt>
                <c:pt idx="5">
                  <c:v>382.77300000000002</c:v>
                </c:pt>
                <c:pt idx="6">
                  <c:v>385.84</c:v>
                </c:pt>
                <c:pt idx="7">
                  <c:v>395.22</c:v>
                </c:pt>
                <c:pt idx="8">
                  <c:v>398.97</c:v>
                </c:pt>
                <c:pt idx="9">
                  <c:v>414.39</c:v>
                </c:pt>
                <c:pt idx="10">
                  <c:v>433.84407565780998</c:v>
                </c:pt>
                <c:pt idx="11">
                  <c:v>471.57754787601999</c:v>
                </c:pt>
                <c:pt idx="12">
                  <c:v>519.56821115258003</c:v>
                </c:pt>
                <c:pt idx="13">
                  <c:v>530.49962626152001</c:v>
                </c:pt>
                <c:pt idx="14">
                  <c:v>588.08604572466004</c:v>
                </c:pt>
                <c:pt idx="15">
                  <c:v>685.32250789549005</c:v>
                </c:pt>
                <c:pt idx="16">
                  <c:v>709.99563979051993</c:v>
                </c:pt>
              </c:numCache>
            </c:numRef>
          </c:val>
          <c:extLst>
            <c:ext xmlns:c16="http://schemas.microsoft.com/office/drawing/2014/chart" uri="{C3380CC4-5D6E-409C-BE32-E72D297353CC}">
              <c16:uniqueId val="{00000001-28C9-4CA9-AE00-6855B7DE94B7}"/>
            </c:ext>
          </c:extLst>
        </c:ser>
        <c:dLbls>
          <c:showLegendKey val="0"/>
          <c:showVal val="0"/>
          <c:showCatName val="0"/>
          <c:showSerName val="0"/>
          <c:showPercent val="0"/>
          <c:showBubbleSize val="0"/>
        </c:dLbls>
        <c:gapWidth val="85"/>
        <c:overlap val="100"/>
        <c:axId val="72836608"/>
        <c:axId val="72835072"/>
      </c:barChart>
      <c:lineChart>
        <c:grouping val="standard"/>
        <c:varyColors val="0"/>
        <c:ser>
          <c:idx val="6"/>
          <c:order val="2"/>
          <c:tx>
            <c:strRef>
              <c:f>'G2-St.rozpočet-výdaje-2024'!$D$33</c:f>
              <c:strCache>
                <c:ptCount val="1"/>
                <c:pt idx="0">
                  <c:v>Wages of employees in public administration*</c:v>
                </c:pt>
              </c:strCache>
            </c:strRef>
          </c:tx>
          <c:spPr>
            <a:ln w="15875">
              <a:solidFill>
                <a:srgbClr val="D5D000"/>
              </a:solidFill>
            </a:ln>
          </c:spPr>
          <c:marker>
            <c:symbol val="none"/>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'G2-St.rozpočet-výdaje-2024'!$D$37:$D$53</c:f>
              <c:numCache>
                <c:formatCode>0.0</c:formatCode>
                <c:ptCount val="17"/>
                <c:pt idx="0">
                  <c:v>97.33</c:v>
                </c:pt>
                <c:pt idx="1">
                  <c:v>100.19</c:v>
                </c:pt>
                <c:pt idx="2">
                  <c:v>97.67</c:v>
                </c:pt>
                <c:pt idx="3">
                  <c:v>89.6</c:v>
                </c:pt>
                <c:pt idx="4">
                  <c:v>90.45</c:v>
                </c:pt>
                <c:pt idx="5">
                  <c:v>92.375</c:v>
                </c:pt>
                <c:pt idx="6">
                  <c:v>96.582999999999998</c:v>
                </c:pt>
                <c:pt idx="7">
                  <c:v>104.19</c:v>
                </c:pt>
                <c:pt idx="8">
                  <c:v>109.86</c:v>
                </c:pt>
                <c:pt idx="9">
                  <c:v>120.08</c:v>
                </c:pt>
                <c:pt idx="10">
                  <c:v>133.9</c:v>
                </c:pt>
                <c:pt idx="11">
                  <c:v>143.72754730148006</c:v>
                </c:pt>
                <c:pt idx="12">
                  <c:v>150.49796216553</c:v>
                </c:pt>
                <c:pt idx="13">
                  <c:v>152.83601356255002</c:v>
                </c:pt>
                <c:pt idx="14">
                  <c:v>153.60033768561999</c:v>
                </c:pt>
                <c:pt idx="15">
                  <c:v>165.85338141482998</c:v>
                </c:pt>
                <c:pt idx="16">
                  <c:v>166.91552121527999</c:v>
                </c:pt>
              </c:numCache>
            </c:numRef>
          </c:val>
          <c:smooth val="0"/>
          <c:extLst>
            <c:ext xmlns:c16="http://schemas.microsoft.com/office/drawing/2014/chart" uri="{C3380CC4-5D6E-409C-BE32-E72D297353CC}">
              <c16:uniqueId val="{00000002-28C9-4CA9-AE00-6855B7DE94B7}"/>
            </c:ext>
          </c:extLst>
        </c:ser>
        <c:ser>
          <c:idx val="7"/>
          <c:order val="3"/>
          <c:tx>
            <c:strRef>
              <c:f>'G2-St.rozpočet-výdaje-2024'!$E$33</c:f>
              <c:strCache>
                <c:ptCount val="1"/>
                <c:pt idx="0">
                  <c:v>Unemployment benefits</c:v>
                </c:pt>
              </c:strCache>
            </c:strRef>
          </c:tx>
          <c:spPr>
            <a:ln w="15875">
              <a:solidFill>
                <a:schemeClr val="tx1">
                  <a:lumMod val="95000"/>
                  <a:lumOff val="5000"/>
                </a:schemeClr>
              </a:solidFill>
            </a:ln>
          </c:spPr>
          <c:marker>
            <c:symbol val="none"/>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'G2-St.rozpočet-výdaje-2024'!$E$37:$E$53</c:f>
              <c:numCache>
                <c:formatCode>0.0</c:formatCode>
                <c:ptCount val="17"/>
                <c:pt idx="0">
                  <c:v>7.11</c:v>
                </c:pt>
                <c:pt idx="1">
                  <c:v>15.077999999999999</c:v>
                </c:pt>
                <c:pt idx="2">
                  <c:v>13.355</c:v>
                </c:pt>
                <c:pt idx="3">
                  <c:v>10.349</c:v>
                </c:pt>
                <c:pt idx="4">
                  <c:v>8.76</c:v>
                </c:pt>
                <c:pt idx="5">
                  <c:v>9.65</c:v>
                </c:pt>
                <c:pt idx="6">
                  <c:v>9.2620000000000005</c:v>
                </c:pt>
                <c:pt idx="7">
                  <c:v>8.2759999999999998</c:v>
                </c:pt>
                <c:pt idx="8">
                  <c:v>8.2200000000000006</c:v>
                </c:pt>
                <c:pt idx="9">
                  <c:v>7.82</c:v>
                </c:pt>
                <c:pt idx="10">
                  <c:v>7.51</c:v>
                </c:pt>
                <c:pt idx="11">
                  <c:v>8.1136251569399995</c:v>
                </c:pt>
                <c:pt idx="12">
                  <c:v>10.524849742540001</c:v>
                </c:pt>
                <c:pt idx="13">
                  <c:v>9.9694941281400009</c:v>
                </c:pt>
                <c:pt idx="14">
                  <c:v>9.8510506837400005</c:v>
                </c:pt>
                <c:pt idx="15">
                  <c:v>10.449400058329999</c:v>
                </c:pt>
                <c:pt idx="16">
                  <c:v>12.86891042833</c:v>
                </c:pt>
              </c:numCache>
            </c:numRef>
          </c:val>
          <c:smooth val="0"/>
          <c:extLst>
            <c:ext xmlns:c16="http://schemas.microsoft.com/office/drawing/2014/chart" uri="{C3380CC4-5D6E-409C-BE32-E72D297353CC}">
              <c16:uniqueId val="{00000003-28C9-4CA9-AE00-6855B7DE94B7}"/>
            </c:ext>
          </c:extLst>
        </c:ser>
        <c:ser>
          <c:idx val="2"/>
          <c:order val="4"/>
          <c:tx>
            <c:strRef>
              <c:f>'G2-St.rozpočet-výdaje-2024'!$F$33</c:f>
              <c:strCache>
                <c:ptCount val="1"/>
                <c:pt idx="0">
                  <c:v>State social support**</c:v>
                </c:pt>
              </c:strCache>
            </c:strRef>
          </c:tx>
          <c:spPr>
            <a:ln w="15875">
              <a:solidFill>
                <a:schemeClr val="accent6">
                  <a:lumMod val="75000"/>
                </a:schemeClr>
              </a:solidFill>
            </a:ln>
          </c:spPr>
          <c:marker>
            <c:symbol val="none"/>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'G2-St.rozpočet-výdaje-2024'!$F$37:$F$53</c:f>
              <c:numCache>
                <c:formatCode>0.0</c:formatCode>
                <c:ptCount val="17"/>
                <c:pt idx="0">
                  <c:v>41.97</c:v>
                </c:pt>
                <c:pt idx="1">
                  <c:v>41.167999999999999</c:v>
                </c:pt>
                <c:pt idx="2">
                  <c:v>40.881</c:v>
                </c:pt>
                <c:pt idx="3">
                  <c:v>36.094000000000001</c:v>
                </c:pt>
                <c:pt idx="4">
                  <c:v>35.554000000000002</c:v>
                </c:pt>
                <c:pt idx="5">
                  <c:v>37.423000000000002</c:v>
                </c:pt>
                <c:pt idx="6">
                  <c:v>37.543999999999997</c:v>
                </c:pt>
                <c:pt idx="7">
                  <c:v>37.65</c:v>
                </c:pt>
                <c:pt idx="8">
                  <c:v>37.78</c:v>
                </c:pt>
                <c:pt idx="9">
                  <c:v>37.22</c:v>
                </c:pt>
                <c:pt idx="10">
                  <c:v>39.22</c:v>
                </c:pt>
                <c:pt idx="11">
                  <c:v>37.87859106618</c:v>
                </c:pt>
                <c:pt idx="12">
                  <c:v>51.685289497479999</c:v>
                </c:pt>
                <c:pt idx="13">
                  <c:v>48.771589956349999</c:v>
                </c:pt>
                <c:pt idx="14">
                  <c:v>56.352518862019998</c:v>
                </c:pt>
                <c:pt idx="15">
                  <c:v>59.946979211910005</c:v>
                </c:pt>
                <c:pt idx="16">
                  <c:v>60.357934192649999</c:v>
                </c:pt>
              </c:numCache>
            </c:numRef>
          </c:val>
          <c:smooth val="0"/>
          <c:extLst>
            <c:ext xmlns:c16="http://schemas.microsoft.com/office/drawing/2014/chart" uri="{C3380CC4-5D6E-409C-BE32-E72D297353CC}">
              <c16:uniqueId val="{00000004-28C9-4CA9-AE00-6855B7DE94B7}"/>
            </c:ext>
          </c:extLst>
        </c:ser>
        <c:ser>
          <c:idx val="3"/>
          <c:order val="5"/>
          <c:tx>
            <c:strRef>
              <c:f>'G2-St.rozpočet-výdaje-2024'!$G$33</c:f>
              <c:strCache>
                <c:ptCount val="1"/>
                <c:pt idx="0">
                  <c:v>Sickness benefits</c:v>
                </c:pt>
              </c:strCache>
            </c:strRef>
          </c:tx>
          <c:spPr>
            <a:ln w="15875">
              <a:solidFill>
                <a:srgbClr val="00B0F0"/>
              </a:solidFill>
            </a:ln>
          </c:spPr>
          <c:marker>
            <c:symbol val="none"/>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'G2-St.rozpočet-výdaje-2024'!$G$37:$G$53</c:f>
              <c:numCache>
                <c:formatCode>0.0</c:formatCode>
                <c:ptCount val="17"/>
                <c:pt idx="0">
                  <c:v>31.882000000000001</c:v>
                </c:pt>
                <c:pt idx="1">
                  <c:v>26.233000000000001</c:v>
                </c:pt>
                <c:pt idx="2">
                  <c:v>22.995999999999999</c:v>
                </c:pt>
                <c:pt idx="3">
                  <c:v>21.734000000000002</c:v>
                </c:pt>
                <c:pt idx="4">
                  <c:v>19.602</c:v>
                </c:pt>
                <c:pt idx="5">
                  <c:v>20.350000000000001</c:v>
                </c:pt>
                <c:pt idx="6">
                  <c:v>22.283000000000001</c:v>
                </c:pt>
                <c:pt idx="7">
                  <c:v>24.31</c:v>
                </c:pt>
                <c:pt idx="8">
                  <c:v>26.5</c:v>
                </c:pt>
                <c:pt idx="9">
                  <c:v>28.57</c:v>
                </c:pt>
                <c:pt idx="10">
                  <c:v>34.261000000000003</c:v>
                </c:pt>
                <c:pt idx="11">
                  <c:v>39.229999999999997</c:v>
                </c:pt>
                <c:pt idx="12">
                  <c:v>55.610999999999997</c:v>
                </c:pt>
                <c:pt idx="13">
                  <c:v>51.904000000000003</c:v>
                </c:pt>
                <c:pt idx="14">
                  <c:v>48.125999999999998</c:v>
                </c:pt>
                <c:pt idx="15">
                  <c:v>45.918999999999997</c:v>
                </c:pt>
                <c:pt idx="16">
                  <c:v>48.03</c:v>
                </c:pt>
              </c:numCache>
            </c:numRef>
          </c:val>
          <c:smooth val="0"/>
          <c:extLst>
            <c:ext xmlns:c16="http://schemas.microsoft.com/office/drawing/2014/chart" uri="{C3380CC4-5D6E-409C-BE32-E72D297353CC}">
              <c16:uniqueId val="{00000005-28C9-4CA9-AE00-6855B7DE94B7}"/>
            </c:ext>
          </c:extLst>
        </c:ser>
        <c:ser>
          <c:idx val="4"/>
          <c:order val="6"/>
          <c:tx>
            <c:strRef>
              <c:f>'G2-St.rozpočet-výdaje-2024'!$H$33</c:f>
              <c:strCache>
                <c:ptCount val="1"/>
                <c:pt idx="0">
                  <c:v>Social care benefits***</c:v>
                </c:pt>
              </c:strCache>
            </c:strRef>
          </c:tx>
          <c:spPr>
            <a:ln w="15875">
              <a:solidFill>
                <a:srgbClr val="00B050"/>
              </a:solidFill>
              <a:prstDash val="solid"/>
            </a:ln>
          </c:spPr>
          <c:marker>
            <c:symbol val="none"/>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'G2-St.rozpočet-výdaje-2024'!$H$37:$H$53</c:f>
              <c:numCache>
                <c:formatCode>General</c:formatCode>
                <c:ptCount val="17"/>
                <c:pt idx="4" formatCode="0.0">
                  <c:v>27.695499999999999</c:v>
                </c:pt>
                <c:pt idx="5" formatCode="0.0">
                  <c:v>31.978999999999999</c:v>
                </c:pt>
                <c:pt idx="6" formatCode="0.0">
                  <c:v>33.622</c:v>
                </c:pt>
                <c:pt idx="7" formatCode="0.0">
                  <c:v>33.621000000000002</c:v>
                </c:pt>
                <c:pt idx="8" formatCode="0.0">
                  <c:v>34.295000000000002</c:v>
                </c:pt>
                <c:pt idx="9" formatCode="0.0">
                  <c:v>34.439</c:v>
                </c:pt>
                <c:pt idx="10" formatCode="0.0">
                  <c:v>33.990400000000001</c:v>
                </c:pt>
                <c:pt idx="11" formatCode="0.0">
                  <c:v>36.831099999999999</c:v>
                </c:pt>
                <c:pt idx="12" formatCode="0.0">
                  <c:v>40.510200000000005</c:v>
                </c:pt>
                <c:pt idx="13" formatCode="0.0">
                  <c:v>40.520200000000003</c:v>
                </c:pt>
                <c:pt idx="14" formatCode="0.0">
                  <c:v>53.4238</c:v>
                </c:pt>
                <c:pt idx="15" formatCode="0.0">
                  <c:v>53.747900000000001</c:v>
                </c:pt>
                <c:pt idx="16" formatCode="0.0">
                  <c:v>59.666800000000002</c:v>
                </c:pt>
              </c:numCache>
            </c:numRef>
          </c:val>
          <c:smooth val="0"/>
          <c:extLst>
            <c:ext xmlns:c16="http://schemas.microsoft.com/office/drawing/2014/chart" uri="{C3380CC4-5D6E-409C-BE32-E72D297353CC}">
              <c16:uniqueId val="{00000006-28C9-4CA9-AE00-6855B7DE94B7}"/>
            </c:ext>
          </c:extLst>
        </c:ser>
        <c:ser>
          <c:idx val="5"/>
          <c:order val="7"/>
          <c:tx>
            <c:strRef>
              <c:f>'G2-St.rozpočet-výdaje-2024'!$I$33</c:f>
              <c:strCache>
                <c:ptCount val="1"/>
                <c:pt idx="0">
                  <c:v>Non-investment purchases+other expend.****</c:v>
                </c:pt>
              </c:strCache>
            </c:strRef>
          </c:tx>
          <c:spPr>
            <a:ln w="15875">
              <a:solidFill>
                <a:srgbClr val="7030A0"/>
              </a:solidFill>
              <a:prstDash val="solid"/>
            </a:ln>
          </c:spPr>
          <c:marker>
            <c:symbol val="none"/>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'G2-St.rozpočet-výdaje-2024'!$I$37:$I$53</c:f>
              <c:numCache>
                <c:formatCode>0.0</c:formatCode>
                <c:ptCount val="17"/>
                <c:pt idx="0">
                  <c:v>71.581999999999994</c:v>
                </c:pt>
                <c:pt idx="1">
                  <c:v>69.73</c:v>
                </c:pt>
                <c:pt idx="2">
                  <c:v>65.116</c:v>
                </c:pt>
                <c:pt idx="3">
                  <c:v>57.98</c:v>
                </c:pt>
                <c:pt idx="4">
                  <c:v>53.174999999999997</c:v>
                </c:pt>
                <c:pt idx="5">
                  <c:v>54.192999999999998</c:v>
                </c:pt>
                <c:pt idx="6">
                  <c:v>54.751000000000005</c:v>
                </c:pt>
                <c:pt idx="7">
                  <c:v>62.36</c:v>
                </c:pt>
                <c:pt idx="8">
                  <c:v>57.560000000000009</c:v>
                </c:pt>
                <c:pt idx="9">
                  <c:v>62.76</c:v>
                </c:pt>
                <c:pt idx="10">
                  <c:v>68.41</c:v>
                </c:pt>
                <c:pt idx="11">
                  <c:v>66.430000000000007</c:v>
                </c:pt>
                <c:pt idx="12">
                  <c:v>77.884951001920001</c:v>
                </c:pt>
                <c:pt idx="13">
                  <c:v>78.966372350420002</c:v>
                </c:pt>
                <c:pt idx="14">
                  <c:v>91.193704519299956</c:v>
                </c:pt>
                <c:pt idx="15">
                  <c:v>81.520509210230003</c:v>
                </c:pt>
                <c:pt idx="16">
                  <c:v>94.679743562360002</c:v>
                </c:pt>
              </c:numCache>
            </c:numRef>
          </c:val>
          <c:smooth val="0"/>
          <c:extLst>
            <c:ext xmlns:c16="http://schemas.microsoft.com/office/drawing/2014/chart" uri="{C3380CC4-5D6E-409C-BE32-E72D297353CC}">
              <c16:uniqueId val="{00000007-28C9-4CA9-AE00-6855B7DE94B7}"/>
            </c:ext>
          </c:extLst>
        </c:ser>
        <c:ser>
          <c:idx val="9"/>
          <c:order val="8"/>
          <c:tx>
            <c:strRef>
              <c:f>'G2-St.rozpočet-výdaje-2024'!$J$33</c:f>
              <c:strCache>
                <c:ptCount val="1"/>
                <c:pt idx="0">
                  <c:v>Non-investment transfers to regional budgets</c:v>
                </c:pt>
              </c:strCache>
            </c:strRef>
          </c:tx>
          <c:spPr>
            <a:ln w="15875">
              <a:solidFill>
                <a:srgbClr val="B6793C"/>
              </a:solidFill>
              <a:prstDash val="solid"/>
            </a:ln>
          </c:spPr>
          <c:marker>
            <c:symbol val="none"/>
          </c:marker>
          <c:dPt>
            <c:idx val="4"/>
            <c:bubble3D val="0"/>
            <c:spPr>
              <a:ln w="15875">
                <a:solidFill>
                  <a:srgbClr val="B6793C"/>
                </a:solidFill>
                <a:prstDash val="sysDot"/>
              </a:ln>
            </c:spPr>
            <c:extLst>
              <c:ext xmlns:c16="http://schemas.microsoft.com/office/drawing/2014/chart" uri="{C3380CC4-5D6E-409C-BE32-E72D297353CC}">
                <c16:uniqueId val="{00000009-28C9-4CA9-AE00-6855B7DE94B7}"/>
              </c:ext>
            </c:extLst>
          </c:dPt>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'G2-St.rozpočet-výdaje-2024'!$J$37:$J$53</c:f>
              <c:numCache>
                <c:formatCode>#,##0.00</c:formatCode>
                <c:ptCount val="17"/>
                <c:pt idx="0">
                  <c:v>119.3</c:v>
                </c:pt>
                <c:pt idx="1">
                  <c:v>129.4</c:v>
                </c:pt>
                <c:pt idx="2">
                  <c:v>132.4</c:v>
                </c:pt>
                <c:pt idx="3">
                  <c:v>132.30000000000001</c:v>
                </c:pt>
                <c:pt idx="4">
                  <c:v>105.20546393110001</c:v>
                </c:pt>
                <c:pt idx="5">
                  <c:v>106.48404364000001</c:v>
                </c:pt>
                <c:pt idx="6">
                  <c:v>112.12688917</c:v>
                </c:pt>
                <c:pt idx="7">
                  <c:v>117.497858068</c:v>
                </c:pt>
                <c:pt idx="8">
                  <c:v>122.82178346766</c:v>
                </c:pt>
                <c:pt idx="9">
                  <c:v>139.13100662021</c:v>
                </c:pt>
                <c:pt idx="10">
                  <c:v>158.06343597119999</c:v>
                </c:pt>
                <c:pt idx="11">
                  <c:v>184.55132070984004</c:v>
                </c:pt>
                <c:pt idx="12">
                  <c:v>224.24818326262999</c:v>
                </c:pt>
                <c:pt idx="13">
                  <c:v>237.28943632501</c:v>
                </c:pt>
                <c:pt idx="14">
                  <c:v>242.93091176812001</c:v>
                </c:pt>
                <c:pt idx="15">
                  <c:v>265.88349008693001</c:v>
                </c:pt>
                <c:pt idx="16">
                  <c:v>259.60623368814998</c:v>
                </c:pt>
              </c:numCache>
            </c:numRef>
          </c:val>
          <c:smooth val="0"/>
          <c:extLst>
            <c:ext xmlns:c16="http://schemas.microsoft.com/office/drawing/2014/chart" uri="{C3380CC4-5D6E-409C-BE32-E72D297353CC}">
              <c16:uniqueId val="{0000000A-28C9-4CA9-AE00-6855B7DE94B7}"/>
            </c:ext>
          </c:extLst>
        </c:ser>
        <c:ser>
          <c:idx val="8"/>
          <c:order val="9"/>
          <c:tx>
            <c:strRef>
              <c:f>'G2-St.rozpočet-výdaje-2024'!$K$33</c:f>
              <c:strCache>
                <c:ptCount val="1"/>
                <c:pt idx="0">
                  <c:v>Noninvest. transfers to commercial entities</c:v>
                </c:pt>
              </c:strCache>
            </c:strRef>
          </c:tx>
          <c:spPr>
            <a:ln w="12700">
              <a:solidFill>
                <a:schemeClr val="accent2">
                  <a:lumMod val="60000"/>
                  <a:lumOff val="40000"/>
                </a:schemeClr>
              </a:solidFill>
              <a:prstDash val="sysDot"/>
            </a:ln>
          </c:spPr>
          <c:marker>
            <c:symbol val="square"/>
            <c:size val="5"/>
            <c:spPr>
              <a:solidFill>
                <a:schemeClr val="bg1"/>
              </a:solidFill>
              <a:ln>
                <a:solidFill>
                  <a:srgbClr val="996633"/>
                </a:solidFill>
              </a:ln>
            </c:spPr>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'G2-St.rozpočet-výdaje-2024'!$K$37:$K$53</c:f>
              <c:numCache>
                <c:formatCode>0.00</c:formatCode>
                <c:ptCount val="17"/>
                <c:pt idx="0">
                  <c:v>26.108000000000001</c:v>
                </c:pt>
                <c:pt idx="1">
                  <c:v>28.491</c:v>
                </c:pt>
                <c:pt idx="2">
                  <c:v>28.100999999999999</c:v>
                </c:pt>
                <c:pt idx="3">
                  <c:v>33.262999999999998</c:v>
                </c:pt>
                <c:pt idx="4">
                  <c:v>35.61</c:v>
                </c:pt>
                <c:pt idx="5">
                  <c:v>35.03</c:v>
                </c:pt>
                <c:pt idx="6">
                  <c:v>41.23</c:v>
                </c:pt>
                <c:pt idx="7">
                  <c:v>39.14</c:v>
                </c:pt>
                <c:pt idx="8">
                  <c:v>44.23</c:v>
                </c:pt>
                <c:pt idx="9">
                  <c:v>48.3</c:v>
                </c:pt>
                <c:pt idx="10">
                  <c:v>57.32</c:v>
                </c:pt>
                <c:pt idx="11">
                  <c:v>57.932912725290002</c:v>
                </c:pt>
                <c:pt idx="12">
                  <c:v>106.75302514385</c:v>
                </c:pt>
                <c:pt idx="13">
                  <c:v>125.41352918255001</c:v>
                </c:pt>
                <c:pt idx="14">
                  <c:v>89.292856818779995</c:v>
                </c:pt>
                <c:pt idx="15">
                  <c:v>137.69890614772999</c:v>
                </c:pt>
                <c:pt idx="16">
                  <c:v>66.545769186089998</c:v>
                </c:pt>
              </c:numCache>
            </c:numRef>
          </c:val>
          <c:smooth val="0"/>
          <c:extLst>
            <c:ext xmlns:c16="http://schemas.microsoft.com/office/drawing/2014/chart" uri="{C3380CC4-5D6E-409C-BE32-E72D297353CC}">
              <c16:uniqueId val="{0000000B-28C9-4CA9-AE00-6855B7DE94B7}"/>
            </c:ext>
          </c:extLst>
        </c:ser>
        <c:ser>
          <c:idx val="10"/>
          <c:order val="10"/>
          <c:tx>
            <c:strRef>
              <c:f>'G2-St.rozpočet-výdaje-2024'!$L$33</c:f>
              <c:strCache>
                <c:ptCount val="1"/>
                <c:pt idx="0">
                  <c:v>State debt (net expenditures) *****</c:v>
                </c:pt>
              </c:strCache>
            </c:strRef>
          </c:tx>
          <c:spPr>
            <a:ln w="15875">
              <a:noFill/>
              <a:prstDash val="sysDash"/>
            </a:ln>
          </c:spPr>
          <c:marker>
            <c:symbol val="diamond"/>
            <c:size val="5"/>
            <c:spPr>
              <a:solidFill>
                <a:srgbClr val="C00000"/>
              </a:solidFill>
              <a:ln>
                <a:noFill/>
              </a:ln>
            </c:spPr>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'G2-St.rozpočet-výdaje-2024'!$L$37:$L$53</c:f>
              <c:numCache>
                <c:formatCode>0.0</c:formatCode>
                <c:ptCount val="17"/>
                <c:pt idx="0">
                  <c:v>37.64</c:v>
                </c:pt>
                <c:pt idx="1">
                  <c:v>44.46</c:v>
                </c:pt>
                <c:pt idx="2">
                  <c:v>35.840000000000003</c:v>
                </c:pt>
                <c:pt idx="3">
                  <c:v>45.120000000000005</c:v>
                </c:pt>
                <c:pt idx="4">
                  <c:v>41.400000000000006</c:v>
                </c:pt>
                <c:pt idx="5">
                  <c:v>50.89</c:v>
                </c:pt>
                <c:pt idx="6">
                  <c:v>48.49</c:v>
                </c:pt>
                <c:pt idx="7">
                  <c:v>45.28</c:v>
                </c:pt>
                <c:pt idx="8">
                  <c:v>40.65</c:v>
                </c:pt>
                <c:pt idx="9">
                  <c:v>39.769999999999996</c:v>
                </c:pt>
                <c:pt idx="10">
                  <c:v>40.729999999999997</c:v>
                </c:pt>
                <c:pt idx="11">
                  <c:v>39.550577993799998</c:v>
                </c:pt>
                <c:pt idx="12">
                  <c:v>40.145474011320005</c:v>
                </c:pt>
                <c:pt idx="13">
                  <c:v>42.233847726199997</c:v>
                </c:pt>
                <c:pt idx="14">
                  <c:v>49.705483243529997</c:v>
                </c:pt>
                <c:pt idx="15">
                  <c:v>68.31769375044</c:v>
                </c:pt>
                <c:pt idx="16">
                  <c:v>88.457587403429997</c:v>
                </c:pt>
              </c:numCache>
            </c:numRef>
          </c:val>
          <c:smooth val="0"/>
          <c:extLst>
            <c:ext xmlns:c16="http://schemas.microsoft.com/office/drawing/2014/chart" uri="{C3380CC4-5D6E-409C-BE32-E72D297353CC}">
              <c16:uniqueId val="{0000000C-28C9-4CA9-AE00-6855B7DE94B7}"/>
            </c:ext>
          </c:extLst>
        </c:ser>
        <c:ser>
          <c:idx val="11"/>
          <c:order val="11"/>
          <c:tx>
            <c:strRef>
              <c:f>'G2-St.rozpočet-výdaje-2024'!$M$33</c:f>
              <c:strCache>
                <c:ptCount val="1"/>
                <c:pt idx="0">
                  <c:v>Capital expenditures</c:v>
                </c:pt>
              </c:strCache>
            </c:strRef>
          </c:tx>
          <c:spPr>
            <a:ln w="15875">
              <a:solidFill>
                <a:schemeClr val="tx1">
                  <a:lumMod val="95000"/>
                  <a:lumOff val="5000"/>
                </a:schemeClr>
              </a:solidFill>
              <a:prstDash val="sysDash"/>
            </a:ln>
          </c:spPr>
          <c:marker>
            <c:symbol val="none"/>
          </c:marker>
          <c:cat>
            <c:numRef>
              <c:f>'G2-St.rozpočet-výdaje-2024'!$A$37:$A$53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'G2-St.rozpočet-výdaje-2024'!$M$37:$M$53</c:f>
              <c:numCache>
                <c:formatCode>0.0</c:formatCode>
                <c:ptCount val="17"/>
                <c:pt idx="0">
                  <c:v>108.08</c:v>
                </c:pt>
                <c:pt idx="1">
                  <c:v>134.22999999999999</c:v>
                </c:pt>
                <c:pt idx="2">
                  <c:v>134.91</c:v>
                </c:pt>
                <c:pt idx="3">
                  <c:v>123.69</c:v>
                </c:pt>
                <c:pt idx="4">
                  <c:v>113.62</c:v>
                </c:pt>
                <c:pt idx="5">
                  <c:v>102.315</c:v>
                </c:pt>
                <c:pt idx="6">
                  <c:v>111.50700000000001</c:v>
                </c:pt>
                <c:pt idx="7">
                  <c:v>175.66</c:v>
                </c:pt>
                <c:pt idx="8">
                  <c:v>84.27</c:v>
                </c:pt>
                <c:pt idx="9">
                  <c:v>81.75</c:v>
                </c:pt>
                <c:pt idx="10">
                  <c:v>116.46</c:v>
                </c:pt>
                <c:pt idx="11">
                  <c:v>139.13928546782003</c:v>
                </c:pt>
                <c:pt idx="12">
                  <c:v>172.62079654905</c:v>
                </c:pt>
                <c:pt idx="13">
                  <c:v>177.13556603782001</c:v>
                </c:pt>
                <c:pt idx="14">
                  <c:v>186.85457144361001</c:v>
                </c:pt>
                <c:pt idx="15">
                  <c:v>210.46592558279002</c:v>
                </c:pt>
                <c:pt idx="16">
                  <c:v>210.12534301732998</c:v>
                </c:pt>
              </c:numCache>
            </c:numRef>
          </c:val>
          <c:smooth val="0"/>
          <c:extLst>
            <c:ext xmlns:c16="http://schemas.microsoft.com/office/drawing/2014/chart" uri="{C3380CC4-5D6E-409C-BE32-E72D297353CC}">
              <c16:uniqueId val="{0000000D-28C9-4CA9-AE00-6855B7DE94B7}"/>
            </c:ext>
          </c:extLst>
        </c:ser>
        <c:dLbls>
          <c:showLegendKey val="0"/>
          <c:showVal val="0"/>
          <c:showCatName val="0"/>
          <c:showSerName val="0"/>
          <c:showPercent val="0"/>
          <c:showBubbleSize val="0"/>
        </c:dLbls>
        <c:marker val="1"/>
        <c:smooth val="0"/>
        <c:axId val="72827648"/>
        <c:axId val="72829184"/>
      </c:lineChart>
      <c:catAx>
        <c:axId val="72827648"/>
        <c:scaling>
          <c:orientation val="minMax"/>
        </c:scaling>
        <c:delete val="0"/>
        <c:axPos val="b"/>
        <c:numFmt formatCode="General" sourceLinked="1"/>
        <c:majorTickMark val="out"/>
        <c:minorTickMark val="none"/>
        <c:tickLblPos val="low"/>
        <c:spPr>
          <a:ln w="6350">
            <a:solidFill>
              <a:schemeClr val="bg1">
                <a:lumMod val="50000"/>
              </a:schemeClr>
            </a:solidFill>
          </a:ln>
        </c:spPr>
        <c:txPr>
          <a:bodyPr rot="-1800000"/>
          <a:lstStyle/>
          <a:p>
            <a:pPr>
              <a:defRPr/>
            </a:pPr>
            <a:endParaRPr lang="cs-CZ"/>
          </a:p>
        </c:txPr>
        <c:crossAx val="72829184"/>
        <c:crosses val="autoZero"/>
        <c:auto val="1"/>
        <c:lblAlgn val="ctr"/>
        <c:lblOffset val="0"/>
        <c:noMultiLvlLbl val="0"/>
      </c:catAx>
      <c:valAx>
        <c:axId val="72829184"/>
        <c:scaling>
          <c:orientation val="minMax"/>
          <c:max val="275"/>
          <c:min val="0"/>
        </c:scaling>
        <c:delete val="0"/>
        <c:axPos val="l"/>
        <c:majorGridlines>
          <c:spPr>
            <a:ln w="6350">
              <a:solidFill>
                <a:schemeClr val="bg1">
                  <a:lumMod val="75000"/>
                </a:schemeClr>
              </a:solidFill>
            </a:ln>
          </c:spPr>
        </c:majorGridlines>
        <c:title>
          <c:tx>
            <c:rich>
              <a:bodyPr/>
              <a:lstStyle/>
              <a:p>
                <a:pPr>
                  <a:defRPr sz="700" b="0" i="1"/>
                </a:pPr>
                <a:r>
                  <a:rPr lang="cs-CZ" sz="700" b="0" i="1"/>
                  <a:t>Selected expenditures</a:t>
                </a:r>
              </a:p>
            </c:rich>
          </c:tx>
          <c:layout/>
          <c:overlay val="0"/>
        </c:title>
        <c:numFmt formatCode="0" sourceLinked="0"/>
        <c:majorTickMark val="out"/>
        <c:minorTickMark val="none"/>
        <c:tickLblPos val="nextTo"/>
        <c:spPr>
          <a:ln w="6350">
            <a:solidFill>
              <a:schemeClr val="tx1"/>
            </a:solidFill>
          </a:ln>
        </c:spPr>
        <c:crossAx val="72827648"/>
        <c:crosses val="autoZero"/>
        <c:crossBetween val="between"/>
        <c:majorUnit val="25"/>
      </c:valAx>
      <c:valAx>
        <c:axId val="72835072"/>
        <c:scaling>
          <c:orientation val="minMax"/>
          <c:max val="2200"/>
          <c:min val="0"/>
        </c:scaling>
        <c:delete val="0"/>
        <c:axPos val="r"/>
        <c:title>
          <c:tx>
            <c:rich>
              <a:bodyPr/>
              <a:lstStyle/>
              <a:p>
                <a:pPr>
                  <a:defRPr sz="700" b="0" i="1"/>
                </a:pPr>
                <a:r>
                  <a:rPr lang="cs-CZ" sz="700" b="0" i="1"/>
                  <a:t>Total current expenditures, pensions</a:t>
                </a:r>
              </a:p>
            </c:rich>
          </c:tx>
          <c:layout>
            <c:manualLayout>
              <c:xMode val="edge"/>
              <c:yMode val="edge"/>
              <c:x val="0.96904909706663278"/>
              <c:y val="0.16648817731466736"/>
            </c:manualLayout>
          </c:layout>
          <c:overlay val="0"/>
        </c:title>
        <c:numFmt formatCode="0" sourceLinked="0"/>
        <c:majorTickMark val="out"/>
        <c:minorTickMark val="none"/>
        <c:tickLblPos val="nextTo"/>
        <c:spPr>
          <a:ln w="6350">
            <a:solidFill>
              <a:schemeClr val="tx1"/>
            </a:solidFill>
          </a:ln>
        </c:spPr>
        <c:txPr>
          <a:bodyPr rot="0" vert="horz"/>
          <a:lstStyle/>
          <a:p>
            <a:pPr>
              <a:defRPr/>
            </a:pPr>
            <a:endParaRPr lang="cs-CZ"/>
          </a:p>
        </c:txPr>
        <c:crossAx val="72836608"/>
        <c:crosses val="max"/>
        <c:crossBetween val="between"/>
        <c:majorUnit val="200"/>
        <c:minorUnit val="10"/>
      </c:valAx>
      <c:catAx>
        <c:axId val="72836608"/>
        <c:scaling>
          <c:orientation val="minMax"/>
        </c:scaling>
        <c:delete val="1"/>
        <c:axPos val="b"/>
        <c:numFmt formatCode="General" sourceLinked="1"/>
        <c:majorTickMark val="out"/>
        <c:minorTickMark val="none"/>
        <c:tickLblPos val="none"/>
        <c:crossAx val="72835072"/>
        <c:crosses val="autoZero"/>
        <c:auto val="1"/>
        <c:lblAlgn val="ctr"/>
        <c:lblOffset val="100"/>
        <c:noMultiLvlLbl val="0"/>
      </c:catAx>
      <c:spPr>
        <a:ln w="6350">
          <a:solidFill>
            <a:schemeClr val="tx1"/>
          </a:solidFill>
        </a:ln>
      </c:spPr>
    </c:plotArea>
    <c:legend>
      <c:legendPos val="b"/>
      <c:layout>
        <c:manualLayout>
          <c:xMode val="edge"/>
          <c:yMode val="edge"/>
          <c:x val="8.5362854852668157E-3"/>
          <c:y val="0.8050674599881793"/>
          <c:w val="0.98353978024240352"/>
          <c:h val="0.19112809564193409"/>
        </c:manualLayout>
      </c:layout>
      <c:overlay val="0"/>
      <c:spPr>
        <a:ln w="6350">
          <a:solidFill>
            <a:schemeClr val="tx1"/>
          </a:solidFill>
        </a:ln>
      </c:spPr>
      <c:txPr>
        <a:bodyPr/>
        <a:lstStyle/>
        <a:p>
          <a:pPr>
            <a:defRPr sz="75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948352704928246E-2"/>
          <c:y val="2.8458510079622041E-2"/>
          <c:w val="0.93956464282120367"/>
          <c:h val="0.6497469886299676"/>
        </c:manualLayout>
      </c:layout>
      <c:barChart>
        <c:barDir val="col"/>
        <c:grouping val="stacked"/>
        <c:varyColors val="0"/>
        <c:ser>
          <c:idx val="1"/>
          <c:order val="0"/>
          <c:tx>
            <c:strRef>
              <c:f>'souhrnná výkonnost 3'!$F$5</c:f>
              <c:strCache>
                <c:ptCount val="1"/>
                <c:pt idx="0">
                  <c:v>Foreign trade balance</c:v>
                </c:pt>
              </c:strCache>
            </c:strRef>
          </c:tx>
          <c:spPr>
            <a:solidFill>
              <a:srgbClr val="7DBB2D"/>
            </a:solidFill>
            <a:ln>
              <a:noFill/>
            </a:ln>
          </c:spPr>
          <c:invertIfNegative val="0"/>
          <c:cat>
            <c:multiLvlStrRef>
              <c:f>'souhrnná výkonnost 3'!$A$10:$B$33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3'!$F$10:$F$33</c:f>
              <c:numCache>
                <c:formatCode>#\ ##0.0</c:formatCode>
                <c:ptCount val="24"/>
                <c:pt idx="0">
                  <c:v>-6.5470917658757233E-2</c:v>
                </c:pt>
                <c:pt idx="1">
                  <c:v>1.4494397815262756</c:v>
                </c:pt>
                <c:pt idx="2">
                  <c:v>1.519520930710476</c:v>
                </c:pt>
                <c:pt idx="3">
                  <c:v>-1.1386552968129167</c:v>
                </c:pt>
                <c:pt idx="4">
                  <c:v>-1.5054961152095412</c:v>
                </c:pt>
                <c:pt idx="5">
                  <c:v>-8.5652935026312509</c:v>
                </c:pt>
                <c:pt idx="6">
                  <c:v>-0.91701615307186923</c:v>
                </c:pt>
                <c:pt idx="7">
                  <c:v>1.6441945082634004</c:v>
                </c:pt>
                <c:pt idx="8">
                  <c:v>0.90880127021110413</c:v>
                </c:pt>
                <c:pt idx="9">
                  <c:v>6.124141351147399</c:v>
                </c:pt>
                <c:pt idx="10">
                  <c:v>-3.6522086207896334</c:v>
                </c:pt>
                <c:pt idx="11">
                  <c:v>-3.5019135769376728</c:v>
                </c:pt>
                <c:pt idx="12">
                  <c:v>-1.6832006565895616</c:v>
                </c:pt>
                <c:pt idx="13">
                  <c:v>-0.3806378126415233</c:v>
                </c:pt>
                <c:pt idx="14">
                  <c:v>3.408239118939032</c:v>
                </c:pt>
                <c:pt idx="15">
                  <c:v>1.4700226511684527</c:v>
                </c:pt>
                <c:pt idx="16">
                  <c:v>1.022488471508463</c:v>
                </c:pt>
                <c:pt idx="17">
                  <c:v>1.5790857204776438</c:v>
                </c:pt>
                <c:pt idx="18">
                  <c:v>-0.52223441293462458</c:v>
                </c:pt>
                <c:pt idx="19">
                  <c:v>1.6834125414664634</c:v>
                </c:pt>
                <c:pt idx="20">
                  <c:v>0.81964841431664248</c:v>
                </c:pt>
                <c:pt idx="21">
                  <c:v>0.22729904905911644</c:v>
                </c:pt>
                <c:pt idx="22">
                  <c:v>3.4263688867205655E-2</c:v>
                </c:pt>
                <c:pt idx="23">
                  <c:v>-1.6513055568447292</c:v>
                </c:pt>
              </c:numCache>
            </c:numRef>
          </c:val>
          <c:extLst>
            <c:ext xmlns:c16="http://schemas.microsoft.com/office/drawing/2014/chart" uri="{C3380CC4-5D6E-409C-BE32-E72D297353CC}">
              <c16:uniqueId val="{00000000-7B6A-4595-BA60-E0FF794EEB8F}"/>
            </c:ext>
          </c:extLst>
        </c:ser>
        <c:ser>
          <c:idx val="2"/>
          <c:order val="1"/>
          <c:tx>
            <c:strRef>
              <c:f>'souhrnná výkonnost 3'!$H$5</c:f>
              <c:strCache>
                <c:ptCount val="1"/>
                <c:pt idx="0">
                  <c:v>Change in inventories</c:v>
                </c:pt>
              </c:strCache>
            </c:strRef>
          </c:tx>
          <c:spPr>
            <a:solidFill>
              <a:srgbClr val="E8AFB2"/>
            </a:solidFill>
            <a:ln>
              <a:noFill/>
            </a:ln>
          </c:spPr>
          <c:invertIfNegative val="0"/>
          <c:cat>
            <c:multiLvlStrRef>
              <c:f>'souhrnná výkonnost 3'!$A$10:$B$33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3'!$H$10:$H$33</c:f>
              <c:numCache>
                <c:formatCode>#\ ##0.0</c:formatCode>
                <c:ptCount val="24"/>
                <c:pt idx="0">
                  <c:v>-3.4866839032703018E-2</c:v>
                </c:pt>
                <c:pt idx="1">
                  <c:v>-1.2132673218827674</c:v>
                </c:pt>
                <c:pt idx="2">
                  <c:v>-0.61640554015347881</c:v>
                </c:pt>
                <c:pt idx="3">
                  <c:v>1.8990615757299067</c:v>
                </c:pt>
                <c:pt idx="4">
                  <c:v>-0.40340689033643318</c:v>
                </c:pt>
                <c:pt idx="5">
                  <c:v>0.49746610716149758</c:v>
                </c:pt>
                <c:pt idx="6">
                  <c:v>-1.209597715652736</c:v>
                </c:pt>
                <c:pt idx="7">
                  <c:v>-2.2124027001017974</c:v>
                </c:pt>
                <c:pt idx="8">
                  <c:v>0.41264966656715685</c:v>
                </c:pt>
                <c:pt idx="9">
                  <c:v>0.57206005966288753</c:v>
                </c:pt>
                <c:pt idx="10">
                  <c:v>2.5716584196045469</c:v>
                </c:pt>
                <c:pt idx="11">
                  <c:v>1.3737502139548177</c:v>
                </c:pt>
                <c:pt idx="12">
                  <c:v>0.60915917645428019</c:v>
                </c:pt>
                <c:pt idx="13">
                  <c:v>1.6317613698141717</c:v>
                </c:pt>
                <c:pt idx="14">
                  <c:v>-0.7854278742999391</c:v>
                </c:pt>
                <c:pt idx="15">
                  <c:v>1.1886488133455293</c:v>
                </c:pt>
                <c:pt idx="16">
                  <c:v>0.46116231627019716</c:v>
                </c:pt>
                <c:pt idx="17">
                  <c:v>-1.2917995308852055</c:v>
                </c:pt>
                <c:pt idx="18">
                  <c:v>-0.14316789428080012</c:v>
                </c:pt>
                <c:pt idx="19">
                  <c:v>-3.4609784581327441</c:v>
                </c:pt>
                <c:pt idx="20">
                  <c:v>-2.8146964056546739</c:v>
                </c:pt>
                <c:pt idx="21">
                  <c:v>-1.5683738605858291</c:v>
                </c:pt>
                <c:pt idx="22">
                  <c:v>-0.69706762454698346</c:v>
                </c:pt>
                <c:pt idx="23">
                  <c:v>1.5931257568572346</c:v>
                </c:pt>
              </c:numCache>
            </c:numRef>
          </c:val>
          <c:extLst>
            <c:ext xmlns:c16="http://schemas.microsoft.com/office/drawing/2014/chart" uri="{C3380CC4-5D6E-409C-BE32-E72D297353CC}">
              <c16:uniqueId val="{00000001-7B6A-4595-BA60-E0FF794EEB8F}"/>
            </c:ext>
          </c:extLst>
        </c:ser>
        <c:ser>
          <c:idx val="3"/>
          <c:order val="2"/>
          <c:tx>
            <c:strRef>
              <c:f>'souhrnná výkonnost 3'!$G$5</c:f>
              <c:strCache>
                <c:ptCount val="1"/>
                <c:pt idx="0">
                  <c:v>Gross fixed capital formation</c:v>
                </c:pt>
              </c:strCache>
            </c:strRef>
          </c:tx>
          <c:spPr>
            <a:solidFill>
              <a:srgbClr val="BD1B21"/>
            </a:solidFill>
            <a:ln>
              <a:noFill/>
            </a:ln>
          </c:spPr>
          <c:invertIfNegative val="0"/>
          <c:cat>
            <c:multiLvlStrRef>
              <c:f>'souhrnná výkonnost 3'!$A$10:$B$33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3'!$G$10:$G$33</c:f>
              <c:numCache>
                <c:formatCode>#\ ##0.0</c:formatCode>
                <c:ptCount val="24"/>
                <c:pt idx="0">
                  <c:v>1.8598270900589087</c:v>
                </c:pt>
                <c:pt idx="1">
                  <c:v>1.4526192483422518</c:v>
                </c:pt>
                <c:pt idx="2">
                  <c:v>1.0268088605058696</c:v>
                </c:pt>
                <c:pt idx="3">
                  <c:v>0.94075204306872073</c:v>
                </c:pt>
                <c:pt idx="4">
                  <c:v>-0.26111659305966983</c:v>
                </c:pt>
                <c:pt idx="5">
                  <c:v>0.14044234588323476</c:v>
                </c:pt>
                <c:pt idx="6">
                  <c:v>-1.1114194663634265</c:v>
                </c:pt>
                <c:pt idx="7">
                  <c:v>-1.2151629007980274</c:v>
                </c:pt>
                <c:pt idx="8">
                  <c:v>0.15781509790362797</c:v>
                </c:pt>
                <c:pt idx="9">
                  <c:v>7.3809702465127386E-2</c:v>
                </c:pt>
                <c:pt idx="10">
                  <c:v>1.9668146761327148</c:v>
                </c:pt>
                <c:pt idx="11">
                  <c:v>2.0385637566612256</c:v>
                </c:pt>
                <c:pt idx="12">
                  <c:v>2.1230773688868023</c:v>
                </c:pt>
                <c:pt idx="13">
                  <c:v>1.4912941413364145</c:v>
                </c:pt>
                <c:pt idx="14">
                  <c:v>0.94577481141240138</c:v>
                </c:pt>
                <c:pt idx="15">
                  <c:v>0.73322343987834782</c:v>
                </c:pt>
                <c:pt idx="16">
                  <c:v>0.4931548683888316</c:v>
                </c:pt>
                <c:pt idx="17">
                  <c:v>0.88885696316389462</c:v>
                </c:pt>
                <c:pt idx="18">
                  <c:v>0.75388563584657375</c:v>
                </c:pt>
                <c:pt idx="19">
                  <c:v>0.85504091001870042</c:v>
                </c:pt>
                <c:pt idx="20">
                  <c:v>0.13925912287715742</c:v>
                </c:pt>
                <c:pt idx="21">
                  <c:v>-0.21671405083065723</c:v>
                </c:pt>
                <c:pt idx="22">
                  <c:v>-0.27118972065021613</c:v>
                </c:pt>
                <c:pt idx="23">
                  <c:v>-0.6909087896485212</c:v>
                </c:pt>
              </c:numCache>
            </c:numRef>
          </c:val>
          <c:extLst>
            <c:ext xmlns:c16="http://schemas.microsoft.com/office/drawing/2014/chart" uri="{C3380CC4-5D6E-409C-BE32-E72D297353CC}">
              <c16:uniqueId val="{00000002-7B6A-4595-BA60-E0FF794EEB8F}"/>
            </c:ext>
          </c:extLst>
        </c:ser>
        <c:ser>
          <c:idx val="5"/>
          <c:order val="4"/>
          <c:tx>
            <c:strRef>
              <c:f>'souhrnná výkonnost 3'!$D$5</c:f>
              <c:strCache>
                <c:ptCount val="1"/>
                <c:pt idx="0">
                  <c:v>Final consumption expenditure of households (inc. non-profit inst.)</c:v>
                </c:pt>
              </c:strCache>
            </c:strRef>
          </c:tx>
          <c:spPr>
            <a:solidFill>
              <a:srgbClr val="0071BC"/>
            </a:solidFill>
            <a:ln>
              <a:noFill/>
            </a:ln>
          </c:spPr>
          <c:invertIfNegative val="0"/>
          <c:cat>
            <c:multiLvlStrRef>
              <c:f>'souhrnná výkonnost 3'!$A$10:$B$33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3'!$D$10:$D$33</c:f>
              <c:numCache>
                <c:formatCode>#\ ##0.0</c:formatCode>
                <c:ptCount val="24"/>
                <c:pt idx="0">
                  <c:v>1.0610692201073997</c:v>
                </c:pt>
                <c:pt idx="1">
                  <c:v>1.3164628896440984</c:v>
                </c:pt>
                <c:pt idx="2">
                  <c:v>1.1800657067488647</c:v>
                </c:pt>
                <c:pt idx="3">
                  <c:v>1.3325646204971671</c:v>
                </c:pt>
                <c:pt idx="4">
                  <c:v>-0.2398228716655057</c:v>
                </c:pt>
                <c:pt idx="5">
                  <c:v>-3.2567035122644707</c:v>
                </c:pt>
                <c:pt idx="6">
                  <c:v>-1.7740710022653545</c:v>
                </c:pt>
                <c:pt idx="7">
                  <c:v>-4.0888509658039061</c:v>
                </c:pt>
                <c:pt idx="8">
                  <c:v>-2.6303429796363251</c:v>
                </c:pt>
                <c:pt idx="9">
                  <c:v>3.0130078291252422</c:v>
                </c:pt>
                <c:pt idx="10">
                  <c:v>1.9847068901687124</c:v>
                </c:pt>
                <c:pt idx="11">
                  <c:v>3.7365176773416025</c:v>
                </c:pt>
                <c:pt idx="12">
                  <c:v>3.291044005952056</c:v>
                </c:pt>
                <c:pt idx="13">
                  <c:v>0.17808535886856286</c:v>
                </c:pt>
                <c:pt idx="14">
                  <c:v>-1.2688125161868613</c:v>
                </c:pt>
                <c:pt idx="15">
                  <c:v>-2.1014518367129478</c:v>
                </c:pt>
                <c:pt idx="16">
                  <c:v>-2.2945919860755861</c:v>
                </c:pt>
                <c:pt idx="17">
                  <c:v>-1.454021228197774</c:v>
                </c:pt>
                <c:pt idx="18">
                  <c:v>-1.0668314458195665</c:v>
                </c:pt>
                <c:pt idx="19">
                  <c:v>0.21502428719941008</c:v>
                </c:pt>
                <c:pt idx="20">
                  <c:v>1.6214919729740374</c:v>
                </c:pt>
                <c:pt idx="21">
                  <c:v>1.0517240722161492</c:v>
                </c:pt>
                <c:pt idx="22">
                  <c:v>1.4675584733586833</c:v>
                </c:pt>
                <c:pt idx="23">
                  <c:v>1.9101918742849764</c:v>
                </c:pt>
              </c:numCache>
            </c:numRef>
          </c:val>
          <c:extLst>
            <c:ext xmlns:c16="http://schemas.microsoft.com/office/drawing/2014/chart" uri="{C3380CC4-5D6E-409C-BE32-E72D297353CC}">
              <c16:uniqueId val="{00000003-7B6A-4595-BA60-E0FF794EEB8F}"/>
            </c:ext>
          </c:extLst>
        </c:ser>
        <c:ser>
          <c:idx val="4"/>
          <c:order val="5"/>
          <c:tx>
            <c:strRef>
              <c:f>'souhrnná výkonnost 3'!$E$5</c:f>
              <c:strCache>
                <c:ptCount val="1"/>
                <c:pt idx="0">
                  <c:v>Final consumption expenditure of government institutions</c:v>
                </c:pt>
              </c:strCache>
            </c:strRef>
          </c:tx>
          <c:spPr>
            <a:solidFill>
              <a:srgbClr val="A6CDE8"/>
            </a:solidFill>
            <a:ln>
              <a:noFill/>
            </a:ln>
          </c:spPr>
          <c:invertIfNegative val="0"/>
          <c:cat>
            <c:multiLvlStrRef>
              <c:f>'souhrnná výkonnost 3'!$A$10:$B$33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3'!$E$10:$E$33</c:f>
              <c:numCache>
                <c:formatCode>#\ ##0.0</c:formatCode>
                <c:ptCount val="24"/>
                <c:pt idx="0">
                  <c:v>0.52373870610125262</c:v>
                </c:pt>
                <c:pt idx="1">
                  <c:v>0.54525241929613355</c:v>
                </c:pt>
                <c:pt idx="2">
                  <c:v>0.53390853668406757</c:v>
                </c:pt>
                <c:pt idx="3">
                  <c:v>0.2780405319991846</c:v>
                </c:pt>
                <c:pt idx="4">
                  <c:v>0.85273575497086629</c:v>
                </c:pt>
                <c:pt idx="5">
                  <c:v>0.57219907272847048</c:v>
                </c:pt>
                <c:pt idx="6">
                  <c:v>0.31382004358461796</c:v>
                </c:pt>
                <c:pt idx="7">
                  <c:v>1.4192241054465731</c:v>
                </c:pt>
                <c:pt idx="8">
                  <c:v>-0.12340214907979793</c:v>
                </c:pt>
                <c:pt idx="9">
                  <c:v>-7.2907474861005656E-2</c:v>
                </c:pt>
                <c:pt idx="10">
                  <c:v>1.000714083725422</c:v>
                </c:pt>
                <c:pt idx="11">
                  <c:v>8.8247719969204746E-2</c:v>
                </c:pt>
                <c:pt idx="12">
                  <c:v>0.37181697618378928</c:v>
                </c:pt>
                <c:pt idx="13">
                  <c:v>0.57371034145730837</c:v>
                </c:pt>
                <c:pt idx="14">
                  <c:v>-0.32873762938072321</c:v>
                </c:pt>
                <c:pt idx="15">
                  <c:v>-0.30389432882498219</c:v>
                </c:pt>
                <c:pt idx="16">
                  <c:v>0.57576369173096276</c:v>
                </c:pt>
                <c:pt idx="17">
                  <c:v>0.516983415992749</c:v>
                </c:pt>
                <c:pt idx="18">
                  <c:v>0.66195062797324855</c:v>
                </c:pt>
                <c:pt idx="19">
                  <c:v>0.72202480637229571</c:v>
                </c:pt>
                <c:pt idx="20">
                  <c:v>0.59943825155824837</c:v>
                </c:pt>
                <c:pt idx="21">
                  <c:v>0.89866092551323884</c:v>
                </c:pt>
                <c:pt idx="22">
                  <c:v>0.82744579571222032</c:v>
                </c:pt>
                <c:pt idx="23">
                  <c:v>0.61527308879175691</c:v>
                </c:pt>
              </c:numCache>
            </c:numRef>
          </c:val>
          <c:extLst>
            <c:ext xmlns:c16="http://schemas.microsoft.com/office/drawing/2014/chart" uri="{C3380CC4-5D6E-409C-BE32-E72D297353CC}">
              <c16:uniqueId val="{00000004-7B6A-4595-BA60-E0FF794EEB8F}"/>
            </c:ext>
          </c:extLst>
        </c:ser>
        <c:dLbls>
          <c:showLegendKey val="0"/>
          <c:showVal val="0"/>
          <c:showCatName val="0"/>
          <c:showSerName val="0"/>
          <c:showPercent val="0"/>
          <c:showBubbleSize val="0"/>
        </c:dLbls>
        <c:gapWidth val="90"/>
        <c:overlap val="100"/>
        <c:axId val="115206784"/>
        <c:axId val="115286400"/>
      </c:barChart>
      <c:lineChart>
        <c:grouping val="standard"/>
        <c:varyColors val="0"/>
        <c:ser>
          <c:idx val="0"/>
          <c:order val="3"/>
          <c:tx>
            <c:strRef>
              <c:f>'souhrnná výkonnost 3'!$C$5</c:f>
              <c:strCache>
                <c:ptCount val="1"/>
                <c:pt idx="0">
                  <c:v>GDP</c:v>
                </c:pt>
              </c:strCache>
            </c:strRef>
          </c:tx>
          <c:spPr>
            <a:ln>
              <a:solidFill>
                <a:prstClr val="black"/>
              </a:solidFill>
            </a:ln>
          </c:spPr>
          <c:marker>
            <c:symbol val="none"/>
          </c:marker>
          <c:cat>
            <c:multiLvlStrRef>
              <c:f>'souhrnná výkonnost 3'!$A$10:$B$33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3'!$C$10:$C$33</c:f>
              <c:numCache>
                <c:formatCode>#\ ##0.0</c:formatCode>
                <c:ptCount val="24"/>
                <c:pt idx="0">
                  <c:v>3.4189743822717418</c:v>
                </c:pt>
                <c:pt idx="1">
                  <c:v>3.6132085037347395</c:v>
                </c:pt>
                <c:pt idx="2">
                  <c:v>3.68258658026825</c:v>
                </c:pt>
                <c:pt idx="3">
                  <c:v>3.3200025771466812</c:v>
                </c:pt>
                <c:pt idx="4">
                  <c:v>-1.5502005609675251</c:v>
                </c:pt>
                <c:pt idx="5">
                  <c:v>-10.594910497246218</c:v>
                </c:pt>
                <c:pt idx="6">
                  <c:v>-4.701156102682063</c:v>
                </c:pt>
                <c:pt idx="7">
                  <c:v>-4.4366371482296927</c:v>
                </c:pt>
                <c:pt idx="8">
                  <c:v>-1.2288405930294743</c:v>
                </c:pt>
                <c:pt idx="9">
                  <c:v>9.7404194240672268</c:v>
                </c:pt>
                <c:pt idx="10">
                  <c:v>3.9736917575390152</c:v>
                </c:pt>
                <c:pt idx="11">
                  <c:v>3.9029621018868283</c:v>
                </c:pt>
                <c:pt idx="12">
                  <c:v>4.8436882638427221</c:v>
                </c:pt>
                <c:pt idx="13">
                  <c:v>3.6483483455527903</c:v>
                </c:pt>
                <c:pt idx="14">
                  <c:v>2.0520278440471884</c:v>
                </c:pt>
                <c:pt idx="15">
                  <c:v>0.95155160469528255</c:v>
                </c:pt>
                <c:pt idx="16">
                  <c:v>0.30013556583948287</c:v>
                </c:pt>
                <c:pt idx="17">
                  <c:v>0.20721692275813552</c:v>
                </c:pt>
                <c:pt idx="18">
                  <c:v>-0.34015544290339506</c:v>
                </c:pt>
                <c:pt idx="19">
                  <c:v>9.2674126345954733E-2</c:v>
                </c:pt>
                <c:pt idx="20">
                  <c:v>0.34982633712718325</c:v>
                </c:pt>
                <c:pt idx="21">
                  <c:v>0.4565990795034196</c:v>
                </c:pt>
                <c:pt idx="22">
                  <c:v>1.4360868721377642</c:v>
                </c:pt>
                <c:pt idx="23">
                  <c:v>1.8131292161325518</c:v>
                </c:pt>
              </c:numCache>
            </c:numRef>
          </c:val>
          <c:smooth val="0"/>
          <c:extLst>
            <c:ext xmlns:c16="http://schemas.microsoft.com/office/drawing/2014/chart" uri="{C3380CC4-5D6E-409C-BE32-E72D297353CC}">
              <c16:uniqueId val="{00000005-7B6A-4595-BA60-E0FF794EEB8F}"/>
            </c:ext>
          </c:extLst>
        </c:ser>
        <c:dLbls>
          <c:showLegendKey val="0"/>
          <c:showVal val="0"/>
          <c:showCatName val="0"/>
          <c:showSerName val="0"/>
          <c:showPercent val="0"/>
          <c:showBubbleSize val="0"/>
        </c:dLbls>
        <c:marker val="1"/>
        <c:smooth val="0"/>
        <c:axId val="115206784"/>
        <c:axId val="115286400"/>
      </c:lineChart>
      <c:catAx>
        <c:axId val="115206784"/>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115286400"/>
        <c:crosses val="autoZero"/>
        <c:auto val="1"/>
        <c:lblAlgn val="ctr"/>
        <c:lblOffset val="100"/>
        <c:noMultiLvlLbl val="0"/>
      </c:catAx>
      <c:valAx>
        <c:axId val="115286400"/>
        <c:scaling>
          <c:orientation val="minMax"/>
          <c:max val="12"/>
          <c:min val="-14"/>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206784"/>
        <c:crosses val="autoZero"/>
        <c:crossBetween val="between"/>
        <c:majorUnit val="2"/>
      </c:valAx>
      <c:spPr>
        <a:ln>
          <a:solidFill>
            <a:schemeClr val="tx1"/>
          </a:solidFill>
        </a:ln>
      </c:spPr>
    </c:plotArea>
    <c:legend>
      <c:legendPos val="b"/>
      <c:layout>
        <c:manualLayout>
          <c:xMode val="edge"/>
          <c:yMode val="edge"/>
          <c:x val="5.2922564529558701E-2"/>
          <c:y val="0.79687874638673362"/>
          <c:w val="0.93952929520758033"/>
          <c:h val="0.20312125361326638"/>
        </c:manualLayout>
      </c:layout>
      <c:overlay val="0"/>
      <c:spPr>
        <a:ln w="6350">
          <a:no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655893706870088E-2"/>
          <c:y val="2.0804998806967311E-2"/>
          <c:w val="0.85715869620290541"/>
          <c:h val="0.74133565386202649"/>
        </c:manualLayout>
      </c:layout>
      <c:barChart>
        <c:barDir val="col"/>
        <c:grouping val="clustered"/>
        <c:varyColors val="0"/>
        <c:ser>
          <c:idx val="0"/>
          <c:order val="0"/>
          <c:tx>
            <c:strRef>
              <c:f>'G3-Sektor vlád.institucí'!$A$5</c:f>
              <c:strCache>
                <c:ptCount val="1"/>
                <c:pt idx="0">
                  <c:v>Budget balance (EU27)</c:v>
                </c:pt>
              </c:strCache>
            </c:strRef>
          </c:tx>
          <c:spPr>
            <a:solidFill>
              <a:schemeClr val="bg2">
                <a:lumMod val="90000"/>
              </a:schemeClr>
            </a:solidFill>
            <a:ln>
              <a:solidFill>
                <a:schemeClr val="bg2">
                  <a:lumMod val="50000"/>
                </a:schemeClr>
              </a:solidFill>
            </a:ln>
            <a:effectLst/>
          </c:spPr>
          <c:invertIfNegative val="0"/>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vlád.institucí'!$B$5:$AN$5</c:f>
              <c:numCache>
                <c:formatCode>#\ ##0.0</c:formatCode>
                <c:ptCount val="39"/>
                <c:pt idx="0" formatCode="#\ ##0.##########">
                  <c:v>-2.2000000000000002</c:v>
                </c:pt>
                <c:pt idx="1">
                  <c:v>-2</c:v>
                </c:pt>
                <c:pt idx="2" formatCode="#\ ##0.##########">
                  <c:v>-1.6</c:v>
                </c:pt>
                <c:pt idx="3" formatCode="#\ ##0.##########">
                  <c:v>-1.9</c:v>
                </c:pt>
                <c:pt idx="4" formatCode="#\ ##0.##########">
                  <c:v>-1.6</c:v>
                </c:pt>
                <c:pt idx="5" formatCode="#\ ##0.##########">
                  <c:v>-1.3</c:v>
                </c:pt>
                <c:pt idx="6" formatCode="#\ ##0.##########">
                  <c:v>-1.6</c:v>
                </c:pt>
                <c:pt idx="7" formatCode="#\ ##0.##########">
                  <c:v>-0.9</c:v>
                </c:pt>
                <c:pt idx="8" formatCode="#\ ##0.##########">
                  <c:v>-0.9</c:v>
                </c:pt>
                <c:pt idx="9" formatCode="#\ ##0.##########">
                  <c:v>-1.2</c:v>
                </c:pt>
                <c:pt idx="10" formatCode="#\ ##0.##########">
                  <c:v>-0.8</c:v>
                </c:pt>
                <c:pt idx="11" formatCode="#\ ##0.##########">
                  <c:v>-0.5</c:v>
                </c:pt>
                <c:pt idx="12" formatCode="#\ ##0.##########">
                  <c:v>-0.2</c:v>
                </c:pt>
                <c:pt idx="13" formatCode="#\ ##0.##########">
                  <c:v>-0.1</c:v>
                </c:pt>
                <c:pt idx="14" formatCode="#\ ##0.##########">
                  <c:v>-0.5</c:v>
                </c:pt>
                <c:pt idx="15" formatCode="#\ ##0.##########">
                  <c:v>-0.7</c:v>
                </c:pt>
                <c:pt idx="16" formatCode="#\ ##0.##########">
                  <c:v>-0.2</c:v>
                </c:pt>
                <c:pt idx="17" formatCode="#\ ##0.##########">
                  <c:v>-0.2</c:v>
                </c:pt>
                <c:pt idx="18" formatCode="#\ ##0.##########">
                  <c:v>-0.8</c:v>
                </c:pt>
                <c:pt idx="19" formatCode="#\ ##0.##########">
                  <c:v>-0.7</c:v>
                </c:pt>
                <c:pt idx="20" formatCode="#\ ##0.##########">
                  <c:v>-2.8</c:v>
                </c:pt>
                <c:pt idx="21" formatCode="#\ ##0.##########">
                  <c:v>-11.7</c:v>
                </c:pt>
                <c:pt idx="22" formatCode="#\ ##0.##########">
                  <c:v>-6.1</c:v>
                </c:pt>
                <c:pt idx="23" formatCode="#\ ##0.##########">
                  <c:v>-6.7</c:v>
                </c:pt>
                <c:pt idx="24" formatCode="#\ ##0.##########">
                  <c:v>-6.2</c:v>
                </c:pt>
                <c:pt idx="25" formatCode="#\ ##0.##########">
                  <c:v>-5.9</c:v>
                </c:pt>
                <c:pt idx="26" formatCode="#\ ##0.##########">
                  <c:v>-3.5</c:v>
                </c:pt>
                <c:pt idx="27" formatCode="#\ ##0.##########">
                  <c:v>-3.1</c:v>
                </c:pt>
                <c:pt idx="28" formatCode="#\ ##0.##########">
                  <c:v>-2.4</c:v>
                </c:pt>
                <c:pt idx="29" formatCode="#\ ##0.##########">
                  <c:v>-2.2000000000000002</c:v>
                </c:pt>
                <c:pt idx="30" formatCode="#\ ##0.##########">
                  <c:v>-3.6</c:v>
                </c:pt>
                <c:pt idx="31" formatCode="#\ ##0.##########">
                  <c:v>-4.5999999999999996</c:v>
                </c:pt>
                <c:pt idx="32">
                  <c:v>-3</c:v>
                </c:pt>
                <c:pt idx="33" formatCode="#\ ##0.##########">
                  <c:v>-3.3</c:v>
                </c:pt>
                <c:pt idx="34" formatCode="#\ ##0.##########">
                  <c:v>-3.6</c:v>
                </c:pt>
                <c:pt idx="35" formatCode="#\ ##0.##########">
                  <c:v>-4.0999999999999996</c:v>
                </c:pt>
                <c:pt idx="36">
                  <c:v>-3</c:v>
                </c:pt>
                <c:pt idx="37" formatCode="#\ ##0.##########">
                  <c:v>-3.3</c:v>
                </c:pt>
                <c:pt idx="38" formatCode="#\ ##0.##########">
                  <c:v>-2.9</c:v>
                </c:pt>
              </c:numCache>
            </c:numRef>
          </c:val>
          <c:extLst>
            <c:ext xmlns:c16="http://schemas.microsoft.com/office/drawing/2014/chart" uri="{C3380CC4-5D6E-409C-BE32-E72D297353CC}">
              <c16:uniqueId val="{00000000-BF44-4600-AA1F-C8D182A4064C}"/>
            </c:ext>
          </c:extLst>
        </c:ser>
        <c:ser>
          <c:idx val="1"/>
          <c:order val="1"/>
          <c:tx>
            <c:strRef>
              <c:f>'G3-Sektor vlád.institucí'!$A$6</c:f>
              <c:strCache>
                <c:ptCount val="1"/>
                <c:pt idx="0">
                  <c:v>Budget balance (Czechia)</c:v>
                </c:pt>
              </c:strCache>
            </c:strRef>
          </c:tx>
          <c:spPr>
            <a:solidFill>
              <a:schemeClr val="bg2">
                <a:lumMod val="50000"/>
              </a:schemeClr>
            </a:solidFill>
            <a:ln>
              <a:noFill/>
            </a:ln>
            <a:effectLst/>
          </c:spPr>
          <c:invertIfNegative val="0"/>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vlád.institucí'!$B$6:$AN$6</c:f>
              <c:numCache>
                <c:formatCode>#\ ##0.##########</c:formatCode>
                <c:ptCount val="39"/>
                <c:pt idx="0">
                  <c:v>-0.1</c:v>
                </c:pt>
                <c:pt idx="1">
                  <c:v>-0.5</c:v>
                </c:pt>
                <c:pt idx="2">
                  <c:v>-0.4</c:v>
                </c:pt>
                <c:pt idx="3">
                  <c:v>-1.6</c:v>
                </c:pt>
                <c:pt idx="4">
                  <c:v>0.6</c:v>
                </c:pt>
                <c:pt idx="5">
                  <c:v>0.6</c:v>
                </c:pt>
                <c:pt idx="6" formatCode="#\ ##0.0">
                  <c:v>1</c:v>
                </c:pt>
                <c:pt idx="7">
                  <c:v>0.6</c:v>
                </c:pt>
                <c:pt idx="8">
                  <c:v>0.8</c:v>
                </c:pt>
                <c:pt idx="9">
                  <c:v>1.6</c:v>
                </c:pt>
                <c:pt idx="10">
                  <c:v>1.6</c:v>
                </c:pt>
                <c:pt idx="11">
                  <c:v>1.7</c:v>
                </c:pt>
                <c:pt idx="12">
                  <c:v>1.1000000000000001</c:v>
                </c:pt>
                <c:pt idx="13">
                  <c:v>1.5</c:v>
                </c:pt>
                <c:pt idx="14">
                  <c:v>0.2</c:v>
                </c:pt>
                <c:pt idx="15">
                  <c:v>0.7</c:v>
                </c:pt>
                <c:pt idx="16">
                  <c:v>1.1000000000000001</c:v>
                </c:pt>
                <c:pt idx="17">
                  <c:v>0.8</c:v>
                </c:pt>
                <c:pt idx="18">
                  <c:v>-0.2</c:v>
                </c:pt>
                <c:pt idx="19">
                  <c:v>-0.5</c:v>
                </c:pt>
                <c:pt idx="20">
                  <c:v>-2.2999999999999998</c:v>
                </c:pt>
                <c:pt idx="21">
                  <c:v>-8.5</c:v>
                </c:pt>
                <c:pt idx="22" formatCode="#\ ##0.0">
                  <c:v>-5</c:v>
                </c:pt>
                <c:pt idx="23" formatCode="#\ ##0.0">
                  <c:v>-7</c:v>
                </c:pt>
                <c:pt idx="24" formatCode="#\ ##0.0">
                  <c:v>-7</c:v>
                </c:pt>
                <c:pt idx="25" formatCode="#\ ##0.0">
                  <c:v>-5</c:v>
                </c:pt>
                <c:pt idx="26">
                  <c:v>-4.2</c:v>
                </c:pt>
                <c:pt idx="27">
                  <c:v>-3.8</c:v>
                </c:pt>
                <c:pt idx="28">
                  <c:v>-2.1</c:v>
                </c:pt>
                <c:pt idx="29">
                  <c:v>-2.6</c:v>
                </c:pt>
                <c:pt idx="30">
                  <c:v>-4.3</c:v>
                </c:pt>
                <c:pt idx="31">
                  <c:v>-3.2</c:v>
                </c:pt>
                <c:pt idx="32">
                  <c:v>-4.2</c:v>
                </c:pt>
                <c:pt idx="33">
                  <c:v>-3.7</c:v>
                </c:pt>
                <c:pt idx="34">
                  <c:v>-3.8</c:v>
                </c:pt>
                <c:pt idx="35">
                  <c:v>-3.4</c:v>
                </c:pt>
                <c:pt idx="36" formatCode="#\ ##0.0">
                  <c:v>-2</c:v>
                </c:pt>
                <c:pt idx="37">
                  <c:v>-2.6</c:v>
                </c:pt>
                <c:pt idx="38">
                  <c:v>-2.7</c:v>
                </c:pt>
              </c:numCache>
            </c:numRef>
          </c:val>
          <c:extLst>
            <c:ext xmlns:c16="http://schemas.microsoft.com/office/drawing/2014/chart" uri="{C3380CC4-5D6E-409C-BE32-E72D297353CC}">
              <c16:uniqueId val="{00000001-BF44-4600-AA1F-C8D182A4064C}"/>
            </c:ext>
          </c:extLst>
        </c:ser>
        <c:dLbls>
          <c:showLegendKey val="0"/>
          <c:showVal val="0"/>
          <c:showCatName val="0"/>
          <c:showSerName val="0"/>
          <c:showPercent val="0"/>
          <c:showBubbleSize val="0"/>
        </c:dLbls>
        <c:gapWidth val="150"/>
        <c:axId val="531992144"/>
        <c:axId val="531997552"/>
      </c:barChart>
      <c:lineChart>
        <c:grouping val="standard"/>
        <c:varyColors val="0"/>
        <c:ser>
          <c:idx val="3"/>
          <c:order val="2"/>
          <c:tx>
            <c:strRef>
              <c:f>'G3-Sektor vlád.institucí'!$A$7</c:f>
              <c:strCache>
                <c:ptCount val="1"/>
                <c:pt idx="0">
                  <c:v>Debt ratio (Austria)</c:v>
                </c:pt>
              </c:strCache>
            </c:strRef>
          </c:tx>
          <c:spPr>
            <a:ln w="15875" cap="rnd">
              <a:solidFill>
                <a:srgbClr val="B6793C"/>
              </a:solidFill>
              <a:round/>
            </a:ln>
            <a:effectLst/>
          </c:spPr>
          <c:marker>
            <c:symbol val="none"/>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vlád.institucí'!$B$7:$AN$7</c:f>
              <c:numCache>
                <c:formatCode>#\ ##0.##########</c:formatCode>
                <c:ptCount val="39"/>
                <c:pt idx="0">
                  <c:v>85.7</c:v>
                </c:pt>
                <c:pt idx="1">
                  <c:v>86.7</c:v>
                </c:pt>
                <c:pt idx="2">
                  <c:v>86.8</c:v>
                </c:pt>
                <c:pt idx="3">
                  <c:v>85.6</c:v>
                </c:pt>
                <c:pt idx="4">
                  <c:v>86.2</c:v>
                </c:pt>
                <c:pt idx="5">
                  <c:v>85.2</c:v>
                </c:pt>
                <c:pt idx="6">
                  <c:v>82.7</c:v>
                </c:pt>
                <c:pt idx="7">
                  <c:v>83.4</c:v>
                </c:pt>
                <c:pt idx="8">
                  <c:v>81.900000000000006</c:v>
                </c:pt>
                <c:pt idx="9">
                  <c:v>81.8</c:v>
                </c:pt>
                <c:pt idx="10">
                  <c:v>80.7</c:v>
                </c:pt>
                <c:pt idx="11">
                  <c:v>79.099999999999994</c:v>
                </c:pt>
                <c:pt idx="12" formatCode="#\ ##0.0">
                  <c:v>78</c:v>
                </c:pt>
                <c:pt idx="13">
                  <c:v>77.3</c:v>
                </c:pt>
                <c:pt idx="14">
                  <c:v>76.400000000000006</c:v>
                </c:pt>
                <c:pt idx="15">
                  <c:v>74.599999999999994</c:v>
                </c:pt>
                <c:pt idx="16">
                  <c:v>73.400000000000006</c:v>
                </c:pt>
                <c:pt idx="17">
                  <c:v>72.400000000000006</c:v>
                </c:pt>
                <c:pt idx="18">
                  <c:v>71.7</c:v>
                </c:pt>
                <c:pt idx="19" formatCode="#\ ##0.0">
                  <c:v>71</c:v>
                </c:pt>
                <c:pt idx="20">
                  <c:v>73.3</c:v>
                </c:pt>
                <c:pt idx="21">
                  <c:v>82.3</c:v>
                </c:pt>
                <c:pt idx="22">
                  <c:v>78.599999999999994</c:v>
                </c:pt>
                <c:pt idx="23">
                  <c:v>83.2</c:v>
                </c:pt>
                <c:pt idx="24">
                  <c:v>87.2</c:v>
                </c:pt>
                <c:pt idx="25">
                  <c:v>86.3</c:v>
                </c:pt>
                <c:pt idx="26">
                  <c:v>84.3</c:v>
                </c:pt>
                <c:pt idx="27">
                  <c:v>82.4</c:v>
                </c:pt>
                <c:pt idx="28">
                  <c:v>83.4</c:v>
                </c:pt>
                <c:pt idx="29">
                  <c:v>82.5</c:v>
                </c:pt>
                <c:pt idx="30" formatCode="#\ ##0.0">
                  <c:v>81</c:v>
                </c:pt>
                <c:pt idx="31">
                  <c:v>78.400000000000006</c:v>
                </c:pt>
                <c:pt idx="32">
                  <c:v>79.900000000000006</c:v>
                </c:pt>
                <c:pt idx="33">
                  <c:v>78.5</c:v>
                </c:pt>
                <c:pt idx="34">
                  <c:v>78.599999999999994</c:v>
                </c:pt>
                <c:pt idx="35">
                  <c:v>78.599999999999994</c:v>
                </c:pt>
                <c:pt idx="36">
                  <c:v>80.900000000000006</c:v>
                </c:pt>
                <c:pt idx="37">
                  <c:v>82.9</c:v>
                </c:pt>
                <c:pt idx="38">
                  <c:v>83.2</c:v>
                </c:pt>
              </c:numCache>
            </c:numRef>
          </c:val>
          <c:smooth val="0"/>
          <c:extLst>
            <c:ext xmlns:c16="http://schemas.microsoft.com/office/drawing/2014/chart" uri="{C3380CC4-5D6E-409C-BE32-E72D297353CC}">
              <c16:uniqueId val="{00000002-BF44-4600-AA1F-C8D182A4064C}"/>
            </c:ext>
          </c:extLst>
        </c:ser>
        <c:ser>
          <c:idx val="4"/>
          <c:order val="3"/>
          <c:tx>
            <c:strRef>
              <c:f>'G3-Sektor vlád.institucí'!$A$8</c:f>
              <c:strCache>
                <c:ptCount val="1"/>
                <c:pt idx="0">
                  <c:v>Debt ratio (EU)</c:v>
                </c:pt>
              </c:strCache>
            </c:strRef>
          </c:tx>
          <c:spPr>
            <a:ln w="12700" cap="rnd">
              <a:solidFill>
                <a:schemeClr val="bg2">
                  <a:lumMod val="50000"/>
                </a:schemeClr>
              </a:solidFill>
              <a:prstDash val="sysDot"/>
              <a:round/>
            </a:ln>
            <a:effectLst/>
          </c:spPr>
          <c:marker>
            <c:symbol val="circle"/>
            <c:size val="4"/>
            <c:spPr>
              <a:solidFill>
                <a:schemeClr val="bg1"/>
              </a:solidFill>
              <a:ln w="6350">
                <a:solidFill>
                  <a:schemeClr val="tx1"/>
                </a:solidFill>
              </a:ln>
              <a:effectLst/>
            </c:spPr>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vlád.institucí'!$B$8:$AN$8</c:f>
              <c:numCache>
                <c:formatCode>#\ ##0.##########</c:formatCode>
                <c:ptCount val="39"/>
                <c:pt idx="0">
                  <c:v>87.6</c:v>
                </c:pt>
                <c:pt idx="1">
                  <c:v>86.8</c:v>
                </c:pt>
                <c:pt idx="2">
                  <c:v>86.1</c:v>
                </c:pt>
                <c:pt idx="3" formatCode="#\ ##0.0">
                  <c:v>85</c:v>
                </c:pt>
                <c:pt idx="4">
                  <c:v>85.9</c:v>
                </c:pt>
                <c:pt idx="5">
                  <c:v>85.7</c:v>
                </c:pt>
                <c:pt idx="6">
                  <c:v>84.7</c:v>
                </c:pt>
                <c:pt idx="7" formatCode="#\ ##0.0">
                  <c:v>84</c:v>
                </c:pt>
                <c:pt idx="8">
                  <c:v>84.2</c:v>
                </c:pt>
                <c:pt idx="9" formatCode="#\ ##0.0">
                  <c:v>84</c:v>
                </c:pt>
                <c:pt idx="10" formatCode="#\ ##0.0">
                  <c:v>83</c:v>
                </c:pt>
                <c:pt idx="11">
                  <c:v>81.5</c:v>
                </c:pt>
                <c:pt idx="12">
                  <c:v>81.400000000000006</c:v>
                </c:pt>
                <c:pt idx="13">
                  <c:v>80.8</c:v>
                </c:pt>
                <c:pt idx="14">
                  <c:v>80.599999999999994</c:v>
                </c:pt>
                <c:pt idx="15">
                  <c:v>79.5</c:v>
                </c:pt>
                <c:pt idx="16">
                  <c:v>79.8</c:v>
                </c:pt>
                <c:pt idx="17">
                  <c:v>79.5</c:v>
                </c:pt>
                <c:pt idx="18" formatCode="#\ ##0.0">
                  <c:v>79</c:v>
                </c:pt>
                <c:pt idx="19">
                  <c:v>77.400000000000006</c:v>
                </c:pt>
                <c:pt idx="20">
                  <c:v>79.099999999999994</c:v>
                </c:pt>
                <c:pt idx="21">
                  <c:v>87.1</c:v>
                </c:pt>
                <c:pt idx="22" formatCode="#\ ##0.0">
                  <c:v>89</c:v>
                </c:pt>
                <c:pt idx="23">
                  <c:v>89.5</c:v>
                </c:pt>
                <c:pt idx="24">
                  <c:v>91.5</c:v>
                </c:pt>
                <c:pt idx="25">
                  <c:v>89.7</c:v>
                </c:pt>
                <c:pt idx="26">
                  <c:v>88.7</c:v>
                </c:pt>
                <c:pt idx="27">
                  <c:v>86.7</c:v>
                </c:pt>
                <c:pt idx="28">
                  <c:v>86.2</c:v>
                </c:pt>
                <c:pt idx="29" formatCode="#\ ##0.0">
                  <c:v>85</c:v>
                </c:pt>
                <c:pt idx="30">
                  <c:v>83.6</c:v>
                </c:pt>
                <c:pt idx="31">
                  <c:v>82.5</c:v>
                </c:pt>
                <c:pt idx="32">
                  <c:v>82.3</c:v>
                </c:pt>
                <c:pt idx="33">
                  <c:v>81.900000000000006</c:v>
                </c:pt>
                <c:pt idx="34">
                  <c:v>81.5</c:v>
                </c:pt>
                <c:pt idx="35">
                  <c:v>80.8</c:v>
                </c:pt>
                <c:pt idx="36">
                  <c:v>81.3</c:v>
                </c:pt>
                <c:pt idx="37">
                  <c:v>81.599999999999994</c:v>
                </c:pt>
                <c:pt idx="38">
                  <c:v>81.599999999999994</c:v>
                </c:pt>
              </c:numCache>
            </c:numRef>
          </c:val>
          <c:smooth val="0"/>
          <c:extLst>
            <c:ext xmlns:c16="http://schemas.microsoft.com/office/drawing/2014/chart" uri="{C3380CC4-5D6E-409C-BE32-E72D297353CC}">
              <c16:uniqueId val="{00000003-BF44-4600-AA1F-C8D182A4064C}"/>
            </c:ext>
          </c:extLst>
        </c:ser>
        <c:ser>
          <c:idx val="5"/>
          <c:order val="4"/>
          <c:tx>
            <c:strRef>
              <c:f>'G3-Sektor vlád.institucí'!$A$9</c:f>
              <c:strCache>
                <c:ptCount val="1"/>
                <c:pt idx="0">
                  <c:v>Debt ratio (Czechia)</c:v>
                </c:pt>
              </c:strCache>
            </c:strRef>
          </c:tx>
          <c:spPr>
            <a:ln w="12700" cap="rnd">
              <a:solidFill>
                <a:schemeClr val="bg2">
                  <a:lumMod val="50000"/>
                </a:schemeClr>
              </a:solidFill>
              <a:prstDash val="sysDot"/>
              <a:round/>
            </a:ln>
            <a:effectLst/>
          </c:spPr>
          <c:marker>
            <c:symbol val="circle"/>
            <c:size val="4"/>
            <c:spPr>
              <a:solidFill>
                <a:schemeClr val="bg2">
                  <a:lumMod val="50000"/>
                </a:schemeClr>
              </a:solidFill>
              <a:ln w="9525">
                <a:noFill/>
              </a:ln>
              <a:effectLst/>
            </c:spPr>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vlád.institucí'!$B$9:$AN$9</c:f>
              <c:numCache>
                <c:formatCode>#\ ##0.##########</c:formatCode>
                <c:ptCount val="39"/>
                <c:pt idx="0">
                  <c:v>41.3</c:v>
                </c:pt>
                <c:pt idx="1">
                  <c:v>40.5</c:v>
                </c:pt>
                <c:pt idx="2">
                  <c:v>39.9</c:v>
                </c:pt>
                <c:pt idx="3">
                  <c:v>39.5</c:v>
                </c:pt>
                <c:pt idx="4">
                  <c:v>39.5</c:v>
                </c:pt>
                <c:pt idx="5">
                  <c:v>38.9</c:v>
                </c:pt>
                <c:pt idx="6">
                  <c:v>37.799999999999997</c:v>
                </c:pt>
                <c:pt idx="7">
                  <c:v>36.200000000000003</c:v>
                </c:pt>
                <c:pt idx="8">
                  <c:v>39.200000000000003</c:v>
                </c:pt>
                <c:pt idx="9">
                  <c:v>38.6</c:v>
                </c:pt>
                <c:pt idx="10">
                  <c:v>34.299999999999997</c:v>
                </c:pt>
                <c:pt idx="11">
                  <c:v>33.799999999999997</c:v>
                </c:pt>
                <c:pt idx="12">
                  <c:v>34.9</c:v>
                </c:pt>
                <c:pt idx="13">
                  <c:v>34.299999999999997</c:v>
                </c:pt>
                <c:pt idx="14">
                  <c:v>32.9</c:v>
                </c:pt>
                <c:pt idx="15">
                  <c:v>31.7</c:v>
                </c:pt>
                <c:pt idx="16" formatCode="#\ ##0.0">
                  <c:v>33</c:v>
                </c:pt>
                <c:pt idx="17">
                  <c:v>32.1</c:v>
                </c:pt>
                <c:pt idx="18">
                  <c:v>30.8</c:v>
                </c:pt>
                <c:pt idx="19">
                  <c:v>29.6</c:v>
                </c:pt>
                <c:pt idx="20">
                  <c:v>31.9</c:v>
                </c:pt>
                <c:pt idx="21">
                  <c:v>38.9</c:v>
                </c:pt>
                <c:pt idx="22">
                  <c:v>37.4</c:v>
                </c:pt>
                <c:pt idx="23">
                  <c:v>36.9</c:v>
                </c:pt>
                <c:pt idx="24">
                  <c:v>42.9</c:v>
                </c:pt>
                <c:pt idx="25">
                  <c:v>41.5</c:v>
                </c:pt>
                <c:pt idx="26">
                  <c:v>39.299999999999997</c:v>
                </c:pt>
                <c:pt idx="27">
                  <c:v>40.700000000000003</c:v>
                </c:pt>
                <c:pt idx="28">
                  <c:v>41.4</c:v>
                </c:pt>
                <c:pt idx="29">
                  <c:v>41.9</c:v>
                </c:pt>
                <c:pt idx="30">
                  <c:v>43.5</c:v>
                </c:pt>
                <c:pt idx="31">
                  <c:v>42.5</c:v>
                </c:pt>
                <c:pt idx="32">
                  <c:v>42.9</c:v>
                </c:pt>
                <c:pt idx="33">
                  <c:v>42.6</c:v>
                </c:pt>
                <c:pt idx="34">
                  <c:v>42.8</c:v>
                </c:pt>
                <c:pt idx="35">
                  <c:v>42.4</c:v>
                </c:pt>
                <c:pt idx="36">
                  <c:v>43.4</c:v>
                </c:pt>
                <c:pt idx="37">
                  <c:v>42.7</c:v>
                </c:pt>
                <c:pt idx="38">
                  <c:v>43.6</c:v>
                </c:pt>
              </c:numCache>
            </c:numRef>
          </c:val>
          <c:smooth val="0"/>
          <c:extLst>
            <c:ext xmlns:c16="http://schemas.microsoft.com/office/drawing/2014/chart" uri="{C3380CC4-5D6E-409C-BE32-E72D297353CC}">
              <c16:uniqueId val="{00000004-BF44-4600-AA1F-C8D182A4064C}"/>
            </c:ext>
          </c:extLst>
        </c:ser>
        <c:ser>
          <c:idx val="2"/>
          <c:order val="5"/>
          <c:tx>
            <c:strRef>
              <c:f>'G3-Sektor vlád.institucí'!$A$10</c:f>
              <c:strCache>
                <c:ptCount val="1"/>
                <c:pt idx="0">
                  <c:v>Debt ratio (Germany</c:v>
                </c:pt>
              </c:strCache>
            </c:strRef>
          </c:tx>
          <c:spPr>
            <a:ln w="15875" cap="rnd">
              <a:solidFill>
                <a:srgbClr val="7030A0"/>
              </a:solidFill>
              <a:round/>
            </a:ln>
            <a:effectLst/>
          </c:spPr>
          <c:marker>
            <c:symbol val="none"/>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vlád.institucí'!$B$10:$AN$10</c:f>
              <c:numCache>
                <c:formatCode>#\ ##0.##########</c:formatCode>
                <c:ptCount val="39"/>
                <c:pt idx="0">
                  <c:v>74.2</c:v>
                </c:pt>
                <c:pt idx="1">
                  <c:v>72.400000000000006</c:v>
                </c:pt>
                <c:pt idx="2">
                  <c:v>71.900000000000006</c:v>
                </c:pt>
                <c:pt idx="3">
                  <c:v>71.2</c:v>
                </c:pt>
                <c:pt idx="4">
                  <c:v>70.900000000000006</c:v>
                </c:pt>
                <c:pt idx="5">
                  <c:v>70.2</c:v>
                </c:pt>
                <c:pt idx="6">
                  <c:v>69.400000000000006</c:v>
                </c:pt>
                <c:pt idx="7">
                  <c:v>68.3</c:v>
                </c:pt>
                <c:pt idx="8">
                  <c:v>66.8</c:v>
                </c:pt>
                <c:pt idx="9">
                  <c:v>66.099999999999994</c:v>
                </c:pt>
                <c:pt idx="10">
                  <c:v>65.3</c:v>
                </c:pt>
                <c:pt idx="11" formatCode="#\ ##0.0">
                  <c:v>64</c:v>
                </c:pt>
                <c:pt idx="12">
                  <c:v>62.9</c:v>
                </c:pt>
                <c:pt idx="13">
                  <c:v>61.9</c:v>
                </c:pt>
                <c:pt idx="14">
                  <c:v>61.6</c:v>
                </c:pt>
                <c:pt idx="15">
                  <c:v>60.8</c:v>
                </c:pt>
                <c:pt idx="16">
                  <c:v>60.6</c:v>
                </c:pt>
                <c:pt idx="17">
                  <c:v>60.1</c:v>
                </c:pt>
                <c:pt idx="18" formatCode="#\ ##0.0">
                  <c:v>60</c:v>
                </c:pt>
                <c:pt idx="19">
                  <c:v>58.7</c:v>
                </c:pt>
                <c:pt idx="20">
                  <c:v>59.8</c:v>
                </c:pt>
                <c:pt idx="21" formatCode="#\ ##0.0">
                  <c:v>66</c:v>
                </c:pt>
                <c:pt idx="22">
                  <c:v>68.5</c:v>
                </c:pt>
                <c:pt idx="23" formatCode="#\ ##0.0">
                  <c:v>68</c:v>
                </c:pt>
                <c:pt idx="24">
                  <c:v>68.8</c:v>
                </c:pt>
                <c:pt idx="25">
                  <c:v>68.3</c:v>
                </c:pt>
                <c:pt idx="26">
                  <c:v>68.099999999999994</c:v>
                </c:pt>
                <c:pt idx="27">
                  <c:v>68.099999999999994</c:v>
                </c:pt>
                <c:pt idx="28">
                  <c:v>66.7</c:v>
                </c:pt>
                <c:pt idx="29">
                  <c:v>66.5</c:v>
                </c:pt>
                <c:pt idx="30">
                  <c:v>65.7</c:v>
                </c:pt>
                <c:pt idx="31" formatCode="#\ ##0.0">
                  <c:v>65</c:v>
                </c:pt>
                <c:pt idx="32">
                  <c:v>64.5</c:v>
                </c:pt>
                <c:pt idx="33">
                  <c:v>63.6</c:v>
                </c:pt>
                <c:pt idx="34">
                  <c:v>63.8</c:v>
                </c:pt>
                <c:pt idx="35">
                  <c:v>62.9</c:v>
                </c:pt>
                <c:pt idx="36">
                  <c:v>62.6</c:v>
                </c:pt>
                <c:pt idx="37">
                  <c:v>61.9</c:v>
                </c:pt>
                <c:pt idx="38">
                  <c:v>62.4</c:v>
                </c:pt>
              </c:numCache>
            </c:numRef>
          </c:val>
          <c:smooth val="0"/>
          <c:extLst>
            <c:ext xmlns:c16="http://schemas.microsoft.com/office/drawing/2014/chart" uri="{C3380CC4-5D6E-409C-BE32-E72D297353CC}">
              <c16:uniqueId val="{00000005-BF44-4600-AA1F-C8D182A4064C}"/>
            </c:ext>
          </c:extLst>
        </c:ser>
        <c:ser>
          <c:idx val="6"/>
          <c:order val="6"/>
          <c:tx>
            <c:strRef>
              <c:f>'G3-Sektor vlád.institucí'!$A$11</c:f>
              <c:strCache>
                <c:ptCount val="1"/>
                <c:pt idx="0">
                  <c:v>Debt ratio (Slovakia)</c:v>
                </c:pt>
              </c:strCache>
            </c:strRef>
          </c:tx>
          <c:spPr>
            <a:ln w="15875" cap="rnd">
              <a:solidFill>
                <a:srgbClr val="00B0F0"/>
              </a:solidFill>
              <a:round/>
            </a:ln>
            <a:effectLst/>
          </c:spPr>
          <c:marker>
            <c:symbol val="none"/>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vlád.institucí'!$B$11:$AN$11</c:f>
              <c:numCache>
                <c:formatCode>#\ ##0.##########</c:formatCode>
                <c:ptCount val="39"/>
                <c:pt idx="0">
                  <c:v>53.7</c:v>
                </c:pt>
                <c:pt idx="1">
                  <c:v>53.8</c:v>
                </c:pt>
                <c:pt idx="2">
                  <c:v>52.8</c:v>
                </c:pt>
                <c:pt idx="3">
                  <c:v>51.6</c:v>
                </c:pt>
                <c:pt idx="4">
                  <c:v>51.3</c:v>
                </c:pt>
                <c:pt idx="5">
                  <c:v>52.6</c:v>
                </c:pt>
                <c:pt idx="6">
                  <c:v>52.7</c:v>
                </c:pt>
                <c:pt idx="7">
                  <c:v>52.1</c:v>
                </c:pt>
                <c:pt idx="8">
                  <c:v>53.7</c:v>
                </c:pt>
                <c:pt idx="9">
                  <c:v>52.1</c:v>
                </c:pt>
                <c:pt idx="10">
                  <c:v>51.7</c:v>
                </c:pt>
                <c:pt idx="11">
                  <c:v>51.4</c:v>
                </c:pt>
                <c:pt idx="12">
                  <c:v>51.3</c:v>
                </c:pt>
                <c:pt idx="13">
                  <c:v>52.3</c:v>
                </c:pt>
                <c:pt idx="14">
                  <c:v>51.9</c:v>
                </c:pt>
                <c:pt idx="15">
                  <c:v>49.3</c:v>
                </c:pt>
                <c:pt idx="16">
                  <c:v>49.2</c:v>
                </c:pt>
                <c:pt idx="17">
                  <c:v>48.6</c:v>
                </c:pt>
                <c:pt idx="18">
                  <c:v>48.4</c:v>
                </c:pt>
                <c:pt idx="19" formatCode="#\ ##0.0">
                  <c:v>48</c:v>
                </c:pt>
                <c:pt idx="20" formatCode="#\ ##0.0">
                  <c:v>49</c:v>
                </c:pt>
                <c:pt idx="21">
                  <c:v>58.9</c:v>
                </c:pt>
                <c:pt idx="22">
                  <c:v>58.9</c:v>
                </c:pt>
                <c:pt idx="23">
                  <c:v>58.4</c:v>
                </c:pt>
                <c:pt idx="24">
                  <c:v>58.2</c:v>
                </c:pt>
                <c:pt idx="25" formatCode="#\ ##0.0">
                  <c:v>59</c:v>
                </c:pt>
                <c:pt idx="26">
                  <c:v>58.8</c:v>
                </c:pt>
                <c:pt idx="27">
                  <c:v>60.2</c:v>
                </c:pt>
                <c:pt idx="28">
                  <c:v>59.7</c:v>
                </c:pt>
                <c:pt idx="29">
                  <c:v>58.7</c:v>
                </c:pt>
                <c:pt idx="30">
                  <c:v>57.2</c:v>
                </c:pt>
                <c:pt idx="31">
                  <c:v>57.7</c:v>
                </c:pt>
                <c:pt idx="32">
                  <c:v>57.9</c:v>
                </c:pt>
                <c:pt idx="33">
                  <c:v>59.4</c:v>
                </c:pt>
                <c:pt idx="34">
                  <c:v>58.3</c:v>
                </c:pt>
                <c:pt idx="35">
                  <c:v>56.1</c:v>
                </c:pt>
                <c:pt idx="36">
                  <c:v>60.6</c:v>
                </c:pt>
                <c:pt idx="37">
                  <c:v>60.4</c:v>
                </c:pt>
                <c:pt idx="38">
                  <c:v>60.3</c:v>
                </c:pt>
              </c:numCache>
            </c:numRef>
          </c:val>
          <c:smooth val="0"/>
          <c:extLst>
            <c:ext xmlns:c16="http://schemas.microsoft.com/office/drawing/2014/chart" uri="{C3380CC4-5D6E-409C-BE32-E72D297353CC}">
              <c16:uniqueId val="{00000006-BF44-4600-AA1F-C8D182A4064C}"/>
            </c:ext>
          </c:extLst>
        </c:ser>
        <c:ser>
          <c:idx val="7"/>
          <c:order val="7"/>
          <c:tx>
            <c:strRef>
              <c:f>'G3-Sektor vlád.institucí'!$A$12</c:f>
              <c:strCache>
                <c:ptCount val="1"/>
                <c:pt idx="0">
                  <c:v>Debt ratio (Poland)</c:v>
                </c:pt>
              </c:strCache>
            </c:strRef>
          </c:tx>
          <c:spPr>
            <a:ln w="15875" cap="rnd">
              <a:solidFill>
                <a:srgbClr val="FF0000"/>
              </a:solidFill>
              <a:round/>
            </a:ln>
            <a:effectLst/>
          </c:spPr>
          <c:marker>
            <c:symbol val="none"/>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vlád.institucí'!$B$12:$AN$12</c:f>
              <c:numCache>
                <c:formatCode>#\ ##0.##########</c:formatCode>
                <c:ptCount val="39"/>
                <c:pt idx="0">
                  <c:v>51.7</c:v>
                </c:pt>
                <c:pt idx="1">
                  <c:v>51.4</c:v>
                </c:pt>
                <c:pt idx="2">
                  <c:v>51.7</c:v>
                </c:pt>
                <c:pt idx="3">
                  <c:v>51.1</c:v>
                </c:pt>
                <c:pt idx="4">
                  <c:v>51.6</c:v>
                </c:pt>
                <c:pt idx="5">
                  <c:v>53.4</c:v>
                </c:pt>
                <c:pt idx="6" formatCode="#\ ##0.0">
                  <c:v>53</c:v>
                </c:pt>
                <c:pt idx="7">
                  <c:v>54.1</c:v>
                </c:pt>
                <c:pt idx="8">
                  <c:v>53.6</c:v>
                </c:pt>
                <c:pt idx="9" formatCode="#\ ##0.0">
                  <c:v>53</c:v>
                </c:pt>
                <c:pt idx="10">
                  <c:v>51.7</c:v>
                </c:pt>
                <c:pt idx="11">
                  <c:v>50.4</c:v>
                </c:pt>
                <c:pt idx="12">
                  <c:v>50.9</c:v>
                </c:pt>
                <c:pt idx="13">
                  <c:v>50.1</c:v>
                </c:pt>
                <c:pt idx="14" formatCode="#\ ##0.0">
                  <c:v>49</c:v>
                </c:pt>
                <c:pt idx="15">
                  <c:v>48.2</c:v>
                </c:pt>
                <c:pt idx="16">
                  <c:v>48.3</c:v>
                </c:pt>
                <c:pt idx="17">
                  <c:v>47.2</c:v>
                </c:pt>
                <c:pt idx="18">
                  <c:v>46.5</c:v>
                </c:pt>
                <c:pt idx="19">
                  <c:v>45.2</c:v>
                </c:pt>
                <c:pt idx="20">
                  <c:v>47.1</c:v>
                </c:pt>
                <c:pt idx="21">
                  <c:v>54.1</c:v>
                </c:pt>
                <c:pt idx="22">
                  <c:v>55.8</c:v>
                </c:pt>
                <c:pt idx="23">
                  <c:v>56.6</c:v>
                </c:pt>
                <c:pt idx="24">
                  <c:v>57.9</c:v>
                </c:pt>
                <c:pt idx="25">
                  <c:v>56.3</c:v>
                </c:pt>
                <c:pt idx="26">
                  <c:v>55.2</c:v>
                </c:pt>
                <c:pt idx="27" formatCode="#\ ##0.0">
                  <c:v>53</c:v>
                </c:pt>
                <c:pt idx="28">
                  <c:v>51.4</c:v>
                </c:pt>
                <c:pt idx="29">
                  <c:v>50.9</c:v>
                </c:pt>
                <c:pt idx="30">
                  <c:v>49.8</c:v>
                </c:pt>
                <c:pt idx="31">
                  <c:v>48.8</c:v>
                </c:pt>
                <c:pt idx="32">
                  <c:v>47.9</c:v>
                </c:pt>
                <c:pt idx="33">
                  <c:v>48.2</c:v>
                </c:pt>
                <c:pt idx="34">
                  <c:v>48.6</c:v>
                </c:pt>
                <c:pt idx="35">
                  <c:v>49.7</c:v>
                </c:pt>
                <c:pt idx="36">
                  <c:v>51.5</c:v>
                </c:pt>
                <c:pt idx="37">
                  <c:v>52.3</c:v>
                </c:pt>
                <c:pt idx="38">
                  <c:v>53.5</c:v>
                </c:pt>
              </c:numCache>
            </c:numRef>
          </c:val>
          <c:smooth val="0"/>
          <c:extLst>
            <c:ext xmlns:c16="http://schemas.microsoft.com/office/drawing/2014/chart" uri="{C3380CC4-5D6E-409C-BE32-E72D297353CC}">
              <c16:uniqueId val="{00000007-BF44-4600-AA1F-C8D182A4064C}"/>
            </c:ext>
          </c:extLst>
        </c:ser>
        <c:ser>
          <c:idx val="8"/>
          <c:order val="8"/>
          <c:tx>
            <c:strRef>
              <c:f>'G3-Sektor vlád.institucí'!$A$13</c:f>
              <c:strCache>
                <c:ptCount val="1"/>
                <c:pt idx="0">
                  <c:v>Debt ratio (Hungary)</c:v>
                </c:pt>
              </c:strCache>
            </c:strRef>
          </c:tx>
          <c:spPr>
            <a:ln w="15875" cap="rnd">
              <a:solidFill>
                <a:srgbClr val="FFC000"/>
              </a:solidFill>
              <a:round/>
            </a:ln>
            <a:effectLst/>
          </c:spPr>
          <c:marker>
            <c:symbol val="none"/>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vlád.institucí'!$B$13:$AN$13</c:f>
              <c:numCache>
                <c:formatCode>#\ ##0.##########</c:formatCode>
                <c:ptCount val="39"/>
                <c:pt idx="0">
                  <c:v>77.5</c:v>
                </c:pt>
                <c:pt idx="1">
                  <c:v>79.2</c:v>
                </c:pt>
                <c:pt idx="2">
                  <c:v>78.400000000000006</c:v>
                </c:pt>
                <c:pt idx="3">
                  <c:v>75.7</c:v>
                </c:pt>
                <c:pt idx="4">
                  <c:v>77.2</c:v>
                </c:pt>
                <c:pt idx="5">
                  <c:v>75.599999999999994</c:v>
                </c:pt>
                <c:pt idx="6">
                  <c:v>74.8</c:v>
                </c:pt>
                <c:pt idx="7">
                  <c:v>74.599999999999994</c:v>
                </c:pt>
                <c:pt idx="8">
                  <c:v>74.900000000000006</c:v>
                </c:pt>
                <c:pt idx="9">
                  <c:v>74.3</c:v>
                </c:pt>
                <c:pt idx="10">
                  <c:v>72.900000000000006</c:v>
                </c:pt>
                <c:pt idx="11" formatCode="#\ ##0.0">
                  <c:v>72</c:v>
                </c:pt>
                <c:pt idx="12">
                  <c:v>72.2</c:v>
                </c:pt>
                <c:pt idx="13">
                  <c:v>72.3</c:v>
                </c:pt>
                <c:pt idx="14">
                  <c:v>70.7</c:v>
                </c:pt>
                <c:pt idx="15">
                  <c:v>68.8</c:v>
                </c:pt>
                <c:pt idx="16">
                  <c:v>68.099999999999994</c:v>
                </c:pt>
                <c:pt idx="17">
                  <c:v>66.8</c:v>
                </c:pt>
                <c:pt idx="18">
                  <c:v>66.7</c:v>
                </c:pt>
                <c:pt idx="19" formatCode="#\ ##0.0">
                  <c:v>65</c:v>
                </c:pt>
                <c:pt idx="20">
                  <c:v>65.2</c:v>
                </c:pt>
                <c:pt idx="21">
                  <c:v>69.400000000000006</c:v>
                </c:pt>
                <c:pt idx="22">
                  <c:v>72.8</c:v>
                </c:pt>
                <c:pt idx="23">
                  <c:v>78.7</c:v>
                </c:pt>
                <c:pt idx="24">
                  <c:v>79.7</c:v>
                </c:pt>
                <c:pt idx="25">
                  <c:v>76.3</c:v>
                </c:pt>
                <c:pt idx="26" formatCode="#\ ##0.0">
                  <c:v>79</c:v>
                </c:pt>
                <c:pt idx="27">
                  <c:v>76.2</c:v>
                </c:pt>
                <c:pt idx="28">
                  <c:v>76.599999999999994</c:v>
                </c:pt>
                <c:pt idx="29">
                  <c:v>76.400000000000006</c:v>
                </c:pt>
                <c:pt idx="30">
                  <c:v>75.400000000000006</c:v>
                </c:pt>
                <c:pt idx="31">
                  <c:v>73.8</c:v>
                </c:pt>
                <c:pt idx="32">
                  <c:v>75.2</c:v>
                </c:pt>
                <c:pt idx="33">
                  <c:v>74.900000000000006</c:v>
                </c:pt>
                <c:pt idx="34">
                  <c:v>74.599999999999994</c:v>
                </c:pt>
                <c:pt idx="35">
                  <c:v>73.400000000000006</c:v>
                </c:pt>
                <c:pt idx="36" formatCode="#\ ##0.0">
                  <c:v>76</c:v>
                </c:pt>
                <c:pt idx="37">
                  <c:v>75.8</c:v>
                </c:pt>
                <c:pt idx="38" formatCode="#\ ##0.0">
                  <c:v>76</c:v>
                </c:pt>
              </c:numCache>
            </c:numRef>
          </c:val>
          <c:smooth val="0"/>
          <c:extLst>
            <c:ext xmlns:c16="http://schemas.microsoft.com/office/drawing/2014/chart" uri="{C3380CC4-5D6E-409C-BE32-E72D297353CC}">
              <c16:uniqueId val="{00000008-BF44-4600-AA1F-C8D182A4064C}"/>
            </c:ext>
          </c:extLst>
        </c:ser>
        <c:ser>
          <c:idx val="9"/>
          <c:order val="9"/>
          <c:tx>
            <c:strRef>
              <c:f>'G3-Sektor vlád.institucí'!$A$14</c:f>
              <c:strCache>
                <c:ptCount val="1"/>
                <c:pt idx="0">
                  <c:v>Debt ratio (Slovenia)</c:v>
                </c:pt>
              </c:strCache>
            </c:strRef>
          </c:tx>
          <c:spPr>
            <a:ln w="15875" cap="rnd">
              <a:solidFill>
                <a:srgbClr val="92D050"/>
              </a:solidFill>
              <a:round/>
            </a:ln>
            <a:effectLst/>
          </c:spPr>
          <c:marker>
            <c:symbol val="none"/>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vlád.institucí'!$B$14:$AN$14</c:f>
              <c:numCache>
                <c:formatCode>#\ ##0.##########</c:formatCode>
                <c:ptCount val="39"/>
                <c:pt idx="0">
                  <c:v>82.2</c:v>
                </c:pt>
                <c:pt idx="1">
                  <c:v>81.3</c:v>
                </c:pt>
                <c:pt idx="2">
                  <c:v>84.7</c:v>
                </c:pt>
                <c:pt idx="3">
                  <c:v>83.4</c:v>
                </c:pt>
                <c:pt idx="4">
                  <c:v>83.8</c:v>
                </c:pt>
                <c:pt idx="5">
                  <c:v>82.5</c:v>
                </c:pt>
                <c:pt idx="6">
                  <c:v>82.5</c:v>
                </c:pt>
                <c:pt idx="7">
                  <c:v>79.400000000000006</c:v>
                </c:pt>
                <c:pt idx="8">
                  <c:v>81.400000000000006</c:v>
                </c:pt>
                <c:pt idx="9">
                  <c:v>81.099999999999994</c:v>
                </c:pt>
                <c:pt idx="10">
                  <c:v>79.900000000000006</c:v>
                </c:pt>
                <c:pt idx="11">
                  <c:v>74.900000000000006</c:v>
                </c:pt>
                <c:pt idx="12">
                  <c:v>76.400000000000006</c:v>
                </c:pt>
                <c:pt idx="13">
                  <c:v>73.7</c:v>
                </c:pt>
                <c:pt idx="14">
                  <c:v>72.099999999999994</c:v>
                </c:pt>
                <c:pt idx="15" formatCode="#\ ##0.0">
                  <c:v>71</c:v>
                </c:pt>
                <c:pt idx="16">
                  <c:v>68.5</c:v>
                </c:pt>
                <c:pt idx="17">
                  <c:v>68.099999999999994</c:v>
                </c:pt>
                <c:pt idx="18">
                  <c:v>68.3</c:v>
                </c:pt>
                <c:pt idx="19" formatCode="#\ ##0.0">
                  <c:v>66</c:v>
                </c:pt>
                <c:pt idx="20">
                  <c:v>69.2</c:v>
                </c:pt>
                <c:pt idx="21">
                  <c:v>78.3</c:v>
                </c:pt>
                <c:pt idx="22">
                  <c:v>78.3</c:v>
                </c:pt>
                <c:pt idx="23">
                  <c:v>80.2</c:v>
                </c:pt>
                <c:pt idx="24">
                  <c:v>85.5</c:v>
                </c:pt>
                <c:pt idx="25">
                  <c:v>80.400000000000006</c:v>
                </c:pt>
                <c:pt idx="26">
                  <c:v>79.7</c:v>
                </c:pt>
                <c:pt idx="27">
                  <c:v>74.8</c:v>
                </c:pt>
                <c:pt idx="28">
                  <c:v>75.900000000000006</c:v>
                </c:pt>
                <c:pt idx="29">
                  <c:v>75.599999999999994</c:v>
                </c:pt>
                <c:pt idx="30" formatCode="#\ ##0.0">
                  <c:v>75</c:v>
                </c:pt>
                <c:pt idx="31">
                  <c:v>72.7</c:v>
                </c:pt>
                <c:pt idx="32">
                  <c:v>71.900000000000006</c:v>
                </c:pt>
                <c:pt idx="33" formatCode="#\ ##0.0">
                  <c:v>70</c:v>
                </c:pt>
                <c:pt idx="34" formatCode="#\ ##0.0">
                  <c:v>71</c:v>
                </c:pt>
                <c:pt idx="35">
                  <c:v>68.400000000000006</c:v>
                </c:pt>
                <c:pt idx="36" formatCode="#\ ##0.0">
                  <c:v>70</c:v>
                </c:pt>
                <c:pt idx="37">
                  <c:v>69.5</c:v>
                </c:pt>
                <c:pt idx="38">
                  <c:v>66.900000000000006</c:v>
                </c:pt>
              </c:numCache>
            </c:numRef>
          </c:val>
          <c:smooth val="0"/>
          <c:extLst>
            <c:ext xmlns:c16="http://schemas.microsoft.com/office/drawing/2014/chart" uri="{C3380CC4-5D6E-409C-BE32-E72D297353CC}">
              <c16:uniqueId val="{00000009-BF44-4600-AA1F-C8D182A4064C}"/>
            </c:ext>
          </c:extLst>
        </c:ser>
        <c:ser>
          <c:idx val="10"/>
          <c:order val="10"/>
          <c:tx>
            <c:strRef>
              <c:f>'G3-Sektor vlád.institucí'!$A$15</c:f>
              <c:strCache>
                <c:ptCount val="1"/>
                <c:pt idx="0">
                  <c:v>Debt ratio (Romania)</c:v>
                </c:pt>
              </c:strCache>
            </c:strRef>
          </c:tx>
          <c:spPr>
            <a:ln w="15875" cap="rnd">
              <a:solidFill>
                <a:srgbClr val="00B050"/>
              </a:solidFill>
              <a:round/>
            </a:ln>
            <a:effectLst/>
          </c:spPr>
          <c:marker>
            <c:symbol val="none"/>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vlád.institucí'!$B$15:$AN$15</c:f>
              <c:numCache>
                <c:formatCode>#\ ##0.##########</c:formatCode>
                <c:ptCount val="39"/>
                <c:pt idx="0">
                  <c:v>37.6</c:v>
                </c:pt>
                <c:pt idx="1">
                  <c:v>37.200000000000003</c:v>
                </c:pt>
                <c:pt idx="2">
                  <c:v>36.4</c:v>
                </c:pt>
                <c:pt idx="3">
                  <c:v>37.700000000000003</c:v>
                </c:pt>
                <c:pt idx="4" formatCode="#\ ##0.0">
                  <c:v>37</c:v>
                </c:pt>
                <c:pt idx="5">
                  <c:v>36.700000000000003</c:v>
                </c:pt>
                <c:pt idx="6">
                  <c:v>36.299999999999997</c:v>
                </c:pt>
                <c:pt idx="7">
                  <c:v>37.799999999999997</c:v>
                </c:pt>
                <c:pt idx="8">
                  <c:v>37.299999999999997</c:v>
                </c:pt>
                <c:pt idx="9">
                  <c:v>37.4</c:v>
                </c:pt>
                <c:pt idx="10">
                  <c:v>35.799999999999997</c:v>
                </c:pt>
                <c:pt idx="11">
                  <c:v>35.299999999999997</c:v>
                </c:pt>
                <c:pt idx="12">
                  <c:v>34.5</c:v>
                </c:pt>
                <c:pt idx="13" formatCode="#\ ##0.0">
                  <c:v>34</c:v>
                </c:pt>
                <c:pt idx="14">
                  <c:v>33.799999999999997</c:v>
                </c:pt>
                <c:pt idx="15">
                  <c:v>34.4</c:v>
                </c:pt>
                <c:pt idx="16">
                  <c:v>33.5</c:v>
                </c:pt>
                <c:pt idx="17">
                  <c:v>33.5</c:v>
                </c:pt>
                <c:pt idx="18">
                  <c:v>34.799999999999997</c:v>
                </c:pt>
                <c:pt idx="19" formatCode="#\ ##0.0">
                  <c:v>35</c:v>
                </c:pt>
                <c:pt idx="20" formatCode="#\ ##0.0">
                  <c:v>37</c:v>
                </c:pt>
                <c:pt idx="21">
                  <c:v>40.299999999999997</c:v>
                </c:pt>
                <c:pt idx="22">
                  <c:v>42.4</c:v>
                </c:pt>
                <c:pt idx="23">
                  <c:v>46.6</c:v>
                </c:pt>
                <c:pt idx="24">
                  <c:v>46.7</c:v>
                </c:pt>
                <c:pt idx="25">
                  <c:v>46.5</c:v>
                </c:pt>
                <c:pt idx="26">
                  <c:v>47.7</c:v>
                </c:pt>
                <c:pt idx="27">
                  <c:v>48.3</c:v>
                </c:pt>
                <c:pt idx="28">
                  <c:v>48.2</c:v>
                </c:pt>
                <c:pt idx="29">
                  <c:v>48.4</c:v>
                </c:pt>
                <c:pt idx="30">
                  <c:v>48.4</c:v>
                </c:pt>
                <c:pt idx="31">
                  <c:v>47.9</c:v>
                </c:pt>
                <c:pt idx="32">
                  <c:v>49.7</c:v>
                </c:pt>
                <c:pt idx="33">
                  <c:v>48.8</c:v>
                </c:pt>
                <c:pt idx="34">
                  <c:v>49.5</c:v>
                </c:pt>
                <c:pt idx="35">
                  <c:v>48.9</c:v>
                </c:pt>
                <c:pt idx="36">
                  <c:v>51.6</c:v>
                </c:pt>
                <c:pt idx="37">
                  <c:v>51.1</c:v>
                </c:pt>
                <c:pt idx="38">
                  <c:v>53.1</c:v>
                </c:pt>
              </c:numCache>
            </c:numRef>
          </c:val>
          <c:smooth val="0"/>
          <c:extLst>
            <c:ext xmlns:c16="http://schemas.microsoft.com/office/drawing/2014/chart" uri="{C3380CC4-5D6E-409C-BE32-E72D297353CC}">
              <c16:uniqueId val="{0000000A-BF44-4600-AA1F-C8D182A4064C}"/>
            </c:ext>
          </c:extLst>
        </c:ser>
        <c:ser>
          <c:idx val="11"/>
          <c:order val="11"/>
          <c:tx>
            <c:strRef>
              <c:f>'G3-Sektor vlád.institucí'!$A$16</c:f>
              <c:strCache>
                <c:ptCount val="1"/>
                <c:pt idx="0">
                  <c:v>Debt ratio (Estonia)</c:v>
                </c:pt>
              </c:strCache>
            </c:strRef>
          </c:tx>
          <c:spPr>
            <a:ln w="15875" cap="rnd">
              <a:solidFill>
                <a:schemeClr val="accent6">
                  <a:lumMod val="60000"/>
                  <a:lumOff val="40000"/>
                </a:schemeClr>
              </a:solidFill>
              <a:round/>
            </a:ln>
            <a:effectLst/>
          </c:spPr>
          <c:marker>
            <c:symbol val="none"/>
          </c:marker>
          <c:cat>
            <c:multiLvlStrRef>
              <c:f>'G3-Sektor vlád.institucí'!$B$3:$AN$4</c:f>
              <c:multiLvlStrCache>
                <c:ptCount val="3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'G3-Sektor vlád.institucí'!$B$16:$AN$16</c:f>
              <c:numCache>
                <c:formatCode>#\ ##0.0</c:formatCode>
                <c:ptCount val="39"/>
                <c:pt idx="0" formatCode="#\ ##0.##########">
                  <c:v>11.1</c:v>
                </c:pt>
                <c:pt idx="1">
                  <c:v>11</c:v>
                </c:pt>
                <c:pt idx="2" formatCode="#\ ##0.##########">
                  <c:v>10.8</c:v>
                </c:pt>
                <c:pt idx="3" formatCode="#\ ##0.##########">
                  <c:v>10.8</c:v>
                </c:pt>
                <c:pt idx="4" formatCode="#\ ##0.##########">
                  <c:v>10.3</c:v>
                </c:pt>
                <c:pt idx="5">
                  <c:v>10</c:v>
                </c:pt>
                <c:pt idx="6">
                  <c:v>10</c:v>
                </c:pt>
                <c:pt idx="7" formatCode="#\ ##0.##########">
                  <c:v>10.199999999999999</c:v>
                </c:pt>
                <c:pt idx="8" formatCode="#\ ##0.##########">
                  <c:v>9.8000000000000007</c:v>
                </c:pt>
                <c:pt idx="9" formatCode="#\ ##0.##########">
                  <c:v>9.6</c:v>
                </c:pt>
                <c:pt idx="10" formatCode="#\ ##0.##########">
                  <c:v>9.5</c:v>
                </c:pt>
                <c:pt idx="11" formatCode="#\ ##0.##########">
                  <c:v>9.4</c:v>
                </c:pt>
                <c:pt idx="12" formatCode="#\ ##0.##########">
                  <c:v>9.1</c:v>
                </c:pt>
                <c:pt idx="13" formatCode="#\ ##0.##########">
                  <c:v>8.9</c:v>
                </c:pt>
                <c:pt idx="14" formatCode="#\ ##0.##########">
                  <c:v>8.6999999999999993</c:v>
                </c:pt>
                <c:pt idx="15" formatCode="#\ ##0.##########">
                  <c:v>8.5</c:v>
                </c:pt>
                <c:pt idx="16" formatCode="#\ ##0.##########">
                  <c:v>8.3000000000000007</c:v>
                </c:pt>
                <c:pt idx="17" formatCode="#\ ##0.##########">
                  <c:v>9.6999999999999993</c:v>
                </c:pt>
                <c:pt idx="18" formatCode="#\ ##0.##########">
                  <c:v>9.6</c:v>
                </c:pt>
                <c:pt idx="19">
                  <c:v>9</c:v>
                </c:pt>
                <c:pt idx="20" formatCode="#\ ##0.##########">
                  <c:v>9.5</c:v>
                </c:pt>
                <c:pt idx="21">
                  <c:v>19</c:v>
                </c:pt>
                <c:pt idx="22" formatCode="#\ ##0.##########">
                  <c:v>19.2</c:v>
                </c:pt>
                <c:pt idx="23" formatCode="#\ ##0.##########">
                  <c:v>19.100000000000001</c:v>
                </c:pt>
                <c:pt idx="24" formatCode="#\ ##0.##########">
                  <c:v>19.7</c:v>
                </c:pt>
                <c:pt idx="25" formatCode="#\ ##0.##########">
                  <c:v>19.7</c:v>
                </c:pt>
                <c:pt idx="26" formatCode="#\ ##0.##########">
                  <c:v>19.8</c:v>
                </c:pt>
                <c:pt idx="27" formatCode="#\ ##0.##########">
                  <c:v>18.399999999999999</c:v>
                </c:pt>
                <c:pt idx="28" formatCode="#\ ##0.##########">
                  <c:v>18.100000000000001</c:v>
                </c:pt>
                <c:pt idx="29" formatCode="#\ ##0.##########">
                  <c:v>17.600000000000001</c:v>
                </c:pt>
                <c:pt idx="30" formatCode="#\ ##0.##########">
                  <c:v>16.600000000000001</c:v>
                </c:pt>
                <c:pt idx="31" formatCode="#\ ##0.##########">
                  <c:v>19.100000000000001</c:v>
                </c:pt>
                <c:pt idx="32" formatCode="#\ ##0.##########">
                  <c:v>17.8</c:v>
                </c:pt>
                <c:pt idx="33">
                  <c:v>19</c:v>
                </c:pt>
                <c:pt idx="34" formatCode="#\ ##0.##########">
                  <c:v>18.7</c:v>
                </c:pt>
                <c:pt idx="35" formatCode="#\ ##0.##########">
                  <c:v>20.2</c:v>
                </c:pt>
                <c:pt idx="36" formatCode="#\ ##0.##########">
                  <c:v>24.1</c:v>
                </c:pt>
                <c:pt idx="37" formatCode="#\ ##0.##########">
                  <c:v>23.8</c:v>
                </c:pt>
                <c:pt idx="38">
                  <c:v>24</c:v>
                </c:pt>
              </c:numCache>
            </c:numRef>
          </c:val>
          <c:smooth val="0"/>
          <c:extLst>
            <c:ext xmlns:c16="http://schemas.microsoft.com/office/drawing/2014/chart" uri="{C3380CC4-5D6E-409C-BE32-E72D297353CC}">
              <c16:uniqueId val="{0000000B-BF44-4600-AA1F-C8D182A4064C}"/>
            </c:ext>
          </c:extLst>
        </c:ser>
        <c:dLbls>
          <c:showLegendKey val="0"/>
          <c:showVal val="0"/>
          <c:showCatName val="0"/>
          <c:showSerName val="0"/>
          <c:showPercent val="0"/>
          <c:showBubbleSize val="0"/>
        </c:dLbls>
        <c:marker val="1"/>
        <c:smooth val="0"/>
        <c:axId val="531949712"/>
        <c:axId val="531963024"/>
      </c:lineChart>
      <c:catAx>
        <c:axId val="5319921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7552"/>
        <c:crosses val="autoZero"/>
        <c:auto val="1"/>
        <c:lblAlgn val="ctr"/>
        <c:lblOffset val="0"/>
        <c:noMultiLvlLbl val="0"/>
      </c:catAx>
      <c:valAx>
        <c:axId val="531997552"/>
        <c:scaling>
          <c:orientation val="minMax"/>
          <c:max val="2"/>
          <c:min val="-2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Budget balance</a:t>
                </a:r>
              </a:p>
            </c:rich>
          </c:tx>
          <c:layout>
            <c:manualLayout>
              <c:xMode val="edge"/>
              <c:yMode val="edge"/>
              <c:x val="0"/>
              <c:y val="0.27608885992954735"/>
            </c:manualLayout>
          </c:layout>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2144"/>
        <c:crosses val="autoZero"/>
        <c:crossBetween val="between"/>
        <c:majorUnit val="2"/>
      </c:valAx>
      <c:valAx>
        <c:axId val="531963024"/>
        <c:scaling>
          <c:orientation val="minMax"/>
          <c:max val="120"/>
          <c:min val="0"/>
        </c:scaling>
        <c:delete val="0"/>
        <c:axPos val="r"/>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Debt ratio</a:t>
                </a:r>
              </a:p>
            </c:rich>
          </c:tx>
          <c:layout/>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1949712"/>
        <c:crosses val="max"/>
        <c:crossBetween val="between"/>
        <c:majorUnit val="10"/>
      </c:valAx>
      <c:catAx>
        <c:axId val="531949712"/>
        <c:scaling>
          <c:orientation val="minMax"/>
        </c:scaling>
        <c:delete val="1"/>
        <c:axPos val="b"/>
        <c:numFmt formatCode="General" sourceLinked="1"/>
        <c:majorTickMark val="out"/>
        <c:minorTickMark val="none"/>
        <c:tickLblPos val="nextTo"/>
        <c:crossAx val="531963024"/>
        <c:crosses val="autoZero"/>
        <c:auto val="1"/>
        <c:lblAlgn val="ctr"/>
        <c:lblOffset val="100"/>
        <c:noMultiLvlLbl val="0"/>
      </c:catAx>
      <c:spPr>
        <a:noFill/>
        <a:ln w="6350">
          <a:solidFill>
            <a:schemeClr val="tx1"/>
          </a:solidFill>
        </a:ln>
        <a:effectLst/>
      </c:spPr>
    </c:plotArea>
    <c:legend>
      <c:legendPos val="b"/>
      <c:layout>
        <c:manualLayout>
          <c:xMode val="edge"/>
          <c:yMode val="edge"/>
          <c:x val="1.3141700567023604E-3"/>
          <c:y val="0.85048665268473456"/>
          <c:w val="0.99173696911936216"/>
          <c:h val="0.14025371098124656"/>
        </c:manualLayout>
      </c:layout>
      <c:overlay val="0"/>
      <c:spPr>
        <a:noFill/>
        <a:ln w="6350">
          <a:solidFill>
            <a:schemeClr val="tx1"/>
          </a:solid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6350"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404035346808687E-2"/>
          <c:y val="3.7154479717354444E-2"/>
          <c:w val="0.93674937195830332"/>
          <c:h val="0.63445260610154264"/>
        </c:manualLayout>
      </c:layout>
      <c:barChart>
        <c:barDir val="col"/>
        <c:grouping val="stacked"/>
        <c:varyColors val="0"/>
        <c:ser>
          <c:idx val="4"/>
          <c:order val="0"/>
          <c:tx>
            <c:strRef>
              <c:f>'souhrnná výkonnost 4'!$C$5</c:f>
              <c:strCache>
                <c:ptCount val="1"/>
                <c:pt idx="0">
                  <c:v>Agriculture, forestry and fishing</c:v>
                </c:pt>
              </c:strCache>
            </c:strRef>
          </c:tx>
          <c:spPr>
            <a:solidFill>
              <a:srgbClr val="7DBB2D"/>
            </a:solidFill>
            <a:ln>
              <a:noFill/>
            </a:ln>
          </c:spPr>
          <c:invertIfNegative val="0"/>
          <c:cat>
            <c:multiLvlStrRef>
              <c:f>'souhrnná výkonnost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4'!$C$10:$C$33</c:f>
              <c:numCache>
                <c:formatCode>#\ ##0.0</c:formatCode>
                <c:ptCount val="24"/>
                <c:pt idx="0">
                  <c:v>6.9952669722000996E-2</c:v>
                </c:pt>
                <c:pt idx="1">
                  <c:v>8.174334759303449E-2</c:v>
                </c:pt>
                <c:pt idx="2">
                  <c:v>0.11063000390967299</c:v>
                </c:pt>
                <c:pt idx="3">
                  <c:v>0.14033996982585203</c:v>
                </c:pt>
                <c:pt idx="4">
                  <c:v>0.15822035579434848</c:v>
                </c:pt>
                <c:pt idx="5">
                  <c:v>0.16572640891485885</c:v>
                </c:pt>
                <c:pt idx="6">
                  <c:v>0.14884192396827553</c:v>
                </c:pt>
                <c:pt idx="7">
                  <c:v>0.10349029376913045</c:v>
                </c:pt>
                <c:pt idx="8">
                  <c:v>-0.20943707470562339</c:v>
                </c:pt>
                <c:pt idx="9">
                  <c:v>-0.34449179443466599</c:v>
                </c:pt>
                <c:pt idx="10">
                  <c:v>-0.32209602561974893</c:v>
                </c:pt>
                <c:pt idx="11">
                  <c:v>-0.29333634112949242</c:v>
                </c:pt>
                <c:pt idx="12">
                  <c:v>1.4650416130809454E-3</c:v>
                </c:pt>
                <c:pt idx="13">
                  <c:v>7.8507188492409424E-2</c:v>
                </c:pt>
                <c:pt idx="14">
                  <c:v>3.9960777137645544E-2</c:v>
                </c:pt>
                <c:pt idx="15">
                  <c:v>-2.0459404335135881E-2</c:v>
                </c:pt>
                <c:pt idx="16">
                  <c:v>-5.0267327237084186E-3</c:v>
                </c:pt>
                <c:pt idx="17">
                  <c:v>-3.4632234183758916E-2</c:v>
                </c:pt>
                <c:pt idx="18">
                  <c:v>-3.175825508507444E-2</c:v>
                </c:pt>
                <c:pt idx="19">
                  <c:v>-2.2300326799825753E-2</c:v>
                </c:pt>
                <c:pt idx="20">
                  <c:v>3.4326892344857446E-2</c:v>
                </c:pt>
                <c:pt idx="21">
                  <c:v>-4.1710102869813512E-2</c:v>
                </c:pt>
                <c:pt idx="22">
                  <c:v>-2.2497245165383803E-2</c:v>
                </c:pt>
                <c:pt idx="23">
                  <c:v>-9.0077782427121911E-5</c:v>
                </c:pt>
              </c:numCache>
            </c:numRef>
          </c:val>
          <c:extLst>
            <c:ext xmlns:c16="http://schemas.microsoft.com/office/drawing/2014/chart" uri="{C3380CC4-5D6E-409C-BE32-E72D297353CC}">
              <c16:uniqueId val="{00000000-AF81-4372-BDAC-9730543D4342}"/>
            </c:ext>
          </c:extLst>
        </c:ser>
        <c:ser>
          <c:idx val="1"/>
          <c:order val="1"/>
          <c:tx>
            <c:strRef>
              <c:f>'souhrnná výkonnost 4'!$F$5</c:f>
              <c:strCache>
                <c:ptCount val="1"/>
                <c:pt idx="0">
                  <c:v>Construction</c:v>
                </c:pt>
              </c:strCache>
            </c:strRef>
          </c:tx>
          <c:spPr>
            <a:solidFill>
              <a:srgbClr val="7030A0"/>
            </a:solidFill>
            <a:ln>
              <a:noFill/>
            </a:ln>
          </c:spPr>
          <c:invertIfNegative val="0"/>
          <c:cat>
            <c:multiLvlStrRef>
              <c:f>'souhrnná výkonnost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4'!$F$10:$F$33</c:f>
              <c:numCache>
                <c:formatCode>#\ ##0.0</c:formatCode>
                <c:ptCount val="24"/>
                <c:pt idx="0">
                  <c:v>-0.15836437304914164</c:v>
                </c:pt>
                <c:pt idx="1">
                  <c:v>-0.12253502255257109</c:v>
                </c:pt>
                <c:pt idx="2">
                  <c:v>-7.1242684146133939E-2</c:v>
                </c:pt>
                <c:pt idx="3">
                  <c:v>-0.10866493986218721</c:v>
                </c:pt>
                <c:pt idx="4">
                  <c:v>-0.30004627661730132</c:v>
                </c:pt>
                <c:pt idx="5">
                  <c:v>-0.48068129994946118</c:v>
                </c:pt>
                <c:pt idx="6">
                  <c:v>-0.45523791005942654</c:v>
                </c:pt>
                <c:pt idx="7">
                  <c:v>-0.43581518565318822</c:v>
                </c:pt>
                <c:pt idx="8">
                  <c:v>-0.33836863825135816</c:v>
                </c:pt>
                <c:pt idx="9">
                  <c:v>-6.7143304167931656E-2</c:v>
                </c:pt>
                <c:pt idx="10">
                  <c:v>-5.8092008458518342E-2</c:v>
                </c:pt>
                <c:pt idx="11">
                  <c:v>-0.10853391292600841</c:v>
                </c:pt>
                <c:pt idx="12">
                  <c:v>-9.0417570306820225E-2</c:v>
                </c:pt>
                <c:pt idx="13">
                  <c:v>-0.27691175914342508</c:v>
                </c:pt>
                <c:pt idx="14">
                  <c:v>-0.42875648302719638</c:v>
                </c:pt>
                <c:pt idx="15">
                  <c:v>-0.37973365169110213</c:v>
                </c:pt>
                <c:pt idx="16">
                  <c:v>-0.17716735825476659</c:v>
                </c:pt>
                <c:pt idx="17">
                  <c:v>-0.14950976455968754</c:v>
                </c:pt>
                <c:pt idx="18">
                  <c:v>-7.0749089694387812E-2</c:v>
                </c:pt>
                <c:pt idx="19">
                  <c:v>-0.13102758539124981</c:v>
                </c:pt>
                <c:pt idx="20">
                  <c:v>-0.10128882603407957</c:v>
                </c:pt>
                <c:pt idx="21">
                  <c:v>1.1892883380210753E-2</c:v>
                </c:pt>
                <c:pt idx="22">
                  <c:v>4.8201590863362911E-2</c:v>
                </c:pt>
                <c:pt idx="23">
                  <c:v>0.12700654696453351</c:v>
                </c:pt>
              </c:numCache>
            </c:numRef>
          </c:val>
          <c:extLst>
            <c:ext xmlns:c16="http://schemas.microsoft.com/office/drawing/2014/chart" uri="{C3380CC4-5D6E-409C-BE32-E72D297353CC}">
              <c16:uniqueId val="{00000001-AF81-4372-BDAC-9730543D4342}"/>
            </c:ext>
          </c:extLst>
        </c:ser>
        <c:ser>
          <c:idx val="2"/>
          <c:order val="2"/>
          <c:tx>
            <c:strRef>
              <c:f>'souhrnná výkonnost 4'!$E$5</c:f>
              <c:strCache>
                <c:ptCount val="1"/>
                <c:pt idx="0">
                  <c:v>Other industrial branches (CZ-NACE B,D,E)</c:v>
                </c:pt>
              </c:strCache>
            </c:strRef>
          </c:tx>
          <c:spPr>
            <a:solidFill>
              <a:srgbClr val="A6CDE8"/>
            </a:solidFill>
            <a:ln>
              <a:noFill/>
            </a:ln>
          </c:spPr>
          <c:invertIfNegative val="0"/>
          <c:cat>
            <c:multiLvlStrRef>
              <c:f>'souhrnná výkonnost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4'!$E$10:$E$33</c:f>
              <c:numCache>
                <c:formatCode>General</c:formatCode>
                <c:ptCount val="24"/>
                <c:pt idx="0">
                  <c:v>4.5459612013585282E-3</c:v>
                </c:pt>
                <c:pt idx="1">
                  <c:v>-5.4299843239147494E-2</c:v>
                </c:pt>
                <c:pt idx="2">
                  <c:v>-0.26283098752928491</c:v>
                </c:pt>
                <c:pt idx="3">
                  <c:v>-9.8219621966424864E-2</c:v>
                </c:pt>
                <c:pt idx="4">
                  <c:v>-0.17620696396261137</c:v>
                </c:pt>
                <c:pt idx="5">
                  <c:v>-0.24771149792454139</c:v>
                </c:pt>
                <c:pt idx="6">
                  <c:v>-6.0935554321396967E-2</c:v>
                </c:pt>
                <c:pt idx="7">
                  <c:v>6.5525594099085982E-2</c:v>
                </c:pt>
                <c:pt idx="8">
                  <c:v>0.38896231887529847</c:v>
                </c:pt>
                <c:pt idx="9">
                  <c:v>0.46371609807310366</c:v>
                </c:pt>
                <c:pt idx="10">
                  <c:v>0.33807449475314627</c:v>
                </c:pt>
                <c:pt idx="11">
                  <c:v>-5.8765796805848813E-2</c:v>
                </c:pt>
                <c:pt idx="12">
                  <c:v>-0.43983407410669084</c:v>
                </c:pt>
                <c:pt idx="13">
                  <c:v>-0.35269776369716466</c:v>
                </c:pt>
                <c:pt idx="14">
                  <c:v>-0.58798697249592147</c:v>
                </c:pt>
                <c:pt idx="15">
                  <c:v>-0.91369938251265959</c:v>
                </c:pt>
                <c:pt idx="16">
                  <c:v>-1.0554415694973189</c:v>
                </c:pt>
                <c:pt idx="17">
                  <c:v>-1.1918568053814194</c:v>
                </c:pt>
                <c:pt idx="18">
                  <c:v>-1.1412411616241473</c:v>
                </c:pt>
                <c:pt idx="19">
                  <c:v>-0.88664143027340003</c:v>
                </c:pt>
                <c:pt idx="20">
                  <c:v>-0.33777819330462289</c:v>
                </c:pt>
                <c:pt idx="21">
                  <c:v>-1.6799845269202085E-2</c:v>
                </c:pt>
                <c:pt idx="22">
                  <c:v>9.3816644832477626E-3</c:v>
                </c:pt>
                <c:pt idx="23">
                  <c:v>-0.28576615972759012</c:v>
                </c:pt>
              </c:numCache>
            </c:numRef>
          </c:val>
          <c:extLst>
            <c:ext xmlns:c16="http://schemas.microsoft.com/office/drawing/2014/chart" uri="{C3380CC4-5D6E-409C-BE32-E72D297353CC}">
              <c16:uniqueId val="{00000002-AF81-4372-BDAC-9730543D4342}"/>
            </c:ext>
          </c:extLst>
        </c:ser>
        <c:ser>
          <c:idx val="3"/>
          <c:order val="3"/>
          <c:tx>
            <c:strRef>
              <c:f>'souhrnná výkonnost 4'!$D$5</c:f>
              <c:strCache>
                <c:ptCount val="1"/>
                <c:pt idx="0">
                  <c:v>Manufacturing (CZ-NACE C)</c:v>
                </c:pt>
              </c:strCache>
            </c:strRef>
          </c:tx>
          <c:spPr>
            <a:solidFill>
              <a:srgbClr val="0071BC"/>
            </a:solidFill>
            <a:ln>
              <a:noFill/>
            </a:ln>
          </c:spPr>
          <c:invertIfNegative val="0"/>
          <c:cat>
            <c:multiLvlStrRef>
              <c:f>'souhrnná výkonnost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4'!$D$10:$D$33</c:f>
              <c:numCache>
                <c:formatCode>#\ ##0.0</c:formatCode>
                <c:ptCount val="24"/>
                <c:pt idx="0">
                  <c:v>0.79286837781479091</c:v>
                </c:pt>
                <c:pt idx="1">
                  <c:v>1.3034853573072027</c:v>
                </c:pt>
                <c:pt idx="2">
                  <c:v>1.2859805485632667</c:v>
                </c:pt>
                <c:pt idx="3">
                  <c:v>0.76399660901596278</c:v>
                </c:pt>
                <c:pt idx="4">
                  <c:v>-1.006029365184558</c:v>
                </c:pt>
                <c:pt idx="5">
                  <c:v>-5.8707476654845019</c:v>
                </c:pt>
                <c:pt idx="6">
                  <c:v>-2.1566635032660484</c:v>
                </c:pt>
                <c:pt idx="7">
                  <c:v>-1.5364269842490534</c:v>
                </c:pt>
                <c:pt idx="8">
                  <c:v>-0.81082301657390887</c:v>
                </c:pt>
                <c:pt idx="9">
                  <c:v>3.9743747095561068</c:v>
                </c:pt>
                <c:pt idx="10">
                  <c:v>-0.74888372469617781</c:v>
                </c:pt>
                <c:pt idx="11">
                  <c:v>-0.87291327125667473</c:v>
                </c:pt>
                <c:pt idx="12">
                  <c:v>0.64528350075532714</c:v>
                </c:pt>
                <c:pt idx="13">
                  <c:v>1.5767749269534403</c:v>
                </c:pt>
                <c:pt idx="14">
                  <c:v>2.2578630988104651</c:v>
                </c:pt>
                <c:pt idx="15">
                  <c:v>2.6492927635274892</c:v>
                </c:pt>
                <c:pt idx="16">
                  <c:v>1.5213888679587808</c:v>
                </c:pt>
                <c:pt idx="17">
                  <c:v>0.73763485799498885</c:v>
                </c:pt>
                <c:pt idx="18">
                  <c:v>0.19292900801292828</c:v>
                </c:pt>
                <c:pt idx="19">
                  <c:v>0.32386657410623332</c:v>
                </c:pt>
                <c:pt idx="20">
                  <c:v>-0.35005254750626946</c:v>
                </c:pt>
                <c:pt idx="21">
                  <c:v>-0.51284029289067279</c:v>
                </c:pt>
                <c:pt idx="22">
                  <c:v>1.2686414372986381E-2</c:v>
                </c:pt>
                <c:pt idx="23">
                  <c:v>-0.32889710101390224</c:v>
                </c:pt>
              </c:numCache>
            </c:numRef>
          </c:val>
          <c:extLst>
            <c:ext xmlns:c16="http://schemas.microsoft.com/office/drawing/2014/chart" uri="{C3380CC4-5D6E-409C-BE32-E72D297353CC}">
              <c16:uniqueId val="{00000003-AF81-4372-BDAC-9730543D4342}"/>
            </c:ext>
          </c:extLst>
        </c:ser>
        <c:ser>
          <c:idx val="0"/>
          <c:order val="4"/>
          <c:tx>
            <c:strRef>
              <c:f>'souhrnná výkonnost 4'!$G$5</c:f>
              <c:strCache>
                <c:ptCount val="1"/>
                <c:pt idx="0">
                  <c:v>Services (CZ-NACE G to U)</c:v>
                </c:pt>
              </c:strCache>
            </c:strRef>
          </c:tx>
          <c:spPr>
            <a:solidFill>
              <a:srgbClr val="BD1B21"/>
            </a:solidFill>
            <a:ln>
              <a:noFill/>
            </a:ln>
          </c:spPr>
          <c:invertIfNegative val="0"/>
          <c:cat>
            <c:multiLvlStrRef>
              <c:f>'souhrnná výkonnost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4'!$G$10:$G$33</c:f>
              <c:numCache>
                <c:formatCode>General</c:formatCode>
                <c:ptCount val="24"/>
                <c:pt idx="0">
                  <c:v>2.7152016193024755</c:v>
                </c:pt>
                <c:pt idx="1">
                  <c:v>2.5568894010177439</c:v>
                </c:pt>
                <c:pt idx="2">
                  <c:v>2.5806630267772652</c:v>
                </c:pt>
                <c:pt idx="3">
                  <c:v>2.6155761339131312</c:v>
                </c:pt>
                <c:pt idx="4">
                  <c:v>0.1069034272001633</c:v>
                </c:pt>
                <c:pt idx="5">
                  <c:v>-4.2921319772752993</c:v>
                </c:pt>
                <c:pt idx="6">
                  <c:v>-1.7505754010952781</c:v>
                </c:pt>
                <c:pt idx="7">
                  <c:v>-2.2464479137063273</c:v>
                </c:pt>
                <c:pt idx="8">
                  <c:v>-0.13953156252945553</c:v>
                </c:pt>
                <c:pt idx="9">
                  <c:v>5.9943506299525042</c:v>
                </c:pt>
                <c:pt idx="10">
                  <c:v>4.4243917423347074</c:v>
                </c:pt>
                <c:pt idx="11">
                  <c:v>4.7971483856259507</c:v>
                </c:pt>
                <c:pt idx="12">
                  <c:v>4.2170828841115204</c:v>
                </c:pt>
                <c:pt idx="13">
                  <c:v>2.6617211255203492</c:v>
                </c:pt>
                <c:pt idx="14">
                  <c:v>0.7676089117890853</c:v>
                </c:pt>
                <c:pt idx="15">
                  <c:v>0.29041678067472676</c:v>
                </c:pt>
                <c:pt idx="16">
                  <c:v>1.2630343657854546</c:v>
                </c:pt>
                <c:pt idx="17">
                  <c:v>1.3129514276285825</c:v>
                </c:pt>
                <c:pt idx="18">
                  <c:v>1.3404253283547289</c:v>
                </c:pt>
                <c:pt idx="19">
                  <c:v>0.61232648519811117</c:v>
                </c:pt>
                <c:pt idx="20">
                  <c:v>0.14657310260287729</c:v>
                </c:pt>
                <c:pt idx="21">
                  <c:v>0.47347140254566622</c:v>
                </c:pt>
                <c:pt idx="22">
                  <c:v>0.93660301309903404</c:v>
                </c:pt>
                <c:pt idx="23">
                  <c:v>1.5539126468429065</c:v>
                </c:pt>
              </c:numCache>
            </c:numRef>
          </c:val>
          <c:extLst>
            <c:ext xmlns:c16="http://schemas.microsoft.com/office/drawing/2014/chart" uri="{C3380CC4-5D6E-409C-BE32-E72D297353CC}">
              <c16:uniqueId val="{00000004-AF81-4372-BDAC-9730543D4342}"/>
            </c:ext>
          </c:extLst>
        </c:ser>
        <c:dLbls>
          <c:showLegendKey val="0"/>
          <c:showVal val="0"/>
          <c:showCatName val="0"/>
          <c:showSerName val="0"/>
          <c:showPercent val="0"/>
          <c:showBubbleSize val="0"/>
        </c:dLbls>
        <c:gapWidth val="70"/>
        <c:overlap val="100"/>
        <c:axId val="115446144"/>
        <c:axId val="115447680"/>
      </c:barChart>
      <c:lineChart>
        <c:grouping val="standard"/>
        <c:varyColors val="0"/>
        <c:ser>
          <c:idx val="5"/>
          <c:order val="5"/>
          <c:tx>
            <c:strRef>
              <c:f>'souhrnná výkonnost 4'!$H$5</c:f>
              <c:strCache>
                <c:ptCount val="1"/>
                <c:pt idx="0">
                  <c:v>Total gross value added</c:v>
                </c:pt>
              </c:strCache>
            </c:strRef>
          </c:tx>
          <c:spPr>
            <a:ln w="19050">
              <a:solidFill>
                <a:prstClr val="black"/>
              </a:solidFill>
            </a:ln>
          </c:spPr>
          <c:marker>
            <c:symbol val="none"/>
          </c:marker>
          <c:cat>
            <c:multiLvlStrRef>
              <c:f>'souhrnná výkonnost 4'!$A$10:$B$33</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'souhrnná výkonnost 4'!$H$10:$H$33</c:f>
              <c:numCache>
                <c:formatCode>#\ ##0.0</c:formatCode>
                <c:ptCount val="24"/>
                <c:pt idx="0">
                  <c:v>3.4241020823594539</c:v>
                </c:pt>
                <c:pt idx="1">
                  <c:v>3.7654261763610037</c:v>
                </c:pt>
                <c:pt idx="2">
                  <c:v>3.6432533192545407</c:v>
                </c:pt>
                <c:pt idx="3">
                  <c:v>3.3129891367830879</c:v>
                </c:pt>
                <c:pt idx="4">
                  <c:v>-1.2169604796506661</c:v>
                </c:pt>
                <c:pt idx="5">
                  <c:v>-10.72573587437293</c:v>
                </c:pt>
                <c:pt idx="6">
                  <c:v>-4.2745842128591107</c:v>
                </c:pt>
                <c:pt idx="7">
                  <c:v>-4.0497053295080292</c:v>
                </c:pt>
                <c:pt idx="8">
                  <c:v>-1.1092326662295733</c:v>
                </c:pt>
                <c:pt idx="9">
                  <c:v>10.020922752811231</c:v>
                </c:pt>
                <c:pt idx="10">
                  <c:v>3.6334340143173023</c:v>
                </c:pt>
                <c:pt idx="11">
                  <c:v>3.4636121873782457</c:v>
                </c:pt>
                <c:pt idx="12">
                  <c:v>4.3335548202223748</c:v>
                </c:pt>
                <c:pt idx="13">
                  <c:v>3.6873115442208899</c:v>
                </c:pt>
                <c:pt idx="14">
                  <c:v>2.0486348171819628</c:v>
                </c:pt>
                <c:pt idx="15">
                  <c:v>1.6260683441280008</c:v>
                </c:pt>
                <c:pt idx="16">
                  <c:v>1.5467455931493816</c:v>
                </c:pt>
                <c:pt idx="17">
                  <c:v>0.6746537525767593</c:v>
                </c:pt>
                <c:pt idx="18">
                  <c:v>0.28967826176176459</c:v>
                </c:pt>
                <c:pt idx="19">
                  <c:v>-0.10380295649311222</c:v>
                </c:pt>
                <c:pt idx="20">
                  <c:v>-0.60811626273246588</c:v>
                </c:pt>
                <c:pt idx="21">
                  <c:v>-8.5986145744413989E-2</c:v>
                </c:pt>
                <c:pt idx="22">
                  <c:v>0.98445777391596323</c:v>
                </c:pt>
                <c:pt idx="23">
                  <c:v>1.0660324507457943</c:v>
                </c:pt>
              </c:numCache>
            </c:numRef>
          </c:val>
          <c:smooth val="0"/>
          <c:extLst>
            <c:ext xmlns:c16="http://schemas.microsoft.com/office/drawing/2014/chart" uri="{C3380CC4-5D6E-409C-BE32-E72D297353CC}">
              <c16:uniqueId val="{00000005-AF81-4372-BDAC-9730543D4342}"/>
            </c:ext>
          </c:extLst>
        </c:ser>
        <c:dLbls>
          <c:showLegendKey val="0"/>
          <c:showVal val="0"/>
          <c:showCatName val="0"/>
          <c:showSerName val="0"/>
          <c:showPercent val="0"/>
          <c:showBubbleSize val="0"/>
        </c:dLbls>
        <c:marker val="1"/>
        <c:smooth val="0"/>
        <c:axId val="115446144"/>
        <c:axId val="115447680"/>
      </c:lineChart>
      <c:catAx>
        <c:axId val="115446144"/>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115447680"/>
        <c:crosses val="autoZero"/>
        <c:auto val="1"/>
        <c:lblAlgn val="ctr"/>
        <c:lblOffset val="100"/>
        <c:noMultiLvlLbl val="0"/>
      </c:catAx>
      <c:valAx>
        <c:axId val="115447680"/>
        <c:scaling>
          <c:orientation val="minMax"/>
          <c:max val="12"/>
          <c:min val="-12"/>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15446144"/>
        <c:crosses val="autoZero"/>
        <c:crossBetween val="between"/>
        <c:majorUnit val="4"/>
      </c:valAx>
      <c:spPr>
        <a:ln>
          <a:solidFill>
            <a:schemeClr val="tx1"/>
          </a:solidFill>
        </a:ln>
      </c:spPr>
    </c:plotArea>
    <c:legend>
      <c:legendPos val="b"/>
      <c:layout>
        <c:manualLayout>
          <c:xMode val="edge"/>
          <c:yMode val="edge"/>
          <c:x val="4.8782884397989404E-2"/>
          <c:y val="0.79016604750647301"/>
          <c:w val="0.92922619274506457"/>
          <c:h val="0.19462484520995055"/>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10992424025054E-2"/>
          <c:y val="1.5804777005479873E-2"/>
          <c:w val="0.84144249386957193"/>
          <c:h val="0.69135712481071809"/>
        </c:manualLayout>
      </c:layout>
      <c:barChart>
        <c:barDir val="col"/>
        <c:grouping val="stacked"/>
        <c:varyColors val="0"/>
        <c:ser>
          <c:idx val="0"/>
          <c:order val="0"/>
          <c:tx>
            <c:strRef>
              <c:f>'GRAF příspěvky IPP'!$A$27</c:f>
              <c:strCache>
                <c:ptCount val="1"/>
                <c:pt idx="0">
                  <c:v>Manufacture of transport equipment (29, 30)</c:v>
                </c:pt>
              </c:strCache>
            </c:strRef>
          </c:tx>
          <c:spPr>
            <a:solidFill>
              <a:srgbClr val="E8AFB2"/>
            </a:solidFill>
          </c:spPr>
          <c:invertIfNegative val="0"/>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IPP'!$R$27:$BE$27</c:f>
              <c:numCache>
                <c:formatCode>0.0</c:formatCode>
                <c:ptCount val="40"/>
                <c:pt idx="0">
                  <c:v>1.5407194734870255</c:v>
                </c:pt>
                <c:pt idx="1">
                  <c:v>2.1725345808437702</c:v>
                </c:pt>
                <c:pt idx="2">
                  <c:v>2.3822280390891484</c:v>
                </c:pt>
                <c:pt idx="3">
                  <c:v>2.8679001700331122</c:v>
                </c:pt>
                <c:pt idx="4">
                  <c:v>3.3256782968034511</c:v>
                </c:pt>
                <c:pt idx="5">
                  <c:v>2.7078368205204244</c:v>
                </c:pt>
                <c:pt idx="6">
                  <c:v>1.4770884945722993</c:v>
                </c:pt>
                <c:pt idx="7">
                  <c:v>1.0297006290395898</c:v>
                </c:pt>
                <c:pt idx="8">
                  <c:v>1.7408920839398754</c:v>
                </c:pt>
                <c:pt idx="9">
                  <c:v>2.1378802528812932</c:v>
                </c:pt>
                <c:pt idx="10">
                  <c:v>1.5935135243788106</c:v>
                </c:pt>
                <c:pt idx="11">
                  <c:v>1.6791873092801739</c:v>
                </c:pt>
                <c:pt idx="12">
                  <c:v>0.75268647024158142</c:v>
                </c:pt>
                <c:pt idx="13">
                  <c:v>0.54211789515047693</c:v>
                </c:pt>
                <c:pt idx="14">
                  <c:v>0.24127576647979335</c:v>
                </c:pt>
                <c:pt idx="15">
                  <c:v>0.97863378627142206</c:v>
                </c:pt>
                <c:pt idx="16">
                  <c:v>-0.2260516552234422</c:v>
                </c:pt>
                <c:pt idx="17">
                  <c:v>0.44759183220264459</c:v>
                </c:pt>
                <c:pt idx="18">
                  <c:v>0.76878503294695455</c:v>
                </c:pt>
                <c:pt idx="19">
                  <c:v>-1.0091759236462883</c:v>
                </c:pt>
                <c:pt idx="20">
                  <c:v>-1.5334709251303915</c:v>
                </c:pt>
                <c:pt idx="21">
                  <c:v>-9.3844961095672232</c:v>
                </c:pt>
                <c:pt idx="22">
                  <c:v>-0.1831246423410012</c:v>
                </c:pt>
                <c:pt idx="23">
                  <c:v>2.0633116605855042</c:v>
                </c:pt>
                <c:pt idx="24">
                  <c:v>1.8994738849431219</c:v>
                </c:pt>
                <c:pt idx="25">
                  <c:v>10.953828611576037</c:v>
                </c:pt>
                <c:pt idx="26">
                  <c:v>-3.7780334995738061</c:v>
                </c:pt>
                <c:pt idx="27">
                  <c:v>-3.2466705580298791</c:v>
                </c:pt>
                <c:pt idx="28">
                  <c:v>-1.9063093854042736</c:v>
                </c:pt>
                <c:pt idx="29">
                  <c:v>9.7229287758977434E-2</c:v>
                </c:pt>
                <c:pt idx="30">
                  <c:v>5.6033975682910881</c:v>
                </c:pt>
                <c:pt idx="31">
                  <c:v>4.0048776177966694</c:v>
                </c:pt>
                <c:pt idx="32">
                  <c:v>5.2654608767432789</c:v>
                </c:pt>
                <c:pt idx="33">
                  <c:v>5.0893549797795146</c:v>
                </c:pt>
                <c:pt idx="34">
                  <c:v>1.350201305962601</c:v>
                </c:pt>
                <c:pt idx="35">
                  <c:v>3.1919008208704018</c:v>
                </c:pt>
                <c:pt idx="36">
                  <c:v>0.64445872329340592</c:v>
                </c:pt>
                <c:pt idx="37">
                  <c:v>-1.0914106642915526</c:v>
                </c:pt>
                <c:pt idx="38">
                  <c:v>0.64631896939878564</c:v>
                </c:pt>
                <c:pt idx="39">
                  <c:v>-1.443838932981421</c:v>
                </c:pt>
              </c:numCache>
            </c:numRef>
          </c:val>
          <c:extLst>
            <c:ext xmlns:c16="http://schemas.microsoft.com/office/drawing/2014/chart" uri="{C3380CC4-5D6E-409C-BE32-E72D297353CC}">
              <c16:uniqueId val="{00000000-1739-4ABC-B9F7-4B77E097C513}"/>
            </c:ext>
          </c:extLst>
        </c:ser>
        <c:ser>
          <c:idx val="1"/>
          <c:order val="1"/>
          <c:tx>
            <c:strRef>
              <c:f>'GRAF příspěvky IPP'!$A$28</c:f>
              <c:strCache>
                <c:ptCount val="1"/>
                <c:pt idx="0">
                  <c:v>Rubber, electro technical ind. (22, 27)</c:v>
                </c:pt>
              </c:strCache>
            </c:strRef>
          </c:tx>
          <c:spPr>
            <a:solidFill>
              <a:srgbClr val="BD1B21"/>
            </a:solidFill>
          </c:spPr>
          <c:invertIfNegative val="0"/>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IPP'!$R$28:$BE$28</c:f>
              <c:numCache>
                <c:formatCode>0.0</c:formatCode>
                <c:ptCount val="40"/>
                <c:pt idx="0">
                  <c:v>1.0322214618878158</c:v>
                </c:pt>
                <c:pt idx="1">
                  <c:v>1.2386415260436179</c:v>
                </c:pt>
                <c:pt idx="2">
                  <c:v>1.4204776682885574</c:v>
                </c:pt>
                <c:pt idx="3">
                  <c:v>0.62919278136008572</c:v>
                </c:pt>
                <c:pt idx="4">
                  <c:v>0.8176750577912526</c:v>
                </c:pt>
                <c:pt idx="5">
                  <c:v>0.14129582168796412</c:v>
                </c:pt>
                <c:pt idx="6">
                  <c:v>0.27952572878212995</c:v>
                </c:pt>
                <c:pt idx="7">
                  <c:v>0.42980054252763067</c:v>
                </c:pt>
                <c:pt idx="8">
                  <c:v>0.79334952879496901</c:v>
                </c:pt>
                <c:pt idx="9">
                  <c:v>1.468356537050969</c:v>
                </c:pt>
                <c:pt idx="10">
                  <c:v>0.87390949425966125</c:v>
                </c:pt>
                <c:pt idx="11">
                  <c:v>1.644368824210785</c:v>
                </c:pt>
                <c:pt idx="12">
                  <c:v>1.0040337375607471</c:v>
                </c:pt>
                <c:pt idx="13">
                  <c:v>0.3253925650201499</c:v>
                </c:pt>
                <c:pt idx="14">
                  <c:v>0.43133954445298106</c:v>
                </c:pt>
                <c:pt idx="15">
                  <c:v>-5.9899261699036116E-2</c:v>
                </c:pt>
                <c:pt idx="16">
                  <c:v>0.52608733581744893</c:v>
                </c:pt>
                <c:pt idx="17">
                  <c:v>0.44070570288166666</c:v>
                </c:pt>
                <c:pt idx="18">
                  <c:v>0.16703875787161085</c:v>
                </c:pt>
                <c:pt idx="19">
                  <c:v>0.41508771908448316</c:v>
                </c:pt>
                <c:pt idx="20">
                  <c:v>-0.55255281731107375</c:v>
                </c:pt>
                <c:pt idx="21">
                  <c:v>-4.0630399723550301</c:v>
                </c:pt>
                <c:pt idx="22">
                  <c:v>-0.43874587338548932</c:v>
                </c:pt>
                <c:pt idx="23">
                  <c:v>0.53060699318837878</c:v>
                </c:pt>
                <c:pt idx="24">
                  <c:v>0.71105162663072174</c:v>
                </c:pt>
                <c:pt idx="25">
                  <c:v>5.4805586415138947</c:v>
                </c:pt>
                <c:pt idx="26">
                  <c:v>0.62204112300893599</c:v>
                </c:pt>
                <c:pt idx="27">
                  <c:v>-0.42420711975924758</c:v>
                </c:pt>
                <c:pt idx="28">
                  <c:v>8.4631931672039307E-2</c:v>
                </c:pt>
                <c:pt idx="29">
                  <c:v>0.14005433229429518</c:v>
                </c:pt>
                <c:pt idx="30">
                  <c:v>0.5413318311293237</c:v>
                </c:pt>
                <c:pt idx="31">
                  <c:v>0.61656643528720623</c:v>
                </c:pt>
                <c:pt idx="32">
                  <c:v>0.24570600684677693</c:v>
                </c:pt>
                <c:pt idx="33">
                  <c:v>0.13465018097113457</c:v>
                </c:pt>
                <c:pt idx="34">
                  <c:v>-0.41865316432893407</c:v>
                </c:pt>
                <c:pt idx="35">
                  <c:v>1.7959375973914976E-2</c:v>
                </c:pt>
                <c:pt idx="36">
                  <c:v>0.14184759123630111</c:v>
                </c:pt>
                <c:pt idx="37">
                  <c:v>-0.18894632096141117</c:v>
                </c:pt>
                <c:pt idx="38">
                  <c:v>0.1460354833760574</c:v>
                </c:pt>
                <c:pt idx="39">
                  <c:v>-0.54236501850354391</c:v>
                </c:pt>
              </c:numCache>
            </c:numRef>
          </c:val>
          <c:extLst>
            <c:ext xmlns:c16="http://schemas.microsoft.com/office/drawing/2014/chart" uri="{C3380CC4-5D6E-409C-BE32-E72D297353CC}">
              <c16:uniqueId val="{00000001-1739-4ABC-B9F7-4B77E097C513}"/>
            </c:ext>
          </c:extLst>
        </c:ser>
        <c:ser>
          <c:idx val="2"/>
          <c:order val="2"/>
          <c:tx>
            <c:strRef>
              <c:f>'GRAF příspěvky IPP'!$A$29</c:f>
              <c:strCache>
                <c:ptCount val="1"/>
                <c:pt idx="0">
                  <c:v>Machinery (28)</c:v>
                </c:pt>
              </c:strCache>
            </c:strRef>
          </c:tx>
          <c:spPr>
            <a:solidFill>
              <a:srgbClr val="BFE3F7"/>
            </a:solidFill>
          </c:spPr>
          <c:invertIfNegative val="0"/>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IPP'!$R$29:$BE$29</c:f>
              <c:numCache>
                <c:formatCode>0.0</c:formatCode>
                <c:ptCount val="40"/>
                <c:pt idx="0">
                  <c:v>0.27346966717109655</c:v>
                </c:pt>
                <c:pt idx="1">
                  <c:v>0.29320995735524691</c:v>
                </c:pt>
                <c:pt idx="2">
                  <c:v>0.38410423993096532</c:v>
                </c:pt>
                <c:pt idx="3">
                  <c:v>2.0725807050325191E-2</c:v>
                </c:pt>
                <c:pt idx="4">
                  <c:v>0.37252847603208256</c:v>
                </c:pt>
                <c:pt idx="5">
                  <c:v>-9.2809853017947919E-2</c:v>
                </c:pt>
                <c:pt idx="6">
                  <c:v>0.20293953400612441</c:v>
                </c:pt>
                <c:pt idx="7">
                  <c:v>0.32005157357499631</c:v>
                </c:pt>
                <c:pt idx="8">
                  <c:v>0.3345178851347928</c:v>
                </c:pt>
                <c:pt idx="9">
                  <c:v>1.1003694908923236</c:v>
                </c:pt>
                <c:pt idx="10">
                  <c:v>0.85805445400541835</c:v>
                </c:pt>
                <c:pt idx="11">
                  <c:v>0.80055944660911171</c:v>
                </c:pt>
                <c:pt idx="12">
                  <c:v>0.48868169907415326</c:v>
                </c:pt>
                <c:pt idx="13">
                  <c:v>0.13868742792561028</c:v>
                </c:pt>
                <c:pt idx="14">
                  <c:v>0.18638853797251198</c:v>
                </c:pt>
                <c:pt idx="15">
                  <c:v>-0.20071677551985512</c:v>
                </c:pt>
                <c:pt idx="16">
                  <c:v>0.20262845642032346</c:v>
                </c:pt>
                <c:pt idx="17">
                  <c:v>-9.1482438382696971E-3</c:v>
                </c:pt>
                <c:pt idx="18">
                  <c:v>-0.3267936607108648</c:v>
                </c:pt>
                <c:pt idx="19">
                  <c:v>-0.14957125605699437</c:v>
                </c:pt>
                <c:pt idx="20">
                  <c:v>-0.7072452096320988</c:v>
                </c:pt>
                <c:pt idx="21">
                  <c:v>-2.1308377913469609</c:v>
                </c:pt>
                <c:pt idx="22">
                  <c:v>-0.8017096029334061</c:v>
                </c:pt>
                <c:pt idx="23">
                  <c:v>-0.54797142039304825</c:v>
                </c:pt>
                <c:pt idx="24">
                  <c:v>7.0418186485785489E-2</c:v>
                </c:pt>
                <c:pt idx="25">
                  <c:v>2.0578698080975477</c:v>
                </c:pt>
                <c:pt idx="26">
                  <c:v>0.54818601226918828</c:v>
                </c:pt>
                <c:pt idx="27">
                  <c:v>0.28069390163067787</c:v>
                </c:pt>
                <c:pt idx="28">
                  <c:v>0.35744236675124313</c:v>
                </c:pt>
                <c:pt idx="29">
                  <c:v>9.163726334784672E-2</c:v>
                </c:pt>
                <c:pt idx="30">
                  <c:v>0.48969695684594233</c:v>
                </c:pt>
                <c:pt idx="31">
                  <c:v>0.65505074774565475</c:v>
                </c:pt>
                <c:pt idx="32">
                  <c:v>0.47333415427875108</c:v>
                </c:pt>
                <c:pt idx="33">
                  <c:v>0.39366501365458245</c:v>
                </c:pt>
                <c:pt idx="34">
                  <c:v>-0.57925539828873818</c:v>
                </c:pt>
                <c:pt idx="35">
                  <c:v>-0.75565745552359209</c:v>
                </c:pt>
                <c:pt idx="36">
                  <c:v>-0.90958280483335363</c:v>
                </c:pt>
                <c:pt idx="37">
                  <c:v>-0.79898975977682929</c:v>
                </c:pt>
                <c:pt idx="38">
                  <c:v>-0.39038787223559229</c:v>
                </c:pt>
                <c:pt idx="39">
                  <c:v>-0.52577764312337971</c:v>
                </c:pt>
              </c:numCache>
            </c:numRef>
          </c:val>
          <c:extLst>
            <c:ext xmlns:c16="http://schemas.microsoft.com/office/drawing/2014/chart" uri="{C3380CC4-5D6E-409C-BE32-E72D297353CC}">
              <c16:uniqueId val="{00000002-1739-4ABC-B9F7-4B77E097C513}"/>
            </c:ext>
          </c:extLst>
        </c:ser>
        <c:ser>
          <c:idx val="3"/>
          <c:order val="3"/>
          <c:tx>
            <c:strRef>
              <c:f>'GRAF příspěvky IPP'!$A$30</c:f>
              <c:strCache>
                <c:ptCount val="1"/>
                <c:pt idx="0">
                  <c:v>Fabricated metal product industry (25)</c:v>
                </c:pt>
              </c:strCache>
            </c:strRef>
          </c:tx>
          <c:spPr>
            <a:solidFill>
              <a:srgbClr val="48AEE7"/>
            </a:solidFill>
          </c:spPr>
          <c:invertIfNegative val="0"/>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IPP'!$R$30:$BE$30</c:f>
              <c:numCache>
                <c:formatCode>0.0</c:formatCode>
                <c:ptCount val="40"/>
                <c:pt idx="0">
                  <c:v>0.69488451852266242</c:v>
                </c:pt>
                <c:pt idx="1">
                  <c:v>0.78494764780669857</c:v>
                </c:pt>
                <c:pt idx="2">
                  <c:v>0.99085589155838827</c:v>
                </c:pt>
                <c:pt idx="3">
                  <c:v>0.60110426817331475</c:v>
                </c:pt>
                <c:pt idx="4">
                  <c:v>0.81011316513160325</c:v>
                </c:pt>
                <c:pt idx="5">
                  <c:v>0.36137817304287012</c:v>
                </c:pt>
                <c:pt idx="6">
                  <c:v>0.23174116441034223</c:v>
                </c:pt>
                <c:pt idx="7">
                  <c:v>0.25113007311661406</c:v>
                </c:pt>
                <c:pt idx="8">
                  <c:v>0.38676361423749528</c:v>
                </c:pt>
                <c:pt idx="9">
                  <c:v>0.95166355765299349</c:v>
                </c:pt>
                <c:pt idx="10">
                  <c:v>0.86091550298549102</c:v>
                </c:pt>
                <c:pt idx="11">
                  <c:v>0.96020285266505589</c:v>
                </c:pt>
                <c:pt idx="12">
                  <c:v>0.67147421279246411</c:v>
                </c:pt>
                <c:pt idx="13">
                  <c:v>0.46338675111775501</c:v>
                </c:pt>
                <c:pt idx="14">
                  <c:v>0.40465307945227347</c:v>
                </c:pt>
                <c:pt idx="15">
                  <c:v>0.13991647838864771</c:v>
                </c:pt>
                <c:pt idx="16">
                  <c:v>0.23284119938910905</c:v>
                </c:pt>
                <c:pt idx="17">
                  <c:v>-2.3018109664658163E-3</c:v>
                </c:pt>
                <c:pt idx="18">
                  <c:v>-0.27902616348258918</c:v>
                </c:pt>
                <c:pt idx="19">
                  <c:v>-0.28921256974210446</c:v>
                </c:pt>
                <c:pt idx="20">
                  <c:v>-0.59705730498174525</c:v>
                </c:pt>
                <c:pt idx="21">
                  <c:v>-2.0768472147616719</c:v>
                </c:pt>
                <c:pt idx="22">
                  <c:v>-0.62165835195312102</c:v>
                </c:pt>
                <c:pt idx="23">
                  <c:v>4.661253810289321E-2</c:v>
                </c:pt>
                <c:pt idx="24">
                  <c:v>0.43199022817486354</c:v>
                </c:pt>
                <c:pt idx="25">
                  <c:v>2.9892756169119599</c:v>
                </c:pt>
                <c:pt idx="26">
                  <c:v>0.80115118417297149</c:v>
                </c:pt>
                <c:pt idx="27">
                  <c:v>1.7480374899686599E-2</c:v>
                </c:pt>
                <c:pt idx="28">
                  <c:v>0.22606126438074842</c:v>
                </c:pt>
                <c:pt idx="29">
                  <c:v>-0.40391316067631411</c:v>
                </c:pt>
                <c:pt idx="30">
                  <c:v>-0.31530356237369034</c:v>
                </c:pt>
                <c:pt idx="31">
                  <c:v>-0.21511495335603445</c:v>
                </c:pt>
                <c:pt idx="32">
                  <c:v>-0.35397900669262772</c:v>
                </c:pt>
                <c:pt idx="33">
                  <c:v>-9.7037704818367973E-2</c:v>
                </c:pt>
                <c:pt idx="34">
                  <c:v>-0.20944175574103288</c:v>
                </c:pt>
                <c:pt idx="35">
                  <c:v>-0.27616423694939601</c:v>
                </c:pt>
                <c:pt idx="36">
                  <c:v>-0.11533650066363174</c:v>
                </c:pt>
                <c:pt idx="37">
                  <c:v>-3.7810887313516915E-2</c:v>
                </c:pt>
                <c:pt idx="38">
                  <c:v>0.34195451609937061</c:v>
                </c:pt>
                <c:pt idx="39">
                  <c:v>0.21350055999301737</c:v>
                </c:pt>
              </c:numCache>
            </c:numRef>
          </c:val>
          <c:extLst>
            <c:ext xmlns:c16="http://schemas.microsoft.com/office/drawing/2014/chart" uri="{C3380CC4-5D6E-409C-BE32-E72D297353CC}">
              <c16:uniqueId val="{00000003-1739-4ABC-B9F7-4B77E097C513}"/>
            </c:ext>
          </c:extLst>
        </c:ser>
        <c:ser>
          <c:idx val="4"/>
          <c:order val="4"/>
          <c:tx>
            <c:strRef>
              <c:f>'GRAF příspěvky IPP'!$A$31</c:f>
              <c:strCache>
                <c:ptCount val="1"/>
                <c:pt idx="0">
                  <c:v>PC, electronic and optical products (26)</c:v>
                </c:pt>
              </c:strCache>
            </c:strRef>
          </c:tx>
          <c:spPr>
            <a:solidFill>
              <a:srgbClr val="FDDEB3"/>
            </a:solidFill>
          </c:spPr>
          <c:invertIfNegative val="0"/>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IPP'!$R$31:$BE$31</c:f>
              <c:numCache>
                <c:formatCode>0.0</c:formatCode>
                <c:ptCount val="40"/>
                <c:pt idx="0">
                  <c:v>0.10274789516452397</c:v>
                </c:pt>
                <c:pt idx="1">
                  <c:v>1.6624023651880003E-2</c:v>
                </c:pt>
                <c:pt idx="2">
                  <c:v>3.1029768728409929E-2</c:v>
                </c:pt>
                <c:pt idx="3">
                  <c:v>-6.717825999350098E-2</c:v>
                </c:pt>
                <c:pt idx="4">
                  <c:v>-9.0690116406332948E-3</c:v>
                </c:pt>
                <c:pt idx="5">
                  <c:v>6.8577664711048592E-2</c:v>
                </c:pt>
                <c:pt idx="6">
                  <c:v>4.7878835623817111E-2</c:v>
                </c:pt>
                <c:pt idx="7">
                  <c:v>0.16200567329703564</c:v>
                </c:pt>
                <c:pt idx="8">
                  <c:v>0.1517960019133566</c:v>
                </c:pt>
                <c:pt idx="9">
                  <c:v>0.35040742405813147</c:v>
                </c:pt>
                <c:pt idx="10">
                  <c:v>0.22701547985990286</c:v>
                </c:pt>
                <c:pt idx="11">
                  <c:v>0.23483306705633769</c:v>
                </c:pt>
                <c:pt idx="12">
                  <c:v>0.38575845909308681</c:v>
                </c:pt>
                <c:pt idx="13">
                  <c:v>0.1585479563430445</c:v>
                </c:pt>
                <c:pt idx="14">
                  <c:v>0.63604123808561219</c:v>
                </c:pt>
                <c:pt idx="15">
                  <c:v>0.3169722012936107</c:v>
                </c:pt>
                <c:pt idx="16">
                  <c:v>-0.10335857004416719</c:v>
                </c:pt>
                <c:pt idx="17">
                  <c:v>-3.5698176267711781E-2</c:v>
                </c:pt>
                <c:pt idx="18">
                  <c:v>-0.60934912550064046</c:v>
                </c:pt>
                <c:pt idx="19">
                  <c:v>-0.3641176829939205</c:v>
                </c:pt>
                <c:pt idx="20">
                  <c:v>-0.1013700779981392</c:v>
                </c:pt>
                <c:pt idx="21">
                  <c:v>-0.31920945262277456</c:v>
                </c:pt>
                <c:pt idx="22">
                  <c:v>3.1049160053994794E-2</c:v>
                </c:pt>
                <c:pt idx="23">
                  <c:v>2.2349038466741165E-2</c:v>
                </c:pt>
                <c:pt idx="24">
                  <c:v>0.12974114989276717</c:v>
                </c:pt>
                <c:pt idx="25">
                  <c:v>0.21584801651012522</c:v>
                </c:pt>
                <c:pt idx="26">
                  <c:v>0.19235433870595794</c:v>
                </c:pt>
                <c:pt idx="27">
                  <c:v>-0.23658529827203256</c:v>
                </c:pt>
                <c:pt idx="28">
                  <c:v>2.5743609324786618E-2</c:v>
                </c:pt>
                <c:pt idx="29">
                  <c:v>-1.8799366382053821E-2</c:v>
                </c:pt>
                <c:pt idx="30">
                  <c:v>5.9979335669755836E-2</c:v>
                </c:pt>
                <c:pt idx="31">
                  <c:v>0.43229084470055362</c:v>
                </c:pt>
                <c:pt idx="32">
                  <c:v>0.14852239554173893</c:v>
                </c:pt>
                <c:pt idx="33">
                  <c:v>8.2622374748738417E-2</c:v>
                </c:pt>
                <c:pt idx="34">
                  <c:v>-7.2595785151553752E-2</c:v>
                </c:pt>
                <c:pt idx="35">
                  <c:v>-6.5766190142063766E-2</c:v>
                </c:pt>
                <c:pt idx="36">
                  <c:v>-4.0980058427674123E-3</c:v>
                </c:pt>
                <c:pt idx="37">
                  <c:v>0.22237077764463514</c:v>
                </c:pt>
                <c:pt idx="38">
                  <c:v>0.2994350214245195</c:v>
                </c:pt>
                <c:pt idx="39">
                  <c:v>9.5660960969806058E-2</c:v>
                </c:pt>
              </c:numCache>
            </c:numRef>
          </c:val>
          <c:extLst>
            <c:ext xmlns:c16="http://schemas.microsoft.com/office/drawing/2014/chart" uri="{C3380CC4-5D6E-409C-BE32-E72D297353CC}">
              <c16:uniqueId val="{00000004-1739-4ABC-B9F7-4B77E097C513}"/>
            </c:ext>
          </c:extLst>
        </c:ser>
        <c:ser>
          <c:idx val="5"/>
          <c:order val="5"/>
          <c:tx>
            <c:strRef>
              <c:f>'GRAF příspěvky IPP'!$A$32</c:f>
              <c:strCache>
                <c:ptCount val="1"/>
                <c:pt idx="0">
                  <c:v>Chemical, pharmaceutical ind. (20, 21)</c:v>
                </c:pt>
              </c:strCache>
            </c:strRef>
          </c:tx>
          <c:spPr>
            <a:solidFill>
              <a:srgbClr val="F8A124"/>
            </a:solidFill>
            <a:ln>
              <a:noFill/>
            </a:ln>
          </c:spPr>
          <c:invertIfNegative val="0"/>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IPP'!$R$32:$BE$32</c:f>
              <c:numCache>
                <c:formatCode>0.0</c:formatCode>
                <c:ptCount val="40"/>
                <c:pt idx="0">
                  <c:v>7.7157547125760104E-2</c:v>
                </c:pt>
                <c:pt idx="1">
                  <c:v>0.23593755110737841</c:v>
                </c:pt>
                <c:pt idx="2">
                  <c:v>-0.16353071050900619</c:v>
                </c:pt>
                <c:pt idx="3">
                  <c:v>-0.33446774192766959</c:v>
                </c:pt>
                <c:pt idx="4">
                  <c:v>-0.41480189964943331</c:v>
                </c:pt>
                <c:pt idx="5">
                  <c:v>-0.43289982593467702</c:v>
                </c:pt>
                <c:pt idx="6">
                  <c:v>-0.1055173929140575</c:v>
                </c:pt>
                <c:pt idx="7">
                  <c:v>0.23717747625834851</c:v>
                </c:pt>
                <c:pt idx="8">
                  <c:v>0.51439307947726998</c:v>
                </c:pt>
                <c:pt idx="9">
                  <c:v>0.83289717197907565</c:v>
                </c:pt>
                <c:pt idx="10">
                  <c:v>0.65310318202327911</c:v>
                </c:pt>
                <c:pt idx="11">
                  <c:v>0.50440121167449548</c:v>
                </c:pt>
                <c:pt idx="12">
                  <c:v>0.40911320927322647</c:v>
                </c:pt>
                <c:pt idx="13">
                  <c:v>7.7633111380155301E-2</c:v>
                </c:pt>
                <c:pt idx="14">
                  <c:v>-5.3190732776962651E-2</c:v>
                </c:pt>
                <c:pt idx="15">
                  <c:v>-7.1103221110709838E-2</c:v>
                </c:pt>
                <c:pt idx="16">
                  <c:v>9.3101613350728932E-2</c:v>
                </c:pt>
                <c:pt idx="17">
                  <c:v>6.1474211824515262E-2</c:v>
                </c:pt>
                <c:pt idx="18">
                  <c:v>0.2229684142187896</c:v>
                </c:pt>
                <c:pt idx="19">
                  <c:v>3.2130190492489386E-2</c:v>
                </c:pt>
                <c:pt idx="20">
                  <c:v>-3.6216479616950112E-2</c:v>
                </c:pt>
                <c:pt idx="21">
                  <c:v>-0.57135666895590331</c:v>
                </c:pt>
                <c:pt idx="22">
                  <c:v>-0.22076865898667289</c:v>
                </c:pt>
                <c:pt idx="23">
                  <c:v>0.42176753383241716</c:v>
                </c:pt>
                <c:pt idx="24">
                  <c:v>0.28424196563191712</c:v>
                </c:pt>
                <c:pt idx="25">
                  <c:v>0.82404678842772527</c:v>
                </c:pt>
                <c:pt idx="26">
                  <c:v>0.31952777567257618</c:v>
                </c:pt>
                <c:pt idx="27">
                  <c:v>8.8076042756232487E-2</c:v>
                </c:pt>
                <c:pt idx="28">
                  <c:v>0.24939661973096047</c:v>
                </c:pt>
                <c:pt idx="29">
                  <c:v>0.15903817714257876</c:v>
                </c:pt>
                <c:pt idx="30">
                  <c:v>-9.9247355732273501E-2</c:v>
                </c:pt>
                <c:pt idx="31">
                  <c:v>-0.29144141399320911</c:v>
                </c:pt>
                <c:pt idx="32">
                  <c:v>-0.59994122148973772</c:v>
                </c:pt>
                <c:pt idx="33">
                  <c:v>-0.17827397853552879</c:v>
                </c:pt>
                <c:pt idx="34">
                  <c:v>-7.4096438195475858E-2</c:v>
                </c:pt>
                <c:pt idx="35">
                  <c:v>-0.12545702643084153</c:v>
                </c:pt>
                <c:pt idx="36">
                  <c:v>0.29454256738625134</c:v>
                </c:pt>
                <c:pt idx="37">
                  <c:v>0.14532579767616829</c:v>
                </c:pt>
                <c:pt idx="38">
                  <c:v>-7.0700819787996E-2</c:v>
                </c:pt>
                <c:pt idx="39">
                  <c:v>-7.0260372748203834E-2</c:v>
                </c:pt>
              </c:numCache>
            </c:numRef>
          </c:val>
          <c:extLst>
            <c:ext xmlns:c16="http://schemas.microsoft.com/office/drawing/2014/chart" uri="{C3380CC4-5D6E-409C-BE32-E72D297353CC}">
              <c16:uniqueId val="{00000005-1739-4ABC-B9F7-4B77E097C513}"/>
            </c:ext>
          </c:extLst>
        </c:ser>
        <c:ser>
          <c:idx val="6"/>
          <c:order val="6"/>
          <c:tx>
            <c:strRef>
              <c:f>'GRAF příspěvky IPP'!$A$33</c:f>
              <c:strCache>
                <c:ptCount val="1"/>
                <c:pt idx="0">
                  <c:v>Remaining manufacturing industry*</c:v>
                </c:pt>
              </c:strCache>
            </c:strRef>
          </c:tx>
          <c:spPr>
            <a:solidFill>
              <a:schemeClr val="bg1">
                <a:lumMod val="85000"/>
              </a:schemeClr>
            </a:solidFill>
          </c:spPr>
          <c:invertIfNegative val="0"/>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IPP'!$R$33:$BE$33</c:f>
              <c:numCache>
                <c:formatCode>0.0</c:formatCode>
                <c:ptCount val="40"/>
                <c:pt idx="0">
                  <c:v>0.98443956746970962</c:v>
                </c:pt>
                <c:pt idx="1">
                  <c:v>0.89749369767930132</c:v>
                </c:pt>
                <c:pt idx="2">
                  <c:v>1.0110169889951346</c:v>
                </c:pt>
                <c:pt idx="3">
                  <c:v>-0.20272196687510713</c:v>
                </c:pt>
                <c:pt idx="4">
                  <c:v>-0.44835386658683185</c:v>
                </c:pt>
                <c:pt idx="5">
                  <c:v>-1.1528022020710338</c:v>
                </c:pt>
                <c:pt idx="6">
                  <c:v>-0.3721343772053517</c:v>
                </c:pt>
                <c:pt idx="7">
                  <c:v>0.44554477386112834</c:v>
                </c:pt>
                <c:pt idx="8">
                  <c:v>-0.13802711444318691</c:v>
                </c:pt>
                <c:pt idx="9">
                  <c:v>1.4520150527939983</c:v>
                </c:pt>
                <c:pt idx="10">
                  <c:v>0.65687676657011995</c:v>
                </c:pt>
                <c:pt idx="11">
                  <c:v>0.76186639439852744</c:v>
                </c:pt>
                <c:pt idx="12">
                  <c:v>1.1768838940724016</c:v>
                </c:pt>
                <c:pt idx="13">
                  <c:v>0.73260991135089881</c:v>
                </c:pt>
                <c:pt idx="14">
                  <c:v>1.1309843102453647</c:v>
                </c:pt>
                <c:pt idx="15">
                  <c:v>0.15993804771029091</c:v>
                </c:pt>
                <c:pt idx="16">
                  <c:v>-0.32185268974320136</c:v>
                </c:pt>
                <c:pt idx="17">
                  <c:v>-0.30512916964802844</c:v>
                </c:pt>
                <c:pt idx="18">
                  <c:v>-0.97407463154620033</c:v>
                </c:pt>
                <c:pt idx="19">
                  <c:v>-3.9701171551173531E-2</c:v>
                </c:pt>
                <c:pt idx="20">
                  <c:v>0.31377104389497573</c:v>
                </c:pt>
                <c:pt idx="21">
                  <c:v>-1.6010940767108721</c:v>
                </c:pt>
                <c:pt idx="22">
                  <c:v>-5.0886354263985356E-3</c:v>
                </c:pt>
                <c:pt idx="23">
                  <c:v>-0.12175513984550231</c:v>
                </c:pt>
                <c:pt idx="24">
                  <c:v>-3.8266442635213338E-3</c:v>
                </c:pt>
                <c:pt idx="25">
                  <c:v>3.2096494863267555</c:v>
                </c:pt>
                <c:pt idx="26">
                  <c:v>1.5269164135104876</c:v>
                </c:pt>
                <c:pt idx="27">
                  <c:v>1.1672516534140995</c:v>
                </c:pt>
                <c:pt idx="28">
                  <c:v>1.6897613509789093</c:v>
                </c:pt>
                <c:pt idx="29">
                  <c:v>0.27463646388985885</c:v>
                </c:pt>
                <c:pt idx="30">
                  <c:v>-1.6666009734324163</c:v>
                </c:pt>
                <c:pt idx="31">
                  <c:v>-1.5203967281233846</c:v>
                </c:pt>
                <c:pt idx="32">
                  <c:v>-3.3319687043801522</c:v>
                </c:pt>
                <c:pt idx="33">
                  <c:v>-3.5777565933600632</c:v>
                </c:pt>
                <c:pt idx="34">
                  <c:v>-1.8008778024447463</c:v>
                </c:pt>
                <c:pt idx="35">
                  <c:v>-1.6144958935641913</c:v>
                </c:pt>
                <c:pt idx="36">
                  <c:v>0.35378206685840219</c:v>
                </c:pt>
                <c:pt idx="37">
                  <c:v>0.27163877308090079</c:v>
                </c:pt>
                <c:pt idx="38">
                  <c:v>-0.21660427114322289</c:v>
                </c:pt>
                <c:pt idx="39">
                  <c:v>0.25946478879998447</c:v>
                </c:pt>
              </c:numCache>
            </c:numRef>
          </c:val>
          <c:extLst>
            <c:ext xmlns:c16="http://schemas.microsoft.com/office/drawing/2014/chart" uri="{C3380CC4-5D6E-409C-BE32-E72D297353CC}">
              <c16:uniqueId val="{00000006-1739-4ABC-B9F7-4B77E097C513}"/>
            </c:ext>
          </c:extLst>
        </c:ser>
        <c:ser>
          <c:idx val="7"/>
          <c:order val="7"/>
          <c:tx>
            <c:strRef>
              <c:f>'GRAF příspěvky IPP'!$A$34</c:f>
              <c:strCache>
                <c:ptCount val="1"/>
                <c:pt idx="0">
                  <c:v>Mining and energetics (B, D)</c:v>
                </c:pt>
              </c:strCache>
            </c:strRef>
          </c:tx>
          <c:spPr>
            <a:solidFill>
              <a:srgbClr val="808080"/>
            </a:solidFill>
          </c:spPr>
          <c:invertIfNegative val="0"/>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IPP'!$R$34:$BE$34</c:f>
              <c:numCache>
                <c:formatCode>0.0</c:formatCode>
                <c:ptCount val="40"/>
                <c:pt idx="0">
                  <c:v>0.14402037647140767</c:v>
                </c:pt>
                <c:pt idx="1">
                  <c:v>-0.33675824148789951</c:v>
                </c:pt>
                <c:pt idx="2">
                  <c:v>-0.3968935754815921</c:v>
                </c:pt>
                <c:pt idx="3">
                  <c:v>-1.1136308902205647</c:v>
                </c:pt>
                <c:pt idx="4">
                  <c:v>-0.66026658968149066</c:v>
                </c:pt>
                <c:pt idx="5">
                  <c:v>6.6763502761356674E-2</c:v>
                </c:pt>
                <c:pt idx="6">
                  <c:v>-0.46574952767530198</c:v>
                </c:pt>
                <c:pt idx="7">
                  <c:v>0.47124206252466205</c:v>
                </c:pt>
                <c:pt idx="8">
                  <c:v>0.68579685044543348</c:v>
                </c:pt>
                <c:pt idx="9">
                  <c:v>-0.21786071250878586</c:v>
                </c:pt>
                <c:pt idx="10">
                  <c:v>0.74762012671732325</c:v>
                </c:pt>
                <c:pt idx="11">
                  <c:v>0.67922569430551583</c:v>
                </c:pt>
                <c:pt idx="12">
                  <c:v>-0.54241645010765449</c:v>
                </c:pt>
                <c:pt idx="13">
                  <c:v>-1.8631527880888649E-3</c:v>
                </c:pt>
                <c:pt idx="14">
                  <c:v>0.78670127678843149</c:v>
                </c:pt>
                <c:pt idx="15">
                  <c:v>0.32960713526562863</c:v>
                </c:pt>
                <c:pt idx="16">
                  <c:v>6.8904910133199077E-2</c:v>
                </c:pt>
                <c:pt idx="17">
                  <c:v>0.12170682001164354</c:v>
                </c:pt>
                <c:pt idx="18">
                  <c:v>-0.5109816723970585</c:v>
                </c:pt>
                <c:pt idx="19">
                  <c:v>-0.36784640528649537</c:v>
                </c:pt>
                <c:pt idx="20">
                  <c:v>-1.0379724863245821</c:v>
                </c:pt>
                <c:pt idx="21">
                  <c:v>-1.638329285379571</c:v>
                </c:pt>
                <c:pt idx="22">
                  <c:v>-0.82494325172790062</c:v>
                </c:pt>
                <c:pt idx="23">
                  <c:v>-0.74239007583737793</c:v>
                </c:pt>
                <c:pt idx="24">
                  <c:v>0.59173920420433967</c:v>
                </c:pt>
                <c:pt idx="25">
                  <c:v>0.52615327133594958</c:v>
                </c:pt>
                <c:pt idx="26">
                  <c:v>0.31395777043368833</c:v>
                </c:pt>
                <c:pt idx="27">
                  <c:v>0.81666462236045811</c:v>
                </c:pt>
                <c:pt idx="28">
                  <c:v>-0.20911491653441394</c:v>
                </c:pt>
                <c:pt idx="29">
                  <c:v>0.24265195432480871</c:v>
                </c:pt>
                <c:pt idx="30">
                  <c:v>0.41439638250227284</c:v>
                </c:pt>
                <c:pt idx="31">
                  <c:v>-1.2876866574574628</c:v>
                </c:pt>
                <c:pt idx="32">
                  <c:v>-1.3047038808480234</c:v>
                </c:pt>
                <c:pt idx="33">
                  <c:v>-1.5785599472400031</c:v>
                </c:pt>
                <c:pt idx="34">
                  <c:v>-1.6275503109121168</c:v>
                </c:pt>
                <c:pt idx="35">
                  <c:v>-1.1079234071342297</c:v>
                </c:pt>
                <c:pt idx="36">
                  <c:v>-0.77225406933460294</c:v>
                </c:pt>
                <c:pt idx="37">
                  <c:v>-8.1033365758401241E-2</c:v>
                </c:pt>
                <c:pt idx="38">
                  <c:v>3.9457002680721442E-3</c:v>
                </c:pt>
                <c:pt idx="39">
                  <c:v>-0.18707025690625947</c:v>
                </c:pt>
              </c:numCache>
            </c:numRef>
          </c:val>
          <c:extLst>
            <c:ext xmlns:c16="http://schemas.microsoft.com/office/drawing/2014/chart" uri="{C3380CC4-5D6E-409C-BE32-E72D297353CC}">
              <c16:uniqueId val="{00000007-1739-4ABC-B9F7-4B77E097C513}"/>
            </c:ext>
          </c:extLst>
        </c:ser>
        <c:dLbls>
          <c:showLegendKey val="0"/>
          <c:showVal val="0"/>
          <c:showCatName val="0"/>
          <c:showSerName val="0"/>
          <c:showPercent val="0"/>
          <c:showBubbleSize val="0"/>
        </c:dLbls>
        <c:gapWidth val="15"/>
        <c:overlap val="100"/>
        <c:axId val="112768128"/>
        <c:axId val="112769664"/>
      </c:barChart>
      <c:lineChart>
        <c:grouping val="standard"/>
        <c:varyColors val="0"/>
        <c:ser>
          <c:idx val="8"/>
          <c:order val="8"/>
          <c:tx>
            <c:strRef>
              <c:f>'GRAF příspěvky IPP'!$A$35</c:f>
              <c:strCache>
                <c:ptCount val="1"/>
                <c:pt idx="0">
                  <c:v>Total output in industry (NACE B to D)</c:v>
                </c:pt>
              </c:strCache>
            </c:strRef>
          </c:tx>
          <c:spPr>
            <a:ln w="19050">
              <a:noFill/>
            </a:ln>
          </c:spPr>
          <c:marker>
            <c:symbol val="circle"/>
            <c:size val="4"/>
            <c:spPr>
              <a:solidFill>
                <a:srgbClr val="FFFF00"/>
              </a:solidFill>
              <a:ln>
                <a:solidFill>
                  <a:schemeClr val="tx1">
                    <a:lumMod val="95000"/>
                    <a:lumOff val="5000"/>
                  </a:schemeClr>
                </a:solidFill>
              </a:ln>
            </c:spPr>
          </c:marker>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IPP'!$R$35:$BE$35</c:f>
              <c:numCache>
                <c:formatCode>0.0</c:formatCode>
                <c:ptCount val="40"/>
                <c:pt idx="0">
                  <c:v>4.8496605073000012</c:v>
                </c:pt>
                <c:pt idx="1">
                  <c:v>5.3026307429999946</c:v>
                </c:pt>
                <c:pt idx="2">
                  <c:v>5.6592883106000045</c:v>
                </c:pt>
                <c:pt idx="3">
                  <c:v>2.4009241675999959</c:v>
                </c:pt>
                <c:pt idx="4">
                  <c:v>3.7935036281999999</c:v>
                </c:pt>
                <c:pt idx="5">
                  <c:v>1.667340101700006</c:v>
                </c:pt>
                <c:pt idx="6">
                  <c:v>1.295772459600002</c:v>
                </c:pt>
                <c:pt idx="7">
                  <c:v>3.346652804200005</c:v>
                </c:pt>
                <c:pt idx="8">
                  <c:v>4.4694819295000059</c:v>
                </c:pt>
                <c:pt idx="9">
                  <c:v>8.0757287747999982</c:v>
                </c:pt>
                <c:pt idx="10">
                  <c:v>6.471008530800006</c:v>
                </c:pt>
                <c:pt idx="11">
                  <c:v>7.2646448002000028</c:v>
                </c:pt>
                <c:pt idx="12">
                  <c:v>4.3462152320000058</c:v>
                </c:pt>
                <c:pt idx="13">
                  <c:v>2.4365124655000017</c:v>
                </c:pt>
                <c:pt idx="14">
                  <c:v>3.7641930207000058</c:v>
                </c:pt>
                <c:pt idx="15">
                  <c:v>1.5933483905999992</c:v>
                </c:pt>
                <c:pt idx="16">
                  <c:v>0.47230060009999875</c:v>
                </c:pt>
                <c:pt idx="17">
                  <c:v>0.71920116619999419</c:v>
                </c:pt>
                <c:pt idx="18">
                  <c:v>-1.5414330485999983</c:v>
                </c:pt>
                <c:pt idx="19">
                  <c:v>-1.7724070997000041</c:v>
                </c:pt>
                <c:pt idx="20">
                  <c:v>-4.2521142571000041</c:v>
                </c:pt>
                <c:pt idx="21">
                  <c:v>-21.785210571700006</c:v>
                </c:pt>
                <c:pt idx="22">
                  <c:v>-3.0649898566999951</c:v>
                </c:pt>
                <c:pt idx="23">
                  <c:v>1.6725311281000046</c:v>
                </c:pt>
                <c:pt idx="24">
                  <c:v>4.114829601699995</c:v>
                </c:pt>
                <c:pt idx="25">
                  <c:v>26.257230240699997</c:v>
                </c:pt>
                <c:pt idx="26">
                  <c:v>0.54610111819999929</c:v>
                </c:pt>
                <c:pt idx="27">
                  <c:v>-1.5372963810000044</c:v>
                </c:pt>
                <c:pt idx="28">
                  <c:v>0.51761284090000004</c:v>
                </c:pt>
                <c:pt idx="29">
                  <c:v>0.58253495169999781</c:v>
                </c:pt>
                <c:pt idx="30">
                  <c:v>5.027650182900004</c:v>
                </c:pt>
                <c:pt idx="31">
                  <c:v>2.3941458925999939</c:v>
                </c:pt>
                <c:pt idx="32">
                  <c:v>0.54243062000000464</c:v>
                </c:pt>
                <c:pt idx="33">
                  <c:v>0.26866432520000672</c:v>
                </c:pt>
                <c:pt idx="34">
                  <c:v>-3.4322693490999967</c:v>
                </c:pt>
                <c:pt idx="35">
                  <c:v>-0.73560401289999788</c:v>
                </c:pt>
                <c:pt idx="36">
                  <c:v>-0.36664043189999518</c:v>
                </c:pt>
                <c:pt idx="37">
                  <c:v>-1.558855649700007</c:v>
                </c:pt>
                <c:pt idx="38">
                  <c:v>0.75999672739999369</c:v>
                </c:pt>
                <c:pt idx="39">
                  <c:v>-2.2006859144999993</c:v>
                </c:pt>
              </c:numCache>
            </c:numRef>
          </c:val>
          <c:smooth val="0"/>
          <c:extLst>
            <c:ext xmlns:c16="http://schemas.microsoft.com/office/drawing/2014/chart" uri="{C3380CC4-5D6E-409C-BE32-E72D297353CC}">
              <c16:uniqueId val="{00000008-1739-4ABC-B9F7-4B77E097C513}"/>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9"/>
          <c:order val="9"/>
          <c:tx>
            <c:strRef>
              <c:f>'GRAF příspěvky IPP'!$A$36</c:f>
              <c:strCache>
                <c:ptCount val="1"/>
              </c:strCache>
            </c:strRef>
          </c:tx>
          <c:spPr>
            <a:ln w="15875">
              <a:noFill/>
              <a:prstDash val="sysDot"/>
            </a:ln>
          </c:spPr>
          <c:marker>
            <c:symbol val="none"/>
          </c:marker>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IPP'!$R$36:$BE$36</c:f>
              <c:numCache>
                <c:formatCode>General</c:formatCode>
                <c:ptCount val="40"/>
              </c:numCache>
            </c:numRef>
          </c:val>
          <c:smooth val="0"/>
          <c:extLst>
            <c:ext xmlns:c16="http://schemas.microsoft.com/office/drawing/2014/chart" uri="{C3380CC4-5D6E-409C-BE32-E72D297353CC}">
              <c16:uniqueId val="{00000009-1739-4ABC-B9F7-4B77E097C513}"/>
            </c:ext>
          </c:extLst>
        </c:ser>
        <c:ser>
          <c:idx val="10"/>
          <c:order val="10"/>
          <c:tx>
            <c:strRef>
              <c:f>'GRAF příspěvky IPP'!$A$37</c:f>
              <c:strCache>
                <c:ptCount val="1"/>
                <c:pt idx="0">
                  <c:v>Output, total industry CR (basis 2021=100)</c:v>
                </c:pt>
              </c:strCache>
            </c:strRef>
          </c:tx>
          <c:spPr>
            <a:ln w="15875">
              <a:solidFill>
                <a:schemeClr val="tx1">
                  <a:lumMod val="95000"/>
                  <a:lumOff val="5000"/>
                </a:schemeClr>
              </a:solidFill>
            </a:ln>
          </c:spPr>
          <c:marker>
            <c:symbol val="none"/>
          </c:marker>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IPP'!$R$37:$BE$37</c:f>
              <c:numCache>
                <c:formatCode>##0.0</c:formatCode>
                <c:ptCount val="40"/>
                <c:pt idx="0">
                  <c:v>88.4</c:v>
                </c:pt>
                <c:pt idx="1">
                  <c:v>89.9</c:v>
                </c:pt>
                <c:pt idx="2">
                  <c:v>90.9</c:v>
                </c:pt>
                <c:pt idx="3">
                  <c:v>90.1</c:v>
                </c:pt>
                <c:pt idx="4">
                  <c:v>91.8</c:v>
                </c:pt>
                <c:pt idx="5">
                  <c:v>91.3</c:v>
                </c:pt>
                <c:pt idx="6">
                  <c:v>92</c:v>
                </c:pt>
                <c:pt idx="7">
                  <c:v>93.1</c:v>
                </c:pt>
                <c:pt idx="8">
                  <c:v>95.6</c:v>
                </c:pt>
                <c:pt idx="9">
                  <c:v>98.6</c:v>
                </c:pt>
                <c:pt idx="10">
                  <c:v>98.2</c:v>
                </c:pt>
                <c:pt idx="11">
                  <c:v>100.1</c:v>
                </c:pt>
                <c:pt idx="12">
                  <c:v>100.1</c:v>
                </c:pt>
                <c:pt idx="13">
                  <c:v>101.1</c:v>
                </c:pt>
                <c:pt idx="14">
                  <c:v>102</c:v>
                </c:pt>
                <c:pt idx="15">
                  <c:v>101.3</c:v>
                </c:pt>
                <c:pt idx="16">
                  <c:v>100.6</c:v>
                </c:pt>
                <c:pt idx="17">
                  <c:v>102.2</c:v>
                </c:pt>
                <c:pt idx="18">
                  <c:v>100.1</c:v>
                </c:pt>
                <c:pt idx="19">
                  <c:v>99.4</c:v>
                </c:pt>
                <c:pt idx="20">
                  <c:v>96.7</c:v>
                </c:pt>
                <c:pt idx="21">
                  <c:v>80.2</c:v>
                </c:pt>
                <c:pt idx="22">
                  <c:v>97</c:v>
                </c:pt>
                <c:pt idx="23">
                  <c:v>101.1</c:v>
                </c:pt>
                <c:pt idx="24">
                  <c:v>99.6</c:v>
                </c:pt>
                <c:pt idx="25">
                  <c:v>100.7</c:v>
                </c:pt>
                <c:pt idx="26">
                  <c:v>98.5</c:v>
                </c:pt>
                <c:pt idx="27">
                  <c:v>99.3</c:v>
                </c:pt>
                <c:pt idx="28">
                  <c:v>100.7</c:v>
                </c:pt>
                <c:pt idx="29">
                  <c:v>101.4</c:v>
                </c:pt>
                <c:pt idx="30">
                  <c:v>102.8</c:v>
                </c:pt>
                <c:pt idx="31">
                  <c:v>101.9</c:v>
                </c:pt>
                <c:pt idx="32">
                  <c:v>101.2</c:v>
                </c:pt>
                <c:pt idx="33">
                  <c:v>101.5</c:v>
                </c:pt>
                <c:pt idx="34">
                  <c:v>99.2</c:v>
                </c:pt>
                <c:pt idx="35">
                  <c:v>101.5</c:v>
                </c:pt>
                <c:pt idx="36">
                  <c:v>100.9</c:v>
                </c:pt>
                <c:pt idx="37">
                  <c:v>99.9</c:v>
                </c:pt>
                <c:pt idx="38">
                  <c:v>99.8</c:v>
                </c:pt>
                <c:pt idx="39">
                  <c:v>99.2</c:v>
                </c:pt>
              </c:numCache>
            </c:numRef>
          </c:val>
          <c:smooth val="0"/>
          <c:extLst>
            <c:ext xmlns:c16="http://schemas.microsoft.com/office/drawing/2014/chart" uri="{C3380CC4-5D6E-409C-BE32-E72D297353CC}">
              <c16:uniqueId val="{0000000A-1739-4ABC-B9F7-4B77E097C513}"/>
            </c:ext>
          </c:extLst>
        </c:ser>
        <c:ser>
          <c:idx val="11"/>
          <c:order val="11"/>
          <c:tx>
            <c:strRef>
              <c:f>'GRAF příspěvky IPP'!$A$38</c:f>
              <c:strCache>
                <c:ptCount val="1"/>
                <c:pt idx="0">
                  <c:v>Output, total industry EU27 (basis 2021=100)</c:v>
                </c:pt>
              </c:strCache>
            </c:strRef>
          </c:tx>
          <c:spPr>
            <a:ln w="15875">
              <a:solidFill>
                <a:schemeClr val="tx1">
                  <a:lumMod val="50000"/>
                  <a:lumOff val="50000"/>
                </a:schemeClr>
              </a:solidFill>
              <a:prstDash val="sysDash"/>
            </a:ln>
          </c:spPr>
          <c:marker>
            <c:symbol val="none"/>
          </c:marker>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IPP'!$R$38:$BE$38</c:f>
              <c:numCache>
                <c:formatCode>#\ ##0.##########</c:formatCode>
                <c:ptCount val="40"/>
                <c:pt idx="0">
                  <c:v>93</c:v>
                </c:pt>
                <c:pt idx="1">
                  <c:v>93.8</c:v>
                </c:pt>
                <c:pt idx="2">
                  <c:v>94.1</c:v>
                </c:pt>
                <c:pt idx="3">
                  <c:v>93.9</c:v>
                </c:pt>
                <c:pt idx="4">
                  <c:v>94.5</c:v>
                </c:pt>
                <c:pt idx="5">
                  <c:v>94.5</c:v>
                </c:pt>
                <c:pt idx="6">
                  <c:v>94.6</c:v>
                </c:pt>
                <c:pt idx="7">
                  <c:v>95.7</c:v>
                </c:pt>
                <c:pt idx="8">
                  <c:v>96.1</c:v>
                </c:pt>
                <c:pt idx="9">
                  <c:v>97.3</c:v>
                </c:pt>
                <c:pt idx="10">
                  <c:v>98.7</c:v>
                </c:pt>
                <c:pt idx="11">
                  <c:v>100.6</c:v>
                </c:pt>
                <c:pt idx="12">
                  <c:v>99.2</c:v>
                </c:pt>
                <c:pt idx="13">
                  <c:v>99.7</c:v>
                </c:pt>
                <c:pt idx="14">
                  <c:v>99.4</c:v>
                </c:pt>
                <c:pt idx="15">
                  <c:v>99.1</c:v>
                </c:pt>
                <c:pt idx="16">
                  <c:v>99.5</c:v>
                </c:pt>
                <c:pt idx="17">
                  <c:v>99.3</c:v>
                </c:pt>
                <c:pt idx="18">
                  <c:v>98.7</c:v>
                </c:pt>
                <c:pt idx="19">
                  <c:v>98</c:v>
                </c:pt>
                <c:pt idx="20">
                  <c:v>95</c:v>
                </c:pt>
                <c:pt idx="21">
                  <c:v>80.3</c:v>
                </c:pt>
                <c:pt idx="22">
                  <c:v>93.5</c:v>
                </c:pt>
                <c:pt idx="23">
                  <c:v>98</c:v>
                </c:pt>
                <c:pt idx="24">
                  <c:v>99.5</c:v>
                </c:pt>
                <c:pt idx="25">
                  <c:v>100</c:v>
                </c:pt>
                <c:pt idx="26">
                  <c:v>99.7</c:v>
                </c:pt>
                <c:pt idx="27">
                  <c:v>100.7</c:v>
                </c:pt>
                <c:pt idx="28">
                  <c:v>101.8</c:v>
                </c:pt>
                <c:pt idx="29">
                  <c:v>102.5</c:v>
                </c:pt>
                <c:pt idx="30">
                  <c:v>103</c:v>
                </c:pt>
                <c:pt idx="31">
                  <c:v>102.6</c:v>
                </c:pt>
                <c:pt idx="32">
                  <c:v>103</c:v>
                </c:pt>
                <c:pt idx="33">
                  <c:v>102.1</c:v>
                </c:pt>
                <c:pt idx="34">
                  <c:v>99.7</c:v>
                </c:pt>
                <c:pt idx="35">
                  <c:v>99.6</c:v>
                </c:pt>
                <c:pt idx="36">
                  <c:v>99</c:v>
                </c:pt>
                <c:pt idx="37">
                  <c:v>98.8</c:v>
                </c:pt>
                <c:pt idx="38" formatCode="General">
                  <c:v>98.6</c:v>
                </c:pt>
                <c:pt idx="39" formatCode="General">
                  <c:v>98.3</c:v>
                </c:pt>
              </c:numCache>
            </c:numRef>
          </c:val>
          <c:smooth val="0"/>
          <c:extLst>
            <c:ext xmlns:c16="http://schemas.microsoft.com/office/drawing/2014/chart" uri="{C3380CC4-5D6E-409C-BE32-E72D297353CC}">
              <c16:uniqueId val="{0000000B-1739-4ABC-B9F7-4B77E097C513}"/>
            </c:ext>
          </c:extLst>
        </c:ser>
        <c:ser>
          <c:idx val="12"/>
          <c:order val="12"/>
          <c:tx>
            <c:strRef>
              <c:f>'GRAF příspěvky IPP'!$A$39</c:f>
              <c:strCache>
                <c:ptCount val="1"/>
                <c:pt idx="0">
                  <c:v>Output, total industry Germany (2021=100)</c:v>
                </c:pt>
              </c:strCache>
            </c:strRef>
          </c:tx>
          <c:spPr>
            <a:ln w="15875">
              <a:solidFill>
                <a:srgbClr val="996633"/>
              </a:solidFill>
              <a:prstDash val="dash"/>
            </a:ln>
          </c:spPr>
          <c:marker>
            <c:symbol val="none"/>
          </c:marker>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IPP'!$R$39:$BE$39</c:f>
              <c:numCache>
                <c:formatCode>#\ ##0.##########</c:formatCode>
                <c:ptCount val="40"/>
                <c:pt idx="0">
                  <c:v>102.7</c:v>
                </c:pt>
                <c:pt idx="1">
                  <c:v>104</c:v>
                </c:pt>
                <c:pt idx="2">
                  <c:v>103.8</c:v>
                </c:pt>
                <c:pt idx="3">
                  <c:v>103.3</c:v>
                </c:pt>
                <c:pt idx="4">
                  <c:v>104.4</c:v>
                </c:pt>
                <c:pt idx="5">
                  <c:v>104</c:v>
                </c:pt>
                <c:pt idx="6">
                  <c:v>104.4</c:v>
                </c:pt>
                <c:pt idx="7">
                  <c:v>104.5</c:v>
                </c:pt>
                <c:pt idx="8">
                  <c:v>105</c:v>
                </c:pt>
                <c:pt idx="9">
                  <c:v>107</c:v>
                </c:pt>
                <c:pt idx="10">
                  <c:v>108.8</c:v>
                </c:pt>
                <c:pt idx="11">
                  <c:v>109.6</c:v>
                </c:pt>
                <c:pt idx="12">
                  <c:v>109</c:v>
                </c:pt>
                <c:pt idx="13">
                  <c:v>109.8</c:v>
                </c:pt>
                <c:pt idx="14">
                  <c:v>108.8</c:v>
                </c:pt>
                <c:pt idx="15">
                  <c:v>107.2</c:v>
                </c:pt>
                <c:pt idx="16">
                  <c:v>107</c:v>
                </c:pt>
                <c:pt idx="17">
                  <c:v>105.8</c:v>
                </c:pt>
                <c:pt idx="18">
                  <c:v>104.6</c:v>
                </c:pt>
                <c:pt idx="19">
                  <c:v>102.9</c:v>
                </c:pt>
                <c:pt idx="20">
                  <c:v>101.3</c:v>
                </c:pt>
                <c:pt idx="21">
                  <c:v>82.9</c:v>
                </c:pt>
                <c:pt idx="22">
                  <c:v>94.8</c:v>
                </c:pt>
                <c:pt idx="23">
                  <c:v>100.9</c:v>
                </c:pt>
                <c:pt idx="24">
                  <c:v>100.8</c:v>
                </c:pt>
                <c:pt idx="25">
                  <c:v>99.9</c:v>
                </c:pt>
                <c:pt idx="26">
                  <c:v>96.9</c:v>
                </c:pt>
                <c:pt idx="27">
                  <c:v>99.9</c:v>
                </c:pt>
                <c:pt idx="28">
                  <c:v>99.3</c:v>
                </c:pt>
                <c:pt idx="29">
                  <c:v>98.8</c:v>
                </c:pt>
                <c:pt idx="30">
                  <c:v>99.3</c:v>
                </c:pt>
                <c:pt idx="31">
                  <c:v>98.9</c:v>
                </c:pt>
                <c:pt idx="32">
                  <c:v>100.1</c:v>
                </c:pt>
                <c:pt idx="33">
                  <c:v>98.3</c:v>
                </c:pt>
                <c:pt idx="34">
                  <c:v>95.8</c:v>
                </c:pt>
                <c:pt idx="35">
                  <c:v>94.5</c:v>
                </c:pt>
                <c:pt idx="36">
                  <c:v>94.5</c:v>
                </c:pt>
                <c:pt idx="37">
                  <c:v>93.4</c:v>
                </c:pt>
                <c:pt idx="38" formatCode="General">
                  <c:v>91.9</c:v>
                </c:pt>
                <c:pt idx="39" formatCode="General">
                  <c:v>91.1</c:v>
                </c:pt>
              </c:numCache>
            </c:numRef>
          </c:val>
          <c:smooth val="0"/>
          <c:extLst>
            <c:ext xmlns:c16="http://schemas.microsoft.com/office/drawing/2014/chart" uri="{C3380CC4-5D6E-409C-BE32-E72D297353CC}">
              <c16:uniqueId val="{0000000C-1739-4ABC-B9F7-4B77E097C513}"/>
            </c:ext>
          </c:extLst>
        </c:ser>
        <c:dLbls>
          <c:showLegendKey val="0"/>
          <c:showVal val="0"/>
          <c:showCatName val="0"/>
          <c:showSerName val="0"/>
          <c:showPercent val="0"/>
          <c:showBubbleSize val="0"/>
        </c:dLbls>
        <c:marker val="1"/>
        <c:smooth val="0"/>
        <c:axId val="1513731104"/>
        <c:axId val="1513729024"/>
      </c:lineChart>
      <c:catAx>
        <c:axId val="112768128"/>
        <c:scaling>
          <c:orientation val="minMax"/>
        </c:scaling>
        <c:delete val="0"/>
        <c:axPos val="b"/>
        <c:numFmt formatCode="General" sourceLinked="1"/>
        <c:majorTickMark val="none"/>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30"/>
          <c:min val="-25"/>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u="none" strike="noStrike" baseline="0">
                    <a:effectLst/>
                  </a:rPr>
                  <a:t>Industrial production (contribution to growth)</a:t>
                </a:r>
                <a:endParaRPr lang="cs-CZ" sz="700" b="0" i="1">
                  <a:latin typeface="Arial" panose="020B0604020202020204" pitchFamily="34" charset="0"/>
                  <a:cs typeface="Arial" panose="020B0604020202020204" pitchFamily="34" charset="0"/>
                </a:endParaRPr>
              </a:p>
            </c:rich>
          </c:tx>
          <c:layout>
            <c:manualLayout>
              <c:xMode val="edge"/>
              <c:yMode val="edge"/>
              <c:x val="0"/>
              <c:y val="0.1165198004318692"/>
            </c:manualLayout>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5"/>
      </c:valAx>
      <c:valAx>
        <c:axId val="1513729024"/>
        <c:scaling>
          <c:orientation val="minMax"/>
          <c:max val="118"/>
          <c:min val="52"/>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Output in industry (basis 2021=100)</a:t>
                </a:r>
              </a:p>
            </c:rich>
          </c:tx>
          <c:layout>
            <c:manualLayout>
              <c:xMode val="edge"/>
              <c:yMode val="edge"/>
              <c:x val="0.97040158454025283"/>
              <c:y val="0.16649922312229412"/>
            </c:manualLayout>
          </c:layout>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513731104"/>
        <c:crosses val="max"/>
        <c:crossBetween val="between"/>
        <c:majorUnit val="6"/>
      </c:valAx>
      <c:catAx>
        <c:axId val="1513731104"/>
        <c:scaling>
          <c:orientation val="minMax"/>
        </c:scaling>
        <c:delete val="1"/>
        <c:axPos val="b"/>
        <c:numFmt formatCode="General" sourceLinked="1"/>
        <c:majorTickMark val="out"/>
        <c:minorTickMark val="none"/>
        <c:tickLblPos val="nextTo"/>
        <c:crossAx val="1513729024"/>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5.257665068025226E-3"/>
          <c:y val="0.78956533796177808"/>
          <c:w val="0.98866589538224925"/>
          <c:h val="0.20327688625655532"/>
        </c:manualLayout>
      </c:layout>
      <c:overlay val="0"/>
      <c:spPr>
        <a:ln w="6350">
          <a:solidFill>
            <a:prstClr val="black">
              <a:lumMod val="95000"/>
              <a:lumOff val="5000"/>
            </a:prstClr>
          </a:solidFill>
        </a:ln>
      </c:spPr>
      <c:txPr>
        <a:bodyPr/>
        <a:lstStyle/>
        <a:p>
          <a:pPr>
            <a:defRPr sz="72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88042665536843E-2"/>
          <c:y val="1.5647041011259352E-2"/>
          <c:w val="0.84974974879787502"/>
          <c:h val="0.750636022143085"/>
        </c:manualLayout>
      </c:layout>
      <c:barChart>
        <c:barDir val="col"/>
        <c:grouping val="clustered"/>
        <c:varyColors val="0"/>
        <c:ser>
          <c:idx val="0"/>
          <c:order val="0"/>
          <c:tx>
            <c:strRef>
              <c:f>'výkonnost odvětví 2'!$A$36</c:f>
              <c:strCache>
                <c:ptCount val="1"/>
                <c:pt idx="0">
                  <c:v>Total orders (all industry)</c:v>
                </c:pt>
              </c:strCache>
            </c:strRef>
          </c:tx>
          <c:spPr>
            <a:solidFill>
              <a:schemeClr val="bg1">
                <a:lumMod val="75000"/>
              </a:schemeClr>
            </a:solidFill>
            <a:ln>
              <a:noFill/>
            </a:ln>
          </c:spPr>
          <c:invertIfNegative val="0"/>
          <c:cat>
            <c:multiLvlStrRef>
              <c:f>'výkonnost odvětví 2'!$AD$34:$BF$35</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2'!$AD$36:$BF$36</c:f>
              <c:numCache>
                <c:formatCode>##0.0</c:formatCode>
                <c:ptCount val="29"/>
                <c:pt idx="0">
                  <c:v>3.2993551214999997</c:v>
                </c:pt>
                <c:pt idx="1">
                  <c:v>2.9773571834000023</c:v>
                </c:pt>
                <c:pt idx="2">
                  <c:v>3.5300064828000046</c:v>
                </c:pt>
                <c:pt idx="3">
                  <c:v>2.4324207204000032</c:v>
                </c:pt>
                <c:pt idx="4">
                  <c:v>3.2234606388999936</c:v>
                </c:pt>
                <c:pt idx="5">
                  <c:v>2.1291359181000047</c:v>
                </c:pt>
                <c:pt idx="6">
                  <c:v>-1.1496242270000039</c:v>
                </c:pt>
                <c:pt idx="7">
                  <c:v>-2.8233445845000062</c:v>
                </c:pt>
                <c:pt idx="8">
                  <c:v>-4.1421474552000035</c:v>
                </c:pt>
                <c:pt idx="9">
                  <c:v>-27.261303375300002</c:v>
                </c:pt>
                <c:pt idx="10">
                  <c:v>-0.61408028729999842</c:v>
                </c:pt>
                <c:pt idx="11">
                  <c:v>6.5219093458999993</c:v>
                </c:pt>
                <c:pt idx="12">
                  <c:v>10.302386093899997</c:v>
                </c:pt>
                <c:pt idx="13">
                  <c:v>47.006791835400008</c:v>
                </c:pt>
                <c:pt idx="14">
                  <c:v>7.4121163405999937</c:v>
                </c:pt>
                <c:pt idx="15">
                  <c:v>4.1365790068000052</c:v>
                </c:pt>
                <c:pt idx="16">
                  <c:v>6.8490137814000036</c:v>
                </c:pt>
                <c:pt idx="17">
                  <c:v>10.085971342999997</c:v>
                </c:pt>
                <c:pt idx="18">
                  <c:v>15.318582962099995</c:v>
                </c:pt>
                <c:pt idx="19">
                  <c:v>12.433152473999996</c:v>
                </c:pt>
                <c:pt idx="20">
                  <c:v>2.9052841525000019</c:v>
                </c:pt>
                <c:pt idx="21">
                  <c:v>-2.3914562299000011</c:v>
                </c:pt>
                <c:pt idx="22">
                  <c:v>-4.8730479777999989</c:v>
                </c:pt>
                <c:pt idx="23">
                  <c:v>-0.99576249449999921</c:v>
                </c:pt>
                <c:pt idx="24">
                  <c:v>4.5372733083000014</c:v>
                </c:pt>
                <c:pt idx="25">
                  <c:v>3.973817590799996</c:v>
                </c:pt>
                <c:pt idx="26">
                  <c:v>4.913717146099998</c:v>
                </c:pt>
                <c:pt idx="27">
                  <c:v>1.1531009624000035</c:v>
                </c:pt>
              </c:numCache>
            </c:numRef>
          </c:val>
          <c:extLst>
            <c:ext xmlns:c16="http://schemas.microsoft.com/office/drawing/2014/chart" uri="{C3380CC4-5D6E-409C-BE32-E72D297353CC}">
              <c16:uniqueId val="{00000000-BD9C-4931-A207-81D227EB8736}"/>
            </c:ext>
          </c:extLst>
        </c:ser>
        <c:dLbls>
          <c:showLegendKey val="0"/>
          <c:showVal val="0"/>
          <c:showCatName val="0"/>
          <c:showSerName val="0"/>
          <c:showPercent val="0"/>
          <c:showBubbleSize val="0"/>
        </c:dLbls>
        <c:gapWidth val="30"/>
        <c:axId val="112768128"/>
        <c:axId val="112769664"/>
      </c:barChart>
      <c:lineChart>
        <c:grouping val="standard"/>
        <c:varyColors val="0"/>
        <c:ser>
          <c:idx val="1"/>
          <c:order val="1"/>
          <c:tx>
            <c:strRef>
              <c:f>'výkonnost odvětví 2'!$A$37</c:f>
              <c:strCache>
                <c:ptCount val="1"/>
                <c:pt idx="0">
                  <c:v>In that: domestic orders</c:v>
                </c:pt>
              </c:strCache>
            </c:strRef>
          </c:tx>
          <c:spPr>
            <a:ln w="15875">
              <a:noFill/>
              <a:prstDash val="sysDot"/>
            </a:ln>
          </c:spPr>
          <c:marker>
            <c:symbol val="diamond"/>
            <c:size val="5"/>
            <c:spPr>
              <a:solidFill>
                <a:srgbClr val="984807"/>
              </a:solidFill>
              <a:ln>
                <a:noFill/>
              </a:ln>
            </c:spPr>
          </c:marker>
          <c:cat>
            <c:multiLvlStrRef>
              <c:f>'výkonnost odvětví 2'!$AD$34:$BF$35</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2'!$AD$37:$BF$37</c:f>
              <c:numCache>
                <c:formatCode>##0.0</c:formatCode>
                <c:ptCount val="29"/>
                <c:pt idx="0">
                  <c:v>2.1530605192999985</c:v>
                </c:pt>
                <c:pt idx="1">
                  <c:v>2.440306231799994</c:v>
                </c:pt>
                <c:pt idx="2">
                  <c:v>4.7510172912000002</c:v>
                </c:pt>
                <c:pt idx="3">
                  <c:v>3.3084884759999937</c:v>
                </c:pt>
                <c:pt idx="4">
                  <c:v>7.6964313707999992</c:v>
                </c:pt>
                <c:pt idx="5">
                  <c:v>5.9656126075999936</c:v>
                </c:pt>
                <c:pt idx="6">
                  <c:v>0.2850715043000065</c:v>
                </c:pt>
                <c:pt idx="7">
                  <c:v>-0.84674153630000148</c:v>
                </c:pt>
                <c:pt idx="8">
                  <c:v>0.84542569580000304</c:v>
                </c:pt>
                <c:pt idx="9">
                  <c:v>-25.680778364399998</c:v>
                </c:pt>
                <c:pt idx="10">
                  <c:v>-3.379983194199994</c:v>
                </c:pt>
                <c:pt idx="11">
                  <c:v>5.566224000099993</c:v>
                </c:pt>
                <c:pt idx="12">
                  <c:v>2.1984888990999991</c:v>
                </c:pt>
                <c:pt idx="13">
                  <c:v>42.282763352500012</c:v>
                </c:pt>
                <c:pt idx="14">
                  <c:v>9.2435624139999959</c:v>
                </c:pt>
                <c:pt idx="15">
                  <c:v>5.7946060289000059</c:v>
                </c:pt>
                <c:pt idx="16">
                  <c:v>8.7628335220999958</c:v>
                </c:pt>
                <c:pt idx="17">
                  <c:v>15.459617554999994</c:v>
                </c:pt>
                <c:pt idx="18">
                  <c:v>26.231847318299998</c:v>
                </c:pt>
                <c:pt idx="19">
                  <c:v>19.254464608299998</c:v>
                </c:pt>
                <c:pt idx="20">
                  <c:v>12.015611591400003</c:v>
                </c:pt>
                <c:pt idx="21">
                  <c:v>2.2971826952999947</c:v>
                </c:pt>
                <c:pt idx="22">
                  <c:v>-6.8090795378000024</c:v>
                </c:pt>
                <c:pt idx="23">
                  <c:v>-0.66200910400000623</c:v>
                </c:pt>
                <c:pt idx="24">
                  <c:v>4.0524108900000044</c:v>
                </c:pt>
                <c:pt idx="25">
                  <c:v>3.1106756708999939</c:v>
                </c:pt>
                <c:pt idx="26">
                  <c:v>7.9767878582999998</c:v>
                </c:pt>
                <c:pt idx="27">
                  <c:v>2.422567383599997</c:v>
                </c:pt>
              </c:numCache>
            </c:numRef>
          </c:val>
          <c:smooth val="0"/>
          <c:extLst>
            <c:ext xmlns:c16="http://schemas.microsoft.com/office/drawing/2014/chart" uri="{C3380CC4-5D6E-409C-BE32-E72D297353CC}">
              <c16:uniqueId val="{00000001-BD9C-4931-A207-81D227EB8736}"/>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2"/>
          <c:order val="2"/>
          <c:tx>
            <c:strRef>
              <c:f>'výkonnost odvětví 2'!$A$38</c:f>
              <c:strCache>
                <c:ptCount val="1"/>
                <c:pt idx="0">
                  <c:v>Utilisation of production capacities (total)</c:v>
                </c:pt>
              </c:strCache>
            </c:strRef>
          </c:tx>
          <c:spPr>
            <a:ln w="15875">
              <a:solidFill>
                <a:schemeClr val="accent6">
                  <a:lumMod val="75000"/>
                </a:schemeClr>
              </a:solidFill>
            </a:ln>
          </c:spPr>
          <c:marker>
            <c:symbol val="none"/>
          </c:marker>
          <c:cat>
            <c:multiLvlStrRef>
              <c:f>'výkonnost odvětví 2'!$AD$34:$BF$35</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2'!$AD$38:$BF$38</c:f>
              <c:numCache>
                <c:formatCode>##0.0</c:formatCode>
                <c:ptCount val="29"/>
                <c:pt idx="0">
                  <c:v>85.33</c:v>
                </c:pt>
                <c:pt idx="1">
                  <c:v>84.89</c:v>
                </c:pt>
                <c:pt idx="2">
                  <c:v>85.13</c:v>
                </c:pt>
                <c:pt idx="3">
                  <c:v>84.76</c:v>
                </c:pt>
                <c:pt idx="4">
                  <c:v>84.93</c:v>
                </c:pt>
                <c:pt idx="5">
                  <c:v>85.19</c:v>
                </c:pt>
                <c:pt idx="6">
                  <c:v>83.6</c:v>
                </c:pt>
                <c:pt idx="7">
                  <c:v>83.7</c:v>
                </c:pt>
                <c:pt idx="8">
                  <c:v>84.2</c:v>
                </c:pt>
                <c:pt idx="9">
                  <c:v>70.400000000000006</c:v>
                </c:pt>
                <c:pt idx="10">
                  <c:v>76.3</c:v>
                </c:pt>
                <c:pt idx="11">
                  <c:v>82.7</c:v>
                </c:pt>
                <c:pt idx="12">
                  <c:v>85.8</c:v>
                </c:pt>
                <c:pt idx="13">
                  <c:v>84.4</c:v>
                </c:pt>
                <c:pt idx="14">
                  <c:v>86.41</c:v>
                </c:pt>
                <c:pt idx="15">
                  <c:v>77.599999999999994</c:v>
                </c:pt>
                <c:pt idx="16">
                  <c:v>83.6</c:v>
                </c:pt>
                <c:pt idx="17">
                  <c:v>82.17</c:v>
                </c:pt>
                <c:pt idx="18">
                  <c:v>83.5</c:v>
                </c:pt>
                <c:pt idx="19">
                  <c:v>81.099999999999994</c:v>
                </c:pt>
                <c:pt idx="20">
                  <c:v>81.400000000000006</c:v>
                </c:pt>
                <c:pt idx="21">
                  <c:v>83.7</c:v>
                </c:pt>
                <c:pt idx="22">
                  <c:v>83.5</c:v>
                </c:pt>
                <c:pt idx="23">
                  <c:v>83.6</c:v>
                </c:pt>
                <c:pt idx="24">
                  <c:v>83.1</c:v>
                </c:pt>
                <c:pt idx="25">
                  <c:v>83</c:v>
                </c:pt>
                <c:pt idx="26">
                  <c:v>80.599999999999994</c:v>
                </c:pt>
                <c:pt idx="27">
                  <c:v>82.47</c:v>
                </c:pt>
                <c:pt idx="28">
                  <c:v>82.7</c:v>
                </c:pt>
              </c:numCache>
            </c:numRef>
          </c:val>
          <c:smooth val="0"/>
          <c:extLst>
            <c:ext xmlns:c16="http://schemas.microsoft.com/office/drawing/2014/chart" uri="{C3380CC4-5D6E-409C-BE32-E72D297353CC}">
              <c16:uniqueId val="{00000002-BD9C-4931-A207-81D227EB8736}"/>
            </c:ext>
          </c:extLst>
        </c:ser>
        <c:ser>
          <c:idx val="3"/>
          <c:order val="3"/>
          <c:tx>
            <c:strRef>
              <c:f>'výkonnost odvětví 2'!$A$39</c:f>
              <c:strCache>
                <c:ptCount val="1"/>
                <c:pt idx="0">
                  <c:v>Utilisation of cap. (motor vehicles ind.)</c:v>
                </c:pt>
              </c:strCache>
            </c:strRef>
          </c:tx>
          <c:spPr>
            <a:ln w="15875">
              <a:solidFill>
                <a:schemeClr val="accent6">
                  <a:lumMod val="75000"/>
                </a:schemeClr>
              </a:solidFill>
              <a:prstDash val="sysDash"/>
            </a:ln>
          </c:spPr>
          <c:marker>
            <c:symbol val="none"/>
          </c:marker>
          <c:cat>
            <c:multiLvlStrRef>
              <c:f>'výkonnost odvětví 2'!$AD$34:$BF$35</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2'!$AD$39:$BF$39</c:f>
              <c:numCache>
                <c:formatCode>##0.0</c:formatCode>
                <c:ptCount val="29"/>
                <c:pt idx="0">
                  <c:v>91.4</c:v>
                </c:pt>
                <c:pt idx="1">
                  <c:v>91.3</c:v>
                </c:pt>
                <c:pt idx="2">
                  <c:v>92.9</c:v>
                </c:pt>
                <c:pt idx="3">
                  <c:v>92.5</c:v>
                </c:pt>
                <c:pt idx="4">
                  <c:v>92.9</c:v>
                </c:pt>
                <c:pt idx="5">
                  <c:v>92.7</c:v>
                </c:pt>
                <c:pt idx="6">
                  <c:v>92.8</c:v>
                </c:pt>
                <c:pt idx="7">
                  <c:v>93</c:v>
                </c:pt>
                <c:pt idx="8">
                  <c:v>90.6</c:v>
                </c:pt>
                <c:pt idx="9">
                  <c:v>45</c:v>
                </c:pt>
                <c:pt idx="10">
                  <c:v>79.099999999999994</c:v>
                </c:pt>
                <c:pt idx="11">
                  <c:v>96.9</c:v>
                </c:pt>
                <c:pt idx="12">
                  <c:v>94.9</c:v>
                </c:pt>
                <c:pt idx="13">
                  <c:v>89.6</c:v>
                </c:pt>
                <c:pt idx="14">
                  <c:v>95.3</c:v>
                </c:pt>
                <c:pt idx="15">
                  <c:v>55.8</c:v>
                </c:pt>
                <c:pt idx="16">
                  <c:v>84.5</c:v>
                </c:pt>
                <c:pt idx="17">
                  <c:v>76.7</c:v>
                </c:pt>
                <c:pt idx="18">
                  <c:v>79</c:v>
                </c:pt>
                <c:pt idx="19">
                  <c:v>74.099999999999994</c:v>
                </c:pt>
                <c:pt idx="20">
                  <c:v>79.400000000000006</c:v>
                </c:pt>
                <c:pt idx="21">
                  <c:v>92.7</c:v>
                </c:pt>
                <c:pt idx="22">
                  <c:v>92.2</c:v>
                </c:pt>
                <c:pt idx="23">
                  <c:v>92.2</c:v>
                </c:pt>
                <c:pt idx="24">
                  <c:v>92.7</c:v>
                </c:pt>
                <c:pt idx="25">
                  <c:v>93.5</c:v>
                </c:pt>
                <c:pt idx="26">
                  <c:v>89.9</c:v>
                </c:pt>
                <c:pt idx="27">
                  <c:v>92.9</c:v>
                </c:pt>
                <c:pt idx="28">
                  <c:v>93.100000000000009</c:v>
                </c:pt>
              </c:numCache>
            </c:numRef>
          </c:val>
          <c:smooth val="0"/>
          <c:extLst>
            <c:ext xmlns:c16="http://schemas.microsoft.com/office/drawing/2014/chart" uri="{C3380CC4-5D6E-409C-BE32-E72D297353CC}">
              <c16:uniqueId val="{00000003-BD9C-4931-A207-81D227EB8736}"/>
            </c:ext>
          </c:extLst>
        </c:ser>
        <c:ser>
          <c:idx val="4"/>
          <c:order val="4"/>
          <c:tx>
            <c:strRef>
              <c:f>'výkonnost odvětví 2'!$A$40</c:f>
              <c:strCache>
                <c:ptCount val="1"/>
                <c:pt idx="0">
                  <c:v>Barrier: inadequate demand</c:v>
                </c:pt>
              </c:strCache>
            </c:strRef>
          </c:tx>
          <c:spPr>
            <a:ln w="15875">
              <a:solidFill>
                <a:srgbClr val="00B050"/>
              </a:solidFill>
              <a:prstDash val="solid"/>
            </a:ln>
          </c:spPr>
          <c:marker>
            <c:symbol val="none"/>
          </c:marker>
          <c:cat>
            <c:multiLvlStrRef>
              <c:f>'výkonnost odvětví 2'!$AD$34:$BF$35</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2'!$AD$40:$BF$40</c:f>
              <c:numCache>
                <c:formatCode>#\ ##0.0</c:formatCode>
                <c:ptCount val="29"/>
                <c:pt idx="0">
                  <c:v>35.4</c:v>
                </c:pt>
                <c:pt idx="1">
                  <c:v>36.299999999999997</c:v>
                </c:pt>
                <c:pt idx="2">
                  <c:v>32.4</c:v>
                </c:pt>
                <c:pt idx="3">
                  <c:v>32.9</c:v>
                </c:pt>
                <c:pt idx="4">
                  <c:v>33.799999999999997</c:v>
                </c:pt>
                <c:pt idx="5">
                  <c:v>36.200000000000003</c:v>
                </c:pt>
                <c:pt idx="6">
                  <c:v>41</c:v>
                </c:pt>
                <c:pt idx="7">
                  <c:v>47.1</c:v>
                </c:pt>
                <c:pt idx="8">
                  <c:v>49.8</c:v>
                </c:pt>
                <c:pt idx="9">
                  <c:v>58.8</c:v>
                </c:pt>
                <c:pt idx="10">
                  <c:v>63</c:v>
                </c:pt>
                <c:pt idx="11">
                  <c:v>44.4</c:v>
                </c:pt>
                <c:pt idx="12">
                  <c:v>46.9</c:v>
                </c:pt>
                <c:pt idx="13">
                  <c:v>38.700000000000003</c:v>
                </c:pt>
                <c:pt idx="14">
                  <c:v>25.4</c:v>
                </c:pt>
                <c:pt idx="15">
                  <c:v>27.9</c:v>
                </c:pt>
                <c:pt idx="16">
                  <c:v>29.9</c:v>
                </c:pt>
                <c:pt idx="17">
                  <c:v>21.3</c:v>
                </c:pt>
                <c:pt idx="18">
                  <c:v>18.7</c:v>
                </c:pt>
                <c:pt idx="19">
                  <c:v>29.4</c:v>
                </c:pt>
                <c:pt idx="20">
                  <c:v>42.5</c:v>
                </c:pt>
                <c:pt idx="21">
                  <c:v>42</c:v>
                </c:pt>
                <c:pt idx="22">
                  <c:v>44.3</c:v>
                </c:pt>
                <c:pt idx="23">
                  <c:v>46.2</c:v>
                </c:pt>
                <c:pt idx="24">
                  <c:v>47.5</c:v>
                </c:pt>
                <c:pt idx="25">
                  <c:v>49.8</c:v>
                </c:pt>
                <c:pt idx="26">
                  <c:v>52</c:v>
                </c:pt>
                <c:pt idx="27">
                  <c:v>49</c:v>
                </c:pt>
                <c:pt idx="28">
                  <c:v>63.5</c:v>
                </c:pt>
              </c:numCache>
            </c:numRef>
          </c:val>
          <c:smooth val="0"/>
          <c:extLst>
            <c:ext xmlns:c16="http://schemas.microsoft.com/office/drawing/2014/chart" uri="{C3380CC4-5D6E-409C-BE32-E72D297353CC}">
              <c16:uniqueId val="{00000004-BD9C-4931-A207-81D227EB8736}"/>
            </c:ext>
          </c:extLst>
        </c:ser>
        <c:ser>
          <c:idx val="5"/>
          <c:order val="5"/>
          <c:tx>
            <c:strRef>
              <c:f>'výkonnost odvětví 2'!$A$41</c:f>
              <c:strCache>
                <c:ptCount val="1"/>
                <c:pt idx="0">
                  <c:v>Barrier: lack of workers</c:v>
                </c:pt>
              </c:strCache>
            </c:strRef>
          </c:tx>
          <c:spPr>
            <a:ln w="15875">
              <a:solidFill>
                <a:srgbClr val="6FE772"/>
              </a:solidFill>
              <a:prstDash val="solid"/>
            </a:ln>
          </c:spPr>
          <c:marker>
            <c:symbol val="none"/>
          </c:marker>
          <c:cat>
            <c:multiLvlStrRef>
              <c:f>'výkonnost odvětví 2'!$AD$34:$BF$35</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2'!$AD$41:$BF$41</c:f>
              <c:numCache>
                <c:formatCode>#\ ##0.0</c:formatCode>
                <c:ptCount val="29"/>
                <c:pt idx="0">
                  <c:v>43.5</c:v>
                </c:pt>
                <c:pt idx="1">
                  <c:v>42.3</c:v>
                </c:pt>
                <c:pt idx="2">
                  <c:v>43.2</c:v>
                </c:pt>
                <c:pt idx="3">
                  <c:v>46.3</c:v>
                </c:pt>
                <c:pt idx="4">
                  <c:v>39</c:v>
                </c:pt>
                <c:pt idx="5">
                  <c:v>35.1</c:v>
                </c:pt>
                <c:pt idx="6">
                  <c:v>40.200000000000003</c:v>
                </c:pt>
                <c:pt idx="7">
                  <c:v>39.200000000000003</c:v>
                </c:pt>
                <c:pt idx="8">
                  <c:v>27.7</c:v>
                </c:pt>
                <c:pt idx="9">
                  <c:v>13.5</c:v>
                </c:pt>
                <c:pt idx="10">
                  <c:v>16.7</c:v>
                </c:pt>
                <c:pt idx="11">
                  <c:v>17.600000000000001</c:v>
                </c:pt>
                <c:pt idx="12">
                  <c:v>22</c:v>
                </c:pt>
                <c:pt idx="13">
                  <c:v>18.399999999999999</c:v>
                </c:pt>
                <c:pt idx="14">
                  <c:v>27.6</c:v>
                </c:pt>
                <c:pt idx="15">
                  <c:v>22.6</c:v>
                </c:pt>
                <c:pt idx="16">
                  <c:v>24.9</c:v>
                </c:pt>
                <c:pt idx="17">
                  <c:v>18.600000000000001</c:v>
                </c:pt>
                <c:pt idx="18">
                  <c:v>26.1</c:v>
                </c:pt>
                <c:pt idx="19">
                  <c:v>24.9</c:v>
                </c:pt>
                <c:pt idx="20">
                  <c:v>16.600000000000001</c:v>
                </c:pt>
                <c:pt idx="21">
                  <c:v>20.6</c:v>
                </c:pt>
                <c:pt idx="22">
                  <c:v>18.899999999999999</c:v>
                </c:pt>
                <c:pt idx="23">
                  <c:v>22.5</c:v>
                </c:pt>
                <c:pt idx="24">
                  <c:v>14.6</c:v>
                </c:pt>
                <c:pt idx="25">
                  <c:v>11.8</c:v>
                </c:pt>
                <c:pt idx="26">
                  <c:v>12.8</c:v>
                </c:pt>
                <c:pt idx="27">
                  <c:v>17.8</c:v>
                </c:pt>
                <c:pt idx="28">
                  <c:v>13.2</c:v>
                </c:pt>
              </c:numCache>
            </c:numRef>
          </c:val>
          <c:smooth val="0"/>
          <c:extLst>
            <c:ext xmlns:c16="http://schemas.microsoft.com/office/drawing/2014/chart" uri="{C3380CC4-5D6E-409C-BE32-E72D297353CC}">
              <c16:uniqueId val="{00000005-BD9C-4931-A207-81D227EB8736}"/>
            </c:ext>
          </c:extLst>
        </c:ser>
        <c:ser>
          <c:idx val="6"/>
          <c:order val="6"/>
          <c:tx>
            <c:strRef>
              <c:f>'výkonnost odvětví 2'!$A$42</c:f>
              <c:strCache>
                <c:ptCount val="1"/>
                <c:pt idx="0">
                  <c:v>Barrier: shortage of material/equipment</c:v>
                </c:pt>
              </c:strCache>
            </c:strRef>
          </c:tx>
          <c:spPr>
            <a:ln w="15875">
              <a:solidFill>
                <a:schemeClr val="accent3">
                  <a:lumMod val="75000"/>
                </a:schemeClr>
              </a:solidFill>
              <a:prstDash val="dash"/>
            </a:ln>
          </c:spPr>
          <c:marker>
            <c:symbol val="none"/>
          </c:marker>
          <c:cat>
            <c:multiLvlStrRef>
              <c:f>'výkonnost odvětví 2'!$AD$34:$BF$35</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2'!$AD$42:$BF$42</c:f>
              <c:numCache>
                <c:formatCode>#\ ##0.0</c:formatCode>
                <c:ptCount val="29"/>
                <c:pt idx="0">
                  <c:v>11.9</c:v>
                </c:pt>
                <c:pt idx="1">
                  <c:v>11.7</c:v>
                </c:pt>
                <c:pt idx="2">
                  <c:v>13.9</c:v>
                </c:pt>
                <c:pt idx="3">
                  <c:v>23.5</c:v>
                </c:pt>
                <c:pt idx="4">
                  <c:v>26.4</c:v>
                </c:pt>
                <c:pt idx="5">
                  <c:v>24.7</c:v>
                </c:pt>
                <c:pt idx="6">
                  <c:v>22</c:v>
                </c:pt>
                <c:pt idx="7">
                  <c:v>10.5</c:v>
                </c:pt>
                <c:pt idx="8">
                  <c:v>17.899999999999999</c:v>
                </c:pt>
                <c:pt idx="9">
                  <c:v>10.199999999999999</c:v>
                </c:pt>
                <c:pt idx="10">
                  <c:v>6.7</c:v>
                </c:pt>
                <c:pt idx="11">
                  <c:v>10.9</c:v>
                </c:pt>
                <c:pt idx="12">
                  <c:v>23.1</c:v>
                </c:pt>
                <c:pt idx="13">
                  <c:v>32.1</c:v>
                </c:pt>
                <c:pt idx="14">
                  <c:v>45.9</c:v>
                </c:pt>
                <c:pt idx="15">
                  <c:v>41.2</c:v>
                </c:pt>
                <c:pt idx="16">
                  <c:v>39.299999999999997</c:v>
                </c:pt>
                <c:pt idx="17">
                  <c:v>47.8</c:v>
                </c:pt>
                <c:pt idx="18">
                  <c:v>53.4</c:v>
                </c:pt>
                <c:pt idx="19">
                  <c:v>46.4</c:v>
                </c:pt>
                <c:pt idx="20">
                  <c:v>37.4</c:v>
                </c:pt>
                <c:pt idx="21">
                  <c:v>32.5</c:v>
                </c:pt>
                <c:pt idx="22">
                  <c:v>20.6</c:v>
                </c:pt>
                <c:pt idx="23">
                  <c:v>17.100000000000001</c:v>
                </c:pt>
                <c:pt idx="24">
                  <c:v>32.700000000000003</c:v>
                </c:pt>
                <c:pt idx="25">
                  <c:v>28.1</c:v>
                </c:pt>
                <c:pt idx="26">
                  <c:v>13</c:v>
                </c:pt>
                <c:pt idx="27">
                  <c:v>24.7</c:v>
                </c:pt>
                <c:pt idx="28">
                  <c:v>11.9</c:v>
                </c:pt>
              </c:numCache>
            </c:numRef>
          </c:val>
          <c:smooth val="0"/>
          <c:extLst>
            <c:ext xmlns:c16="http://schemas.microsoft.com/office/drawing/2014/chart" uri="{C3380CC4-5D6E-409C-BE32-E72D297353CC}">
              <c16:uniqueId val="{00000006-BD9C-4931-A207-81D227EB8736}"/>
            </c:ext>
          </c:extLst>
        </c:ser>
        <c:ser>
          <c:idx val="7"/>
          <c:order val="7"/>
          <c:tx>
            <c:strRef>
              <c:f>'výkonnost odvětví 2'!$A$43</c:f>
              <c:strCache>
                <c:ptCount val="1"/>
                <c:pt idx="0">
                  <c:v>Total confidence indicator in industry</c:v>
                </c:pt>
              </c:strCache>
            </c:strRef>
          </c:tx>
          <c:spPr>
            <a:ln w="15875">
              <a:solidFill>
                <a:schemeClr val="bg1">
                  <a:lumMod val="65000"/>
                </a:schemeClr>
              </a:solidFill>
              <a:prstDash val="sysDot"/>
            </a:ln>
          </c:spPr>
          <c:marker>
            <c:symbol val="circle"/>
            <c:size val="5"/>
            <c:spPr>
              <a:solidFill>
                <a:srgbClr val="FFFF00"/>
              </a:solidFill>
              <a:ln>
                <a:solidFill>
                  <a:schemeClr val="tx1">
                    <a:lumMod val="50000"/>
                    <a:lumOff val="50000"/>
                  </a:schemeClr>
                </a:solidFill>
              </a:ln>
            </c:spPr>
          </c:marker>
          <c:cat>
            <c:multiLvlStrRef>
              <c:f>'výkonnost odvětví 2'!$AD$34:$BF$35</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2'!$AD$43:$BF$43</c:f>
              <c:numCache>
                <c:formatCode>#\ ##0.0</c:formatCode>
                <c:ptCount val="29"/>
                <c:pt idx="0">
                  <c:v>3.7</c:v>
                </c:pt>
                <c:pt idx="1">
                  <c:v>2</c:v>
                </c:pt>
                <c:pt idx="2">
                  <c:v>2.2999999999999998</c:v>
                </c:pt>
                <c:pt idx="3">
                  <c:v>2.2999999999999998</c:v>
                </c:pt>
                <c:pt idx="4">
                  <c:v>0.3</c:v>
                </c:pt>
                <c:pt idx="5">
                  <c:v>-2</c:v>
                </c:pt>
                <c:pt idx="6">
                  <c:v>-3</c:v>
                </c:pt>
                <c:pt idx="7">
                  <c:v>-6.7</c:v>
                </c:pt>
                <c:pt idx="8">
                  <c:v>-5</c:v>
                </c:pt>
                <c:pt idx="9">
                  <c:v>-25</c:v>
                </c:pt>
                <c:pt idx="10">
                  <c:v>-6.3</c:v>
                </c:pt>
                <c:pt idx="11">
                  <c:v>-10</c:v>
                </c:pt>
                <c:pt idx="12">
                  <c:v>-1.3</c:v>
                </c:pt>
                <c:pt idx="13">
                  <c:v>5.3</c:v>
                </c:pt>
                <c:pt idx="14">
                  <c:v>-1.3</c:v>
                </c:pt>
                <c:pt idx="15">
                  <c:v>-5.3</c:v>
                </c:pt>
                <c:pt idx="16">
                  <c:v>-0.3</c:v>
                </c:pt>
                <c:pt idx="17">
                  <c:v>8.3000000000000007</c:v>
                </c:pt>
                <c:pt idx="18">
                  <c:v>-1.7</c:v>
                </c:pt>
                <c:pt idx="19">
                  <c:v>-8.3000000000000007</c:v>
                </c:pt>
                <c:pt idx="20">
                  <c:v>-10.1</c:v>
                </c:pt>
                <c:pt idx="21">
                  <c:v>-7</c:v>
                </c:pt>
                <c:pt idx="22">
                  <c:v>-7</c:v>
                </c:pt>
                <c:pt idx="23">
                  <c:v>-6</c:v>
                </c:pt>
                <c:pt idx="24">
                  <c:v>-14</c:v>
                </c:pt>
                <c:pt idx="25">
                  <c:v>-8.6999999999999993</c:v>
                </c:pt>
                <c:pt idx="26">
                  <c:v>-7.7</c:v>
                </c:pt>
                <c:pt idx="27">
                  <c:v>-8.3000000000000007</c:v>
                </c:pt>
                <c:pt idx="28">
                  <c:v>-6</c:v>
                </c:pt>
              </c:numCache>
            </c:numRef>
          </c:val>
          <c:smooth val="0"/>
          <c:extLst>
            <c:ext xmlns:c16="http://schemas.microsoft.com/office/drawing/2014/chart" uri="{C3380CC4-5D6E-409C-BE32-E72D297353CC}">
              <c16:uniqueId val="{00000007-BD9C-4931-A207-81D227EB8736}"/>
            </c:ext>
          </c:extLst>
        </c:ser>
        <c:dLbls>
          <c:showLegendKey val="0"/>
          <c:showVal val="0"/>
          <c:showCatName val="0"/>
          <c:showSerName val="0"/>
          <c:showPercent val="0"/>
          <c:showBubbleSize val="0"/>
        </c:dLbls>
        <c:marker val="1"/>
        <c:smooth val="0"/>
        <c:axId val="1239819375"/>
        <c:axId val="1239826863"/>
      </c:lineChart>
      <c:catAx>
        <c:axId val="112768128"/>
        <c:scaling>
          <c:orientation val="minMax"/>
        </c:scaling>
        <c:delete val="0"/>
        <c:axPos val="b"/>
        <c:numFmt formatCode="General" sourceLinked="1"/>
        <c:majorTickMark val="out"/>
        <c:minorTickMark val="none"/>
        <c:tickLblPos val="low"/>
        <c:crossAx val="112769664"/>
        <c:crosses val="autoZero"/>
        <c:auto val="1"/>
        <c:lblAlgn val="ctr"/>
        <c:lblOffset val="0"/>
        <c:noMultiLvlLbl val="0"/>
      </c:catAx>
      <c:valAx>
        <c:axId val="112769664"/>
        <c:scaling>
          <c:orientation val="minMax"/>
          <c:max val="90"/>
          <c:min val="-40"/>
        </c:scaling>
        <c:delete val="0"/>
        <c:axPos val="l"/>
        <c:majorGridlines>
          <c:spPr>
            <a:ln>
              <a:solidFill>
                <a:srgbClr val="BEBEBE"/>
              </a:solidFill>
            </a:ln>
          </c:spPr>
        </c:majorGridlines>
        <c:title>
          <c:tx>
            <c:rich>
              <a:bodyPr/>
              <a:lstStyle/>
              <a:p>
                <a:pPr>
                  <a:defRPr sz="700" b="0" i="1"/>
                </a:pPr>
                <a:r>
                  <a:rPr lang="cs-CZ" sz="700" b="0" i="1"/>
                  <a:t>Orders</a:t>
                </a:r>
              </a:p>
            </c:rich>
          </c:tx>
          <c:layout/>
          <c:overlay val="0"/>
        </c:title>
        <c:numFmt formatCode="0" sourceLinked="0"/>
        <c:majorTickMark val="out"/>
        <c:minorTickMark val="none"/>
        <c:tickLblPos val="nextTo"/>
        <c:crossAx val="112768128"/>
        <c:crosses val="autoZero"/>
        <c:crossBetween val="between"/>
        <c:majorUnit val="10"/>
      </c:valAx>
      <c:valAx>
        <c:axId val="1239826863"/>
        <c:scaling>
          <c:orientation val="minMax"/>
          <c:max val="10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i="1">
                    <a:effectLst/>
                  </a:rPr>
                  <a:t>Utilisation of production capacities, growth barriers, confidence</a:t>
                </a:r>
              </a:p>
            </c:rich>
          </c:tx>
          <c:layout/>
          <c:overlay val="0"/>
        </c:title>
        <c:numFmt formatCode="#,##0" sourceLinked="0"/>
        <c:majorTickMark val="out"/>
        <c:minorTickMark val="none"/>
        <c:tickLblPos val="nextTo"/>
        <c:crossAx val="1239819375"/>
        <c:crosses val="max"/>
        <c:crossBetween val="between"/>
        <c:majorUnit val="10"/>
      </c:valAx>
      <c:catAx>
        <c:axId val="1239819375"/>
        <c:scaling>
          <c:orientation val="minMax"/>
        </c:scaling>
        <c:delete val="1"/>
        <c:axPos val="b"/>
        <c:numFmt formatCode="General" sourceLinked="1"/>
        <c:majorTickMark val="out"/>
        <c:minorTickMark val="none"/>
        <c:tickLblPos val="nextTo"/>
        <c:crossAx val="12398268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5.0624233317308007E-3"/>
          <c:y val="0.85586452851148542"/>
          <c:w val="0.99016081878579243"/>
          <c:h val="0.13715127117944995"/>
        </c:manualLayout>
      </c:layout>
      <c:overlay val="0"/>
      <c:spPr>
        <a:ln w="6350">
          <a:solidFill>
            <a:prstClr val="black">
              <a:lumMod val="95000"/>
              <a:lumOff val="5000"/>
            </a:prstClr>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5237839893753009"/>
          <c:h val="0.75413191483370345"/>
        </c:manualLayout>
      </c:layout>
      <c:barChart>
        <c:barDir val="col"/>
        <c:grouping val="stacked"/>
        <c:varyColors val="0"/>
        <c:ser>
          <c:idx val="1"/>
          <c:order val="1"/>
          <c:tx>
            <c:strRef>
              <c:f>'výkonnost odvětví 3'!$Y$10</c:f>
              <c:strCache>
                <c:ptCount val="1"/>
                <c:pt idx="0">
                  <c:v>Building construction (contribution in p.p.)</c:v>
                </c:pt>
              </c:strCache>
            </c:strRef>
          </c:tx>
          <c:spPr>
            <a:solidFill>
              <a:schemeClr val="accent5">
                <a:lumMod val="60000"/>
                <a:lumOff val="40000"/>
              </a:schemeClr>
            </a:solidFill>
            <a:ln>
              <a:noFill/>
            </a:ln>
          </c:spPr>
          <c:invertIfNegative val="0"/>
          <c:cat>
            <c:multiLvlStrRef>
              <c:f>'výkonnost odvětví 3'!$V$31:$W$71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3'!$Y$31:$Y$71</c:f>
              <c:numCache>
                <c:formatCode>0.0</c:formatCode>
                <c:ptCount val="41"/>
                <c:pt idx="0">
                  <c:v>5.748716579411445</c:v>
                </c:pt>
                <c:pt idx="1">
                  <c:v>4.7489923277143378</c:v>
                </c:pt>
                <c:pt idx="2">
                  <c:v>0.72860376801438353</c:v>
                </c:pt>
                <c:pt idx="3">
                  <c:v>-1.5997494872130962</c:v>
                </c:pt>
                <c:pt idx="4">
                  <c:v>-4.5800585311347017</c:v>
                </c:pt>
                <c:pt idx="5">
                  <c:v>-4.8364432126044203</c:v>
                </c:pt>
                <c:pt idx="6">
                  <c:v>0.7673453632215238</c:v>
                </c:pt>
                <c:pt idx="7">
                  <c:v>3.5913890122868475</c:v>
                </c:pt>
                <c:pt idx="8">
                  <c:v>1.818439140996319</c:v>
                </c:pt>
                <c:pt idx="9">
                  <c:v>9.5161866462127662</c:v>
                </c:pt>
                <c:pt idx="10">
                  <c:v>3.2650480956647083</c:v>
                </c:pt>
                <c:pt idx="11">
                  <c:v>2.30805126241866</c:v>
                </c:pt>
                <c:pt idx="12">
                  <c:v>13.039459362857237</c:v>
                </c:pt>
                <c:pt idx="13">
                  <c:v>5.6850806062932753</c:v>
                </c:pt>
                <c:pt idx="14">
                  <c:v>7.036028465591686</c:v>
                </c:pt>
                <c:pt idx="15">
                  <c:v>2.3869078764089537</c:v>
                </c:pt>
                <c:pt idx="16">
                  <c:v>2.4727635166988868</c:v>
                </c:pt>
                <c:pt idx="17">
                  <c:v>2.9341574628565144</c:v>
                </c:pt>
                <c:pt idx="18">
                  <c:v>-0.67535503037810629</c:v>
                </c:pt>
                <c:pt idx="19">
                  <c:v>1.7116954805541678</c:v>
                </c:pt>
                <c:pt idx="20">
                  <c:v>-0.69584807703082285</c:v>
                </c:pt>
                <c:pt idx="21">
                  <c:v>-7.7523651483361782</c:v>
                </c:pt>
                <c:pt idx="22">
                  <c:v>-7.0746219815718145</c:v>
                </c:pt>
                <c:pt idx="23">
                  <c:v>-7.7412314636348389</c:v>
                </c:pt>
                <c:pt idx="24">
                  <c:v>-5.0641975026487787</c:v>
                </c:pt>
                <c:pt idx="25">
                  <c:v>2.4686114215313406</c:v>
                </c:pt>
                <c:pt idx="26">
                  <c:v>2.7039460751579787</c:v>
                </c:pt>
                <c:pt idx="27">
                  <c:v>5.3901043052775774</c:v>
                </c:pt>
                <c:pt idx="28">
                  <c:v>7.2623756026241066</c:v>
                </c:pt>
                <c:pt idx="29">
                  <c:v>3.5226467380079853</c:v>
                </c:pt>
                <c:pt idx="30">
                  <c:v>-0.76089367968381272</c:v>
                </c:pt>
                <c:pt idx="31">
                  <c:v>-1.4458047635776528</c:v>
                </c:pt>
                <c:pt idx="32">
                  <c:v>2.0832552278460348</c:v>
                </c:pt>
                <c:pt idx="33">
                  <c:v>-1.8028342486885289</c:v>
                </c:pt>
                <c:pt idx="34">
                  <c:v>-0.44895734326731668</c:v>
                </c:pt>
                <c:pt idx="35">
                  <c:v>-2.3451012647049301</c:v>
                </c:pt>
                <c:pt idx="36">
                  <c:v>-4.8382296506486542</c:v>
                </c:pt>
                <c:pt idx="37">
                  <c:v>-3.1423406804938172</c:v>
                </c:pt>
                <c:pt idx="38">
                  <c:v>-1.8669557036141273</c:v>
                </c:pt>
                <c:pt idx="39">
                  <c:v>1.6859130817420198</c:v>
                </c:pt>
              </c:numCache>
            </c:numRef>
          </c:val>
          <c:extLst>
            <c:ext xmlns:c16="http://schemas.microsoft.com/office/drawing/2014/chart" uri="{C3380CC4-5D6E-409C-BE32-E72D297353CC}">
              <c16:uniqueId val="{00000000-D3CA-457D-AC10-C1336E1F1BFE}"/>
            </c:ext>
          </c:extLst>
        </c:ser>
        <c:ser>
          <c:idx val="2"/>
          <c:order val="2"/>
          <c:tx>
            <c:strRef>
              <c:f>'výkonnost odvětví 3'!$Z$10</c:f>
              <c:strCache>
                <c:ptCount val="1"/>
                <c:pt idx="0">
                  <c:v>Civil engineering works (contribution)</c:v>
                </c:pt>
              </c:strCache>
            </c:strRef>
          </c:tx>
          <c:spPr>
            <a:solidFill>
              <a:schemeClr val="accent2">
                <a:lumMod val="60000"/>
                <a:lumOff val="40000"/>
              </a:schemeClr>
            </a:solidFill>
            <a:ln>
              <a:noFill/>
            </a:ln>
          </c:spPr>
          <c:invertIfNegative val="0"/>
          <c:cat>
            <c:multiLvlStrRef>
              <c:f>'výkonnost odvětví 3'!$V$31:$W$71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3'!$Z$31:$Z$71</c:f>
              <c:numCache>
                <c:formatCode>0.0</c:formatCode>
                <c:ptCount val="41"/>
                <c:pt idx="0">
                  <c:v>3.8654453061663498</c:v>
                </c:pt>
                <c:pt idx="1">
                  <c:v>8.4074328223660437</c:v>
                </c:pt>
                <c:pt idx="2">
                  <c:v>8.536513170572011</c:v>
                </c:pt>
                <c:pt idx="3">
                  <c:v>3.3830353457973681</c:v>
                </c:pt>
                <c:pt idx="4">
                  <c:v>-1.4655710356774887</c:v>
                </c:pt>
                <c:pt idx="5">
                  <c:v>-6.4494987337786789</c:v>
                </c:pt>
                <c:pt idx="6">
                  <c:v>-8.0288007564184198</c:v>
                </c:pt>
                <c:pt idx="7">
                  <c:v>-6.8710829128275535</c:v>
                </c:pt>
                <c:pt idx="8">
                  <c:v>-4.1473356084740605</c:v>
                </c:pt>
                <c:pt idx="9">
                  <c:v>-1.1362269417632547</c:v>
                </c:pt>
                <c:pt idx="10">
                  <c:v>-1.6997694917449739</c:v>
                </c:pt>
                <c:pt idx="11">
                  <c:v>0.18912136047288933</c:v>
                </c:pt>
                <c:pt idx="12">
                  <c:v>2.313855161184069</c:v>
                </c:pt>
                <c:pt idx="13">
                  <c:v>1.4433818342413158</c:v>
                </c:pt>
                <c:pt idx="14">
                  <c:v>5.805340800033207</c:v>
                </c:pt>
                <c:pt idx="15">
                  <c:v>2.0257219814852485</c:v>
                </c:pt>
                <c:pt idx="16">
                  <c:v>2.8832113797347176</c:v>
                </c:pt>
                <c:pt idx="17">
                  <c:v>2.2916559515195796</c:v>
                </c:pt>
                <c:pt idx="18">
                  <c:v>0.1275103650053056</c:v>
                </c:pt>
                <c:pt idx="19">
                  <c:v>0.80716183036284428</c:v>
                </c:pt>
                <c:pt idx="20">
                  <c:v>2.6239699221333534</c:v>
                </c:pt>
                <c:pt idx="21">
                  <c:v>0.26317252359280197</c:v>
                </c:pt>
                <c:pt idx="22">
                  <c:v>-3.3347591135837273</c:v>
                </c:pt>
                <c:pt idx="23">
                  <c:v>-0.42839192125115316</c:v>
                </c:pt>
                <c:pt idx="24">
                  <c:v>-0.39271300493205069</c:v>
                </c:pt>
                <c:pt idx="25">
                  <c:v>1.8656417213430043</c:v>
                </c:pt>
                <c:pt idx="26">
                  <c:v>0.51733150492014313</c:v>
                </c:pt>
                <c:pt idx="27">
                  <c:v>-1.0537686221660534</c:v>
                </c:pt>
                <c:pt idx="28">
                  <c:v>5.358400328070565</c:v>
                </c:pt>
                <c:pt idx="29">
                  <c:v>1.3483477190828432</c:v>
                </c:pt>
                <c:pt idx="30">
                  <c:v>0.66790441347725993</c:v>
                </c:pt>
                <c:pt idx="31">
                  <c:v>1.4140192158313873</c:v>
                </c:pt>
                <c:pt idx="32">
                  <c:v>-3.8377803274302602</c:v>
                </c:pt>
                <c:pt idx="33">
                  <c:v>-2.3734546360443498</c:v>
                </c:pt>
                <c:pt idx="34">
                  <c:v>-0.1386838999559698</c:v>
                </c:pt>
                <c:pt idx="35">
                  <c:v>-0.56173564084297578</c:v>
                </c:pt>
                <c:pt idx="36">
                  <c:v>1.2662423560224092</c:v>
                </c:pt>
                <c:pt idx="37">
                  <c:v>-1.4597213726065921</c:v>
                </c:pt>
                <c:pt idx="38">
                  <c:v>0.28895473079141204</c:v>
                </c:pt>
                <c:pt idx="39">
                  <c:v>1.5102548903099675</c:v>
                </c:pt>
              </c:numCache>
            </c:numRef>
          </c:val>
          <c:extLst>
            <c:ext xmlns:c16="http://schemas.microsoft.com/office/drawing/2014/chart" uri="{C3380CC4-5D6E-409C-BE32-E72D297353CC}">
              <c16:uniqueId val="{00000001-D3CA-457D-AC10-C1336E1F1BFE}"/>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'výkonnost odvětví 3'!$X$10</c:f>
              <c:strCache>
                <c:ptCount val="1"/>
                <c:pt idx="0">
                  <c:v>Total construction output</c:v>
                </c:pt>
              </c:strCache>
            </c:strRef>
          </c:tx>
          <c:spPr>
            <a:ln>
              <a:noFill/>
            </a:ln>
          </c:spPr>
          <c:marker>
            <c:symbol val="dash"/>
            <c:size val="5"/>
            <c:spPr>
              <a:solidFill>
                <a:schemeClr val="bg1"/>
              </a:solidFill>
              <a:ln>
                <a:solidFill>
                  <a:schemeClr val="tx1">
                    <a:lumMod val="95000"/>
                    <a:lumOff val="5000"/>
                  </a:schemeClr>
                </a:solidFill>
              </a:ln>
            </c:spPr>
          </c:marker>
          <c:cat>
            <c:multiLvlStrRef>
              <c:f>'výkonnost odvětví 3'!$V$31:$W$71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3'!$X$31:$X$71</c:f>
              <c:numCache>
                <c:formatCode>0.0</c:formatCode>
                <c:ptCount val="41"/>
                <c:pt idx="0">
                  <c:v>9.6141618855778006</c:v>
                </c:pt>
                <c:pt idx="1">
                  <c:v>13.156425150080381</c:v>
                </c:pt>
                <c:pt idx="2">
                  <c:v>9.2651169385864023</c:v>
                </c:pt>
                <c:pt idx="3">
                  <c:v>1.7832858585842644</c:v>
                </c:pt>
                <c:pt idx="4">
                  <c:v>-6.0456295668121669</c:v>
                </c:pt>
                <c:pt idx="5">
                  <c:v>-11.28594194638309</c:v>
                </c:pt>
                <c:pt idx="6">
                  <c:v>-7.2614553931968828</c:v>
                </c:pt>
                <c:pt idx="7">
                  <c:v>-3.2796939005406927</c:v>
                </c:pt>
                <c:pt idx="8">
                  <c:v>-2.3288964674777475</c:v>
                </c:pt>
                <c:pt idx="9">
                  <c:v>8.3799597044495187</c:v>
                </c:pt>
                <c:pt idx="10">
                  <c:v>1.5652786039197224</c:v>
                </c:pt>
                <c:pt idx="11">
                  <c:v>2.4971726228915543</c:v>
                </c:pt>
                <c:pt idx="12">
                  <c:v>15.353314524041295</c:v>
                </c:pt>
                <c:pt idx="13">
                  <c:v>7.1284624405345767</c:v>
                </c:pt>
                <c:pt idx="14">
                  <c:v>12.84136926562492</c:v>
                </c:pt>
                <c:pt idx="15">
                  <c:v>4.4126298578941885</c:v>
                </c:pt>
                <c:pt idx="16">
                  <c:v>5.355974896433608</c:v>
                </c:pt>
                <c:pt idx="17">
                  <c:v>5.2258134143760913</c:v>
                </c:pt>
                <c:pt idx="18">
                  <c:v>-0.54784466537279286</c:v>
                </c:pt>
                <c:pt idx="19">
                  <c:v>2.5188573109170278</c:v>
                </c:pt>
                <c:pt idx="20">
                  <c:v>1.9281218451025097</c:v>
                </c:pt>
                <c:pt idx="21">
                  <c:v>-7.4891926247433531</c:v>
                </c:pt>
                <c:pt idx="22">
                  <c:v>-10.409381095155553</c:v>
                </c:pt>
                <c:pt idx="23">
                  <c:v>-8.1696233848860089</c:v>
                </c:pt>
                <c:pt idx="24">
                  <c:v>-5.466636542981135</c:v>
                </c:pt>
                <c:pt idx="25">
                  <c:v>4.3235198503092249</c:v>
                </c:pt>
                <c:pt idx="26">
                  <c:v>3.2106587838742087</c:v>
                </c:pt>
                <c:pt idx="27">
                  <c:v>4.3256021763069583</c:v>
                </c:pt>
                <c:pt idx="28">
                  <c:v>12.620775930694663</c:v>
                </c:pt>
                <c:pt idx="29">
                  <c:v>4.8709944570908021</c:v>
                </c:pt>
                <c:pt idx="30">
                  <c:v>-9.2989266206558341E-2</c:v>
                </c:pt>
                <c:pt idx="31">
                  <c:v>-3.1785547746267184E-2</c:v>
                </c:pt>
                <c:pt idx="32">
                  <c:v>-1.7545250995842139</c:v>
                </c:pt>
                <c:pt idx="33">
                  <c:v>-4.1762888847328838</c:v>
                </c:pt>
                <c:pt idx="34">
                  <c:v>-0.58764124322328826</c:v>
                </c:pt>
                <c:pt idx="35">
                  <c:v>-2.9068369055479195</c:v>
                </c:pt>
                <c:pt idx="36">
                  <c:v>-3.5719872946262115</c:v>
                </c:pt>
                <c:pt idx="37">
                  <c:v>-4.6020620531004113</c:v>
                </c:pt>
                <c:pt idx="38">
                  <c:v>-1.5780009728227213</c:v>
                </c:pt>
                <c:pt idx="39">
                  <c:v>3.1961679720519811</c:v>
                </c:pt>
              </c:numCache>
            </c:numRef>
          </c:val>
          <c:smooth val="0"/>
          <c:extLst>
            <c:ext xmlns:c16="http://schemas.microsoft.com/office/drawing/2014/chart" uri="{C3380CC4-5D6E-409C-BE32-E72D297353CC}">
              <c16:uniqueId val="{00000002-D3CA-457D-AC10-C1336E1F1BFE}"/>
            </c:ext>
          </c:extLst>
        </c:ser>
        <c:ser>
          <c:idx val="3"/>
          <c:order val="3"/>
          <c:tx>
            <c:strRef>
              <c:f>'výkonnost odvětví 3'!$AA$10</c:f>
              <c:strCache>
                <c:ptCount val="1"/>
                <c:pt idx="0">
                  <c:v>New domestic construction orders </c:v>
                </c:pt>
              </c:strCache>
            </c:strRef>
          </c:tx>
          <c:spPr>
            <a:ln w="9525">
              <a:solidFill>
                <a:srgbClr val="984807"/>
              </a:solidFill>
              <a:prstDash val="sysDot"/>
            </a:ln>
          </c:spPr>
          <c:marker>
            <c:symbol val="diamond"/>
            <c:size val="4"/>
            <c:spPr>
              <a:solidFill>
                <a:srgbClr val="996633"/>
              </a:solidFill>
              <a:ln>
                <a:solidFill>
                  <a:srgbClr val="984807"/>
                </a:solidFill>
              </a:ln>
            </c:spPr>
          </c:marker>
          <c:cat>
            <c:multiLvlStrRef>
              <c:f>'výkonnost odvětví 3'!$V$31:$W$71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3'!$AA$31:$AA$71</c:f>
              <c:numCache>
                <c:formatCode>0.0</c:formatCode>
                <c:ptCount val="41"/>
                <c:pt idx="0">
                  <c:v>-3.1547956675580053</c:v>
                </c:pt>
                <c:pt idx="1">
                  <c:v>9.7504961091663205</c:v>
                </c:pt>
                <c:pt idx="2">
                  <c:v>-1.097606022761255</c:v>
                </c:pt>
                <c:pt idx="3">
                  <c:v>-2.3987783410040464</c:v>
                </c:pt>
                <c:pt idx="4">
                  <c:v>-6.6406358945753823</c:v>
                </c:pt>
                <c:pt idx="5">
                  <c:v>-0.49977652269311079</c:v>
                </c:pt>
                <c:pt idx="6">
                  <c:v>-7.0322087253454839</c:v>
                </c:pt>
                <c:pt idx="7">
                  <c:v>10.122126124559955</c:v>
                </c:pt>
                <c:pt idx="8">
                  <c:v>16.177217458847437</c:v>
                </c:pt>
                <c:pt idx="9">
                  <c:v>9.5350878984013008</c:v>
                </c:pt>
                <c:pt idx="10">
                  <c:v>-1.2817324431350698</c:v>
                </c:pt>
                <c:pt idx="11">
                  <c:v>15.620806693503823</c:v>
                </c:pt>
                <c:pt idx="12">
                  <c:v>30.10697387368856</c:v>
                </c:pt>
                <c:pt idx="13">
                  <c:v>32.836878110611963</c:v>
                </c:pt>
                <c:pt idx="14">
                  <c:v>5.2768249907951201</c:v>
                </c:pt>
                <c:pt idx="15">
                  <c:v>1.8944565811032277</c:v>
                </c:pt>
                <c:pt idx="16">
                  <c:v>14.157245632065781</c:v>
                </c:pt>
                <c:pt idx="17">
                  <c:v>-9.3849543241233135</c:v>
                </c:pt>
                <c:pt idx="18">
                  <c:v>17.407871000993993</c:v>
                </c:pt>
                <c:pt idx="19">
                  <c:v>5.8323004254463768</c:v>
                </c:pt>
                <c:pt idx="20">
                  <c:v>-12.441635069859245</c:v>
                </c:pt>
                <c:pt idx="21">
                  <c:v>7.497345722028669</c:v>
                </c:pt>
                <c:pt idx="22">
                  <c:v>2.0599736606932879</c:v>
                </c:pt>
                <c:pt idx="23">
                  <c:v>7.5507850088630164</c:v>
                </c:pt>
                <c:pt idx="24">
                  <c:v>28.856340981154403</c:v>
                </c:pt>
                <c:pt idx="25">
                  <c:v>22.047871359987184</c:v>
                </c:pt>
                <c:pt idx="26">
                  <c:v>10.015015612184257</c:v>
                </c:pt>
                <c:pt idx="27">
                  <c:v>1.0053213537781147</c:v>
                </c:pt>
                <c:pt idx="28">
                  <c:v>13.067478460417874</c:v>
                </c:pt>
                <c:pt idx="29">
                  <c:v>17.619163607261129</c:v>
                </c:pt>
                <c:pt idx="30">
                  <c:v>12.421954480552543</c:v>
                </c:pt>
                <c:pt idx="31">
                  <c:v>13.031852753748723</c:v>
                </c:pt>
                <c:pt idx="32">
                  <c:v>-10.144501025957553</c:v>
                </c:pt>
                <c:pt idx="33">
                  <c:v>-18.697561390531931</c:v>
                </c:pt>
                <c:pt idx="34">
                  <c:v>27.514816854662854</c:v>
                </c:pt>
                <c:pt idx="35">
                  <c:v>9.3063425617587683</c:v>
                </c:pt>
                <c:pt idx="36">
                  <c:v>30.48574840110382</c:v>
                </c:pt>
                <c:pt idx="37">
                  <c:v>24.810378988741093</c:v>
                </c:pt>
                <c:pt idx="38">
                  <c:v>-2.1445567903011948</c:v>
                </c:pt>
                <c:pt idx="39">
                  <c:v>17.246427278094785</c:v>
                </c:pt>
              </c:numCache>
            </c:numRef>
          </c:val>
          <c:smooth val="0"/>
          <c:extLst>
            <c:ext xmlns:c16="http://schemas.microsoft.com/office/drawing/2014/chart" uri="{C3380CC4-5D6E-409C-BE32-E72D297353CC}">
              <c16:uniqueId val="{00000003-D3CA-457D-AC10-C1336E1F1BFE}"/>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4"/>
          <c:order val="4"/>
          <c:tx>
            <c:strRef>
              <c:f>'výkonnost odvětví 3'!$AB$10</c:f>
              <c:strCache>
                <c:ptCount val="1"/>
                <c:pt idx="0">
                  <c:v>Barrier: inadequate demand </c:v>
                </c:pt>
              </c:strCache>
            </c:strRef>
          </c:tx>
          <c:spPr>
            <a:ln w="15875">
              <a:solidFill>
                <a:srgbClr val="00B050"/>
              </a:solidFill>
              <a:prstDash val="solid"/>
            </a:ln>
          </c:spPr>
          <c:marker>
            <c:symbol val="none"/>
          </c:marker>
          <c:cat>
            <c:multiLvlStrRef>
              <c:f>'výkonnost odvětví 3'!$V$31:$W$71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3'!$AB$31:$AB$71</c:f>
              <c:numCache>
                <c:formatCode>#\ ##0.0</c:formatCode>
                <c:ptCount val="41"/>
                <c:pt idx="0">
                  <c:v>67.3</c:v>
                </c:pt>
                <c:pt idx="1">
                  <c:v>60.7</c:v>
                </c:pt>
                <c:pt idx="2">
                  <c:v>58.6</c:v>
                </c:pt>
                <c:pt idx="3">
                  <c:v>58.2</c:v>
                </c:pt>
                <c:pt idx="4">
                  <c:v>58.5</c:v>
                </c:pt>
                <c:pt idx="5">
                  <c:v>62.6</c:v>
                </c:pt>
                <c:pt idx="6">
                  <c:v>60.3</c:v>
                </c:pt>
                <c:pt idx="7">
                  <c:v>55.7</c:v>
                </c:pt>
                <c:pt idx="8">
                  <c:v>55.7</c:v>
                </c:pt>
                <c:pt idx="9">
                  <c:v>54.8</c:v>
                </c:pt>
                <c:pt idx="10">
                  <c:v>49.1</c:v>
                </c:pt>
                <c:pt idx="11">
                  <c:v>47.1</c:v>
                </c:pt>
                <c:pt idx="12">
                  <c:v>40.1</c:v>
                </c:pt>
                <c:pt idx="13">
                  <c:v>39.4</c:v>
                </c:pt>
                <c:pt idx="14">
                  <c:v>33</c:v>
                </c:pt>
                <c:pt idx="15">
                  <c:v>23.3</c:v>
                </c:pt>
                <c:pt idx="16">
                  <c:v>26.5</c:v>
                </c:pt>
                <c:pt idx="17">
                  <c:v>26.7</c:v>
                </c:pt>
                <c:pt idx="18">
                  <c:v>18.899999999999999</c:v>
                </c:pt>
                <c:pt idx="19">
                  <c:v>19.600000000000001</c:v>
                </c:pt>
                <c:pt idx="20">
                  <c:v>31.6</c:v>
                </c:pt>
                <c:pt idx="21">
                  <c:v>31.3</c:v>
                </c:pt>
                <c:pt idx="22">
                  <c:v>38.6</c:v>
                </c:pt>
                <c:pt idx="23" formatCode="General">
                  <c:v>39.200000000000003</c:v>
                </c:pt>
                <c:pt idx="24">
                  <c:v>30.8</c:v>
                </c:pt>
                <c:pt idx="25">
                  <c:v>35.9</c:v>
                </c:pt>
                <c:pt idx="26">
                  <c:v>23.2</c:v>
                </c:pt>
                <c:pt idx="27">
                  <c:v>19.5</c:v>
                </c:pt>
                <c:pt idx="28">
                  <c:v>21.3</c:v>
                </c:pt>
                <c:pt idx="29">
                  <c:v>21.1</c:v>
                </c:pt>
                <c:pt idx="30">
                  <c:v>19.3</c:v>
                </c:pt>
                <c:pt idx="31">
                  <c:v>20.6</c:v>
                </c:pt>
                <c:pt idx="32">
                  <c:v>31.9</c:v>
                </c:pt>
                <c:pt idx="33">
                  <c:v>32.299999999999997</c:v>
                </c:pt>
                <c:pt idx="34">
                  <c:v>36.299999999999997</c:v>
                </c:pt>
                <c:pt idx="35">
                  <c:v>29.2</c:v>
                </c:pt>
                <c:pt idx="36" formatCode="0.0">
                  <c:v>20.5</c:v>
                </c:pt>
                <c:pt idx="37" formatCode="0.0">
                  <c:v>22.3</c:v>
                </c:pt>
                <c:pt idx="38" formatCode="0.0">
                  <c:v>24</c:v>
                </c:pt>
                <c:pt idx="39" formatCode="0.0">
                  <c:v>25.3</c:v>
                </c:pt>
                <c:pt idx="40" formatCode="0.0">
                  <c:v>24.1</c:v>
                </c:pt>
              </c:numCache>
            </c:numRef>
          </c:val>
          <c:smooth val="0"/>
          <c:extLst>
            <c:ext xmlns:c16="http://schemas.microsoft.com/office/drawing/2014/chart" uri="{C3380CC4-5D6E-409C-BE32-E72D297353CC}">
              <c16:uniqueId val="{00000004-D3CA-457D-AC10-C1336E1F1BFE}"/>
            </c:ext>
          </c:extLst>
        </c:ser>
        <c:ser>
          <c:idx val="5"/>
          <c:order val="5"/>
          <c:tx>
            <c:strRef>
              <c:f>'výkonnost odvětví 3'!$AC$10</c:f>
              <c:strCache>
                <c:ptCount val="1"/>
                <c:pt idx="0">
                  <c:v>Growth barrier: lack of workers</c:v>
                </c:pt>
              </c:strCache>
            </c:strRef>
          </c:tx>
          <c:spPr>
            <a:ln w="15875">
              <a:solidFill>
                <a:schemeClr val="accent3">
                  <a:lumMod val="75000"/>
                </a:schemeClr>
              </a:solidFill>
              <a:prstDash val="dash"/>
            </a:ln>
          </c:spPr>
          <c:marker>
            <c:symbol val="none"/>
          </c:marker>
          <c:cat>
            <c:multiLvlStrRef>
              <c:f>'výkonnost odvětví 3'!$V$31:$W$71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3'!$AC$31:$AC$71</c:f>
              <c:numCache>
                <c:formatCode>#\ ##0.0</c:formatCode>
                <c:ptCount val="41"/>
                <c:pt idx="0">
                  <c:v>8.1999999999999993</c:v>
                </c:pt>
                <c:pt idx="1">
                  <c:v>8.1</c:v>
                </c:pt>
                <c:pt idx="2">
                  <c:v>6.2</c:v>
                </c:pt>
                <c:pt idx="3">
                  <c:v>6</c:v>
                </c:pt>
                <c:pt idx="4">
                  <c:v>6.4</c:v>
                </c:pt>
                <c:pt idx="5">
                  <c:v>7.2</c:v>
                </c:pt>
                <c:pt idx="6">
                  <c:v>7.2</c:v>
                </c:pt>
                <c:pt idx="7">
                  <c:v>10.5</c:v>
                </c:pt>
                <c:pt idx="8">
                  <c:v>13.7</c:v>
                </c:pt>
                <c:pt idx="9">
                  <c:v>14.9</c:v>
                </c:pt>
                <c:pt idx="10">
                  <c:v>21.8</c:v>
                </c:pt>
                <c:pt idx="11">
                  <c:v>21.3</c:v>
                </c:pt>
                <c:pt idx="12">
                  <c:v>26.7</c:v>
                </c:pt>
                <c:pt idx="13">
                  <c:v>30.2</c:v>
                </c:pt>
                <c:pt idx="14">
                  <c:v>28.6</c:v>
                </c:pt>
                <c:pt idx="15">
                  <c:v>38.6</c:v>
                </c:pt>
                <c:pt idx="16">
                  <c:v>36</c:v>
                </c:pt>
                <c:pt idx="17">
                  <c:v>43.4</c:v>
                </c:pt>
                <c:pt idx="18">
                  <c:v>50.7</c:v>
                </c:pt>
                <c:pt idx="19">
                  <c:v>46.7</c:v>
                </c:pt>
                <c:pt idx="20">
                  <c:v>51.2</c:v>
                </c:pt>
                <c:pt idx="21">
                  <c:v>46</c:v>
                </c:pt>
                <c:pt idx="22">
                  <c:v>36.1</c:v>
                </c:pt>
                <c:pt idx="23" formatCode="0.0">
                  <c:v>32.299999999999997</c:v>
                </c:pt>
                <c:pt idx="24">
                  <c:v>47.3</c:v>
                </c:pt>
                <c:pt idx="25">
                  <c:v>31.7</c:v>
                </c:pt>
                <c:pt idx="26">
                  <c:v>41.7</c:v>
                </c:pt>
                <c:pt idx="27">
                  <c:v>42.8</c:v>
                </c:pt>
                <c:pt idx="28">
                  <c:v>56.4</c:v>
                </c:pt>
                <c:pt idx="29">
                  <c:v>44.3</c:v>
                </c:pt>
                <c:pt idx="30">
                  <c:v>39.799999999999997</c:v>
                </c:pt>
                <c:pt idx="31">
                  <c:v>47.7</c:v>
                </c:pt>
                <c:pt idx="32">
                  <c:v>39</c:v>
                </c:pt>
                <c:pt idx="33">
                  <c:v>35.5</c:v>
                </c:pt>
                <c:pt idx="34">
                  <c:v>30.6</c:v>
                </c:pt>
                <c:pt idx="35">
                  <c:v>31.2</c:v>
                </c:pt>
                <c:pt idx="36" formatCode="0.0">
                  <c:v>53.5</c:v>
                </c:pt>
                <c:pt idx="37" formatCode="0.0">
                  <c:v>46.7</c:v>
                </c:pt>
                <c:pt idx="38" formatCode="0.0">
                  <c:v>42.5</c:v>
                </c:pt>
                <c:pt idx="39" formatCode="0.0">
                  <c:v>42.2</c:v>
                </c:pt>
                <c:pt idx="40" formatCode="0.0">
                  <c:v>54.5</c:v>
                </c:pt>
              </c:numCache>
            </c:numRef>
          </c:val>
          <c:smooth val="0"/>
          <c:extLst>
            <c:ext xmlns:c16="http://schemas.microsoft.com/office/drawing/2014/chart" uri="{C3380CC4-5D6E-409C-BE32-E72D297353CC}">
              <c16:uniqueId val="{00000005-D3CA-457D-AC10-C1336E1F1BFE}"/>
            </c:ext>
          </c:extLst>
        </c:ser>
        <c:ser>
          <c:idx val="6"/>
          <c:order val="6"/>
          <c:tx>
            <c:strRef>
              <c:f>'výkonnost odvětví 3'!$AD$10</c:f>
              <c:strCache>
                <c:ptCount val="1"/>
                <c:pt idx="0">
                  <c:v>Barrier: shortage of material/equipment</c:v>
                </c:pt>
              </c:strCache>
            </c:strRef>
          </c:tx>
          <c:spPr>
            <a:ln w="15875">
              <a:solidFill>
                <a:srgbClr val="37DD3B"/>
              </a:solidFill>
              <a:prstDash val="sysDash"/>
            </a:ln>
          </c:spPr>
          <c:marker>
            <c:symbol val="none"/>
          </c:marker>
          <c:cat>
            <c:multiLvlStrRef>
              <c:f>'výkonnost odvětví 3'!$V$31:$W$71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3'!$AD$31:$AD$71</c:f>
              <c:numCache>
                <c:formatCode>#\ ##0.0</c:formatCode>
                <c:ptCount val="41"/>
                <c:pt idx="0">
                  <c:v>0.1</c:v>
                </c:pt>
                <c:pt idx="1">
                  <c:v>0.4</c:v>
                </c:pt>
                <c:pt idx="2">
                  <c:v>4</c:v>
                </c:pt>
                <c:pt idx="3">
                  <c:v>0.5</c:v>
                </c:pt>
                <c:pt idx="4">
                  <c:v>0.4</c:v>
                </c:pt>
                <c:pt idx="5">
                  <c:v>0.5</c:v>
                </c:pt>
                <c:pt idx="6">
                  <c:v>0.5</c:v>
                </c:pt>
                <c:pt idx="7">
                  <c:v>1.5</c:v>
                </c:pt>
                <c:pt idx="8">
                  <c:v>0.3</c:v>
                </c:pt>
                <c:pt idx="9">
                  <c:v>0.3</c:v>
                </c:pt>
                <c:pt idx="10">
                  <c:v>3.3</c:v>
                </c:pt>
                <c:pt idx="11">
                  <c:v>4.2</c:v>
                </c:pt>
                <c:pt idx="12">
                  <c:v>5.5</c:v>
                </c:pt>
                <c:pt idx="13">
                  <c:v>1.2</c:v>
                </c:pt>
                <c:pt idx="14">
                  <c:v>6.8</c:v>
                </c:pt>
                <c:pt idx="15">
                  <c:v>3.5</c:v>
                </c:pt>
                <c:pt idx="16">
                  <c:v>4.3</c:v>
                </c:pt>
                <c:pt idx="17">
                  <c:v>5.7</c:v>
                </c:pt>
                <c:pt idx="18">
                  <c:v>5.3</c:v>
                </c:pt>
                <c:pt idx="19">
                  <c:v>4</c:v>
                </c:pt>
                <c:pt idx="20">
                  <c:v>1.9</c:v>
                </c:pt>
                <c:pt idx="21">
                  <c:v>3.4</c:v>
                </c:pt>
                <c:pt idx="22">
                  <c:v>1.3</c:v>
                </c:pt>
                <c:pt idx="23">
                  <c:v>0.8</c:v>
                </c:pt>
                <c:pt idx="24">
                  <c:v>1.3</c:v>
                </c:pt>
                <c:pt idx="25">
                  <c:v>4.3</c:v>
                </c:pt>
                <c:pt idx="26">
                  <c:v>16.3</c:v>
                </c:pt>
                <c:pt idx="27">
                  <c:v>22.8</c:v>
                </c:pt>
                <c:pt idx="28">
                  <c:v>24.7</c:v>
                </c:pt>
                <c:pt idx="29">
                  <c:v>41.3</c:v>
                </c:pt>
                <c:pt idx="30">
                  <c:v>38.6</c:v>
                </c:pt>
                <c:pt idx="31">
                  <c:v>23.4</c:v>
                </c:pt>
                <c:pt idx="32">
                  <c:v>19.5</c:v>
                </c:pt>
                <c:pt idx="33">
                  <c:v>17</c:v>
                </c:pt>
                <c:pt idx="34">
                  <c:v>13</c:v>
                </c:pt>
                <c:pt idx="35">
                  <c:v>13.9</c:v>
                </c:pt>
                <c:pt idx="36" formatCode="0.0">
                  <c:v>22.5</c:v>
                </c:pt>
                <c:pt idx="37" formatCode="0.0">
                  <c:v>22.2</c:v>
                </c:pt>
                <c:pt idx="38" formatCode="0.0">
                  <c:v>22.2</c:v>
                </c:pt>
                <c:pt idx="39" formatCode="0.0">
                  <c:v>18</c:v>
                </c:pt>
                <c:pt idx="40" formatCode="0.0">
                  <c:v>15.5</c:v>
                </c:pt>
              </c:numCache>
            </c:numRef>
          </c:val>
          <c:smooth val="0"/>
          <c:extLst>
            <c:ext xmlns:c16="http://schemas.microsoft.com/office/drawing/2014/chart" uri="{C3380CC4-5D6E-409C-BE32-E72D297353CC}">
              <c16:uniqueId val="{00000006-D3CA-457D-AC10-C1336E1F1BFE}"/>
            </c:ext>
          </c:extLst>
        </c:ser>
        <c:ser>
          <c:idx val="7"/>
          <c:order val="7"/>
          <c:tx>
            <c:strRef>
              <c:f>'výkonnost odvětví 3'!$AE$10</c:f>
              <c:strCache>
                <c:ptCount val="1"/>
                <c:pt idx="0">
                  <c:v>Confidence indicator in construction </c:v>
                </c:pt>
              </c:strCache>
            </c:strRef>
          </c:tx>
          <c:spPr>
            <a:ln w="15875">
              <a:solidFill>
                <a:schemeClr val="bg1">
                  <a:lumMod val="65000"/>
                </a:schemeClr>
              </a:solidFill>
              <a:prstDash val="sysDot"/>
            </a:ln>
          </c:spPr>
          <c:marker>
            <c:symbol val="circle"/>
            <c:size val="5"/>
            <c:spPr>
              <a:solidFill>
                <a:srgbClr val="FFFF00"/>
              </a:solidFill>
              <a:ln>
                <a:solidFill>
                  <a:schemeClr val="tx1">
                    <a:lumMod val="50000"/>
                    <a:lumOff val="50000"/>
                  </a:schemeClr>
                </a:solidFill>
              </a:ln>
            </c:spPr>
          </c:marker>
          <c:cat>
            <c:multiLvlStrRef>
              <c:f>'výkonnost odvětví 3'!$V$31:$W$71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3'!$AE$31:$AE$71</c:f>
              <c:numCache>
                <c:formatCode>0.0</c:formatCode>
                <c:ptCount val="41"/>
                <c:pt idx="0">
                  <c:v>-21</c:v>
                </c:pt>
                <c:pt idx="1">
                  <c:v>-16</c:v>
                </c:pt>
                <c:pt idx="2">
                  <c:v>-20</c:v>
                </c:pt>
                <c:pt idx="3">
                  <c:v>-14.5</c:v>
                </c:pt>
                <c:pt idx="4">
                  <c:v>-14.5</c:v>
                </c:pt>
                <c:pt idx="5">
                  <c:v>-25.5</c:v>
                </c:pt>
                <c:pt idx="6">
                  <c:v>-24.5</c:v>
                </c:pt>
                <c:pt idx="7">
                  <c:v>-23</c:v>
                </c:pt>
                <c:pt idx="8">
                  <c:v>-22.5</c:v>
                </c:pt>
                <c:pt idx="9">
                  <c:v>-24.5</c:v>
                </c:pt>
                <c:pt idx="10">
                  <c:v>-18.5</c:v>
                </c:pt>
                <c:pt idx="11">
                  <c:v>-15</c:v>
                </c:pt>
                <c:pt idx="12">
                  <c:v>-9</c:v>
                </c:pt>
                <c:pt idx="13">
                  <c:v>-6</c:v>
                </c:pt>
                <c:pt idx="14">
                  <c:v>-2</c:v>
                </c:pt>
                <c:pt idx="15">
                  <c:v>1</c:v>
                </c:pt>
                <c:pt idx="16">
                  <c:v>3.5</c:v>
                </c:pt>
                <c:pt idx="17">
                  <c:v>4</c:v>
                </c:pt>
                <c:pt idx="18">
                  <c:v>-1</c:v>
                </c:pt>
                <c:pt idx="19">
                  <c:v>1</c:v>
                </c:pt>
                <c:pt idx="20">
                  <c:v>-3</c:v>
                </c:pt>
                <c:pt idx="21">
                  <c:v>-15</c:v>
                </c:pt>
                <c:pt idx="22">
                  <c:v>-13</c:v>
                </c:pt>
                <c:pt idx="23">
                  <c:v>-11.5</c:v>
                </c:pt>
                <c:pt idx="24">
                  <c:v>-6</c:v>
                </c:pt>
                <c:pt idx="25">
                  <c:v>-5.5</c:v>
                </c:pt>
                <c:pt idx="26">
                  <c:v>-4.5</c:v>
                </c:pt>
                <c:pt idx="27">
                  <c:v>-6.5</c:v>
                </c:pt>
                <c:pt idx="28">
                  <c:v>6.5</c:v>
                </c:pt>
                <c:pt idx="29">
                  <c:v>-2</c:v>
                </c:pt>
                <c:pt idx="30">
                  <c:v>-9</c:v>
                </c:pt>
                <c:pt idx="31">
                  <c:v>-4.5</c:v>
                </c:pt>
                <c:pt idx="32">
                  <c:v>-11.5</c:v>
                </c:pt>
                <c:pt idx="33">
                  <c:v>-15.5</c:v>
                </c:pt>
                <c:pt idx="34">
                  <c:v>-16.5</c:v>
                </c:pt>
                <c:pt idx="35">
                  <c:v>-11</c:v>
                </c:pt>
                <c:pt idx="36">
                  <c:v>-7</c:v>
                </c:pt>
                <c:pt idx="37">
                  <c:v>-14</c:v>
                </c:pt>
                <c:pt idx="38">
                  <c:v>-12</c:v>
                </c:pt>
                <c:pt idx="39">
                  <c:v>-5</c:v>
                </c:pt>
                <c:pt idx="40">
                  <c:v>-4</c:v>
                </c:pt>
              </c:numCache>
            </c:numRef>
          </c:val>
          <c:smooth val="0"/>
          <c:extLst>
            <c:ext xmlns:c16="http://schemas.microsoft.com/office/drawing/2014/chart" uri="{C3380CC4-5D6E-409C-BE32-E72D297353CC}">
              <c16:uniqueId val="{00000007-D3CA-457D-AC10-C1336E1F1BFE}"/>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70"/>
          <c:min val="-20"/>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Orders, Contribution to change of construction output</a:t>
                </a:r>
              </a:p>
            </c:rich>
          </c:tx>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10"/>
      </c:valAx>
      <c:valAx>
        <c:axId val="1118080463"/>
        <c:scaling>
          <c:orientation val="minMax"/>
          <c:max val="80"/>
          <c:min val="-10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Confidence indicator, Growth barriers</a:t>
                </a:r>
              </a:p>
            </c:rich>
          </c:tx>
          <c:layout/>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7.6126793553942364E-3"/>
          <c:y val="0.85936703322638608"/>
          <c:w val="0.9801437714811797"/>
          <c:h val="0.13362821778942557"/>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385677352723435E-2"/>
          <c:y val="1.5803328678987455E-2"/>
          <c:w val="0.83979584077702996"/>
          <c:h val="0.69902590308489432"/>
        </c:manualLayout>
      </c:layout>
      <c:barChart>
        <c:barDir val="col"/>
        <c:grouping val="stacked"/>
        <c:varyColors val="0"/>
        <c:ser>
          <c:idx val="0"/>
          <c:order val="1"/>
          <c:tx>
            <c:strRef>
              <c:f>'Služby-příspěvky k růstu-4'!$D$33</c:f>
              <c:strCache>
                <c:ptCount val="1"/>
                <c:pt idx="0">
                  <c:v>Transportation and storage (p.p.)</c:v>
                </c:pt>
              </c:strCache>
            </c:strRef>
          </c:tx>
          <c:spPr>
            <a:solidFill>
              <a:srgbClr val="92D050"/>
            </a:solidFill>
            <a:ln>
              <a:noFill/>
            </a:ln>
          </c:spPr>
          <c:invertIfNegative val="0"/>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růstu-4'!$D$46:$D$86</c:f>
              <c:numCache>
                <c:formatCode>0.0</c:formatCode>
                <c:ptCount val="41"/>
                <c:pt idx="0">
                  <c:v>0.28583707131499864</c:v>
                </c:pt>
                <c:pt idx="1">
                  <c:v>9.9073319502600551E-2</c:v>
                </c:pt>
                <c:pt idx="2">
                  <c:v>0.31769782750540138</c:v>
                </c:pt>
                <c:pt idx="3">
                  <c:v>0.12210619116400009</c:v>
                </c:pt>
                <c:pt idx="4">
                  <c:v>0.28220883268199926</c:v>
                </c:pt>
                <c:pt idx="5">
                  <c:v>6.1181950046598127E-2</c:v>
                </c:pt>
                <c:pt idx="6">
                  <c:v>0.16591602609100148</c:v>
                </c:pt>
                <c:pt idx="7">
                  <c:v>0.78068825847900136</c:v>
                </c:pt>
                <c:pt idx="8">
                  <c:v>1.5613141921709988</c:v>
                </c:pt>
                <c:pt idx="9">
                  <c:v>1.122930781783998</c:v>
                </c:pt>
                <c:pt idx="10">
                  <c:v>1.0641446548009998</c:v>
                </c:pt>
                <c:pt idx="11">
                  <c:v>0.59189353382399879</c:v>
                </c:pt>
                <c:pt idx="12">
                  <c:v>1.6915596254819993</c:v>
                </c:pt>
                <c:pt idx="13">
                  <c:v>1.8149616493690008</c:v>
                </c:pt>
                <c:pt idx="14">
                  <c:v>1.4972066301569984</c:v>
                </c:pt>
                <c:pt idx="15">
                  <c:v>0.48435757114800193</c:v>
                </c:pt>
                <c:pt idx="16">
                  <c:v>8.7680447270998052E-2</c:v>
                </c:pt>
                <c:pt idx="17">
                  <c:v>-0.13218522120399967</c:v>
                </c:pt>
                <c:pt idx="18">
                  <c:v>-0.30882816758200105</c:v>
                </c:pt>
                <c:pt idx="19">
                  <c:v>-7.2429796977600117E-2</c:v>
                </c:pt>
                <c:pt idx="20">
                  <c:v>-1.5388901719333996</c:v>
                </c:pt>
                <c:pt idx="21">
                  <c:v>-6.3630415493666987</c:v>
                </c:pt>
                <c:pt idx="22">
                  <c:v>-3.9404740003479741</c:v>
                </c:pt>
                <c:pt idx="23">
                  <c:v>-1.3606128435167992</c:v>
                </c:pt>
                <c:pt idx="24">
                  <c:v>0.4088656896211989</c:v>
                </c:pt>
                <c:pt idx="25">
                  <c:v>6.4764937929024002</c:v>
                </c:pt>
                <c:pt idx="26">
                  <c:v>3.6894021043711978</c:v>
                </c:pt>
                <c:pt idx="27">
                  <c:v>3.3161613281704816</c:v>
                </c:pt>
                <c:pt idx="28">
                  <c:v>3.9415319244440563</c:v>
                </c:pt>
                <c:pt idx="29">
                  <c:v>4.0147374068873427</c:v>
                </c:pt>
                <c:pt idx="30">
                  <c:v>3.2326582654640639</c:v>
                </c:pt>
                <c:pt idx="31">
                  <c:v>0.69681855970799866</c:v>
                </c:pt>
                <c:pt idx="32">
                  <c:v>-1.2185276536319998</c:v>
                </c:pt>
                <c:pt idx="33">
                  <c:v>-3.0875052672391559</c:v>
                </c:pt>
                <c:pt idx="34">
                  <c:v>-3.4635195368510443</c:v>
                </c:pt>
                <c:pt idx="35">
                  <c:v>-2.6097941119313268</c:v>
                </c:pt>
                <c:pt idx="36">
                  <c:v>0.16494056157849463</c:v>
                </c:pt>
                <c:pt idx="37">
                  <c:v>1.1308906822011455</c:v>
                </c:pt>
                <c:pt idx="38">
                  <c:v>1.589128813838234</c:v>
                </c:pt>
                <c:pt idx="39">
                  <c:v>1.3973082438572044</c:v>
                </c:pt>
              </c:numCache>
            </c:numRef>
          </c:val>
          <c:extLst>
            <c:ext xmlns:c16="http://schemas.microsoft.com/office/drawing/2014/chart" uri="{C3380CC4-5D6E-409C-BE32-E72D297353CC}">
              <c16:uniqueId val="{00000000-66A6-42C7-A441-D7EB5BC9DDE5}"/>
            </c:ext>
          </c:extLst>
        </c:ser>
        <c:ser>
          <c:idx val="1"/>
          <c:order val="2"/>
          <c:tx>
            <c:strRef>
              <c:f>'Služby-příspěvky k růstu-4'!$E$33</c:f>
              <c:strCache>
                <c:ptCount val="1"/>
                <c:pt idx="0">
                  <c:v>Accommodation, food service activities (p.p.)</c:v>
                </c:pt>
              </c:strCache>
            </c:strRef>
          </c:tx>
          <c:spPr>
            <a:solidFill>
              <a:srgbClr val="00B0F0"/>
            </a:solidFill>
            <a:ln>
              <a:noFill/>
            </a:ln>
          </c:spPr>
          <c:invertIfNegative val="0"/>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růstu-4'!$E$46:$E$86</c:f>
              <c:numCache>
                <c:formatCode>0.0</c:formatCode>
                <c:ptCount val="41"/>
                <c:pt idx="0">
                  <c:v>0.22716240604080018</c:v>
                </c:pt>
                <c:pt idx="1">
                  <c:v>0.65001523589900034</c:v>
                </c:pt>
                <c:pt idx="2">
                  <c:v>0.65043885271950042</c:v>
                </c:pt>
                <c:pt idx="3">
                  <c:v>0.40286531384040036</c:v>
                </c:pt>
                <c:pt idx="4">
                  <c:v>0.47082926396040031</c:v>
                </c:pt>
                <c:pt idx="5">
                  <c:v>0.17677577920749962</c:v>
                </c:pt>
                <c:pt idx="6">
                  <c:v>0.57113528170200001</c:v>
                </c:pt>
                <c:pt idx="7">
                  <c:v>0.60157631975219972</c:v>
                </c:pt>
                <c:pt idx="8">
                  <c:v>0.9154231899449996</c:v>
                </c:pt>
                <c:pt idx="9">
                  <c:v>1.2344281014258005</c:v>
                </c:pt>
                <c:pt idx="10">
                  <c:v>0.55621615324820017</c:v>
                </c:pt>
                <c:pt idx="11">
                  <c:v>0.45646654612940007</c:v>
                </c:pt>
                <c:pt idx="12">
                  <c:v>0.20372087178279991</c:v>
                </c:pt>
                <c:pt idx="13">
                  <c:v>5.3418687620000245E-2</c:v>
                </c:pt>
                <c:pt idx="14">
                  <c:v>6.3072083089999523E-2</c:v>
                </c:pt>
                <c:pt idx="15">
                  <c:v>-3.690856285000052E-2</c:v>
                </c:pt>
                <c:pt idx="16">
                  <c:v>-0.36352759744700047</c:v>
                </c:pt>
                <c:pt idx="17">
                  <c:v>-0.66972254409340026</c:v>
                </c:pt>
                <c:pt idx="18">
                  <c:v>0.55939150605359955</c:v>
                </c:pt>
                <c:pt idx="19">
                  <c:v>0.81136645955399955</c:v>
                </c:pt>
                <c:pt idx="20">
                  <c:v>-1.02121923221554</c:v>
                </c:pt>
                <c:pt idx="21">
                  <c:v>-4.7572576440565006</c:v>
                </c:pt>
                <c:pt idx="22">
                  <c:v>-1.8794605145432095</c:v>
                </c:pt>
                <c:pt idx="23">
                  <c:v>-4.4951618716172961</c:v>
                </c:pt>
                <c:pt idx="24">
                  <c:v>-3.6368266071500002</c:v>
                </c:pt>
                <c:pt idx="25">
                  <c:v>1.403393156328441</c:v>
                </c:pt>
                <c:pt idx="26">
                  <c:v>0.6598381955792999</c:v>
                </c:pt>
                <c:pt idx="27">
                  <c:v>2.8955998605449214</c:v>
                </c:pt>
                <c:pt idx="28">
                  <c:v>2.8319505685055999</c:v>
                </c:pt>
                <c:pt idx="29">
                  <c:v>2.4351367431930284</c:v>
                </c:pt>
                <c:pt idx="30">
                  <c:v>-0.4578554378915255</c:v>
                </c:pt>
                <c:pt idx="31">
                  <c:v>0.56708776868759969</c:v>
                </c:pt>
                <c:pt idx="32">
                  <c:v>0.47225441264799972</c:v>
                </c:pt>
                <c:pt idx="33">
                  <c:v>-2.9316566566892487E-2</c:v>
                </c:pt>
                <c:pt idx="34">
                  <c:v>0.13048974572998381</c:v>
                </c:pt>
                <c:pt idx="35">
                  <c:v>7.6423660532273313E-2</c:v>
                </c:pt>
                <c:pt idx="36">
                  <c:v>0.1848493231119803</c:v>
                </c:pt>
                <c:pt idx="37">
                  <c:v>0.17228374675569749</c:v>
                </c:pt>
                <c:pt idx="38" formatCode="0.00">
                  <c:v>-0.15240558895996556</c:v>
                </c:pt>
                <c:pt idx="39">
                  <c:v>-2.022758040197273E-3</c:v>
                </c:pt>
              </c:numCache>
            </c:numRef>
          </c:val>
          <c:extLst>
            <c:ext xmlns:c16="http://schemas.microsoft.com/office/drawing/2014/chart" uri="{C3380CC4-5D6E-409C-BE32-E72D297353CC}">
              <c16:uniqueId val="{00000001-66A6-42C7-A441-D7EB5BC9DDE5}"/>
            </c:ext>
          </c:extLst>
        </c:ser>
        <c:ser>
          <c:idx val="2"/>
          <c:order val="3"/>
          <c:tx>
            <c:strRef>
              <c:f>'Služby-příspěvky k růstu-4'!$F$33</c:f>
              <c:strCache>
                <c:ptCount val="1"/>
                <c:pt idx="0">
                  <c:v>Information and communication (p.p.)</c:v>
                </c:pt>
              </c:strCache>
            </c:strRef>
          </c:tx>
          <c:spPr>
            <a:solidFill>
              <a:srgbClr val="E6E100"/>
            </a:solidFill>
            <a:ln>
              <a:noFill/>
            </a:ln>
          </c:spPr>
          <c:invertIfNegative val="0"/>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růstu-4'!$F$46:$F$86</c:f>
              <c:numCache>
                <c:formatCode>0.0</c:formatCode>
                <c:ptCount val="41"/>
                <c:pt idx="0">
                  <c:v>1.3475600006119992</c:v>
                </c:pt>
                <c:pt idx="1">
                  <c:v>0.66866302459200067</c:v>
                </c:pt>
                <c:pt idx="2">
                  <c:v>0.76957802431699907</c:v>
                </c:pt>
                <c:pt idx="3">
                  <c:v>1.4886414789369995</c:v>
                </c:pt>
                <c:pt idx="4">
                  <c:v>0.31877743705500039</c:v>
                </c:pt>
                <c:pt idx="5">
                  <c:v>0.20661529177999968</c:v>
                </c:pt>
                <c:pt idx="6">
                  <c:v>0.33414735394100048</c:v>
                </c:pt>
                <c:pt idx="7">
                  <c:v>-1.5907952160003447E-3</c:v>
                </c:pt>
                <c:pt idx="8">
                  <c:v>0.81368973776000075</c:v>
                </c:pt>
                <c:pt idx="9">
                  <c:v>0.85417546131300082</c:v>
                </c:pt>
                <c:pt idx="10">
                  <c:v>0.70502890964199894</c:v>
                </c:pt>
                <c:pt idx="11">
                  <c:v>0.57956639880599936</c:v>
                </c:pt>
                <c:pt idx="12">
                  <c:v>1.4478889516160005</c:v>
                </c:pt>
                <c:pt idx="13">
                  <c:v>0.80994689822300014</c:v>
                </c:pt>
                <c:pt idx="14">
                  <c:v>1.4688126825399994</c:v>
                </c:pt>
                <c:pt idx="15">
                  <c:v>1.086122449493</c:v>
                </c:pt>
                <c:pt idx="16">
                  <c:v>0.58941772132699954</c:v>
                </c:pt>
                <c:pt idx="17">
                  <c:v>1.4226829106699992</c:v>
                </c:pt>
                <c:pt idx="18">
                  <c:v>1.6743952337219994</c:v>
                </c:pt>
                <c:pt idx="19">
                  <c:v>0.80346819102189926</c:v>
                </c:pt>
                <c:pt idx="20">
                  <c:v>0.70778641415200061</c:v>
                </c:pt>
                <c:pt idx="21">
                  <c:v>-0.1282918788954005</c:v>
                </c:pt>
                <c:pt idx="22">
                  <c:v>-0.45078576191000025</c:v>
                </c:pt>
                <c:pt idx="23">
                  <c:v>-0.76558883395124844</c:v>
                </c:pt>
                <c:pt idx="24">
                  <c:v>0.7323319913259988</c:v>
                </c:pt>
                <c:pt idx="25">
                  <c:v>1.7146685449672157</c:v>
                </c:pt>
                <c:pt idx="26">
                  <c:v>1.7390352765915991</c:v>
                </c:pt>
                <c:pt idx="27">
                  <c:v>2.1094183846328769</c:v>
                </c:pt>
                <c:pt idx="28">
                  <c:v>1.7462317635008986</c:v>
                </c:pt>
                <c:pt idx="29">
                  <c:v>0.98445967195199957</c:v>
                </c:pt>
                <c:pt idx="30">
                  <c:v>0.77337609083225878</c:v>
                </c:pt>
                <c:pt idx="31">
                  <c:v>0.38147059089411911</c:v>
                </c:pt>
                <c:pt idx="32">
                  <c:v>0.58107099629639936</c:v>
                </c:pt>
                <c:pt idx="33">
                  <c:v>-4.8041419345950746E-3</c:v>
                </c:pt>
                <c:pt idx="34">
                  <c:v>-0.79090249402026913</c:v>
                </c:pt>
                <c:pt idx="35">
                  <c:v>-0.79098952511955656</c:v>
                </c:pt>
                <c:pt idx="36">
                  <c:v>0.17906498409731675</c:v>
                </c:pt>
                <c:pt idx="37">
                  <c:v>0.47783399153316797</c:v>
                </c:pt>
                <c:pt idx="38">
                  <c:v>0.83732198648409195</c:v>
                </c:pt>
                <c:pt idx="39">
                  <c:v>0.51255147083949859</c:v>
                </c:pt>
              </c:numCache>
            </c:numRef>
          </c:val>
          <c:extLst>
            <c:ext xmlns:c16="http://schemas.microsoft.com/office/drawing/2014/chart" uri="{C3380CC4-5D6E-409C-BE32-E72D297353CC}">
              <c16:uniqueId val="{00000002-66A6-42C7-A441-D7EB5BC9DDE5}"/>
            </c:ext>
          </c:extLst>
        </c:ser>
        <c:ser>
          <c:idx val="4"/>
          <c:order val="4"/>
          <c:tx>
            <c:strRef>
              <c:f>'Služby-příspěvky k růstu-4'!$G$33</c:f>
              <c:strCache>
                <c:ptCount val="1"/>
                <c:pt idx="0">
                  <c:v>Real estate activities (p.p.)</c:v>
                </c:pt>
              </c:strCache>
            </c:strRef>
          </c:tx>
          <c:spPr>
            <a:solidFill>
              <a:schemeClr val="accent5">
                <a:lumMod val="60000"/>
                <a:lumOff val="40000"/>
              </a:schemeClr>
            </a:solidFill>
            <a:ln>
              <a:noFill/>
              <a:prstDash val="sysDash"/>
            </a:ln>
          </c:spPr>
          <c:invertIfNegative val="0"/>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růstu-4'!$G$46:$G$86</c:f>
              <c:numCache>
                <c:formatCode>0.0</c:formatCode>
                <c:ptCount val="41"/>
                <c:pt idx="0">
                  <c:v>4.746770298419966E-2</c:v>
                </c:pt>
                <c:pt idx="1">
                  <c:v>-7.1736494634002381E-3</c:v>
                </c:pt>
                <c:pt idx="2">
                  <c:v>0.12594742008660062</c:v>
                </c:pt>
                <c:pt idx="3">
                  <c:v>2.5503553016999546E-2</c:v>
                </c:pt>
                <c:pt idx="4">
                  <c:v>0.25581412202700016</c:v>
                </c:pt>
                <c:pt idx="5">
                  <c:v>-5.8871280300053285E-4</c:v>
                </c:pt>
                <c:pt idx="6">
                  <c:v>0.14820611830979977</c:v>
                </c:pt>
                <c:pt idx="7">
                  <c:v>-6.673245353100031E-2</c:v>
                </c:pt>
                <c:pt idx="8">
                  <c:v>0.21337518275449996</c:v>
                </c:pt>
                <c:pt idx="9">
                  <c:v>0.44510148149939993</c:v>
                </c:pt>
                <c:pt idx="10">
                  <c:v>-2.3161044655499695E-2</c:v>
                </c:pt>
                <c:pt idx="11">
                  <c:v>0.13973557355700003</c:v>
                </c:pt>
                <c:pt idx="12">
                  <c:v>2.4776891451000493E-2</c:v>
                </c:pt>
                <c:pt idx="13">
                  <c:v>-0.24771466350479987</c:v>
                </c:pt>
                <c:pt idx="14">
                  <c:v>-0.12634060942140016</c:v>
                </c:pt>
                <c:pt idx="15">
                  <c:v>-0.22296155792339972</c:v>
                </c:pt>
                <c:pt idx="16">
                  <c:v>-0.59230274151539974</c:v>
                </c:pt>
                <c:pt idx="17">
                  <c:v>-0.14941666489739952</c:v>
                </c:pt>
                <c:pt idx="18">
                  <c:v>0.15857003378880019</c:v>
                </c:pt>
                <c:pt idx="19">
                  <c:v>0.41231320665960003</c:v>
                </c:pt>
                <c:pt idx="20">
                  <c:v>0.43752910629419994</c:v>
                </c:pt>
                <c:pt idx="21">
                  <c:v>-0.31303453713669938</c:v>
                </c:pt>
                <c:pt idx="22">
                  <c:v>-0.26031344919999999</c:v>
                </c:pt>
                <c:pt idx="23">
                  <c:v>-0.23208025015669992</c:v>
                </c:pt>
                <c:pt idx="24">
                  <c:v>-0.20727484949260061</c:v>
                </c:pt>
                <c:pt idx="25">
                  <c:v>0.47370519994304983</c:v>
                </c:pt>
                <c:pt idx="26">
                  <c:v>-3.6755858435000024E-3</c:v>
                </c:pt>
                <c:pt idx="27">
                  <c:v>0.24022375891920059</c:v>
                </c:pt>
                <c:pt idx="28">
                  <c:v>0.94375719852960038</c:v>
                </c:pt>
                <c:pt idx="29">
                  <c:v>0.47234436927200024</c:v>
                </c:pt>
                <c:pt idx="30">
                  <c:v>0.21995623369736816</c:v>
                </c:pt>
                <c:pt idx="31">
                  <c:v>0.35020828853333319</c:v>
                </c:pt>
                <c:pt idx="32">
                  <c:v>0.14392327619039993</c:v>
                </c:pt>
                <c:pt idx="33">
                  <c:v>-0.1535664718109308</c:v>
                </c:pt>
                <c:pt idx="34">
                  <c:v>-0.26289383434401792</c:v>
                </c:pt>
                <c:pt idx="35">
                  <c:v>-0.2058550959691883</c:v>
                </c:pt>
                <c:pt idx="36">
                  <c:v>-0.13908627763966458</c:v>
                </c:pt>
                <c:pt idx="37">
                  <c:v>0.25695615851757753</c:v>
                </c:pt>
                <c:pt idx="38">
                  <c:v>-0.17471502977673614</c:v>
                </c:pt>
                <c:pt idx="39">
                  <c:v>-3.1665190432808026E-3</c:v>
                </c:pt>
              </c:numCache>
            </c:numRef>
          </c:val>
          <c:extLst>
            <c:ext xmlns:c16="http://schemas.microsoft.com/office/drawing/2014/chart" uri="{C3380CC4-5D6E-409C-BE32-E72D297353CC}">
              <c16:uniqueId val="{00000003-66A6-42C7-A441-D7EB5BC9DDE5}"/>
            </c:ext>
          </c:extLst>
        </c:ser>
        <c:ser>
          <c:idx val="5"/>
          <c:order val="5"/>
          <c:tx>
            <c:strRef>
              <c:f>'Služby-příspěvky k růstu-4'!$H$33</c:f>
              <c:strCache>
                <c:ptCount val="1"/>
                <c:pt idx="0">
                  <c:v>Professional, scientific and technic. act. (p.p.)</c:v>
                </c:pt>
              </c:strCache>
            </c:strRef>
          </c:tx>
          <c:spPr>
            <a:solidFill>
              <a:schemeClr val="accent6">
                <a:lumMod val="60000"/>
                <a:lumOff val="40000"/>
              </a:schemeClr>
            </a:solidFill>
            <a:ln>
              <a:noFill/>
            </a:ln>
          </c:spPr>
          <c:invertIfNegative val="0"/>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růstu-4'!$H$46:$H$86</c:f>
              <c:numCache>
                <c:formatCode>0.0</c:formatCode>
                <c:ptCount val="41"/>
                <c:pt idx="0">
                  <c:v>1.0880520996029996</c:v>
                </c:pt>
                <c:pt idx="1">
                  <c:v>0.74361697973999985</c:v>
                </c:pt>
                <c:pt idx="2">
                  <c:v>1.1124163133600007</c:v>
                </c:pt>
                <c:pt idx="3">
                  <c:v>-4.565689538760101E-2</c:v>
                </c:pt>
                <c:pt idx="4">
                  <c:v>-0.42777544952319951</c:v>
                </c:pt>
                <c:pt idx="5">
                  <c:v>-1.3881659651599989</c:v>
                </c:pt>
                <c:pt idx="6">
                  <c:v>3.2450629870800683E-2</c:v>
                </c:pt>
                <c:pt idx="7">
                  <c:v>-0.31316142237530059</c:v>
                </c:pt>
                <c:pt idx="8">
                  <c:v>0.97301367041999931</c:v>
                </c:pt>
                <c:pt idx="9">
                  <c:v>0.61036630698759931</c:v>
                </c:pt>
                <c:pt idx="10">
                  <c:v>0.29822562376110068</c:v>
                </c:pt>
                <c:pt idx="11">
                  <c:v>0.39661775964799895</c:v>
                </c:pt>
                <c:pt idx="12">
                  <c:v>1.0432277278803002</c:v>
                </c:pt>
                <c:pt idx="13">
                  <c:v>0.5277616084097011</c:v>
                </c:pt>
                <c:pt idx="14">
                  <c:v>0.33063617776669868</c:v>
                </c:pt>
                <c:pt idx="15">
                  <c:v>-0.3275368981885991</c:v>
                </c:pt>
                <c:pt idx="16">
                  <c:v>-0.22084952351709861</c:v>
                </c:pt>
                <c:pt idx="17">
                  <c:v>0.93052352491439916</c:v>
                </c:pt>
                <c:pt idx="18">
                  <c:v>-1.1995249704883002</c:v>
                </c:pt>
                <c:pt idx="19">
                  <c:v>0.1316248734900006</c:v>
                </c:pt>
                <c:pt idx="20">
                  <c:v>-1.2601566612770994</c:v>
                </c:pt>
                <c:pt idx="21">
                  <c:v>-3.4366386991859987</c:v>
                </c:pt>
                <c:pt idx="22">
                  <c:v>-1.7291196666688515</c:v>
                </c:pt>
                <c:pt idx="23">
                  <c:v>-1.6772597720676004</c:v>
                </c:pt>
                <c:pt idx="24">
                  <c:v>-1.8347622986275864</c:v>
                </c:pt>
                <c:pt idx="25">
                  <c:v>2.6531876759010991</c:v>
                </c:pt>
                <c:pt idx="26">
                  <c:v>1.7505045923527998</c:v>
                </c:pt>
                <c:pt idx="27">
                  <c:v>2.2451866810505154</c:v>
                </c:pt>
                <c:pt idx="28">
                  <c:v>2.2898640824340011</c:v>
                </c:pt>
                <c:pt idx="29">
                  <c:v>1.3871387656222238</c:v>
                </c:pt>
                <c:pt idx="30">
                  <c:v>0.9921896123260866</c:v>
                </c:pt>
                <c:pt idx="31">
                  <c:v>0.14074578420000097</c:v>
                </c:pt>
                <c:pt idx="32">
                  <c:v>0.82031999790419874</c:v>
                </c:pt>
                <c:pt idx="33">
                  <c:v>0.78145474556333916</c:v>
                </c:pt>
                <c:pt idx="34">
                  <c:v>0.12880900106180337</c:v>
                </c:pt>
                <c:pt idx="35">
                  <c:v>0.82761557316941203</c:v>
                </c:pt>
                <c:pt idx="36">
                  <c:v>0.47952504555295244</c:v>
                </c:pt>
                <c:pt idx="37">
                  <c:v>0.70023975529588289</c:v>
                </c:pt>
                <c:pt idx="38">
                  <c:v>0.30650736077845059</c:v>
                </c:pt>
                <c:pt idx="39">
                  <c:v>3.4664741728812364E-2</c:v>
                </c:pt>
              </c:numCache>
            </c:numRef>
          </c:val>
          <c:extLst>
            <c:ext xmlns:c16="http://schemas.microsoft.com/office/drawing/2014/chart" uri="{C3380CC4-5D6E-409C-BE32-E72D297353CC}">
              <c16:uniqueId val="{00000004-66A6-42C7-A441-D7EB5BC9DDE5}"/>
            </c:ext>
          </c:extLst>
        </c:ser>
        <c:ser>
          <c:idx val="6"/>
          <c:order val="6"/>
          <c:tx>
            <c:strRef>
              <c:f>'Služby-příspěvky k růstu-4'!$I$33</c:f>
              <c:strCache>
                <c:ptCount val="1"/>
                <c:pt idx="0">
                  <c:v>Admin.+support service act.(contrib. in p.p.)</c:v>
                </c:pt>
              </c:strCache>
            </c:strRef>
          </c:tx>
          <c:spPr>
            <a:solidFill>
              <a:schemeClr val="accent1">
                <a:lumMod val="20000"/>
                <a:lumOff val="80000"/>
              </a:schemeClr>
            </a:solidFill>
            <a:ln>
              <a:noFill/>
            </a:ln>
          </c:spPr>
          <c:invertIfNegative val="0"/>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růstu-4'!$I$46:$I$86</c:f>
              <c:numCache>
                <c:formatCode>0.0</c:formatCode>
                <c:ptCount val="41"/>
                <c:pt idx="0">
                  <c:v>0.43712925900860061</c:v>
                </c:pt>
                <c:pt idx="1">
                  <c:v>0.52715289377499985</c:v>
                </c:pt>
                <c:pt idx="2">
                  <c:v>0.30410241097500013</c:v>
                </c:pt>
                <c:pt idx="3">
                  <c:v>0.36652377459450047</c:v>
                </c:pt>
                <c:pt idx="4">
                  <c:v>0.38200556495039989</c:v>
                </c:pt>
                <c:pt idx="5">
                  <c:v>5.5683904032899467E-2</c:v>
                </c:pt>
                <c:pt idx="6">
                  <c:v>0.25322776738810082</c:v>
                </c:pt>
                <c:pt idx="7">
                  <c:v>0.50752865690419957</c:v>
                </c:pt>
                <c:pt idx="8">
                  <c:v>1.2867283782210006</c:v>
                </c:pt>
                <c:pt idx="9">
                  <c:v>1.1106873038032994</c:v>
                </c:pt>
                <c:pt idx="10">
                  <c:v>0.67802933227800077</c:v>
                </c:pt>
                <c:pt idx="11">
                  <c:v>0.27967830350980011</c:v>
                </c:pt>
                <c:pt idx="12">
                  <c:v>0.54732406709499937</c:v>
                </c:pt>
                <c:pt idx="13">
                  <c:v>0.38206091352559962</c:v>
                </c:pt>
                <c:pt idx="14">
                  <c:v>0.39483194314119968</c:v>
                </c:pt>
                <c:pt idx="15">
                  <c:v>-3.3562302980400686E-2</c:v>
                </c:pt>
                <c:pt idx="16">
                  <c:v>-1.2004885543983994</c:v>
                </c:pt>
                <c:pt idx="17">
                  <c:v>0.45312965092039981</c:v>
                </c:pt>
                <c:pt idx="18">
                  <c:v>-0.39654158277710005</c:v>
                </c:pt>
                <c:pt idx="19">
                  <c:v>1.3094816479706997</c:v>
                </c:pt>
                <c:pt idx="20">
                  <c:v>-1.1435941660679998</c:v>
                </c:pt>
                <c:pt idx="21">
                  <c:v>-5.2829127749359994</c:v>
                </c:pt>
                <c:pt idx="22">
                  <c:v>-4.9399258629473684</c:v>
                </c:pt>
                <c:pt idx="23">
                  <c:v>-2.9775292557339998</c:v>
                </c:pt>
                <c:pt idx="24">
                  <c:v>-1.3827342045416995</c:v>
                </c:pt>
                <c:pt idx="25">
                  <c:v>2.2514763070671724</c:v>
                </c:pt>
                <c:pt idx="26">
                  <c:v>2.1164669904299998</c:v>
                </c:pt>
                <c:pt idx="27">
                  <c:v>1.4326921666442753</c:v>
                </c:pt>
                <c:pt idx="28">
                  <c:v>1.7121091434735483</c:v>
                </c:pt>
                <c:pt idx="29">
                  <c:v>3.1131989760350476</c:v>
                </c:pt>
                <c:pt idx="30">
                  <c:v>2.2147837357919</c:v>
                </c:pt>
                <c:pt idx="31">
                  <c:v>0.75846719128319973</c:v>
                </c:pt>
                <c:pt idx="32">
                  <c:v>0.44415530147160037</c:v>
                </c:pt>
                <c:pt idx="33">
                  <c:v>0.17226054152411027</c:v>
                </c:pt>
                <c:pt idx="34">
                  <c:v>-0.14183696776571372</c:v>
                </c:pt>
                <c:pt idx="35">
                  <c:v>-4.4421597776438851E-2</c:v>
                </c:pt>
                <c:pt idx="36">
                  <c:v>0.33217177581089563</c:v>
                </c:pt>
                <c:pt idx="37">
                  <c:v>0.14258852893206106</c:v>
                </c:pt>
                <c:pt idx="38">
                  <c:v>0.42584558638501663</c:v>
                </c:pt>
                <c:pt idx="39">
                  <c:v>0.17528641369990824</c:v>
                </c:pt>
              </c:numCache>
            </c:numRef>
          </c:val>
          <c:extLst>
            <c:ext xmlns:c16="http://schemas.microsoft.com/office/drawing/2014/chart" uri="{C3380CC4-5D6E-409C-BE32-E72D297353CC}">
              <c16:uniqueId val="{00000005-66A6-42C7-A441-D7EB5BC9DDE5}"/>
            </c:ext>
          </c:extLst>
        </c:ser>
        <c:dLbls>
          <c:showLegendKey val="0"/>
          <c:showVal val="0"/>
          <c:showCatName val="0"/>
          <c:showSerName val="0"/>
          <c:showPercent val="0"/>
          <c:showBubbleSize val="0"/>
        </c:dLbls>
        <c:gapWidth val="20"/>
        <c:overlap val="100"/>
        <c:axId val="156100864"/>
        <c:axId val="156573696"/>
      </c:barChart>
      <c:lineChart>
        <c:grouping val="standard"/>
        <c:varyColors val="0"/>
        <c:ser>
          <c:idx val="3"/>
          <c:order val="0"/>
          <c:tx>
            <c:strRef>
              <c:f>'Služby-příspěvky k růstu-4'!$C$33</c:f>
              <c:strCache>
                <c:ptCount val="1"/>
                <c:pt idx="0">
                  <c:v>Total services sales (y-o-y in %)</c:v>
                </c:pt>
              </c:strCache>
            </c:strRef>
          </c:tx>
          <c:spPr>
            <a:ln>
              <a:noFill/>
            </a:ln>
          </c:spPr>
          <c:marker>
            <c:symbol val="dash"/>
            <c:size val="7"/>
            <c:spPr>
              <a:solidFill>
                <a:schemeClr val="tx1">
                  <a:lumMod val="95000"/>
                  <a:lumOff val="5000"/>
                </a:schemeClr>
              </a:solidFill>
              <a:ln>
                <a:noFill/>
              </a:ln>
            </c:spPr>
          </c:marker>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růstu-4'!$C$46:$C$86</c:f>
              <c:numCache>
                <c:formatCode>0.0</c:formatCode>
                <c:ptCount val="41"/>
                <c:pt idx="0">
                  <c:v>3.4824690008999966</c:v>
                </c:pt>
                <c:pt idx="1">
                  <c:v>2.7934385740000067</c:v>
                </c:pt>
                <c:pt idx="2">
                  <c:v>3.3397363911000042</c:v>
                </c:pt>
                <c:pt idx="3">
                  <c:v>2.4240605071999966</c:v>
                </c:pt>
                <c:pt idx="4">
                  <c:v>1.3060861837000033</c:v>
                </c:pt>
                <c:pt idx="5">
                  <c:v>-1.1913006246000037</c:v>
                </c:pt>
                <c:pt idx="6">
                  <c:v>1.5541405019999956</c:v>
                </c:pt>
                <c:pt idx="7">
                  <c:v>1.2878413721000044</c:v>
                </c:pt>
                <c:pt idx="8">
                  <c:v>5.6991785797000034</c:v>
                </c:pt>
                <c:pt idx="9">
                  <c:v>5.5722364333000058</c:v>
                </c:pt>
                <c:pt idx="10">
                  <c:v>3.3112064832999977</c:v>
                </c:pt>
                <c:pt idx="11">
                  <c:v>2.4385054390999983</c:v>
                </c:pt>
                <c:pt idx="12">
                  <c:v>4.8776432854999996</c:v>
                </c:pt>
                <c:pt idx="13">
                  <c:v>3.1428894752999952</c:v>
                </c:pt>
                <c:pt idx="14">
                  <c:v>3.5062767616000059</c:v>
                </c:pt>
                <c:pt idx="15">
                  <c:v>0.9447540274999966</c:v>
                </c:pt>
                <c:pt idx="16" formatCode="##0.0">
                  <c:v>-2.0638978244000015</c:v>
                </c:pt>
                <c:pt idx="17" formatCode="##0.0">
                  <c:v>2.0119271263999963</c:v>
                </c:pt>
                <c:pt idx="18" formatCode="##0.0">
                  <c:v>0.46201626920000649</c:v>
                </c:pt>
                <c:pt idx="19" formatCode="##0.0">
                  <c:v>3.6792793010999958</c:v>
                </c:pt>
                <c:pt idx="20" formatCode="##0.0">
                  <c:v>-3.7161332750000042</c:v>
                </c:pt>
                <c:pt idx="21" formatCode="##0.0">
                  <c:v>-20.482789201800003</c:v>
                </c:pt>
                <c:pt idx="22" formatCode="##0.0">
                  <c:v>-13.818107271499997</c:v>
                </c:pt>
                <c:pt idx="23" formatCode="##0.0">
                  <c:v>-12.693117899800001</c:v>
                </c:pt>
                <c:pt idx="24" formatCode="##0.0">
                  <c:v>-6.3698525254999936</c:v>
                </c:pt>
                <c:pt idx="25" formatCode="##0.0">
                  <c:v>14.462384940000007</c:v>
                </c:pt>
                <c:pt idx="26" formatCode="##0.0">
                  <c:v>9.8443933221000037</c:v>
                </c:pt>
                <c:pt idx="27" formatCode="##0.0">
                  <c:v>12.457643459600007</c:v>
                </c:pt>
                <c:pt idx="28" formatCode="##0.0">
                  <c:v>13.589852453700004</c:v>
                </c:pt>
                <c:pt idx="29" formatCode="##0.0">
                  <c:v>12.575755002999998</c:v>
                </c:pt>
                <c:pt idx="30" formatCode="##0.0">
                  <c:v>6.8797862188000067</c:v>
                </c:pt>
                <c:pt idx="31" formatCode="##0.0">
                  <c:v>3.1568527814000049</c:v>
                </c:pt>
                <c:pt idx="32" formatCode="##0.0">
                  <c:v>1.5841028919000024</c:v>
                </c:pt>
                <c:pt idx="33" formatCode="##0.0">
                  <c:v>-1.6412497806999937</c:v>
                </c:pt>
                <c:pt idx="34" formatCode="##0.0">
                  <c:v>-3.8314228784000051</c:v>
                </c:pt>
                <c:pt idx="35" formatCode="##0.0">
                  <c:v>-2.196201762900003</c:v>
                </c:pt>
                <c:pt idx="36" formatCode="##0.0">
                  <c:v>1.2016603921999973</c:v>
                </c:pt>
                <c:pt idx="37" formatCode="##0.0">
                  <c:v>2.8808157910000034</c:v>
                </c:pt>
                <c:pt idx="38" formatCode="##0.0">
                  <c:v>2.8318567584999954</c:v>
                </c:pt>
                <c:pt idx="39" formatCode="##0.0">
                  <c:v>2.1145871080999967</c:v>
                </c:pt>
              </c:numCache>
            </c:numRef>
          </c:val>
          <c:smooth val="0"/>
          <c:extLst>
            <c:ext xmlns:c16="http://schemas.microsoft.com/office/drawing/2014/chart" uri="{C3380CC4-5D6E-409C-BE32-E72D297353CC}">
              <c16:uniqueId val="{00000006-66A6-42C7-A441-D7EB5BC9DDE5}"/>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7"/>
          <c:order val="7"/>
          <c:tx>
            <c:strRef>
              <c:f>'Služby-příspěvky k růstu-4'!$J$33</c:f>
              <c:strCache>
                <c:ptCount val="1"/>
                <c:pt idx="0">
                  <c:v>Confidence indicator in services</c:v>
                </c:pt>
              </c:strCache>
            </c:strRef>
          </c:tx>
          <c:spPr>
            <a:ln w="3175">
              <a:solidFill>
                <a:schemeClr val="bg1">
                  <a:lumMod val="50000"/>
                </a:schemeClr>
              </a:solidFill>
              <a:prstDash val="sysDot"/>
            </a:ln>
          </c:spPr>
          <c:marker>
            <c:symbol val="diamond"/>
            <c:size val="5"/>
            <c:spPr>
              <a:solidFill>
                <a:srgbClr val="FFFF00"/>
              </a:solidFill>
              <a:ln w="6350">
                <a:solidFill>
                  <a:schemeClr val="tx1">
                    <a:lumMod val="85000"/>
                    <a:lumOff val="15000"/>
                  </a:schemeClr>
                </a:solidFill>
              </a:ln>
            </c:spPr>
          </c:marker>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růstu-4'!$J$46:$J$86</c:f>
              <c:numCache>
                <c:formatCode>#\ ##0.0</c:formatCode>
                <c:ptCount val="41"/>
                <c:pt idx="0">
                  <c:v>29.7</c:v>
                </c:pt>
                <c:pt idx="1">
                  <c:v>28.7</c:v>
                </c:pt>
                <c:pt idx="2">
                  <c:v>31.3</c:v>
                </c:pt>
                <c:pt idx="3">
                  <c:v>32.700000000000003</c:v>
                </c:pt>
                <c:pt idx="4">
                  <c:v>32.299999999999997</c:v>
                </c:pt>
                <c:pt idx="5">
                  <c:v>33</c:v>
                </c:pt>
                <c:pt idx="6">
                  <c:v>33</c:v>
                </c:pt>
                <c:pt idx="7">
                  <c:v>37.700000000000003</c:v>
                </c:pt>
                <c:pt idx="8">
                  <c:v>35.299999999999997</c:v>
                </c:pt>
                <c:pt idx="9">
                  <c:v>37.700000000000003</c:v>
                </c:pt>
                <c:pt idx="10">
                  <c:v>37.299999999999997</c:v>
                </c:pt>
                <c:pt idx="11">
                  <c:v>35.700000000000003</c:v>
                </c:pt>
                <c:pt idx="12">
                  <c:v>38.299999999999997</c:v>
                </c:pt>
                <c:pt idx="13">
                  <c:v>37</c:v>
                </c:pt>
                <c:pt idx="14">
                  <c:v>38.299999999999997</c:v>
                </c:pt>
                <c:pt idx="15">
                  <c:v>40.700000000000003</c:v>
                </c:pt>
                <c:pt idx="16">
                  <c:v>39.299999999999997</c:v>
                </c:pt>
                <c:pt idx="17">
                  <c:v>33.700000000000003</c:v>
                </c:pt>
                <c:pt idx="18">
                  <c:v>35</c:v>
                </c:pt>
                <c:pt idx="19">
                  <c:v>32.700000000000003</c:v>
                </c:pt>
                <c:pt idx="20">
                  <c:v>29</c:v>
                </c:pt>
                <c:pt idx="21">
                  <c:v>-13.3</c:v>
                </c:pt>
                <c:pt idx="22">
                  <c:v>1</c:v>
                </c:pt>
                <c:pt idx="23">
                  <c:v>-5</c:v>
                </c:pt>
                <c:pt idx="24">
                  <c:v>8</c:v>
                </c:pt>
                <c:pt idx="25">
                  <c:v>22.3</c:v>
                </c:pt>
                <c:pt idx="26">
                  <c:v>24.3</c:v>
                </c:pt>
                <c:pt idx="27">
                  <c:v>27</c:v>
                </c:pt>
                <c:pt idx="28">
                  <c:v>31</c:v>
                </c:pt>
                <c:pt idx="29">
                  <c:v>40</c:v>
                </c:pt>
                <c:pt idx="30">
                  <c:v>27.7</c:v>
                </c:pt>
                <c:pt idx="31">
                  <c:v>21.3</c:v>
                </c:pt>
                <c:pt idx="32">
                  <c:v>24</c:v>
                </c:pt>
                <c:pt idx="33" formatCode="0.0">
                  <c:v>28</c:v>
                </c:pt>
                <c:pt idx="34" formatCode="0.0">
                  <c:v>25.7</c:v>
                </c:pt>
                <c:pt idx="35" formatCode="0.0">
                  <c:v>22.7</c:v>
                </c:pt>
                <c:pt idx="36" formatCode="0.0">
                  <c:v>21.3</c:v>
                </c:pt>
                <c:pt idx="37" formatCode="0.0">
                  <c:v>30.1</c:v>
                </c:pt>
                <c:pt idx="38" formatCode="0.0">
                  <c:v>21.7</c:v>
                </c:pt>
                <c:pt idx="39" formatCode="0.0">
                  <c:v>33.700000000000003</c:v>
                </c:pt>
                <c:pt idx="40" formatCode="0.0">
                  <c:v>31.3</c:v>
                </c:pt>
              </c:numCache>
            </c:numRef>
          </c:val>
          <c:smooth val="0"/>
          <c:extLst>
            <c:ext xmlns:c16="http://schemas.microsoft.com/office/drawing/2014/chart" uri="{C3380CC4-5D6E-409C-BE32-E72D297353CC}">
              <c16:uniqueId val="{00000007-66A6-42C7-A441-D7EB5BC9DDE5}"/>
            </c:ext>
          </c:extLst>
        </c:ser>
        <c:ser>
          <c:idx val="8"/>
          <c:order val="8"/>
          <c:tx>
            <c:strRef>
              <c:f>'Služby-příspěvky k růstu-4'!$K$33</c:f>
              <c:strCache>
                <c:ptCount val="1"/>
                <c:pt idx="0">
                  <c:v>Growth barrier: inadequate demand</c:v>
                </c:pt>
              </c:strCache>
            </c:strRef>
          </c:tx>
          <c:spPr>
            <a:ln w="15875">
              <a:solidFill>
                <a:srgbClr val="CA945E"/>
              </a:solidFill>
              <a:prstDash val="solid"/>
            </a:ln>
          </c:spPr>
          <c:marker>
            <c:symbol val="none"/>
          </c:marker>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růstu-4'!$K$46:$K$86</c:f>
              <c:numCache>
                <c:formatCode>#\ ##0.0</c:formatCode>
                <c:ptCount val="41"/>
                <c:pt idx="0">
                  <c:v>26</c:v>
                </c:pt>
                <c:pt idx="1">
                  <c:v>29.3</c:v>
                </c:pt>
                <c:pt idx="2">
                  <c:v>26.1</c:v>
                </c:pt>
                <c:pt idx="3">
                  <c:v>24.7</c:v>
                </c:pt>
                <c:pt idx="4">
                  <c:v>23.3</c:v>
                </c:pt>
                <c:pt idx="5">
                  <c:v>25.1</c:v>
                </c:pt>
                <c:pt idx="6">
                  <c:v>20.2</c:v>
                </c:pt>
                <c:pt idx="7">
                  <c:v>24.4</c:v>
                </c:pt>
                <c:pt idx="8">
                  <c:v>25.8</c:v>
                </c:pt>
                <c:pt idx="9">
                  <c:v>20.5</c:v>
                </c:pt>
                <c:pt idx="10">
                  <c:v>18.399999999999999</c:v>
                </c:pt>
                <c:pt idx="11">
                  <c:v>21.6</c:v>
                </c:pt>
                <c:pt idx="12">
                  <c:v>16.899999999999999</c:v>
                </c:pt>
                <c:pt idx="13">
                  <c:v>19.399999999999999</c:v>
                </c:pt>
                <c:pt idx="14">
                  <c:v>17.899999999999999</c:v>
                </c:pt>
                <c:pt idx="15">
                  <c:v>20.7</c:v>
                </c:pt>
                <c:pt idx="16">
                  <c:v>20.6</c:v>
                </c:pt>
                <c:pt idx="17">
                  <c:v>16.899999999999999</c:v>
                </c:pt>
                <c:pt idx="18">
                  <c:v>20.5</c:v>
                </c:pt>
                <c:pt idx="19">
                  <c:v>14.4</c:v>
                </c:pt>
                <c:pt idx="20">
                  <c:v>21.3</c:v>
                </c:pt>
                <c:pt idx="21">
                  <c:v>30.2</c:v>
                </c:pt>
                <c:pt idx="22">
                  <c:v>30.4</c:v>
                </c:pt>
                <c:pt idx="23">
                  <c:v>39.200000000000003</c:v>
                </c:pt>
                <c:pt idx="24">
                  <c:v>34.799999999999997</c:v>
                </c:pt>
                <c:pt idx="25">
                  <c:v>36.799999999999997</c:v>
                </c:pt>
                <c:pt idx="26">
                  <c:v>28.9</c:v>
                </c:pt>
                <c:pt idx="27">
                  <c:v>26.3</c:v>
                </c:pt>
                <c:pt idx="28">
                  <c:v>31.6</c:v>
                </c:pt>
                <c:pt idx="29">
                  <c:v>15</c:v>
                </c:pt>
                <c:pt idx="30">
                  <c:v>30.2</c:v>
                </c:pt>
                <c:pt idx="31">
                  <c:v>17.600000000000001</c:v>
                </c:pt>
                <c:pt idx="32">
                  <c:v>25.4</c:v>
                </c:pt>
                <c:pt idx="33">
                  <c:v>19.100000000000001</c:v>
                </c:pt>
                <c:pt idx="34">
                  <c:v>26</c:v>
                </c:pt>
                <c:pt idx="35">
                  <c:v>23</c:v>
                </c:pt>
                <c:pt idx="36">
                  <c:v>18.5</c:v>
                </c:pt>
                <c:pt idx="37">
                  <c:v>19.2</c:v>
                </c:pt>
                <c:pt idx="38">
                  <c:v>17.8</c:v>
                </c:pt>
                <c:pt idx="39">
                  <c:v>29.6</c:v>
                </c:pt>
                <c:pt idx="40">
                  <c:v>24.4</c:v>
                </c:pt>
              </c:numCache>
            </c:numRef>
          </c:val>
          <c:smooth val="0"/>
          <c:extLst>
            <c:ext xmlns:c16="http://schemas.microsoft.com/office/drawing/2014/chart" uri="{C3380CC4-5D6E-409C-BE32-E72D297353CC}">
              <c16:uniqueId val="{00000008-66A6-42C7-A441-D7EB5BC9DDE5}"/>
            </c:ext>
          </c:extLst>
        </c:ser>
        <c:ser>
          <c:idx val="9"/>
          <c:order val="9"/>
          <c:tx>
            <c:strRef>
              <c:f>'Služby-příspěvky k růstu-4'!$L$33</c:f>
              <c:strCache>
                <c:ptCount val="1"/>
                <c:pt idx="0">
                  <c:v>Growth barrier: lack of workers</c:v>
                </c:pt>
              </c:strCache>
            </c:strRef>
          </c:tx>
          <c:spPr>
            <a:ln w="15875">
              <a:solidFill>
                <a:srgbClr val="CA945E"/>
              </a:solidFill>
              <a:prstDash val="sysDash"/>
            </a:ln>
          </c:spPr>
          <c:marker>
            <c:symbol val="none"/>
          </c:marker>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růstu-4'!$L$46:$L$86</c:f>
              <c:numCache>
                <c:formatCode>#\ ##0.0</c:formatCode>
                <c:ptCount val="41"/>
                <c:pt idx="0">
                  <c:v>1.3</c:v>
                </c:pt>
                <c:pt idx="1">
                  <c:v>6</c:v>
                </c:pt>
                <c:pt idx="2">
                  <c:v>7.2</c:v>
                </c:pt>
                <c:pt idx="3">
                  <c:v>5.6</c:v>
                </c:pt>
                <c:pt idx="4">
                  <c:v>7.5</c:v>
                </c:pt>
                <c:pt idx="5">
                  <c:v>4.5</c:v>
                </c:pt>
                <c:pt idx="6">
                  <c:v>7.9</c:v>
                </c:pt>
                <c:pt idx="7">
                  <c:v>9.5</c:v>
                </c:pt>
                <c:pt idx="8">
                  <c:v>9.4</c:v>
                </c:pt>
                <c:pt idx="9">
                  <c:v>9.6999999999999993</c:v>
                </c:pt>
                <c:pt idx="10">
                  <c:v>9.8000000000000007</c:v>
                </c:pt>
                <c:pt idx="11">
                  <c:v>12.8</c:v>
                </c:pt>
                <c:pt idx="12">
                  <c:v>13.9</c:v>
                </c:pt>
                <c:pt idx="13">
                  <c:v>16.3</c:v>
                </c:pt>
                <c:pt idx="14">
                  <c:v>17.5</c:v>
                </c:pt>
                <c:pt idx="15">
                  <c:v>18.899999999999999</c:v>
                </c:pt>
                <c:pt idx="16">
                  <c:v>19.3</c:v>
                </c:pt>
                <c:pt idx="17">
                  <c:v>15</c:v>
                </c:pt>
                <c:pt idx="18">
                  <c:v>21.5</c:v>
                </c:pt>
                <c:pt idx="19">
                  <c:v>19.8</c:v>
                </c:pt>
                <c:pt idx="20">
                  <c:v>19.5</c:v>
                </c:pt>
                <c:pt idx="21">
                  <c:v>10</c:v>
                </c:pt>
                <c:pt idx="22">
                  <c:v>10</c:v>
                </c:pt>
                <c:pt idx="23">
                  <c:v>12.6</c:v>
                </c:pt>
                <c:pt idx="24">
                  <c:v>12.7</c:v>
                </c:pt>
                <c:pt idx="25">
                  <c:v>8.5</c:v>
                </c:pt>
                <c:pt idx="26">
                  <c:v>17.399999999999999</c:v>
                </c:pt>
                <c:pt idx="27">
                  <c:v>20.6</c:v>
                </c:pt>
                <c:pt idx="28">
                  <c:v>20.2</c:v>
                </c:pt>
                <c:pt idx="29">
                  <c:v>10.9</c:v>
                </c:pt>
                <c:pt idx="30">
                  <c:v>17.899999999999999</c:v>
                </c:pt>
                <c:pt idx="31">
                  <c:v>6.6</c:v>
                </c:pt>
                <c:pt idx="32">
                  <c:v>9.3000000000000007</c:v>
                </c:pt>
                <c:pt idx="33">
                  <c:v>9.7000000000000011</c:v>
                </c:pt>
                <c:pt idx="34">
                  <c:v>9.2000000000000011</c:v>
                </c:pt>
                <c:pt idx="35">
                  <c:v>12.3</c:v>
                </c:pt>
                <c:pt idx="36">
                  <c:v>8.3000000000000007</c:v>
                </c:pt>
                <c:pt idx="37">
                  <c:v>8.1</c:v>
                </c:pt>
                <c:pt idx="38">
                  <c:v>8.3000000000000007</c:v>
                </c:pt>
                <c:pt idx="39">
                  <c:v>15.3</c:v>
                </c:pt>
                <c:pt idx="40">
                  <c:v>12.9</c:v>
                </c:pt>
              </c:numCache>
            </c:numRef>
          </c:val>
          <c:smooth val="0"/>
          <c:extLst>
            <c:ext xmlns:c16="http://schemas.microsoft.com/office/drawing/2014/chart" uri="{C3380CC4-5D6E-409C-BE32-E72D297353CC}">
              <c16:uniqueId val="{00000009-66A6-42C7-A441-D7EB5BC9DDE5}"/>
            </c:ext>
          </c:extLst>
        </c:ser>
        <c:ser>
          <c:idx val="10"/>
          <c:order val="10"/>
          <c:tx>
            <c:strRef>
              <c:f>'Služby-příspěvky k růstu-4'!$M$33</c:f>
              <c:strCache>
                <c:ptCount val="1"/>
                <c:pt idx="0">
                  <c:v>Total sales (2021 = 100), constant prices)</c:v>
                </c:pt>
              </c:strCache>
            </c:strRef>
          </c:tx>
          <c:spPr>
            <a:ln w="15875">
              <a:solidFill>
                <a:schemeClr val="tx1"/>
              </a:solidFill>
            </a:ln>
          </c:spPr>
          <c:marker>
            <c:symbol val="none"/>
          </c:marker>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růstu-4'!$M$46:$M$86</c:f>
              <c:numCache>
                <c:formatCode>0.0</c:formatCode>
                <c:ptCount val="41"/>
                <c:pt idx="0">
                  <c:v>96.573148776699995</c:v>
                </c:pt>
                <c:pt idx="1">
                  <c:v>97.567742240000001</c:v>
                </c:pt>
                <c:pt idx="2">
                  <c:v>97.872994153299999</c:v>
                </c:pt>
                <c:pt idx="3">
                  <c:v>98.145121336700001</c:v>
                </c:pt>
                <c:pt idx="4">
                  <c:v>97.141074036700005</c:v>
                </c:pt>
                <c:pt idx="5">
                  <c:v>97.220842383299996</c:v>
                </c:pt>
                <c:pt idx="6">
                  <c:v>99.043083436700002</c:v>
                </c:pt>
                <c:pt idx="7">
                  <c:v>100.26520352</c:v>
                </c:pt>
                <c:pt idx="8">
                  <c:v>101.4620500267</c:v>
                </c:pt>
                <c:pt idx="9">
                  <c:v>102.45930216329999</c:v>
                </c:pt>
                <c:pt idx="10">
                  <c:v>102.1784036567</c:v>
                </c:pt>
                <c:pt idx="11">
                  <c:v>103.2635152233</c:v>
                </c:pt>
                <c:pt idx="12">
                  <c:v>106.70430386</c:v>
                </c:pt>
                <c:pt idx="13">
                  <c:v>105.25291280330001</c:v>
                </c:pt>
                <c:pt idx="14">
                  <c:v>105.36498890670001</c:v>
                </c:pt>
                <c:pt idx="15">
                  <c:v>103.79346463</c:v>
                </c:pt>
                <c:pt idx="16">
                  <c:v>104.82319352330001</c:v>
                </c:pt>
                <c:pt idx="17">
                  <c:v>107.08876361</c:v>
                </c:pt>
                <c:pt idx="18">
                  <c:v>106.1526654733</c:v>
                </c:pt>
                <c:pt idx="19">
                  <c:v>106.10865794670001</c:v>
                </c:pt>
                <c:pt idx="20">
                  <c:v>100.92295789329999</c:v>
                </c:pt>
                <c:pt idx="21">
                  <c:v>86.568180609999999</c:v>
                </c:pt>
                <c:pt idx="22">
                  <c:v>93.956559496699995</c:v>
                </c:pt>
                <c:pt idx="23">
                  <c:v>92.2317662767</c:v>
                </c:pt>
                <c:pt idx="24">
                  <c:v>92.861550433299996</c:v>
                </c:pt>
                <c:pt idx="25">
                  <c:v>98.053015853299996</c:v>
                </c:pt>
                <c:pt idx="26">
                  <c:v>102.3923559</c:v>
                </c:pt>
                <c:pt idx="27">
                  <c:v>104.3636372533</c:v>
                </c:pt>
                <c:pt idx="28">
                  <c:v>106.32485133669999</c:v>
                </c:pt>
                <c:pt idx="29">
                  <c:v>108.97929560670001</c:v>
                </c:pt>
                <c:pt idx="30">
                  <c:v>109.4814719467</c:v>
                </c:pt>
                <c:pt idx="31">
                  <c:v>108.8597698933</c:v>
                </c:pt>
                <c:pt idx="32">
                  <c:v>107.9770567633</c:v>
                </c:pt>
                <c:pt idx="33">
                  <c:v>106.61241936330001</c:v>
                </c:pt>
                <c:pt idx="34">
                  <c:v>105.9703234067</c:v>
                </c:pt>
                <c:pt idx="35">
                  <c:v>106.67647866999999</c:v>
                </c:pt>
                <c:pt idx="36">
                  <c:v>108.76876138670001</c:v>
                </c:pt>
                <c:pt idx="37">
                  <c:v>109.3549500667</c:v>
                </c:pt>
                <c:pt idx="38">
                  <c:v>109.0776774867</c:v>
                </c:pt>
                <c:pt idx="39">
                  <c:v>109.3883682933</c:v>
                </c:pt>
              </c:numCache>
            </c:numRef>
          </c:val>
          <c:smooth val="0"/>
          <c:extLst>
            <c:ext xmlns:c16="http://schemas.microsoft.com/office/drawing/2014/chart" uri="{C3380CC4-5D6E-409C-BE32-E72D297353CC}">
              <c16:uniqueId val="{0000000A-66A6-42C7-A441-D7EB5BC9DDE5}"/>
            </c:ext>
          </c:extLst>
        </c:ser>
        <c:ser>
          <c:idx val="11"/>
          <c:order val="11"/>
          <c:tx>
            <c:strRef>
              <c:f>'Služby-příspěvky k růstu-4'!$N$33</c:f>
              <c:strCache>
                <c:ptCount val="1"/>
                <c:pt idx="0">
                  <c:v>Total sales (basis 2021 = 100, current prices)</c:v>
                </c:pt>
              </c:strCache>
            </c:strRef>
          </c:tx>
          <c:spPr>
            <a:ln w="15875">
              <a:solidFill>
                <a:schemeClr val="bg2">
                  <a:lumMod val="25000"/>
                </a:schemeClr>
              </a:solidFill>
              <a:prstDash val="sysDash"/>
            </a:ln>
          </c:spPr>
          <c:marker>
            <c:symbol val="none"/>
          </c:marker>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růstu-4'!$N$46:$N$86</c:f>
              <c:numCache>
                <c:formatCode>0.0</c:formatCode>
                <c:ptCount val="41"/>
                <c:pt idx="0">
                  <c:v>87.046193000000002</c:v>
                </c:pt>
                <c:pt idx="1">
                  <c:v>87.966015923300006</c:v>
                </c:pt>
                <c:pt idx="2">
                  <c:v>88.361381390000005</c:v>
                </c:pt>
                <c:pt idx="3">
                  <c:v>88.613649859999995</c:v>
                </c:pt>
                <c:pt idx="4">
                  <c:v>87.737272153299998</c:v>
                </c:pt>
                <c:pt idx="5">
                  <c:v>88.010316869999997</c:v>
                </c:pt>
                <c:pt idx="6">
                  <c:v>89.813972136700002</c:v>
                </c:pt>
                <c:pt idx="7">
                  <c:v>91.206303489999996</c:v>
                </c:pt>
                <c:pt idx="8">
                  <c:v>92.831140320000003</c:v>
                </c:pt>
                <c:pt idx="9">
                  <c:v>94.084719190000001</c:v>
                </c:pt>
                <c:pt idx="10">
                  <c:v>94.352925536699999</c:v>
                </c:pt>
                <c:pt idx="11">
                  <c:v>95.836781003300004</c:v>
                </c:pt>
                <c:pt idx="12">
                  <c:v>99.320277939999997</c:v>
                </c:pt>
                <c:pt idx="13">
                  <c:v>98.6848122233</c:v>
                </c:pt>
                <c:pt idx="14">
                  <c:v>99.610745516700007</c:v>
                </c:pt>
                <c:pt idx="15">
                  <c:v>98.775679409999995</c:v>
                </c:pt>
                <c:pt idx="16">
                  <c:v>99.816231270000003</c:v>
                </c:pt>
                <c:pt idx="17">
                  <c:v>103.18033488330001</c:v>
                </c:pt>
                <c:pt idx="18">
                  <c:v>102.9398626967</c:v>
                </c:pt>
                <c:pt idx="19">
                  <c:v>103.5312898067</c:v>
                </c:pt>
                <c:pt idx="20">
                  <c:v>98.588248460000003</c:v>
                </c:pt>
                <c:pt idx="21">
                  <c:v>84.899543543299998</c:v>
                </c:pt>
                <c:pt idx="22">
                  <c:v>92.649802966699994</c:v>
                </c:pt>
                <c:pt idx="23">
                  <c:v>91.452913469999999</c:v>
                </c:pt>
                <c:pt idx="24">
                  <c:v>92.2149716033</c:v>
                </c:pt>
                <c:pt idx="25">
                  <c:v>97.192779639999998</c:v>
                </c:pt>
                <c:pt idx="26">
                  <c:v>102.3840544567</c:v>
                </c:pt>
                <c:pt idx="27">
                  <c:v>105.9870768533</c:v>
                </c:pt>
                <c:pt idx="28">
                  <c:v>109.93905873670001</c:v>
                </c:pt>
                <c:pt idx="29">
                  <c:v>115.00765799</c:v>
                </c:pt>
                <c:pt idx="30">
                  <c:v>118.06088069</c:v>
                </c:pt>
                <c:pt idx="31">
                  <c:v>119.4895265</c:v>
                </c:pt>
                <c:pt idx="32">
                  <c:v>120.76102421669999</c:v>
                </c:pt>
                <c:pt idx="33">
                  <c:v>121.18209966329999</c:v>
                </c:pt>
                <c:pt idx="34">
                  <c:v>121.8204864333</c:v>
                </c:pt>
                <c:pt idx="35">
                  <c:v>124.03672827</c:v>
                </c:pt>
                <c:pt idx="36">
                  <c:v>127.1990938767</c:v>
                </c:pt>
                <c:pt idx="37">
                  <c:v>128.75702011999999</c:v>
                </c:pt>
                <c:pt idx="38">
                  <c:v>129.6820186567</c:v>
                </c:pt>
                <c:pt idx="39">
                  <c:v>131.1853904367</c:v>
                </c:pt>
              </c:numCache>
            </c:numRef>
          </c:val>
          <c:smooth val="0"/>
          <c:extLst>
            <c:ext xmlns:c16="http://schemas.microsoft.com/office/drawing/2014/chart" uri="{C3380CC4-5D6E-409C-BE32-E72D297353CC}">
              <c16:uniqueId val="{0000000B-66A6-42C7-A441-D7EB5BC9DDE5}"/>
            </c:ext>
          </c:extLst>
        </c:ser>
        <c:dLbls>
          <c:showLegendKey val="0"/>
          <c:showVal val="0"/>
          <c:showCatName val="0"/>
          <c:showSerName val="0"/>
          <c:showPercent val="0"/>
          <c:showBubbleSize val="0"/>
        </c:dLbls>
        <c:marker val="1"/>
        <c:smooth val="0"/>
        <c:axId val="156576768"/>
        <c:axId val="156575232"/>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5"/>
          <c:min val="-30"/>
        </c:scaling>
        <c:delete val="0"/>
        <c:axPos val="l"/>
        <c:majorGridlines>
          <c:spPr>
            <a:ln w="6350">
              <a:solidFill>
                <a:schemeClr val="bg1">
                  <a:lumMod val="75000"/>
                </a:schemeClr>
              </a:solidFill>
            </a:ln>
          </c:spPr>
        </c:majorGridlines>
        <c:title>
          <c:tx>
            <c:rich>
              <a:bodyPr/>
              <a:lstStyle/>
              <a:p>
                <a:pPr>
                  <a:defRPr sz="700" b="0" i="1"/>
                </a:pPr>
                <a:r>
                  <a:rPr lang="cs-CZ" sz="700" b="0" i="1"/>
                  <a:t>Contribution to the change of sales in services</a:t>
                </a:r>
              </a:p>
            </c:rich>
          </c:tx>
          <c:layout>
            <c:manualLayout>
              <c:xMode val="edge"/>
              <c:yMode val="edge"/>
              <c:x val="0"/>
              <c:y val="0.12252432096524948"/>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5"/>
      </c:valAx>
      <c:valAx>
        <c:axId val="156575232"/>
        <c:scaling>
          <c:orientation val="minMax"/>
          <c:max val="15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itchFamily="34" charset="0"/>
                    <a:ea typeface="+mn-ea"/>
                    <a:cs typeface="+mn-cs"/>
                  </a:defRPr>
                </a:pPr>
                <a:r>
                  <a:rPr lang="cs-CZ" sz="700" b="0" i="1"/>
                  <a:t>Sales (basis 2021=100), confidence indicator, growth barriers</a:t>
                </a:r>
              </a:p>
            </c:rich>
          </c:tx>
          <c:layout>
            <c:manualLayout>
              <c:xMode val="edge"/>
              <c:yMode val="edge"/>
              <c:x val="0.96988594921543814"/>
              <c:y val="4.8523694037032751E-2"/>
            </c:manualLayout>
          </c:layout>
          <c:overlay val="0"/>
        </c:title>
        <c:numFmt formatCode="0" sourceLinked="0"/>
        <c:majorTickMark val="out"/>
        <c:minorTickMark val="none"/>
        <c:tickLblPos val="nextTo"/>
        <c:txPr>
          <a:bodyPr/>
          <a:lstStyle/>
          <a:p>
            <a:pPr>
              <a:defRPr sz="800"/>
            </a:pPr>
            <a:endParaRPr lang="cs-CZ"/>
          </a:p>
        </c:txPr>
        <c:crossAx val="156576768"/>
        <c:crosses val="max"/>
        <c:crossBetween val="between"/>
        <c:majorUnit val="20"/>
      </c:valAx>
      <c:catAx>
        <c:axId val="156576768"/>
        <c:scaling>
          <c:orientation val="minMax"/>
        </c:scaling>
        <c:delete val="1"/>
        <c:axPos val="b"/>
        <c:numFmt formatCode="General" sourceLinked="1"/>
        <c:majorTickMark val="out"/>
        <c:minorTickMark val="none"/>
        <c:tickLblPos val="none"/>
        <c:crossAx val="156575232"/>
        <c:crosses val="autoZero"/>
        <c:auto val="1"/>
        <c:lblAlgn val="ctr"/>
        <c:lblOffset val="100"/>
        <c:noMultiLvlLbl val="0"/>
      </c:catAx>
      <c:spPr>
        <a:ln>
          <a:solidFill>
            <a:schemeClr val="tx1">
              <a:lumMod val="75000"/>
              <a:lumOff val="25000"/>
            </a:schemeClr>
          </a:solidFill>
        </a:ln>
      </c:spPr>
    </c:plotArea>
    <c:legend>
      <c:legendPos val="r"/>
      <c:layout>
        <c:manualLayout>
          <c:xMode val="edge"/>
          <c:yMode val="edge"/>
          <c:x val="2.7894149438737266E-3"/>
          <c:y val="0.80683901693256121"/>
          <c:w val="0.99229354112783008"/>
          <c:h val="0.18952404020147029"/>
        </c:manualLayout>
      </c:layout>
      <c:overlay val="0"/>
      <c:spPr>
        <a:ln w="6350">
          <a:solidFill>
            <a:schemeClr val="tx1"/>
          </a:solidFill>
        </a:ln>
      </c:spPr>
      <c:txPr>
        <a:bodyPr/>
        <a:lstStyle/>
        <a:p>
          <a:pPr>
            <a:defRPr sz="72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61666861125732E-2"/>
          <c:y val="1.5803328678987455E-2"/>
          <c:w val="0.85878628700879256"/>
          <c:h val="0.73450542783153383"/>
        </c:manualLayout>
      </c:layout>
      <c:barChart>
        <c:barDir val="col"/>
        <c:grouping val="stacked"/>
        <c:varyColors val="0"/>
        <c:ser>
          <c:idx val="0"/>
          <c:order val="1"/>
          <c:tx>
            <c:strRef>
              <c:f>'výkonnost odvětví 5a'!$E$66</c:f>
              <c:strCache>
                <c:ptCount val="1"/>
                <c:pt idx="0">
                  <c:v>Retail with food (contribution)</c:v>
                </c:pt>
              </c:strCache>
            </c:strRef>
          </c:tx>
          <c:spPr>
            <a:solidFill>
              <a:srgbClr val="92D050"/>
            </a:solidFill>
            <a:ln w="15875">
              <a:noFill/>
            </a:ln>
          </c:spPr>
          <c:invertIfNegative val="0"/>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5a'!$E$67:$E$107</c:f>
              <c:numCache>
                <c:formatCode>#\ ##0.0</c:formatCode>
                <c:ptCount val="41"/>
                <c:pt idx="0">
                  <c:v>1.7523817972228575</c:v>
                </c:pt>
                <c:pt idx="1">
                  <c:v>1.1495538604575486</c:v>
                </c:pt>
                <c:pt idx="2">
                  <c:v>1.851654245012579</c:v>
                </c:pt>
                <c:pt idx="3">
                  <c:v>1.4230053336458297</c:v>
                </c:pt>
                <c:pt idx="4">
                  <c:v>1.7335386338403211</c:v>
                </c:pt>
                <c:pt idx="5">
                  <c:v>1.4057978539692639</c:v>
                </c:pt>
                <c:pt idx="6">
                  <c:v>1.0226992305466713</c:v>
                </c:pt>
                <c:pt idx="7">
                  <c:v>-4.5727948098357493E-2</c:v>
                </c:pt>
                <c:pt idx="8">
                  <c:v>0.76530947894932633</c:v>
                </c:pt>
                <c:pt idx="9">
                  <c:v>1.3628557482991555</c:v>
                </c:pt>
                <c:pt idx="10">
                  <c:v>1.1031113273196382</c:v>
                </c:pt>
                <c:pt idx="11">
                  <c:v>0.92620191285996878</c:v>
                </c:pt>
                <c:pt idx="12">
                  <c:v>1.4716867951941146</c:v>
                </c:pt>
                <c:pt idx="13">
                  <c:v>0.53065594307662001</c:v>
                </c:pt>
                <c:pt idx="14">
                  <c:v>0.93178458575098189</c:v>
                </c:pt>
                <c:pt idx="15">
                  <c:v>0.38805043936963324</c:v>
                </c:pt>
                <c:pt idx="16">
                  <c:v>-0.29388750825225862</c:v>
                </c:pt>
                <c:pt idx="17">
                  <c:v>1.4252855332899248</c:v>
                </c:pt>
                <c:pt idx="18">
                  <c:v>0.13007735319413302</c:v>
                </c:pt>
                <c:pt idx="19">
                  <c:v>1.4154025710079869</c:v>
                </c:pt>
                <c:pt idx="20">
                  <c:v>0.68707923703683382</c:v>
                </c:pt>
                <c:pt idx="21">
                  <c:v>-1.8614966729136802</c:v>
                </c:pt>
                <c:pt idx="22">
                  <c:v>-0.64766112448952962</c:v>
                </c:pt>
                <c:pt idx="23">
                  <c:v>-0.28286695735560252</c:v>
                </c:pt>
                <c:pt idx="24">
                  <c:v>-0.60121870783760478</c:v>
                </c:pt>
                <c:pt idx="25">
                  <c:v>0.49300881291411702</c:v>
                </c:pt>
                <c:pt idx="26">
                  <c:v>-0.28564410601975815</c:v>
                </c:pt>
                <c:pt idx="27">
                  <c:v>-1.0317436636125908E-3</c:v>
                </c:pt>
                <c:pt idx="28">
                  <c:v>-5.9197399174827602E-2</c:v>
                </c:pt>
                <c:pt idx="29">
                  <c:v>-1.1087252811442561</c:v>
                </c:pt>
                <c:pt idx="30">
                  <c:v>-2.2895662443160094</c:v>
                </c:pt>
                <c:pt idx="31">
                  <c:v>-3.2398418649393386</c:v>
                </c:pt>
                <c:pt idx="32">
                  <c:v>-3.1058872757345446</c:v>
                </c:pt>
                <c:pt idx="33">
                  <c:v>-2.8459554389635842</c:v>
                </c:pt>
                <c:pt idx="34">
                  <c:v>-1.687503215997407</c:v>
                </c:pt>
                <c:pt idx="35">
                  <c:v>-0.73679006414570936</c:v>
                </c:pt>
                <c:pt idx="36">
                  <c:v>0.88475516381226071</c:v>
                </c:pt>
                <c:pt idx="37">
                  <c:v>1.0867833547584524</c:v>
                </c:pt>
                <c:pt idx="38">
                  <c:v>0.86313827352128258</c:v>
                </c:pt>
                <c:pt idx="39">
                  <c:v>0.64821192863651345</c:v>
                </c:pt>
              </c:numCache>
            </c:numRef>
          </c:val>
          <c:extLst>
            <c:ext xmlns:c16="http://schemas.microsoft.com/office/drawing/2014/chart" uri="{C3380CC4-5D6E-409C-BE32-E72D297353CC}">
              <c16:uniqueId val="{00000000-8521-4A90-BE3A-2E1F819C7F63}"/>
            </c:ext>
          </c:extLst>
        </c:ser>
        <c:ser>
          <c:idx val="1"/>
          <c:order val="2"/>
          <c:tx>
            <c:strRef>
              <c:f>'výkonnost odvětví 5a'!$F$66</c:f>
              <c:strCache>
                <c:ptCount val="1"/>
                <c:pt idx="0">
                  <c:v>Retail with non-food goods (contribution)</c:v>
                </c:pt>
              </c:strCache>
            </c:strRef>
          </c:tx>
          <c:spPr>
            <a:solidFill>
              <a:schemeClr val="accent1">
                <a:lumMod val="40000"/>
                <a:lumOff val="60000"/>
              </a:schemeClr>
            </a:solidFill>
            <a:ln w="15875">
              <a:noFill/>
            </a:ln>
          </c:spPr>
          <c:invertIfNegative val="0"/>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5a'!$F$67:$F$107</c:f>
              <c:numCache>
                <c:formatCode>#\ ##0.0</c:formatCode>
                <c:ptCount val="41"/>
                <c:pt idx="0">
                  <c:v>3.196375922725744</c:v>
                </c:pt>
                <c:pt idx="1">
                  <c:v>3.8741896087490026</c:v>
                </c:pt>
                <c:pt idx="2">
                  <c:v>2.6728850705219784</c:v>
                </c:pt>
                <c:pt idx="3">
                  <c:v>3.6626826182851304</c:v>
                </c:pt>
                <c:pt idx="4">
                  <c:v>2.7862532923580798</c:v>
                </c:pt>
                <c:pt idx="5">
                  <c:v>2.5540667218407971</c:v>
                </c:pt>
                <c:pt idx="6">
                  <c:v>3.2508787600372759</c:v>
                </c:pt>
                <c:pt idx="7">
                  <c:v>3.4435667776451586</c:v>
                </c:pt>
                <c:pt idx="8">
                  <c:v>4.1783561564843161</c:v>
                </c:pt>
                <c:pt idx="9">
                  <c:v>4.4153226755500015</c:v>
                </c:pt>
                <c:pt idx="10">
                  <c:v>4.0607561596078439</c:v>
                </c:pt>
                <c:pt idx="11">
                  <c:v>4.5695527698288956</c:v>
                </c:pt>
                <c:pt idx="12">
                  <c:v>3.963036260303999</c:v>
                </c:pt>
                <c:pt idx="13">
                  <c:v>3.3542121185564358</c:v>
                </c:pt>
                <c:pt idx="14">
                  <c:v>2.577047135089233</c:v>
                </c:pt>
                <c:pt idx="15">
                  <c:v>3.7162196737466258</c:v>
                </c:pt>
                <c:pt idx="16">
                  <c:v>1.303288764236783</c:v>
                </c:pt>
                <c:pt idx="17">
                  <c:v>2.4531469805048736</c:v>
                </c:pt>
                <c:pt idx="18">
                  <c:v>4.2934983663490245</c:v>
                </c:pt>
                <c:pt idx="19">
                  <c:v>5.6709230985066315</c:v>
                </c:pt>
                <c:pt idx="20">
                  <c:v>-5.7511622856734265E-2</c:v>
                </c:pt>
                <c:pt idx="21">
                  <c:v>-0.33300612932107432</c:v>
                </c:pt>
                <c:pt idx="22">
                  <c:v>1.4198268570219985</c:v>
                </c:pt>
                <c:pt idx="23">
                  <c:v>-1.8469460892868841</c:v>
                </c:pt>
                <c:pt idx="24">
                  <c:v>0.21099379405042692</c:v>
                </c:pt>
                <c:pt idx="25">
                  <c:v>5.5767742933608266</c:v>
                </c:pt>
                <c:pt idx="26">
                  <c:v>3.6259767824065627</c:v>
                </c:pt>
                <c:pt idx="27">
                  <c:v>5.6697956328619608</c:v>
                </c:pt>
                <c:pt idx="28">
                  <c:v>5.9916951255438091</c:v>
                </c:pt>
                <c:pt idx="29">
                  <c:v>-0.95184646820475938</c:v>
                </c:pt>
                <c:pt idx="30">
                  <c:v>-3.9413234892071625</c:v>
                </c:pt>
                <c:pt idx="31">
                  <c:v>-5.6393554144880262</c:v>
                </c:pt>
                <c:pt idx="32">
                  <c:v>-4.7819505017048138</c:v>
                </c:pt>
                <c:pt idx="33">
                  <c:v>-4.4919683860435722</c:v>
                </c:pt>
                <c:pt idx="34">
                  <c:v>-2.4587164782992463</c:v>
                </c:pt>
                <c:pt idx="35">
                  <c:v>0.45451552309497045</c:v>
                </c:pt>
                <c:pt idx="36">
                  <c:v>2.4020325514449445</c:v>
                </c:pt>
                <c:pt idx="37">
                  <c:v>2.5871340990230038</c:v>
                </c:pt>
                <c:pt idx="38">
                  <c:v>3.3682940037494875</c:v>
                </c:pt>
                <c:pt idx="39">
                  <c:v>3.5077646184735642</c:v>
                </c:pt>
              </c:numCache>
            </c:numRef>
          </c:val>
          <c:extLst>
            <c:ext xmlns:c16="http://schemas.microsoft.com/office/drawing/2014/chart" uri="{C3380CC4-5D6E-409C-BE32-E72D297353CC}">
              <c16:uniqueId val="{00000001-8521-4A90-BE3A-2E1F819C7F63}"/>
            </c:ext>
          </c:extLst>
        </c:ser>
        <c:ser>
          <c:idx val="4"/>
          <c:order val="3"/>
          <c:tx>
            <c:strRef>
              <c:f>'výkonnost odvětví 5a'!$G$66</c:f>
              <c:strCache>
                <c:ptCount val="1"/>
                <c:pt idx="0">
                  <c:v>Retail sale of fuels (contribution)</c:v>
                </c:pt>
              </c:strCache>
            </c:strRef>
          </c:tx>
          <c:spPr>
            <a:solidFill>
              <a:schemeClr val="accent6">
                <a:lumMod val="40000"/>
                <a:lumOff val="60000"/>
              </a:schemeClr>
            </a:solidFill>
            <a:ln w="15875">
              <a:noFill/>
            </a:ln>
          </c:spPr>
          <c:invertIfNegative val="0"/>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5a'!$G$67:$G$107</c:f>
              <c:numCache>
                <c:formatCode>#\ ##0.0</c:formatCode>
                <c:ptCount val="41"/>
                <c:pt idx="0">
                  <c:v>0.75440023430656378</c:v>
                </c:pt>
                <c:pt idx="1">
                  <c:v>0.588112843666875</c:v>
                </c:pt>
                <c:pt idx="2">
                  <c:v>0.78402402568450724</c:v>
                </c:pt>
                <c:pt idx="3">
                  <c:v>0.94331728244946667</c:v>
                </c:pt>
                <c:pt idx="4">
                  <c:v>0.6744248436917698</c:v>
                </c:pt>
                <c:pt idx="5">
                  <c:v>0.72348584188138532</c:v>
                </c:pt>
                <c:pt idx="6">
                  <c:v>0.62302098548854723</c:v>
                </c:pt>
                <c:pt idx="7">
                  <c:v>0.62533415443375595</c:v>
                </c:pt>
                <c:pt idx="8">
                  <c:v>0.54805568528260806</c:v>
                </c:pt>
                <c:pt idx="9">
                  <c:v>0.75356148860252614</c:v>
                </c:pt>
                <c:pt idx="10">
                  <c:v>0.84316485479481218</c:v>
                </c:pt>
                <c:pt idx="11">
                  <c:v>0.68534345825768528</c:v>
                </c:pt>
                <c:pt idx="12">
                  <c:v>0.66536323714663226</c:v>
                </c:pt>
                <c:pt idx="13">
                  <c:v>0.59516252422904425</c:v>
                </c:pt>
                <c:pt idx="14">
                  <c:v>0.3739332000264744</c:v>
                </c:pt>
                <c:pt idx="15">
                  <c:v>0.43257407692417521</c:v>
                </c:pt>
                <c:pt idx="16">
                  <c:v>0.17809135629917194</c:v>
                </c:pt>
                <c:pt idx="17">
                  <c:v>0.36908315571938399</c:v>
                </c:pt>
                <c:pt idx="18">
                  <c:v>0.27107333589466731</c:v>
                </c:pt>
                <c:pt idx="19">
                  <c:v>0.19660561540526125</c:v>
                </c:pt>
                <c:pt idx="20">
                  <c:v>-0.75718611502805722</c:v>
                </c:pt>
                <c:pt idx="21">
                  <c:v>-1.9736345702533769</c:v>
                </c:pt>
                <c:pt idx="22">
                  <c:v>8.4968496843834063E-2</c:v>
                </c:pt>
                <c:pt idx="23">
                  <c:v>-1.074545645994486</c:v>
                </c:pt>
                <c:pt idx="24">
                  <c:v>-0.67667659437567496</c:v>
                </c:pt>
                <c:pt idx="25">
                  <c:v>1.0679612780323529</c:v>
                </c:pt>
                <c:pt idx="26">
                  <c:v>0.36966869026499932</c:v>
                </c:pt>
                <c:pt idx="27">
                  <c:v>0.92369652323847462</c:v>
                </c:pt>
                <c:pt idx="28">
                  <c:v>1.2444383160060355</c:v>
                </c:pt>
                <c:pt idx="29">
                  <c:v>-0.71068574306119192</c:v>
                </c:pt>
                <c:pt idx="30">
                  <c:v>-1.4489877068463355</c:v>
                </c:pt>
                <c:pt idx="31">
                  <c:v>-0.43102805460389659</c:v>
                </c:pt>
                <c:pt idx="32">
                  <c:v>9.5538508920041287E-2</c:v>
                </c:pt>
                <c:pt idx="33">
                  <c:v>1.0458071040757027</c:v>
                </c:pt>
                <c:pt idx="34">
                  <c:v>1.0241877772285994</c:v>
                </c:pt>
                <c:pt idx="35">
                  <c:v>0.21081099532690847</c:v>
                </c:pt>
                <c:pt idx="36">
                  <c:v>0.4443197064674741</c:v>
                </c:pt>
                <c:pt idx="37">
                  <c:v>0.25010717577860625</c:v>
                </c:pt>
                <c:pt idx="38">
                  <c:v>0.4373133537160287</c:v>
                </c:pt>
                <c:pt idx="39">
                  <c:v>1.0777773729124482</c:v>
                </c:pt>
              </c:numCache>
            </c:numRef>
          </c:val>
          <c:extLst>
            <c:ext xmlns:c16="http://schemas.microsoft.com/office/drawing/2014/chart" uri="{C3380CC4-5D6E-409C-BE32-E72D297353CC}">
              <c16:uniqueId val="{00000002-8521-4A90-BE3A-2E1F819C7F63}"/>
            </c:ext>
          </c:extLst>
        </c:ser>
        <c:dLbls>
          <c:showLegendKey val="0"/>
          <c:showVal val="0"/>
          <c:showCatName val="0"/>
          <c:showSerName val="0"/>
          <c:showPercent val="0"/>
          <c:showBubbleSize val="0"/>
        </c:dLbls>
        <c:gapWidth val="31"/>
        <c:overlap val="100"/>
        <c:axId val="156100864"/>
        <c:axId val="156573696"/>
      </c:barChart>
      <c:lineChart>
        <c:grouping val="standard"/>
        <c:varyColors val="0"/>
        <c:ser>
          <c:idx val="3"/>
          <c:order val="0"/>
          <c:tx>
            <c:strRef>
              <c:f>'výkonnost odvětví 5a'!$D$66</c:f>
              <c:strCache>
                <c:ptCount val="1"/>
                <c:pt idx="0">
                  <c:v>Total retail sales (y-o-y change)</c:v>
                </c:pt>
              </c:strCache>
            </c:strRef>
          </c:tx>
          <c:spPr>
            <a:ln>
              <a:noFill/>
            </a:ln>
          </c:spPr>
          <c:marker>
            <c:symbol val="dash"/>
            <c:size val="7"/>
            <c:spPr>
              <a:solidFill>
                <a:schemeClr val="tx1">
                  <a:lumMod val="85000"/>
                  <a:lumOff val="15000"/>
                </a:schemeClr>
              </a:solidFill>
              <a:ln w="6350">
                <a:noFill/>
              </a:ln>
            </c:spPr>
          </c:marker>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5a'!$D$67:$D$107</c:f>
              <c:numCache>
                <c:formatCode>#\ ##0.0</c:formatCode>
                <c:ptCount val="41"/>
                <c:pt idx="0">
                  <c:v>5.5650157121000063</c:v>
                </c:pt>
                <c:pt idx="1">
                  <c:v>5.3140316102000043</c:v>
                </c:pt>
                <c:pt idx="2">
                  <c:v>5.261668949500006</c:v>
                </c:pt>
                <c:pt idx="3">
                  <c:v>5.8260167462999988</c:v>
                </c:pt>
                <c:pt idx="4">
                  <c:v>5.1163484119999936</c:v>
                </c:pt>
                <c:pt idx="5">
                  <c:v>4.584747701699996</c:v>
                </c:pt>
                <c:pt idx="6">
                  <c:v>4.6478731618999944</c:v>
                </c:pt>
                <c:pt idx="7">
                  <c:v>3.5966109598000031</c:v>
                </c:pt>
                <c:pt idx="8">
                  <c:v>5.068305469799995</c:v>
                </c:pt>
                <c:pt idx="9">
                  <c:v>6.2034114922000043</c:v>
                </c:pt>
                <c:pt idx="10">
                  <c:v>5.6856724027999945</c:v>
                </c:pt>
                <c:pt idx="11">
                  <c:v>5.8244576314999961</c:v>
                </c:pt>
                <c:pt idx="12">
                  <c:v>5.9658330699000004</c:v>
                </c:pt>
                <c:pt idx="13">
                  <c:v>4.3854129643000022</c:v>
                </c:pt>
                <c:pt idx="14">
                  <c:v>3.8380531616000013</c:v>
                </c:pt>
                <c:pt idx="15">
                  <c:v>4.3570454750999943</c:v>
                </c:pt>
                <c:pt idx="16">
                  <c:v>1.1052891966999994</c:v>
                </c:pt>
                <c:pt idx="17">
                  <c:v>4.2167027101999963</c:v>
                </c:pt>
                <c:pt idx="18">
                  <c:v>4.5117376484000005</c:v>
                </c:pt>
                <c:pt idx="19">
                  <c:v>7.2113533302999997</c:v>
                </c:pt>
                <c:pt idx="20">
                  <c:v>-0.15887647600000321</c:v>
                </c:pt>
                <c:pt idx="21">
                  <c:v>-4.2817243594000018</c:v>
                </c:pt>
                <c:pt idx="22">
                  <c:v>0.81643935670000189</c:v>
                </c:pt>
                <c:pt idx="23">
                  <c:v>-3.1393056612999999</c:v>
                </c:pt>
                <c:pt idx="24">
                  <c:v>-1.1390059782000037</c:v>
                </c:pt>
                <c:pt idx="25">
                  <c:v>6.9683389970000036</c:v>
                </c:pt>
                <c:pt idx="26">
                  <c:v>3.5948086528999994</c:v>
                </c:pt>
                <c:pt idx="27">
                  <c:v>6.4926559471000047</c:v>
                </c:pt>
                <c:pt idx="28">
                  <c:v>6.7801738019999931</c:v>
                </c:pt>
                <c:pt idx="29">
                  <c:v>-2.8122346765999993</c:v>
                </c:pt>
                <c:pt idx="30">
                  <c:v>-7.6591434073999949</c:v>
                </c:pt>
                <c:pt idx="31">
                  <c:v>-9.3108768615999935</c:v>
                </c:pt>
                <c:pt idx="32">
                  <c:v>-7.7724312829000013</c:v>
                </c:pt>
                <c:pt idx="33">
                  <c:v>-6.2778325892000026</c:v>
                </c:pt>
                <c:pt idx="34">
                  <c:v>-3.1396454685999942</c:v>
                </c:pt>
                <c:pt idx="35">
                  <c:v>-0.13504823690000478</c:v>
                </c:pt>
                <c:pt idx="36">
                  <c:v>3.7304554369000016</c:v>
                </c:pt>
                <c:pt idx="37">
                  <c:v>3.9244924088000062</c:v>
                </c:pt>
                <c:pt idx="38">
                  <c:v>4.6684929422000039</c:v>
                </c:pt>
                <c:pt idx="39">
                  <c:v>5.232709919100003</c:v>
                </c:pt>
              </c:numCache>
            </c:numRef>
          </c:val>
          <c:smooth val="0"/>
          <c:extLst>
            <c:ext xmlns:c16="http://schemas.microsoft.com/office/drawing/2014/chart" uri="{C3380CC4-5D6E-409C-BE32-E72D297353CC}">
              <c16:uniqueId val="{00000003-8521-4A90-BE3A-2E1F819C7F63}"/>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5"/>
          <c:order val="4"/>
          <c:tx>
            <c:strRef>
              <c:f>'výkonnost odvětví 5a'!$H$66</c:f>
              <c:strCache>
                <c:ptCount val="1"/>
                <c:pt idx="0">
                  <c:v>Retail, without motor. segment (2021=100)</c:v>
                </c:pt>
              </c:strCache>
            </c:strRef>
          </c:tx>
          <c:spPr>
            <a:ln w="15875">
              <a:solidFill>
                <a:schemeClr val="tx1">
                  <a:lumMod val="95000"/>
                  <a:lumOff val="5000"/>
                </a:schemeClr>
              </a:solidFill>
              <a:prstDash val="solid"/>
            </a:ln>
          </c:spPr>
          <c:marker>
            <c:symbol val="none"/>
          </c:marker>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5a'!$H$67:$H$107</c:f>
              <c:numCache>
                <c:formatCode>#\ ##0.0</c:formatCode>
                <c:ptCount val="41"/>
                <c:pt idx="0">
                  <c:v>79.387113156699996</c:v>
                </c:pt>
                <c:pt idx="1">
                  <c:v>80.299595063300004</c:v>
                </c:pt>
                <c:pt idx="2">
                  <c:v>81.210689013299998</c:v>
                </c:pt>
                <c:pt idx="3">
                  <c:v>82.830505383299993</c:v>
                </c:pt>
                <c:pt idx="4">
                  <c:v>83.364694713299997</c:v>
                </c:pt>
                <c:pt idx="5">
                  <c:v>84.093873386699997</c:v>
                </c:pt>
                <c:pt idx="6">
                  <c:v>85.181594756699994</c:v>
                </c:pt>
                <c:pt idx="7">
                  <c:v>85.888972366700003</c:v>
                </c:pt>
                <c:pt idx="8">
                  <c:v>87.495099866700002</c:v>
                </c:pt>
                <c:pt idx="9">
                  <c:v>89.138431163299998</c:v>
                </c:pt>
                <c:pt idx="10">
                  <c:v>90.161633323299995</c:v>
                </c:pt>
                <c:pt idx="11">
                  <c:v>90.497394953300002</c:v>
                </c:pt>
                <c:pt idx="12">
                  <c:v>93.094801029999999</c:v>
                </c:pt>
                <c:pt idx="13">
                  <c:v>93.18768412</c:v>
                </c:pt>
                <c:pt idx="14">
                  <c:v>93.508700056699993</c:v>
                </c:pt>
                <c:pt idx="15">
                  <c:v>93.474682340000001</c:v>
                </c:pt>
                <c:pt idx="16">
                  <c:v>95.051863356699997</c:v>
                </c:pt>
                <c:pt idx="17">
                  <c:v>97.727929486700006</c:v>
                </c:pt>
                <c:pt idx="18">
                  <c:v>97.382384529999996</c:v>
                </c:pt>
                <c:pt idx="19">
                  <c:v>98.750010893300001</c:v>
                </c:pt>
                <c:pt idx="20">
                  <c:v>95.168453310000004</c:v>
                </c:pt>
                <c:pt idx="21">
                  <c:v>94.223485960000005</c:v>
                </c:pt>
                <c:pt idx="22">
                  <c:v>98.290064009999995</c:v>
                </c:pt>
                <c:pt idx="23">
                  <c:v>95.235280143300002</c:v>
                </c:pt>
                <c:pt idx="24">
                  <c:v>93.056198660000007</c:v>
                </c:pt>
                <c:pt idx="25">
                  <c:v>100.71855261330001</c:v>
                </c:pt>
                <c:pt idx="26">
                  <c:v>102.10578841669999</c:v>
                </c:pt>
                <c:pt idx="27">
                  <c:v>101.62434467</c:v>
                </c:pt>
                <c:pt idx="28">
                  <c:v>99.622569900000002</c:v>
                </c:pt>
                <c:pt idx="29">
                  <c:v>97.819975119999995</c:v>
                </c:pt>
                <c:pt idx="30">
                  <c:v>94.936353766699995</c:v>
                </c:pt>
                <c:pt idx="31">
                  <c:v>92.897011860000006</c:v>
                </c:pt>
                <c:pt idx="32">
                  <c:v>91.701573813300001</c:v>
                </c:pt>
                <c:pt idx="33">
                  <c:v>91.402636296699995</c:v>
                </c:pt>
                <c:pt idx="34">
                  <c:v>91.843365140000003</c:v>
                </c:pt>
                <c:pt idx="35">
                  <c:v>92.751257643299994</c:v>
                </c:pt>
                <c:pt idx="36">
                  <c:v>94.767650900000007</c:v>
                </c:pt>
                <c:pt idx="37">
                  <c:v>95.380431169999994</c:v>
                </c:pt>
                <c:pt idx="38">
                  <c:v>96.268009820000003</c:v>
                </c:pt>
                <c:pt idx="39">
                  <c:v>96.989086173299995</c:v>
                </c:pt>
              </c:numCache>
            </c:numRef>
          </c:val>
          <c:smooth val="0"/>
          <c:extLst>
            <c:ext xmlns:c16="http://schemas.microsoft.com/office/drawing/2014/chart" uri="{C3380CC4-5D6E-409C-BE32-E72D297353CC}">
              <c16:uniqueId val="{00000004-8521-4A90-BE3A-2E1F819C7F63}"/>
            </c:ext>
          </c:extLst>
        </c:ser>
        <c:ser>
          <c:idx val="2"/>
          <c:order val="5"/>
          <c:tx>
            <c:strRef>
              <c:f>'výkonnost odvětví 5a'!$I$66</c:f>
              <c:strCache>
                <c:ptCount val="1"/>
                <c:pt idx="0">
                  <c:v>In that: Retail sale of fuels (2021=100)</c:v>
                </c:pt>
              </c:strCache>
            </c:strRef>
          </c:tx>
          <c:spPr>
            <a:ln w="15875">
              <a:solidFill>
                <a:schemeClr val="bg2">
                  <a:lumMod val="50000"/>
                </a:schemeClr>
              </a:solidFill>
              <a:prstDash val="sysDash"/>
            </a:ln>
          </c:spPr>
          <c:marker>
            <c:symbol val="none"/>
          </c:marker>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5a'!$I$67:$I$107</c:f>
              <c:numCache>
                <c:formatCode>#\ ##0.0</c:formatCode>
                <c:ptCount val="41"/>
                <c:pt idx="0">
                  <c:v>86.513334323300001</c:v>
                </c:pt>
                <c:pt idx="1">
                  <c:v>87.409107353300001</c:v>
                </c:pt>
                <c:pt idx="2">
                  <c:v>89.066211690000003</c:v>
                </c:pt>
                <c:pt idx="3">
                  <c:v>90.657614006700001</c:v>
                </c:pt>
                <c:pt idx="4">
                  <c:v>91.403393813299999</c:v>
                </c:pt>
                <c:pt idx="5">
                  <c:v>92.482947960000004</c:v>
                </c:pt>
                <c:pt idx="6">
                  <c:v>93.464554906700002</c:v>
                </c:pt>
                <c:pt idx="7">
                  <c:v>94.7986735633</c:v>
                </c:pt>
                <c:pt idx="8">
                  <c:v>96.055973429999995</c:v>
                </c:pt>
                <c:pt idx="9">
                  <c:v>97.663561083299996</c:v>
                </c:pt>
                <c:pt idx="10">
                  <c:v>99.232546576700003</c:v>
                </c:pt>
                <c:pt idx="11">
                  <c:v>100.27997863669999</c:v>
                </c:pt>
                <c:pt idx="12">
                  <c:v>101.92380869669999</c:v>
                </c:pt>
                <c:pt idx="13">
                  <c:v>102.3573869567</c:v>
                </c:pt>
                <c:pt idx="14">
                  <c:v>101.9803127767</c:v>
                </c:pt>
                <c:pt idx="15">
                  <c:v>101.9116452767</c:v>
                </c:pt>
                <c:pt idx="16">
                  <c:v>105.5158907133</c:v>
                </c:pt>
                <c:pt idx="17">
                  <c:v>106.7628022633</c:v>
                </c:pt>
                <c:pt idx="18">
                  <c:v>102.2787380533</c:v>
                </c:pt>
                <c:pt idx="19">
                  <c:v>102.40340343</c:v>
                </c:pt>
                <c:pt idx="20">
                  <c:v>101.81614777999999</c:v>
                </c:pt>
                <c:pt idx="21">
                  <c:v>89.515623356700004</c:v>
                </c:pt>
                <c:pt idx="22">
                  <c:v>98.569475176699996</c:v>
                </c:pt>
                <c:pt idx="23">
                  <c:v>92.226775443299999</c:v>
                </c:pt>
                <c:pt idx="24">
                  <c:v>96.297841703299994</c:v>
                </c:pt>
                <c:pt idx="25">
                  <c:v>101.05387241</c:v>
                </c:pt>
                <c:pt idx="26">
                  <c:v>102.23884433329999</c:v>
                </c:pt>
                <c:pt idx="27">
                  <c:v>100.1584467733</c:v>
                </c:pt>
                <c:pt idx="28">
                  <c:v>100.6056909033</c:v>
                </c:pt>
                <c:pt idx="29">
                  <c:v>95.997505566699999</c:v>
                </c:pt>
                <c:pt idx="30">
                  <c:v>95.311740683300002</c:v>
                </c:pt>
                <c:pt idx="31">
                  <c:v>98.04038362</c:v>
                </c:pt>
                <c:pt idx="32">
                  <c:v>99.189966953300001</c:v>
                </c:pt>
                <c:pt idx="33">
                  <c:v>101.93542943</c:v>
                </c:pt>
                <c:pt idx="34">
                  <c:v>102.8324174033</c:v>
                </c:pt>
                <c:pt idx="35">
                  <c:v>101.6759088533</c:v>
                </c:pt>
                <c:pt idx="36">
                  <c:v>103.9303077233</c:v>
                </c:pt>
                <c:pt idx="37">
                  <c:v>104.93109456329999</c:v>
                </c:pt>
                <c:pt idx="38">
                  <c:v>106.5936671267</c:v>
                </c:pt>
                <c:pt idx="39">
                  <c:v>109.5549369233</c:v>
                </c:pt>
              </c:numCache>
            </c:numRef>
          </c:val>
          <c:smooth val="0"/>
          <c:extLst>
            <c:ext xmlns:c16="http://schemas.microsoft.com/office/drawing/2014/chart" uri="{C3380CC4-5D6E-409C-BE32-E72D297353CC}">
              <c16:uniqueId val="{00000005-8521-4A90-BE3A-2E1F819C7F63}"/>
            </c:ext>
          </c:extLst>
        </c:ser>
        <c:ser>
          <c:idx val="6"/>
          <c:order val="6"/>
          <c:tx>
            <c:strRef>
              <c:f>'výkonnost odvětví 5a'!$J$66</c:f>
              <c:strCache>
                <c:ptCount val="1"/>
                <c:pt idx="0">
                  <c:v>Sale+repair of motor vehicles (2021=100)</c:v>
                </c:pt>
              </c:strCache>
            </c:strRef>
          </c:tx>
          <c:spPr>
            <a:ln w="15875">
              <a:solidFill>
                <a:srgbClr val="984807"/>
              </a:solidFill>
              <a:prstDash val="solid"/>
            </a:ln>
          </c:spPr>
          <c:marker>
            <c:symbol val="none"/>
          </c:marker>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5a'!$J$67:$J$107</c:f>
              <c:numCache>
                <c:formatCode>#\ ##0.0</c:formatCode>
                <c:ptCount val="41"/>
                <c:pt idx="0">
                  <c:v>94.913481453299994</c:v>
                </c:pt>
                <c:pt idx="1">
                  <c:v>97.717227756699998</c:v>
                </c:pt>
                <c:pt idx="2">
                  <c:v>100.0982957133</c:v>
                </c:pt>
                <c:pt idx="3">
                  <c:v>102.97888301330001</c:v>
                </c:pt>
                <c:pt idx="4">
                  <c:v>104.2565601933</c:v>
                </c:pt>
                <c:pt idx="5">
                  <c:v>105.7851700267</c:v>
                </c:pt>
                <c:pt idx="6">
                  <c:v>107.86503048669999</c:v>
                </c:pt>
                <c:pt idx="7">
                  <c:v>108.42391503</c:v>
                </c:pt>
                <c:pt idx="8">
                  <c:v>109.6931493133</c:v>
                </c:pt>
                <c:pt idx="9">
                  <c:v>110.1404259533</c:v>
                </c:pt>
                <c:pt idx="10">
                  <c:v>109.35124661330001</c:v>
                </c:pt>
                <c:pt idx="11">
                  <c:v>110.30069229670001</c:v>
                </c:pt>
                <c:pt idx="12">
                  <c:v>108.8070253133</c:v>
                </c:pt>
                <c:pt idx="13">
                  <c:v>108.53626257000001</c:v>
                </c:pt>
                <c:pt idx="14">
                  <c:v>108.41447377999999</c:v>
                </c:pt>
                <c:pt idx="15">
                  <c:v>106.84909192000001</c:v>
                </c:pt>
                <c:pt idx="16">
                  <c:v>108.70853031670001</c:v>
                </c:pt>
                <c:pt idx="17">
                  <c:v>109.27449573</c:v>
                </c:pt>
                <c:pt idx="18">
                  <c:v>107.5435867133</c:v>
                </c:pt>
                <c:pt idx="19">
                  <c:v>107.39297555</c:v>
                </c:pt>
                <c:pt idx="20">
                  <c:v>95.102227563300005</c:v>
                </c:pt>
                <c:pt idx="21">
                  <c:v>78.841400570000005</c:v>
                </c:pt>
                <c:pt idx="22">
                  <c:v>99.650671279999997</c:v>
                </c:pt>
                <c:pt idx="23">
                  <c:v>99.510519133299994</c:v>
                </c:pt>
                <c:pt idx="24">
                  <c:v>101.4670520367</c:v>
                </c:pt>
                <c:pt idx="25">
                  <c:v>101.2139933333</c:v>
                </c:pt>
                <c:pt idx="26">
                  <c:v>98.609812059999996</c:v>
                </c:pt>
                <c:pt idx="27">
                  <c:v>97.384993243300002</c:v>
                </c:pt>
                <c:pt idx="28">
                  <c:v>96.620315829999996</c:v>
                </c:pt>
                <c:pt idx="29">
                  <c:v>95.563957500000001</c:v>
                </c:pt>
                <c:pt idx="30">
                  <c:v>95.584840990000004</c:v>
                </c:pt>
                <c:pt idx="31">
                  <c:v>96.063800796699994</c:v>
                </c:pt>
                <c:pt idx="32">
                  <c:v>98.777264826700005</c:v>
                </c:pt>
                <c:pt idx="33">
                  <c:v>99.577286090000001</c:v>
                </c:pt>
                <c:pt idx="34">
                  <c:v>101.02246594330001</c:v>
                </c:pt>
                <c:pt idx="35">
                  <c:v>101.5367980967</c:v>
                </c:pt>
                <c:pt idx="36">
                  <c:v>101.5043079133</c:v>
                </c:pt>
                <c:pt idx="37">
                  <c:v>101.03711375330001</c:v>
                </c:pt>
                <c:pt idx="38">
                  <c:v>100.71004181000001</c:v>
                </c:pt>
                <c:pt idx="39">
                  <c:v>101.13551972</c:v>
                </c:pt>
              </c:numCache>
            </c:numRef>
          </c:val>
          <c:smooth val="0"/>
          <c:extLst>
            <c:ext xmlns:c16="http://schemas.microsoft.com/office/drawing/2014/chart" uri="{C3380CC4-5D6E-409C-BE32-E72D297353CC}">
              <c16:uniqueId val="{00000006-8521-4A90-BE3A-2E1F819C7F63}"/>
            </c:ext>
          </c:extLst>
        </c:ser>
        <c:ser>
          <c:idx val="7"/>
          <c:order val="7"/>
          <c:tx>
            <c:strRef>
              <c:f>'výkonnost odvětví 5a'!$K$66</c:f>
              <c:strCache>
                <c:ptCount val="1"/>
              </c:strCache>
            </c:strRef>
          </c:tx>
          <c:spPr>
            <a:ln w="3175">
              <a:noFill/>
              <a:prstDash val="sysDash"/>
            </a:ln>
          </c:spPr>
          <c:marker>
            <c:symbol val="none"/>
          </c:marker>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5a'!$K$67:$K$107</c:f>
              <c:numCache>
                <c:formatCode>#\ ##0.0</c:formatCode>
                <c:ptCount val="41"/>
                <c:pt idx="0">
                  <c:v>-0.13814224215515869</c:v>
                </c:pt>
                <c:pt idx="1">
                  <c:v>-0.2978247026734222</c:v>
                </c:pt>
                <c:pt idx="2">
                  <c:v>-4.6894391719058737E-2</c:v>
                </c:pt>
                <c:pt idx="3">
                  <c:v>-0.20298848808042824</c:v>
                </c:pt>
                <c:pt idx="4">
                  <c:v>-7.7868357890176987E-2</c:v>
                </c:pt>
                <c:pt idx="5">
                  <c:v>-9.8602715991450318E-2</c:v>
                </c:pt>
                <c:pt idx="6">
                  <c:v>-0.24872581417250006</c:v>
                </c:pt>
                <c:pt idx="7">
                  <c:v>-0.426562024180554</c:v>
                </c:pt>
                <c:pt idx="8">
                  <c:v>-0.42341585091625589</c:v>
                </c:pt>
                <c:pt idx="9">
                  <c:v>-0.32832842025167897</c:v>
                </c:pt>
                <c:pt idx="10">
                  <c:v>-0.32135993892229975</c:v>
                </c:pt>
                <c:pt idx="11">
                  <c:v>-0.35664050944655357</c:v>
                </c:pt>
                <c:pt idx="12">
                  <c:v>-0.13425322274474594</c:v>
                </c:pt>
                <c:pt idx="13">
                  <c:v>-9.4617621562097631E-2</c:v>
                </c:pt>
                <c:pt idx="14">
                  <c:v>-4.4711759266687967E-2</c:v>
                </c:pt>
                <c:pt idx="15">
                  <c:v>-0.17979871494044003</c:v>
                </c:pt>
                <c:pt idx="16">
                  <c:v>-8.2203415583696815E-2</c:v>
                </c:pt>
                <c:pt idx="17">
                  <c:v>-3.0812959314186039E-2</c:v>
                </c:pt>
                <c:pt idx="18">
                  <c:v>-0.18291140703782394</c:v>
                </c:pt>
                <c:pt idx="19">
                  <c:v>-7.1577954619879952E-2</c:v>
                </c:pt>
                <c:pt idx="20">
                  <c:v>-3.1257975152045536E-2</c:v>
                </c:pt>
                <c:pt idx="21">
                  <c:v>-0.11358698691187041</c:v>
                </c:pt>
                <c:pt idx="22">
                  <c:v>-4.0694872676301064E-2</c:v>
                </c:pt>
                <c:pt idx="23">
                  <c:v>6.5053031336972822E-2</c:v>
                </c:pt>
                <c:pt idx="24">
                  <c:v>-7.2104470037150925E-2</c:v>
                </c:pt>
                <c:pt idx="25">
                  <c:v>-0.16940538730729293</c:v>
                </c:pt>
                <c:pt idx="26">
                  <c:v>-0.11519271375180434</c:v>
                </c:pt>
                <c:pt idx="27">
                  <c:v>-9.9804465336817971E-2</c:v>
                </c:pt>
                <c:pt idx="28">
                  <c:v>-0.39676224037502394</c:v>
                </c:pt>
                <c:pt idx="29">
                  <c:v>-4.0977184189791904E-2</c:v>
                </c:pt>
                <c:pt idx="30">
                  <c:v>2.0734032969512928E-2</c:v>
                </c:pt>
                <c:pt idx="31">
                  <c:v>-6.5152756873254614E-4</c:v>
                </c:pt>
                <c:pt idx="32">
                  <c:v>1.9867985619315853E-2</c:v>
                </c:pt>
                <c:pt idx="33">
                  <c:v>1.4284131731451044E-2</c:v>
                </c:pt>
                <c:pt idx="34">
                  <c:v>-1.7613551531940219E-2</c:v>
                </c:pt>
                <c:pt idx="35">
                  <c:v>-6.3584691176174352E-2</c:v>
                </c:pt>
                <c:pt idx="36">
                  <c:v>-6.5198482467787588E-4</c:v>
                </c:pt>
                <c:pt idx="37">
                  <c:v>4.6777923994362203E-4</c:v>
                </c:pt>
                <c:pt idx="38">
                  <c:v>-2.5268878679501894E-4</c:v>
                </c:pt>
                <c:pt idx="39">
                  <c:v>-1.0440009225227698E-3</c:v>
                </c:pt>
              </c:numCache>
            </c:numRef>
          </c:val>
          <c:smooth val="0"/>
          <c:extLst>
            <c:ext xmlns:c16="http://schemas.microsoft.com/office/drawing/2014/chart" uri="{C3380CC4-5D6E-409C-BE32-E72D297353CC}">
              <c16:uniqueId val="{00000007-8521-4A90-BE3A-2E1F819C7F63}"/>
            </c:ext>
          </c:extLst>
        </c:ser>
        <c:ser>
          <c:idx val="8"/>
          <c:order val="8"/>
          <c:tx>
            <c:strRef>
              <c:f>'výkonnost odvětví 5a'!$L$66</c:f>
              <c:strCache>
                <c:ptCount val="1"/>
                <c:pt idx="0">
                  <c:v>Consumer confidence indicator</c:v>
                </c:pt>
              </c:strCache>
            </c:strRef>
          </c:tx>
          <c:spPr>
            <a:ln w="12700">
              <a:solidFill>
                <a:schemeClr val="bg1">
                  <a:lumMod val="50000"/>
                </a:schemeClr>
              </a:solidFill>
              <a:prstDash val="sysDot"/>
            </a:ln>
          </c:spPr>
          <c:marker>
            <c:symbol val="circle"/>
            <c:size val="5"/>
            <c:spPr>
              <a:solidFill>
                <a:srgbClr val="FFFF00"/>
              </a:solidFill>
              <a:ln>
                <a:solidFill>
                  <a:schemeClr val="bg1">
                    <a:lumMod val="50000"/>
                  </a:schemeClr>
                </a:solidFill>
              </a:ln>
            </c:spPr>
          </c:marker>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5a'!$L$67:$L$107</c:f>
              <c:numCache>
                <c:formatCode>0.0</c:formatCode>
                <c:ptCount val="41"/>
                <c:pt idx="0">
                  <c:v>-1.75</c:v>
                </c:pt>
                <c:pt idx="1">
                  <c:v>0.25</c:v>
                </c:pt>
                <c:pt idx="2">
                  <c:v>-3.75</c:v>
                </c:pt>
                <c:pt idx="3">
                  <c:v>-0.25</c:v>
                </c:pt>
                <c:pt idx="4">
                  <c:v>-1.5</c:v>
                </c:pt>
                <c:pt idx="5">
                  <c:v>0</c:v>
                </c:pt>
                <c:pt idx="6">
                  <c:v>-2.25</c:v>
                </c:pt>
                <c:pt idx="7">
                  <c:v>0.75</c:v>
                </c:pt>
                <c:pt idx="8">
                  <c:v>1.25</c:v>
                </c:pt>
                <c:pt idx="9">
                  <c:v>-0.5</c:v>
                </c:pt>
                <c:pt idx="10">
                  <c:v>0.5</c:v>
                </c:pt>
                <c:pt idx="11">
                  <c:v>5</c:v>
                </c:pt>
                <c:pt idx="12">
                  <c:v>3.75</c:v>
                </c:pt>
                <c:pt idx="13">
                  <c:v>6</c:v>
                </c:pt>
                <c:pt idx="14">
                  <c:v>4</c:v>
                </c:pt>
                <c:pt idx="15">
                  <c:v>1</c:v>
                </c:pt>
                <c:pt idx="16">
                  <c:v>3.25</c:v>
                </c:pt>
                <c:pt idx="17">
                  <c:v>0</c:v>
                </c:pt>
                <c:pt idx="18">
                  <c:v>2.25</c:v>
                </c:pt>
                <c:pt idx="19">
                  <c:v>-0.5</c:v>
                </c:pt>
                <c:pt idx="20">
                  <c:v>-1.75</c:v>
                </c:pt>
                <c:pt idx="21">
                  <c:v>-9.25</c:v>
                </c:pt>
                <c:pt idx="22">
                  <c:v>-8.75</c:v>
                </c:pt>
                <c:pt idx="23">
                  <c:v>-18.5</c:v>
                </c:pt>
                <c:pt idx="24">
                  <c:v>-16.25</c:v>
                </c:pt>
                <c:pt idx="25">
                  <c:v>-6.75</c:v>
                </c:pt>
                <c:pt idx="26">
                  <c:v>-4.5</c:v>
                </c:pt>
                <c:pt idx="27">
                  <c:v>-17</c:v>
                </c:pt>
                <c:pt idx="28">
                  <c:v>-16.5</c:v>
                </c:pt>
                <c:pt idx="29">
                  <c:v>-31</c:v>
                </c:pt>
                <c:pt idx="30">
                  <c:v>-29.8</c:v>
                </c:pt>
                <c:pt idx="31">
                  <c:v>-30.8</c:v>
                </c:pt>
                <c:pt idx="32">
                  <c:v>-21</c:v>
                </c:pt>
                <c:pt idx="33">
                  <c:v>-20.3</c:v>
                </c:pt>
                <c:pt idx="34">
                  <c:v>-18</c:v>
                </c:pt>
                <c:pt idx="35">
                  <c:v>-18.3</c:v>
                </c:pt>
                <c:pt idx="36">
                  <c:v>-15.8</c:v>
                </c:pt>
                <c:pt idx="37">
                  <c:v>-9</c:v>
                </c:pt>
                <c:pt idx="38">
                  <c:v>-12.8</c:v>
                </c:pt>
                <c:pt idx="39">
                  <c:v>-9</c:v>
                </c:pt>
                <c:pt idx="40">
                  <c:v>-13.5</c:v>
                </c:pt>
              </c:numCache>
            </c:numRef>
          </c:val>
          <c:smooth val="0"/>
          <c:extLst>
            <c:ext xmlns:c16="http://schemas.microsoft.com/office/drawing/2014/chart" uri="{C3380CC4-5D6E-409C-BE32-E72D297353CC}">
              <c16:uniqueId val="{00000008-8521-4A90-BE3A-2E1F819C7F63}"/>
            </c:ext>
          </c:extLst>
        </c:ser>
        <c:ser>
          <c:idx val="9"/>
          <c:order val="9"/>
          <c:tx>
            <c:strRef>
              <c:f>'výkonnost odvětví 5a'!$M$66</c:f>
              <c:strCache>
                <c:ptCount val="1"/>
                <c:pt idx="0">
                  <c:v>Confidence indicator in retail</c:v>
                </c:pt>
              </c:strCache>
            </c:strRef>
          </c:tx>
          <c:spPr>
            <a:ln w="6350">
              <a:solidFill>
                <a:schemeClr val="bg1">
                  <a:lumMod val="50000"/>
                </a:schemeClr>
              </a:solidFill>
              <a:prstDash val="sysDash"/>
            </a:ln>
          </c:spPr>
          <c:marker>
            <c:symbol val="triangle"/>
            <c:size val="5"/>
            <c:spPr>
              <a:solidFill>
                <a:schemeClr val="accent6">
                  <a:lumMod val="40000"/>
                  <a:lumOff val="60000"/>
                </a:schemeClr>
              </a:solidFill>
              <a:ln>
                <a:solidFill>
                  <a:schemeClr val="bg1">
                    <a:lumMod val="50000"/>
                  </a:schemeClr>
                </a:solidFill>
              </a:ln>
            </c:spPr>
          </c:marker>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5a'!$M$67:$M$107</c:f>
              <c:numCache>
                <c:formatCode>0.0</c:formatCode>
                <c:ptCount val="41"/>
                <c:pt idx="0">
                  <c:v>20</c:v>
                </c:pt>
                <c:pt idx="1">
                  <c:v>20.7</c:v>
                </c:pt>
                <c:pt idx="2">
                  <c:v>17.600000000000001</c:v>
                </c:pt>
                <c:pt idx="3">
                  <c:v>19.7</c:v>
                </c:pt>
                <c:pt idx="4">
                  <c:v>22.7</c:v>
                </c:pt>
                <c:pt idx="5">
                  <c:v>17.7</c:v>
                </c:pt>
                <c:pt idx="6">
                  <c:v>17.7</c:v>
                </c:pt>
                <c:pt idx="7">
                  <c:v>21</c:v>
                </c:pt>
                <c:pt idx="8">
                  <c:v>24.3</c:v>
                </c:pt>
                <c:pt idx="9">
                  <c:v>17.3</c:v>
                </c:pt>
                <c:pt idx="10">
                  <c:v>22.7</c:v>
                </c:pt>
                <c:pt idx="11">
                  <c:v>21.7</c:v>
                </c:pt>
                <c:pt idx="12">
                  <c:v>23.3</c:v>
                </c:pt>
                <c:pt idx="13">
                  <c:v>17.3</c:v>
                </c:pt>
                <c:pt idx="14">
                  <c:v>15.6</c:v>
                </c:pt>
                <c:pt idx="15">
                  <c:v>15</c:v>
                </c:pt>
                <c:pt idx="16">
                  <c:v>12.7</c:v>
                </c:pt>
                <c:pt idx="17">
                  <c:v>12.3</c:v>
                </c:pt>
                <c:pt idx="18">
                  <c:v>14.7</c:v>
                </c:pt>
                <c:pt idx="19">
                  <c:v>14.7</c:v>
                </c:pt>
                <c:pt idx="20">
                  <c:v>18.7</c:v>
                </c:pt>
                <c:pt idx="21">
                  <c:v>-1</c:v>
                </c:pt>
                <c:pt idx="22">
                  <c:v>12</c:v>
                </c:pt>
                <c:pt idx="23">
                  <c:v>7</c:v>
                </c:pt>
                <c:pt idx="24">
                  <c:v>1.3</c:v>
                </c:pt>
                <c:pt idx="25">
                  <c:v>15</c:v>
                </c:pt>
                <c:pt idx="26">
                  <c:v>18.3</c:v>
                </c:pt>
                <c:pt idx="27">
                  <c:v>21.3</c:v>
                </c:pt>
                <c:pt idx="28">
                  <c:v>19.7</c:v>
                </c:pt>
                <c:pt idx="29">
                  <c:v>19.600000000000001</c:v>
                </c:pt>
                <c:pt idx="30">
                  <c:v>10.3</c:v>
                </c:pt>
                <c:pt idx="31">
                  <c:v>14.7</c:v>
                </c:pt>
                <c:pt idx="32">
                  <c:v>9.3000000000000007</c:v>
                </c:pt>
                <c:pt idx="33">
                  <c:v>13.3</c:v>
                </c:pt>
                <c:pt idx="34">
                  <c:v>5.7</c:v>
                </c:pt>
                <c:pt idx="35">
                  <c:v>3.3</c:v>
                </c:pt>
                <c:pt idx="36">
                  <c:v>1.7</c:v>
                </c:pt>
                <c:pt idx="37">
                  <c:v>11.3</c:v>
                </c:pt>
                <c:pt idx="38">
                  <c:v>9.3000000000000007</c:v>
                </c:pt>
                <c:pt idx="39">
                  <c:v>11.3</c:v>
                </c:pt>
                <c:pt idx="40">
                  <c:v>15</c:v>
                </c:pt>
              </c:numCache>
            </c:numRef>
          </c:val>
          <c:smooth val="0"/>
          <c:extLst>
            <c:ext xmlns:c16="http://schemas.microsoft.com/office/drawing/2014/chart" uri="{C3380CC4-5D6E-409C-BE32-E72D297353CC}">
              <c16:uniqueId val="{00000009-8521-4A90-BE3A-2E1F819C7F63}"/>
            </c:ext>
          </c:extLst>
        </c:ser>
        <c:dLbls>
          <c:showLegendKey val="0"/>
          <c:showVal val="0"/>
          <c:showCatName val="0"/>
          <c:showSerName val="0"/>
          <c:showPercent val="0"/>
          <c:showBubbleSize val="0"/>
        </c:dLbls>
        <c:marker val="1"/>
        <c:smooth val="0"/>
        <c:axId val="1875570767"/>
        <c:axId val="1875563695"/>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2"/>
          <c:min val="-10"/>
        </c:scaling>
        <c:delete val="0"/>
        <c:axPos val="l"/>
        <c:majorGridlines>
          <c:spPr>
            <a:ln w="6350">
              <a:solidFill>
                <a:schemeClr val="bg1">
                  <a:lumMod val="75000"/>
                </a:schemeClr>
              </a:solidFill>
            </a:ln>
          </c:spPr>
        </c:majorGridlines>
        <c:title>
          <c:tx>
            <c:rich>
              <a:bodyPr/>
              <a:lstStyle/>
              <a:p>
                <a:pPr>
                  <a:defRPr sz="750" b="0" i="1"/>
                </a:pPr>
                <a:r>
                  <a:rPr lang="cs-CZ" sz="750" b="0" i="1"/>
                  <a:t>Contribution to the change of sales in retail </a:t>
                </a:r>
              </a:p>
            </c:rich>
          </c:tx>
          <c:layout>
            <c:manualLayout>
              <c:xMode val="edge"/>
              <c:yMode val="edge"/>
              <c:x val="2.6086947381477195E-3"/>
              <c:y val="9.7215521105131791E-2"/>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2"/>
      </c:valAx>
      <c:valAx>
        <c:axId val="1875563695"/>
        <c:scaling>
          <c:orientation val="minMax"/>
          <c:max val="125"/>
          <c:min val="-40"/>
        </c:scaling>
        <c:delete val="0"/>
        <c:axPos val="r"/>
        <c:title>
          <c:tx>
            <c:rich>
              <a:bodyPr/>
              <a:lstStyle/>
              <a:p>
                <a:pPr>
                  <a:defRPr sz="750" b="0" i="1"/>
                </a:pPr>
                <a:r>
                  <a:rPr lang="cs-CZ" sz="750" b="0" i="1">
                    <a:latin typeface="Arial" panose="020B0604020202020204" pitchFamily="34" charset="0"/>
                    <a:cs typeface="Arial" panose="020B0604020202020204" pitchFamily="34" charset="0"/>
                  </a:rPr>
                  <a:t>Sales (year 2021 = 100), confidence indicator</a:t>
                </a:r>
              </a:p>
            </c:rich>
          </c:tx>
          <c:layout>
            <c:manualLayout>
              <c:xMode val="edge"/>
              <c:yMode val="edge"/>
              <c:x val="0.96896265019335537"/>
              <c:y val="0.11113335344359691"/>
            </c:manualLayout>
          </c:layout>
          <c:overlay val="0"/>
        </c:title>
        <c:numFmt formatCode="#,##0" sourceLinked="0"/>
        <c:majorTickMark val="out"/>
        <c:minorTickMark val="none"/>
        <c:tickLblPos val="nextTo"/>
        <c:txPr>
          <a:bodyPr/>
          <a:lstStyle/>
          <a:p>
            <a:pPr>
              <a:defRPr sz="800"/>
            </a:pPr>
            <a:endParaRPr lang="cs-CZ"/>
          </a:p>
        </c:txPr>
        <c:crossAx val="1875570767"/>
        <c:crosses val="max"/>
        <c:crossBetween val="between"/>
        <c:majorUnit val="15"/>
      </c:valAx>
      <c:catAx>
        <c:axId val="1875570767"/>
        <c:scaling>
          <c:orientation val="minMax"/>
        </c:scaling>
        <c:delete val="1"/>
        <c:axPos val="b"/>
        <c:numFmt formatCode="General" sourceLinked="1"/>
        <c:majorTickMark val="out"/>
        <c:minorTickMark val="none"/>
        <c:tickLblPos val="nextTo"/>
        <c:crossAx val="1875563695"/>
        <c:crosses val="autoZero"/>
        <c:auto val="1"/>
        <c:lblAlgn val="ctr"/>
        <c:lblOffset val="100"/>
        <c:noMultiLvlLbl val="0"/>
      </c:catAx>
      <c:spPr>
        <a:ln>
          <a:solidFill>
            <a:schemeClr val="tx1"/>
          </a:solidFill>
        </a:ln>
      </c:spPr>
    </c:plotArea>
    <c:legend>
      <c:legendPos val="r"/>
      <c:layout>
        <c:manualLayout>
          <c:xMode val="edge"/>
          <c:yMode val="edge"/>
          <c:x val="5.1385534144624996E-3"/>
          <c:y val="0.83370461746214186"/>
          <c:w val="0.98691543107779145"/>
          <c:h val="0.15916794383430105"/>
        </c:manualLayout>
      </c:layout>
      <c:overlay val="0"/>
      <c:spPr>
        <a:ln w="6350">
          <a:solidFill>
            <a:schemeClr val="tx1"/>
          </a:solidFill>
        </a:ln>
      </c:spPr>
      <c:txPr>
        <a:bodyPr/>
        <a:lstStyle/>
        <a:p>
          <a:pPr>
            <a:defRPr sz="75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24074074074073E-2"/>
          <c:y val="4.0005727376861394E-2"/>
          <c:w val="0.88059911616161612"/>
          <c:h val="0.76044243986254301"/>
        </c:manualLayout>
      </c:layout>
      <c:barChart>
        <c:barDir val="col"/>
        <c:grouping val="clustered"/>
        <c:varyColors val="0"/>
        <c:ser>
          <c:idx val="2"/>
          <c:order val="2"/>
          <c:tx>
            <c:strRef>
              <c:f>'Vnější vztahy'!$E$6</c:f>
              <c:strCache>
                <c:ptCount val="1"/>
                <c:pt idx="0">
                  <c:v>Balance</c:v>
                </c:pt>
              </c:strCache>
            </c:strRef>
          </c:tx>
          <c:spPr>
            <a:solidFill>
              <a:srgbClr val="A6A6A6"/>
            </a:solidFill>
            <a:ln>
              <a:noFill/>
            </a:ln>
            <a:effectLst/>
          </c:spPr>
          <c:invertIfNegative val="0"/>
          <c:cat>
            <c:multiLvlStrRef>
              <c:f>'Vnější vztahy'!$A$7:$B$30</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'Vnější vztahy'!$E$7:$E$30</c:f>
              <c:numCache>
                <c:formatCode>0.0</c:formatCode>
                <c:ptCount val="24"/>
                <c:pt idx="0">
                  <c:v>48.244762452000003</c:v>
                </c:pt>
                <c:pt idx="1">
                  <c:v>56.993667721000001</c:v>
                </c:pt>
                <c:pt idx="2">
                  <c:v>27.532477373999999</c:v>
                </c:pt>
                <c:pt idx="3">
                  <c:v>12.923809864000001</c:v>
                </c:pt>
                <c:pt idx="4">
                  <c:v>36.182428658999996</c:v>
                </c:pt>
                <c:pt idx="5">
                  <c:v>9.2911503559999993</c:v>
                </c:pt>
                <c:pt idx="6">
                  <c:v>55.286836668000007</c:v>
                </c:pt>
                <c:pt idx="7">
                  <c:v>78.879761297999991</c:v>
                </c:pt>
                <c:pt idx="8">
                  <c:v>60.916821217999995</c:v>
                </c:pt>
                <c:pt idx="9">
                  <c:v>13.848192235000001</c:v>
                </c:pt>
                <c:pt idx="10">
                  <c:v>-54.700282055000002</c:v>
                </c:pt>
                <c:pt idx="11">
                  <c:v>-29.269374235000001</c:v>
                </c:pt>
                <c:pt idx="12">
                  <c:v>-12.635912592</c:v>
                </c:pt>
                <c:pt idx="13">
                  <c:v>-73.225200095999995</c:v>
                </c:pt>
                <c:pt idx="14">
                  <c:v>-64.314002961</c:v>
                </c:pt>
                <c:pt idx="15">
                  <c:v>-54.639469009000003</c:v>
                </c:pt>
                <c:pt idx="16">
                  <c:v>40.885161205999999</c:v>
                </c:pt>
                <c:pt idx="17">
                  <c:v>36.180839551999995</c:v>
                </c:pt>
                <c:pt idx="18">
                  <c:v>-1.2235418870000001</c:v>
                </c:pt>
                <c:pt idx="19">
                  <c:v>46.660049057999998</c:v>
                </c:pt>
                <c:pt idx="20">
                  <c:v>83.861406485000003</c:v>
                </c:pt>
                <c:pt idx="21">
                  <c:v>71.623099046000007</c:v>
                </c:pt>
                <c:pt idx="22">
                  <c:v>28.836845807000003</c:v>
                </c:pt>
                <c:pt idx="23">
                  <c:v>43.716757235999999</c:v>
                </c:pt>
              </c:numCache>
            </c:numRef>
          </c:val>
          <c:extLst>
            <c:ext xmlns:c16="http://schemas.microsoft.com/office/drawing/2014/chart" uri="{C3380CC4-5D6E-409C-BE32-E72D297353CC}">
              <c16:uniqueId val="{00000000-0FDC-4A1C-969C-4A0458B8636B}"/>
            </c:ext>
          </c:extLst>
        </c:ser>
        <c:dLbls>
          <c:showLegendKey val="0"/>
          <c:showVal val="0"/>
          <c:showCatName val="0"/>
          <c:showSerName val="0"/>
          <c:showPercent val="0"/>
          <c:showBubbleSize val="0"/>
        </c:dLbls>
        <c:gapWidth val="90"/>
        <c:axId val="1842150016"/>
        <c:axId val="1842137120"/>
      </c:barChart>
      <c:lineChart>
        <c:grouping val="standard"/>
        <c:varyColors val="0"/>
        <c:ser>
          <c:idx val="0"/>
          <c:order val="0"/>
          <c:tx>
            <c:strRef>
              <c:f>'Vnější vztahy'!$C$6</c:f>
              <c:strCache>
                <c:ptCount val="1"/>
                <c:pt idx="0">
                  <c:v>Export</c:v>
                </c:pt>
              </c:strCache>
            </c:strRef>
          </c:tx>
          <c:spPr>
            <a:ln w="28575" cap="rnd">
              <a:noFill/>
              <a:round/>
            </a:ln>
            <a:effectLst/>
          </c:spPr>
          <c:marker>
            <c:symbol val="dash"/>
            <c:size val="9"/>
            <c:spPr>
              <a:solidFill>
                <a:srgbClr val="0071BC"/>
              </a:solidFill>
              <a:ln w="9525">
                <a:noFill/>
              </a:ln>
              <a:effectLst/>
            </c:spPr>
          </c:marker>
          <c:cat>
            <c:multiLvlStrRef>
              <c:f>'Vnější vztahy'!$A$7:$B$30</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'Vnější vztahy'!$C$7:$C$30</c:f>
              <c:numCache>
                <c:formatCode>0.0</c:formatCode>
                <c:ptCount val="24"/>
                <c:pt idx="0">
                  <c:v>3.7143750821000054</c:v>
                </c:pt>
                <c:pt idx="1">
                  <c:v>3.3683840658000008</c:v>
                </c:pt>
                <c:pt idx="2">
                  <c:v>4.8286280231999967</c:v>
                </c:pt>
                <c:pt idx="3">
                  <c:v>-3.1636168855000051</c:v>
                </c:pt>
                <c:pt idx="4">
                  <c:v>-6.4135636115999972</c:v>
                </c:pt>
                <c:pt idx="5">
                  <c:v>-25.037497579399997</c:v>
                </c:pt>
                <c:pt idx="6">
                  <c:v>-3.5785611728999953</c:v>
                </c:pt>
                <c:pt idx="7">
                  <c:v>7.411852265899995</c:v>
                </c:pt>
                <c:pt idx="8">
                  <c:v>10.962313304399999</c:v>
                </c:pt>
                <c:pt idx="9">
                  <c:v>41.981094956100009</c:v>
                </c:pt>
                <c:pt idx="10">
                  <c:v>3.4515742189000065</c:v>
                </c:pt>
                <c:pt idx="11">
                  <c:v>2.749198525500006</c:v>
                </c:pt>
                <c:pt idx="12">
                  <c:v>8.0064988441999958</c:v>
                </c:pt>
                <c:pt idx="13">
                  <c:v>11.287163968300007</c:v>
                </c:pt>
                <c:pt idx="14">
                  <c:v>22.470879917399998</c:v>
                </c:pt>
                <c:pt idx="15">
                  <c:v>13.234980039600003</c:v>
                </c:pt>
                <c:pt idx="16">
                  <c:v>10.691327997000002</c:v>
                </c:pt>
                <c:pt idx="17">
                  <c:v>0.90534101039999371</c:v>
                </c:pt>
                <c:pt idx="18">
                  <c:v>-6.7264620790000009</c:v>
                </c:pt>
                <c:pt idx="19">
                  <c:v>-1.1504207308999952</c:v>
                </c:pt>
                <c:pt idx="20">
                  <c:v>-0.1781985149000036</c:v>
                </c:pt>
                <c:pt idx="21" formatCode="General">
                  <c:v>4.4477201289000021</c:v>
                </c:pt>
                <c:pt idx="22" formatCode="General">
                  <c:v>10.501310061400005</c:v>
                </c:pt>
                <c:pt idx="23" formatCode="General">
                  <c:v>4.5227802535000023</c:v>
                </c:pt>
              </c:numCache>
            </c:numRef>
          </c:val>
          <c:smooth val="0"/>
          <c:extLst>
            <c:ext xmlns:c16="http://schemas.microsoft.com/office/drawing/2014/chart" uri="{C3380CC4-5D6E-409C-BE32-E72D297353CC}">
              <c16:uniqueId val="{00000001-0FDC-4A1C-969C-4A0458B8636B}"/>
            </c:ext>
          </c:extLst>
        </c:ser>
        <c:ser>
          <c:idx val="1"/>
          <c:order val="1"/>
          <c:tx>
            <c:strRef>
              <c:f>'Vnější vztahy'!$D$6</c:f>
              <c:strCache>
                <c:ptCount val="1"/>
                <c:pt idx="0">
                  <c:v>Import</c:v>
                </c:pt>
              </c:strCache>
            </c:strRef>
          </c:tx>
          <c:spPr>
            <a:ln w="28575" cap="rnd">
              <a:noFill/>
              <a:round/>
            </a:ln>
            <a:effectLst/>
          </c:spPr>
          <c:marker>
            <c:symbol val="dash"/>
            <c:size val="9"/>
            <c:spPr>
              <a:solidFill>
                <a:srgbClr val="BD1B21"/>
              </a:solidFill>
              <a:ln w="9525">
                <a:noFill/>
              </a:ln>
              <a:effectLst/>
            </c:spPr>
          </c:marker>
          <c:cat>
            <c:multiLvlStrRef>
              <c:f>'Vnější vztahy'!$A$7:$B$30</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'Vnější vztahy'!$D$7:$D$30</c:f>
              <c:numCache>
                <c:formatCode>0.0</c:formatCode>
                <c:ptCount val="24"/>
                <c:pt idx="0">
                  <c:v>4.8123766788999944</c:v>
                </c:pt>
                <c:pt idx="1">
                  <c:v>1.0619237693999963</c:v>
                </c:pt>
                <c:pt idx="2">
                  <c:v>1.0984183013000006</c:v>
                </c:pt>
                <c:pt idx="3">
                  <c:v>-3.3198043863000066</c:v>
                </c:pt>
                <c:pt idx="4">
                  <c:v>-5.3981676209999989</c:v>
                </c:pt>
                <c:pt idx="5">
                  <c:v>-21.285728278400001</c:v>
                </c:pt>
                <c:pt idx="6">
                  <c:v>-6.8912364523999941</c:v>
                </c:pt>
                <c:pt idx="7">
                  <c:v>0.22314936540000474</c:v>
                </c:pt>
                <c:pt idx="8">
                  <c:v>8.4767312925000056</c:v>
                </c:pt>
                <c:pt idx="9">
                  <c:v>41.887499316600014</c:v>
                </c:pt>
                <c:pt idx="10">
                  <c:v>17.303793961099998</c:v>
                </c:pt>
                <c:pt idx="11">
                  <c:v>14.923030300799994</c:v>
                </c:pt>
                <c:pt idx="12">
                  <c:v>16.659765110899997</c:v>
                </c:pt>
                <c:pt idx="13">
                  <c:v>20.193090002000005</c:v>
                </c:pt>
                <c:pt idx="14">
                  <c:v>22.188267180799997</c:v>
                </c:pt>
                <c:pt idx="15">
                  <c:v>15.2991180633</c:v>
                </c:pt>
                <c:pt idx="16">
                  <c:v>5.5018043466999984</c:v>
                </c:pt>
                <c:pt idx="17">
                  <c:v>-8.2960208406999953</c:v>
                </c:pt>
                <c:pt idx="18">
                  <c:v>-11.801975368499996</c:v>
                </c:pt>
                <c:pt idx="19">
                  <c:v>-9.5344571271999996</c:v>
                </c:pt>
                <c:pt idx="20">
                  <c:v>-4.0372515911000022</c:v>
                </c:pt>
                <c:pt idx="21" formatCode="General">
                  <c:v>1.3635382479999976</c:v>
                </c:pt>
                <c:pt idx="22" formatCode="General">
                  <c:v>7.5449746000000033</c:v>
                </c:pt>
                <c:pt idx="23" formatCode="General">
                  <c:v>4.988011342799993</c:v>
                </c:pt>
              </c:numCache>
            </c:numRef>
          </c:val>
          <c:smooth val="0"/>
          <c:extLst>
            <c:ext xmlns:c16="http://schemas.microsoft.com/office/drawing/2014/chart" uri="{C3380CC4-5D6E-409C-BE32-E72D297353CC}">
              <c16:uniqueId val="{00000002-0FDC-4A1C-969C-4A0458B8636B}"/>
            </c:ext>
          </c:extLst>
        </c:ser>
        <c:dLbls>
          <c:showLegendKey val="0"/>
          <c:showVal val="0"/>
          <c:showCatName val="0"/>
          <c:showSerName val="0"/>
          <c:showPercent val="0"/>
          <c:showBubbleSize val="0"/>
        </c:dLbls>
        <c:marker val="1"/>
        <c:smooth val="0"/>
        <c:axId val="1621653648"/>
        <c:axId val="1621653232"/>
      </c:lineChart>
      <c:catAx>
        <c:axId val="16216536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232"/>
        <c:crosses val="autoZero"/>
        <c:auto val="1"/>
        <c:lblAlgn val="ctr"/>
        <c:lblOffset val="100"/>
        <c:noMultiLvlLbl val="0"/>
      </c:catAx>
      <c:valAx>
        <c:axId val="1621653232"/>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648"/>
        <c:crosses val="autoZero"/>
        <c:crossBetween val="between"/>
      </c:valAx>
      <c:valAx>
        <c:axId val="1842137120"/>
        <c:scaling>
          <c:orientation val="minMax"/>
          <c:min val="-8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842150016"/>
        <c:crosses val="max"/>
        <c:crossBetween val="between"/>
      </c:valAx>
      <c:catAx>
        <c:axId val="1842150016"/>
        <c:scaling>
          <c:orientation val="minMax"/>
        </c:scaling>
        <c:delete val="1"/>
        <c:axPos val="b"/>
        <c:numFmt formatCode="General" sourceLinked="1"/>
        <c:majorTickMark val="out"/>
        <c:minorTickMark val="none"/>
        <c:tickLblPos val="nextTo"/>
        <c:crossAx val="1842137120"/>
        <c:crosses val="autoZero"/>
        <c:auto val="1"/>
        <c:lblAlgn val="ctr"/>
        <c:lblOffset val="100"/>
        <c:noMultiLvlLbl val="0"/>
      </c:catAx>
      <c:spPr>
        <a:noFill/>
        <a:ln>
          <a:noFill/>
        </a:ln>
        <a:effectLst/>
      </c:spPr>
    </c:plotArea>
    <c:legend>
      <c:legendPos val="b"/>
      <c:layout>
        <c:manualLayout>
          <c:xMode val="edge"/>
          <c:yMode val="edge"/>
          <c:x val="6.7334595959595941E-2"/>
          <c:y val="0.9241869988545246"/>
          <c:w val="0.85464057239057234"/>
          <c:h val="5.399169530355097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baseline="0">
          <a:latin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3.xml><?xml version="1.0" encoding="utf-8"?>
<ds:datastoreItem xmlns:ds="http://schemas.openxmlformats.org/officeDocument/2006/customXml" ds:itemID="{1E7681AD-41B0-431A-9D34-CF6700A12FAC}">
  <ds:schemaRefs>
    <ds:schemaRef ds:uri="b8c0c86d-151e-4fca-b0d5-747e6692fa1d"/>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665BFA4C-B684-4DF0-8937-AF63D7AC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23465</Words>
  <Characters>138445</Characters>
  <Application>Microsoft Office Word</Application>
  <DocSecurity>0</DocSecurity>
  <Lines>1153</Lines>
  <Paragraphs>323</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161587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2</cp:revision>
  <cp:lastPrinted>2014-07-17T14:07:00Z</cp:lastPrinted>
  <dcterms:created xsi:type="dcterms:W3CDTF">2025-04-24T09:24:00Z</dcterms:created>
  <dcterms:modified xsi:type="dcterms:W3CDTF">2025-04-24T09:24:00Z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