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6E" w:rsidRPr="00287F59" w:rsidRDefault="00287F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04266E" w:rsidRPr="00287F59">
        <w:rPr>
          <w:rFonts w:ascii="Arial" w:hAnsi="Arial" w:cs="Arial"/>
          <w:b/>
          <w:sz w:val="22"/>
          <w:szCs w:val="22"/>
        </w:rPr>
        <w:t>vod</w:t>
      </w: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>
      <w:pPr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Publikace, kterou držíte </w:t>
      </w:r>
      <w:r w:rsidR="00CF60DE">
        <w:rPr>
          <w:rFonts w:ascii="Arial" w:hAnsi="Arial" w:cs="Arial"/>
          <w:sz w:val="20"/>
        </w:rPr>
        <w:t>v ruce, volně navazuje na předchozí</w:t>
      </w:r>
      <w:r>
        <w:rPr>
          <w:rFonts w:ascii="Arial" w:hAnsi="Arial" w:cs="Arial"/>
          <w:sz w:val="20"/>
        </w:rPr>
        <w:t xml:space="preserve"> vydání a dále je rozšiřuje. Jedná se především o srovnání České republiky se zeměmi Evropské unie, ale i dalšími státy světa formou tabulek a</w:t>
      </w:r>
      <w:r w:rsidR="006B5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grafů s vybranými ukazateli. Hlavní z použitých skupin zemí jsou přesně vymezeny níže. Výběr dat se řídil v první ř</w:t>
      </w:r>
      <w:r w:rsidR="00F35720">
        <w:rPr>
          <w:rFonts w:ascii="Arial" w:hAnsi="Arial" w:cs="Arial"/>
          <w:sz w:val="20"/>
        </w:rPr>
        <w:t>adě zájmem ze strany veřejnosti</w:t>
      </w:r>
      <w:r>
        <w:rPr>
          <w:rFonts w:ascii="Arial" w:hAnsi="Arial" w:cs="Arial"/>
          <w:sz w:val="20"/>
        </w:rPr>
        <w:t xml:space="preserve"> a také existencí a dostupností údajů v mezinárodních zdrojích. </w:t>
      </w:r>
    </w:p>
    <w:p w:rsidR="0004266E" w:rsidRDefault="00312DF8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4266E">
        <w:rPr>
          <w:rFonts w:ascii="Arial" w:hAnsi="Arial" w:cs="Arial"/>
          <w:sz w:val="20"/>
        </w:rPr>
        <w:t> publikaci najdete 1</w:t>
      </w:r>
      <w:r>
        <w:rPr>
          <w:rFonts w:ascii="Arial" w:hAnsi="Arial" w:cs="Arial"/>
          <w:sz w:val="20"/>
        </w:rPr>
        <w:t>3 te</w:t>
      </w:r>
      <w:r w:rsidR="0004266E">
        <w:rPr>
          <w:rFonts w:ascii="Arial" w:hAnsi="Arial" w:cs="Arial"/>
          <w:sz w:val="20"/>
        </w:rPr>
        <w:t xml:space="preserve">matických okruhů pokrývajících ekonomické, sociální i environmentální oblasti života. Kromě standardních informací o obyvatelstvu, trhu práce, životním prostředí, jednotlivých sektorech ekonomiky a makroekonomických údajích, zejména pak HDP, byly také zahrnuty ukazatele informační společnosti, </w:t>
      </w:r>
      <w:r w:rsidR="00A05CF0">
        <w:rPr>
          <w:rFonts w:ascii="Arial" w:hAnsi="Arial" w:cs="Arial"/>
          <w:sz w:val="20"/>
        </w:rPr>
        <w:t xml:space="preserve">vybrané </w:t>
      </w:r>
      <w:r w:rsidR="0004266E">
        <w:rPr>
          <w:rFonts w:ascii="Arial" w:hAnsi="Arial" w:cs="Arial"/>
          <w:sz w:val="20"/>
        </w:rPr>
        <w:t xml:space="preserve">regionální </w:t>
      </w:r>
      <w:r w:rsidR="00D35FEF">
        <w:rPr>
          <w:rFonts w:ascii="Arial" w:hAnsi="Arial" w:cs="Arial"/>
          <w:sz w:val="20"/>
        </w:rPr>
        <w:t>indikátory</w:t>
      </w:r>
      <w:r w:rsidR="0004266E">
        <w:rPr>
          <w:rFonts w:ascii="Arial" w:hAnsi="Arial" w:cs="Arial"/>
          <w:sz w:val="20"/>
        </w:rPr>
        <w:t xml:space="preserve"> a další.</w:t>
      </w:r>
      <w:r w:rsidR="003F678B">
        <w:rPr>
          <w:rFonts w:ascii="Arial" w:hAnsi="Arial" w:cs="Arial"/>
          <w:sz w:val="20"/>
        </w:rPr>
        <w:t xml:space="preserve"> </w:t>
      </w:r>
      <w:r w:rsidR="0004266E">
        <w:rPr>
          <w:rFonts w:ascii="Arial" w:hAnsi="Arial" w:cs="Arial"/>
          <w:sz w:val="20"/>
        </w:rPr>
        <w:t>Široký výběr dat a</w:t>
      </w:r>
      <w:r w:rsidR="006B5412">
        <w:rPr>
          <w:rFonts w:ascii="Arial" w:hAnsi="Arial" w:cs="Arial"/>
          <w:sz w:val="20"/>
        </w:rPr>
        <w:t> </w:t>
      </w:r>
      <w:r w:rsidR="0004266E">
        <w:rPr>
          <w:rFonts w:ascii="Arial" w:hAnsi="Arial" w:cs="Arial"/>
          <w:sz w:val="20"/>
        </w:rPr>
        <w:t xml:space="preserve">tabulek mezinárodního srovnání můžete </w:t>
      </w:r>
      <w:r w:rsidR="00BC3096">
        <w:rPr>
          <w:rFonts w:ascii="Arial" w:hAnsi="Arial" w:cs="Arial"/>
          <w:sz w:val="20"/>
        </w:rPr>
        <w:t>rovněž</w:t>
      </w:r>
      <w:r w:rsidR="0004266E">
        <w:rPr>
          <w:rFonts w:ascii="Arial" w:hAnsi="Arial" w:cs="Arial"/>
          <w:sz w:val="20"/>
        </w:rPr>
        <w:t xml:space="preserve"> najít na </w:t>
      </w:r>
      <w:hyperlink r:id="rId5" w:history="1">
        <w:r w:rsidR="0004266E">
          <w:rPr>
            <w:rStyle w:val="Hypertextovodkaz"/>
            <w:rFonts w:ascii="Arial" w:hAnsi="Arial" w:cs="Arial"/>
            <w:sz w:val="20"/>
          </w:rPr>
          <w:t>www.czso.cz</w:t>
        </w:r>
      </w:hyperlink>
      <w:r w:rsidR="0004266E">
        <w:rPr>
          <w:rFonts w:ascii="Arial" w:hAnsi="Arial" w:cs="Arial"/>
          <w:sz w:val="20"/>
        </w:rPr>
        <w:t xml:space="preserve"> nebo v dalších publikacích vydávaných Českým statistickým úřadem. </w:t>
      </w:r>
    </w:p>
    <w:p w:rsidR="00423A7C" w:rsidRPr="00423A7C" w:rsidRDefault="00423A7C" w:rsidP="00423A7C">
      <w:pPr>
        <w:spacing w:before="120"/>
        <w:jc w:val="both"/>
        <w:rPr>
          <w:rFonts w:ascii="Arial" w:hAnsi="Arial" w:cs="Arial"/>
          <w:sz w:val="20"/>
          <w:u w:val="single"/>
        </w:rPr>
      </w:pPr>
      <w:r w:rsidRPr="00423A7C">
        <w:rPr>
          <w:rFonts w:ascii="Arial" w:hAnsi="Arial" w:cs="Arial"/>
          <w:sz w:val="20"/>
          <w:u w:val="single"/>
        </w:rPr>
        <w:t>Rozdíly v datech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Tato publikace využívá zejména </w:t>
      </w:r>
      <w:r w:rsidR="009B1856">
        <w:rPr>
          <w:rFonts w:ascii="Arial" w:hAnsi="Arial" w:cs="Arial"/>
          <w:sz w:val="20"/>
        </w:rPr>
        <w:t>dat</w:t>
      </w:r>
      <w:r w:rsidR="00EC482A">
        <w:rPr>
          <w:rFonts w:ascii="Arial" w:hAnsi="Arial" w:cs="Arial"/>
          <w:sz w:val="20"/>
        </w:rPr>
        <w:t>a</w:t>
      </w:r>
      <w:r w:rsidR="009B1856">
        <w:rPr>
          <w:rFonts w:ascii="Arial" w:hAnsi="Arial" w:cs="Arial"/>
          <w:sz w:val="20"/>
        </w:rPr>
        <w:t xml:space="preserve"> publikovan</w:t>
      </w:r>
      <w:r w:rsidR="00EC482A">
        <w:rPr>
          <w:rFonts w:ascii="Arial" w:hAnsi="Arial" w:cs="Arial"/>
          <w:sz w:val="20"/>
        </w:rPr>
        <w:t>á</w:t>
      </w:r>
      <w:r w:rsidR="009B1856">
        <w:rPr>
          <w:rFonts w:ascii="Arial" w:hAnsi="Arial" w:cs="Arial"/>
          <w:sz w:val="20"/>
        </w:rPr>
        <w:t xml:space="preserve"> </w:t>
      </w:r>
      <w:proofErr w:type="spellStart"/>
      <w:r w:rsidR="009B1856">
        <w:rPr>
          <w:rFonts w:ascii="Arial" w:hAnsi="Arial" w:cs="Arial"/>
          <w:sz w:val="20"/>
        </w:rPr>
        <w:t>Eurostatem</w:t>
      </w:r>
      <w:proofErr w:type="spellEnd"/>
      <w:r w:rsidR="009B1856">
        <w:rPr>
          <w:rFonts w:ascii="Arial" w:hAnsi="Arial" w:cs="Arial"/>
          <w:sz w:val="20"/>
        </w:rPr>
        <w:t>. Ta</w:t>
      </w:r>
      <w:r w:rsidRPr="00557688">
        <w:rPr>
          <w:rFonts w:ascii="Arial" w:hAnsi="Arial" w:cs="Arial"/>
          <w:sz w:val="20"/>
        </w:rPr>
        <w:t xml:space="preserve"> se mohou odlišovat od údajů zveřejňovaných ČSÚ. Příčinou jsou například metodické rozdíly, používání jiných modelů při sezónním očišťování, rozdílné ukazatele, odlišné definice obecných ukazatelů, rozdílné pokrytí (např. </w:t>
      </w:r>
      <w:r w:rsidR="00F35720">
        <w:rPr>
          <w:rFonts w:ascii="Arial" w:hAnsi="Arial" w:cs="Arial"/>
          <w:sz w:val="20"/>
        </w:rPr>
        <w:t>odlišné</w:t>
      </w:r>
      <w:r w:rsidRPr="00557688">
        <w:rPr>
          <w:rFonts w:ascii="Arial" w:hAnsi="Arial" w:cs="Arial"/>
          <w:sz w:val="20"/>
        </w:rPr>
        <w:t xml:space="preserve"> velikostní skupiny), zaokrouhlování, harmonizace (srovnatelnost mezi státy) a podobně. Více najdete na stránkách Českého statistického úřadu: </w:t>
      </w:r>
    </w:p>
    <w:p w:rsidR="00335719" w:rsidRPr="001901AC" w:rsidRDefault="00A044CA" w:rsidP="00335719">
      <w:pPr>
        <w:spacing w:before="120"/>
        <w:jc w:val="both"/>
        <w:rPr>
          <w:rFonts w:ascii="Arial" w:hAnsi="Arial" w:cs="Arial"/>
          <w:sz w:val="18"/>
          <w:szCs w:val="18"/>
        </w:rPr>
      </w:pPr>
      <w:hyperlink r:id="rId6" w:history="1">
        <w:r w:rsidR="00335719" w:rsidRPr="001901AC">
          <w:rPr>
            <w:rStyle w:val="Hypertextovodkaz"/>
            <w:rFonts w:ascii="Arial" w:hAnsi="Arial" w:cs="Arial"/>
            <w:sz w:val="18"/>
            <w:szCs w:val="18"/>
          </w:rPr>
          <w:t>https://www.czso.cz/csu/czso/rozdily_mezi_daty_zverejnovanymi_ceskym_statistickym_uradem_a_eurostatem</w:t>
        </w:r>
      </w:hyperlink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Rozdíly v datech mezi jednotlivými ročníky této publikace mohou být způsobeny změnami metodiky, které </w:t>
      </w:r>
      <w:r>
        <w:rPr>
          <w:rFonts w:ascii="Arial" w:hAnsi="Arial" w:cs="Arial"/>
          <w:sz w:val="20"/>
        </w:rPr>
        <w:t>provádějí</w:t>
      </w:r>
      <w:r w:rsidRPr="00557688">
        <w:rPr>
          <w:rFonts w:ascii="Arial" w:hAnsi="Arial" w:cs="Arial"/>
          <w:sz w:val="20"/>
        </w:rPr>
        <w:t xml:space="preserve"> statistick</w:t>
      </w:r>
      <w:r>
        <w:rPr>
          <w:rFonts w:ascii="Arial" w:hAnsi="Arial" w:cs="Arial"/>
          <w:sz w:val="20"/>
        </w:rPr>
        <w:t>é</w:t>
      </w:r>
      <w:r w:rsidRPr="00557688">
        <w:rPr>
          <w:rFonts w:ascii="Arial" w:hAnsi="Arial" w:cs="Arial"/>
          <w:sz w:val="20"/>
        </w:rPr>
        <w:t xml:space="preserve"> úřad</w:t>
      </w:r>
      <w:r>
        <w:rPr>
          <w:rFonts w:ascii="Arial" w:hAnsi="Arial" w:cs="Arial"/>
          <w:sz w:val="20"/>
        </w:rPr>
        <w:t>y</w:t>
      </w:r>
      <w:r w:rsidRPr="00557688">
        <w:rPr>
          <w:rFonts w:ascii="Arial" w:hAnsi="Arial" w:cs="Arial"/>
          <w:sz w:val="20"/>
        </w:rPr>
        <w:t xml:space="preserve"> všech členských zemí v různých letech. Například se přec</w:t>
      </w:r>
      <w:r w:rsidR="007F2138">
        <w:rPr>
          <w:rFonts w:ascii="Arial" w:hAnsi="Arial" w:cs="Arial"/>
          <w:sz w:val="20"/>
        </w:rPr>
        <w:t>hází na nové klasifikace (</w:t>
      </w:r>
      <w:r w:rsidRPr="00557688">
        <w:rPr>
          <w:rFonts w:ascii="Arial" w:hAnsi="Arial" w:cs="Arial"/>
          <w:sz w:val="20"/>
        </w:rPr>
        <w:t>NACE</w:t>
      </w:r>
      <w:r w:rsidR="007F2138">
        <w:rPr>
          <w:rFonts w:ascii="Arial" w:hAnsi="Arial" w:cs="Arial"/>
          <w:sz w:val="20"/>
        </w:rPr>
        <w:t>, CPA…</w:t>
      </w:r>
      <w:r w:rsidRPr="00557688">
        <w:rPr>
          <w:rFonts w:ascii="Arial" w:hAnsi="Arial" w:cs="Arial"/>
          <w:sz w:val="20"/>
        </w:rPr>
        <w:t>). V některých případech se údaje zpětně dopočítávají, mění se agregáty</w:t>
      </w:r>
      <w:r w:rsidR="00BC0D6E">
        <w:rPr>
          <w:rFonts w:ascii="Arial" w:hAnsi="Arial" w:cs="Arial"/>
          <w:sz w:val="20"/>
        </w:rPr>
        <w:t xml:space="preserve"> či bazické roky</w:t>
      </w:r>
      <w:r w:rsidRPr="00557688">
        <w:rPr>
          <w:rFonts w:ascii="Arial" w:hAnsi="Arial" w:cs="Arial"/>
          <w:sz w:val="20"/>
        </w:rPr>
        <w:t>. V</w:t>
      </w:r>
      <w:r w:rsidR="0002416F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důsledku změn v ekonomice se údaje v některých zemích stávají důvěrnými a nemohou být publikovány. Rozdíly vznikají </w:t>
      </w:r>
      <w:r>
        <w:rPr>
          <w:rFonts w:ascii="Arial" w:hAnsi="Arial" w:cs="Arial"/>
          <w:sz w:val="20"/>
        </w:rPr>
        <w:t xml:space="preserve">i </w:t>
      </w:r>
      <w:r w:rsidRPr="00557688">
        <w:rPr>
          <w:rFonts w:ascii="Arial" w:hAnsi="Arial" w:cs="Arial"/>
          <w:sz w:val="20"/>
        </w:rPr>
        <w:t>použitím nových zdrojů dat. Pokud používaný zdroj v daném roce neprovedl aktualizaci dat a je jisté, že již aktualizaci provádět nebude, snažili jsme se jej nahradit jiným zdrojem a</w:t>
      </w:r>
      <w:r w:rsidR="00F35720">
        <w:rPr>
          <w:rFonts w:ascii="Arial" w:hAnsi="Arial" w:cs="Arial"/>
          <w:sz w:val="20"/>
        </w:rPr>
        <w:t> </w:t>
      </w:r>
      <w:r w:rsidRPr="00557688">
        <w:rPr>
          <w:rFonts w:ascii="Arial" w:hAnsi="Arial" w:cs="Arial"/>
          <w:sz w:val="20"/>
        </w:rPr>
        <w:t xml:space="preserve">uvedli jsme novou definici ukazatele. Některé tabulky zanikly zcela, nové, pro uživatele snad zajímavé, </w:t>
      </w:r>
      <w:r w:rsidR="00F35720">
        <w:rPr>
          <w:rFonts w:ascii="Arial" w:hAnsi="Arial" w:cs="Arial"/>
          <w:sz w:val="20"/>
        </w:rPr>
        <w:t>byly doplněny</w:t>
      </w:r>
      <w:r w:rsidRPr="00557688">
        <w:rPr>
          <w:rFonts w:ascii="Arial" w:hAnsi="Arial" w:cs="Arial"/>
          <w:sz w:val="20"/>
        </w:rPr>
        <w:t>.</w:t>
      </w:r>
    </w:p>
    <w:p w:rsidR="00EC482A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 xml:space="preserve"> U všech tabulek je uveden zdroj dat a datum, ke kterému jsou údaje platné. </w:t>
      </w:r>
    </w:p>
    <w:p w:rsidR="00423A7C" w:rsidRDefault="00423A7C" w:rsidP="00423A7C">
      <w:pPr>
        <w:spacing w:before="120"/>
        <w:ind w:firstLine="360"/>
        <w:jc w:val="both"/>
        <w:rPr>
          <w:rFonts w:ascii="Arial" w:hAnsi="Arial" w:cs="Arial"/>
          <w:sz w:val="20"/>
        </w:rPr>
      </w:pPr>
      <w:r w:rsidRPr="00557688">
        <w:rPr>
          <w:rFonts w:ascii="Arial" w:hAnsi="Arial" w:cs="Arial"/>
          <w:sz w:val="20"/>
        </w:rPr>
        <w:t>Český statistický úřad není zodpovědný za dat</w:t>
      </w:r>
      <w:r w:rsidR="007F2138">
        <w:rPr>
          <w:rFonts w:ascii="Arial" w:hAnsi="Arial" w:cs="Arial"/>
          <w:sz w:val="20"/>
        </w:rPr>
        <w:t>a</w:t>
      </w:r>
      <w:r w:rsidRPr="00557688">
        <w:rPr>
          <w:rFonts w:ascii="Arial" w:hAnsi="Arial" w:cs="Arial"/>
          <w:sz w:val="20"/>
        </w:rPr>
        <w:t xml:space="preserve"> </w:t>
      </w:r>
      <w:r w:rsidR="007F2138">
        <w:rPr>
          <w:rFonts w:ascii="Arial" w:hAnsi="Arial" w:cs="Arial"/>
          <w:sz w:val="20"/>
        </w:rPr>
        <w:t xml:space="preserve">z </w:t>
      </w:r>
      <w:r w:rsidRPr="00557688">
        <w:rPr>
          <w:rFonts w:ascii="Arial" w:hAnsi="Arial" w:cs="Arial"/>
          <w:sz w:val="20"/>
        </w:rPr>
        <w:t>jiných zdrojů.</w:t>
      </w:r>
    </w:p>
    <w:p w:rsidR="00C56207" w:rsidRDefault="00C56207" w:rsidP="001B60E2">
      <w:pPr>
        <w:spacing w:before="120"/>
        <w:ind w:firstLine="360"/>
        <w:jc w:val="both"/>
        <w:rPr>
          <w:rFonts w:ascii="Arial" w:hAnsi="Arial" w:cs="Arial"/>
          <w:sz w:val="20"/>
        </w:rPr>
      </w:pPr>
    </w:p>
    <w:p w:rsidR="0004266E" w:rsidRDefault="0004266E" w:rsidP="001B60E2">
      <w:pPr>
        <w:spacing w:before="1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Vysvětlivky: </w:t>
      </w:r>
    </w:p>
    <w:p w:rsidR="00F378BE" w:rsidRPr="00F378BE" w:rsidRDefault="00F378BE" w:rsidP="00312DF8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</w:rPr>
      </w:pPr>
      <w:r w:rsidRPr="00F378BE">
        <w:t>EU 28</w:t>
      </w:r>
      <w:r>
        <w:rPr>
          <w:b w:val="0"/>
        </w:rPr>
        <w:t xml:space="preserve"> značí </w:t>
      </w:r>
      <w:r w:rsidRPr="00F378BE">
        <w:rPr>
          <w:b w:val="0"/>
        </w:rPr>
        <w:t>Evropsk</w:t>
      </w:r>
      <w:r>
        <w:rPr>
          <w:b w:val="0"/>
        </w:rPr>
        <w:t>ou unii</w:t>
      </w:r>
      <w:r w:rsidR="00302911">
        <w:rPr>
          <w:b w:val="0"/>
        </w:rPr>
        <w:t xml:space="preserve"> </w:t>
      </w:r>
      <w:r w:rsidR="00A173AF">
        <w:rPr>
          <w:b w:val="0"/>
        </w:rPr>
        <w:t>- ekonomické a politické uskupení 28 států Evropy</w:t>
      </w:r>
      <w:r w:rsidRPr="00F378BE">
        <w:rPr>
          <w:b w:val="0"/>
        </w:rPr>
        <w:t>.</w:t>
      </w:r>
      <w:r>
        <w:rPr>
          <w:b w:val="0"/>
        </w:rPr>
        <w:t xml:space="preserve"> Naposledy se rozšiřovala 1. 7. 2013, kdy přistoupilo Chorvatsko.</w:t>
      </w:r>
    </w:p>
    <w:p w:rsidR="00F378BE" w:rsidRDefault="0004266E" w:rsidP="00F378BE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bCs w:val="0"/>
        </w:rPr>
      </w:pPr>
      <w:r>
        <w:t xml:space="preserve">EU 27 </w:t>
      </w:r>
      <w:r>
        <w:rPr>
          <w:b w:val="0"/>
          <w:bCs w:val="0"/>
        </w:rPr>
        <w:t xml:space="preserve">je Evropská unie po rozšíření </w:t>
      </w:r>
      <w:r w:rsidR="00AE32F3">
        <w:rPr>
          <w:b w:val="0"/>
          <w:bCs w:val="0"/>
        </w:rPr>
        <w:t>1. 1. 2007</w:t>
      </w:r>
      <w:r>
        <w:rPr>
          <w:b w:val="0"/>
          <w:bCs w:val="0"/>
        </w:rPr>
        <w:t xml:space="preserve"> o Bulharsko a Rumunsko.</w:t>
      </w:r>
    </w:p>
    <w:p w:rsidR="00A173AF" w:rsidRDefault="003B2489" w:rsidP="001C68EC">
      <w:pPr>
        <w:pStyle w:val="Nadpis1"/>
        <w:keepNext w:val="0"/>
        <w:autoSpaceDE w:val="0"/>
        <w:autoSpaceDN w:val="0"/>
        <w:adjustRightInd w:val="0"/>
        <w:spacing w:before="120"/>
        <w:rPr>
          <w:b w:val="0"/>
          <w:szCs w:val="20"/>
        </w:rPr>
      </w:pPr>
      <w:r>
        <w:rPr>
          <w:b w:val="0"/>
          <w:szCs w:val="20"/>
        </w:rPr>
        <w:t>Smlouva o Evropské unii vstoupila v pl</w:t>
      </w:r>
      <w:bookmarkStart w:id="0" w:name="_GoBack"/>
      <w:bookmarkEnd w:id="0"/>
      <w:r>
        <w:rPr>
          <w:b w:val="0"/>
          <w:szCs w:val="20"/>
        </w:rPr>
        <w:t xml:space="preserve">atnost 1. 11. 1993 po podepsání Maastrichtské smlouvy následujícími </w:t>
      </w:r>
      <w:r w:rsidR="00A24A80">
        <w:rPr>
          <w:b w:val="0"/>
          <w:szCs w:val="20"/>
        </w:rPr>
        <w:t xml:space="preserve">12 </w:t>
      </w:r>
      <w:r>
        <w:rPr>
          <w:b w:val="0"/>
          <w:szCs w:val="20"/>
        </w:rPr>
        <w:t xml:space="preserve">státy: </w:t>
      </w:r>
      <w:r w:rsidRPr="003B2489">
        <w:rPr>
          <w:b w:val="0"/>
        </w:rPr>
        <w:t xml:space="preserve">Belgie, Dánsko, Francie, Irsko, Itálie, Lucembursko, Německo, Nizozemsko, Portugalsko, </w:t>
      </w:r>
      <w:r>
        <w:rPr>
          <w:b w:val="0"/>
        </w:rPr>
        <w:t>Řecko</w:t>
      </w:r>
      <w:r w:rsidRPr="003B2489">
        <w:rPr>
          <w:b w:val="0"/>
        </w:rPr>
        <w:t xml:space="preserve">, Španělsko, </w:t>
      </w:r>
      <w:r w:rsidR="00A24A80">
        <w:rPr>
          <w:b w:val="0"/>
        </w:rPr>
        <w:t xml:space="preserve">Velká Británie. 1. 1. 1995 se rozšířila o další 3 země: Finsko, Rakousko a Švédsko. </w:t>
      </w:r>
      <w:r w:rsidR="00F378BE" w:rsidRPr="00F378BE">
        <w:rPr>
          <w:b w:val="0"/>
          <w:szCs w:val="20"/>
        </w:rPr>
        <w:t xml:space="preserve">Dne 1. 5. 2004 </w:t>
      </w:r>
      <w:r>
        <w:rPr>
          <w:b w:val="0"/>
          <w:szCs w:val="20"/>
        </w:rPr>
        <w:t>při</w:t>
      </w:r>
      <w:r w:rsidR="00F378BE" w:rsidRPr="00F378BE">
        <w:rPr>
          <w:b w:val="0"/>
          <w:szCs w:val="20"/>
        </w:rPr>
        <w:t>stoupilo 10 nových zemí</w:t>
      </w:r>
      <w:r w:rsidR="00A24A80">
        <w:rPr>
          <w:b w:val="0"/>
          <w:szCs w:val="20"/>
        </w:rPr>
        <w:t>:</w:t>
      </w:r>
      <w:r w:rsidR="00F378BE" w:rsidRPr="00F378BE">
        <w:rPr>
          <w:b w:val="0"/>
          <w:szCs w:val="20"/>
        </w:rPr>
        <w:t xml:space="preserve"> Česká republika, Estonsko, Kypr, Litva, Lotyšsko, Maďarsko, Malta,</w:t>
      </w:r>
      <w:r w:rsidR="00A24A80">
        <w:rPr>
          <w:b w:val="0"/>
          <w:szCs w:val="20"/>
        </w:rPr>
        <w:t xml:space="preserve"> Polsko, Slovensko a Slovinsko.</w:t>
      </w:r>
    </w:p>
    <w:p w:rsidR="00A173AF" w:rsidRPr="00A173AF" w:rsidRDefault="00A173AF" w:rsidP="00A044CA">
      <w:pPr>
        <w:spacing w:before="120"/>
        <w:jc w:val="both"/>
      </w:pPr>
      <w:proofErr w:type="spellStart"/>
      <w:r w:rsidRPr="00A044CA">
        <w:rPr>
          <w:rFonts w:ascii="Arial" w:hAnsi="Arial" w:cs="Arial"/>
          <w:sz w:val="20"/>
          <w:szCs w:val="20"/>
        </w:rPr>
        <w:t>Eurostat</w:t>
      </w:r>
      <w:proofErr w:type="spellEnd"/>
      <w:r w:rsidRPr="00A044CA">
        <w:rPr>
          <w:rFonts w:ascii="Arial" w:hAnsi="Arial" w:cs="Arial"/>
          <w:sz w:val="20"/>
          <w:szCs w:val="20"/>
        </w:rPr>
        <w:t xml:space="preserve"> používá následující zkratky pro různá seskupení členských států EU (od 27. února 2020): E</w:t>
      </w:r>
      <w:r w:rsidR="00162ACE">
        <w:rPr>
          <w:rFonts w:ascii="Arial" w:hAnsi="Arial" w:cs="Arial"/>
          <w:sz w:val="20"/>
          <w:szCs w:val="20"/>
        </w:rPr>
        <w:t>U</w:t>
      </w:r>
      <w:r w:rsidRPr="00A044CA">
        <w:rPr>
          <w:rFonts w:ascii="Arial" w:hAnsi="Arial" w:cs="Arial"/>
          <w:sz w:val="20"/>
          <w:szCs w:val="20"/>
        </w:rPr>
        <w:t xml:space="preserve"> 27_2020 (</w:t>
      </w:r>
      <w:r w:rsidR="00162ACE">
        <w:rPr>
          <w:rFonts w:ascii="Arial" w:hAnsi="Arial" w:cs="Arial"/>
          <w:sz w:val="20"/>
          <w:szCs w:val="20"/>
        </w:rPr>
        <w:t>E</w:t>
      </w:r>
      <w:r w:rsidRPr="00A044CA">
        <w:rPr>
          <w:rFonts w:ascii="Arial" w:hAnsi="Arial" w:cs="Arial"/>
          <w:sz w:val="20"/>
          <w:szCs w:val="20"/>
        </w:rPr>
        <w:t>vropská unie – 27 zemí (od r. 2020)), EU 28 (Evropská unie – 28 zemí (2013-2020)), EU 27_2007 (Evropská unie – 27 zemí (2007-2013)).</w:t>
      </w:r>
    </w:p>
    <w:p w:rsidR="0004266E" w:rsidRPr="00BD381A" w:rsidRDefault="0004266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Eurozóna </w:t>
      </w:r>
      <w:r>
        <w:rPr>
          <w:rFonts w:ascii="Arial" w:hAnsi="Arial" w:cs="Arial"/>
          <w:sz w:val="20"/>
          <w:szCs w:val="20"/>
        </w:rPr>
        <w:t>je území těch členských států Evropské unie, které přijaly euro jako společnou měnu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souladu se „Smlouvou o založení Evropského společenství“. Zvláštní vrcholné zasedání Evropské unie v</w:t>
      </w:r>
      <w:r w:rsidR="006B541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květnu roku 1998 konstatovalo, že pro zavedení jednotné měny euro se kvalifikovalo 11 zemí Evropské unie (Belgie, Finsko, Francie, Itálie, Irsko, Lucembursko, Německo, </w:t>
      </w:r>
      <w:r w:rsidR="00B728F3">
        <w:rPr>
          <w:rFonts w:ascii="Arial" w:hAnsi="Arial" w:cs="Arial"/>
          <w:sz w:val="20"/>
          <w:szCs w:val="20"/>
        </w:rPr>
        <w:t xml:space="preserve">Nizozemsko, </w:t>
      </w:r>
      <w:r>
        <w:rPr>
          <w:rFonts w:ascii="Arial" w:hAnsi="Arial" w:cs="Arial"/>
          <w:sz w:val="20"/>
          <w:szCs w:val="20"/>
        </w:rPr>
        <w:t>Portugalsko, Rakousko, Španělsko). Kurzy měn těchto zemí k euru byly ke konci roku 1998 trvale fixovány ve for</w:t>
      </w:r>
      <w:r w:rsidR="00B619D6">
        <w:rPr>
          <w:rFonts w:ascii="Arial" w:hAnsi="Arial" w:cs="Arial"/>
          <w:sz w:val="20"/>
          <w:szCs w:val="20"/>
        </w:rPr>
        <w:t>mě přepočítacích koeficientů. V</w:t>
      </w:r>
      <w:r w:rsidR="00262B7F">
        <w:rPr>
          <w:rFonts w:ascii="Arial" w:hAnsi="Arial" w:cs="Arial"/>
          <w:sz w:val="20"/>
          <w:szCs w:val="20"/>
        </w:rPr>
        <w:t> </w:t>
      </w:r>
      <w:r w:rsidR="00B619D6">
        <w:rPr>
          <w:rFonts w:ascii="Arial" w:hAnsi="Arial" w:cs="Arial"/>
          <w:sz w:val="20"/>
          <w:szCs w:val="20"/>
        </w:rPr>
        <w:t>lednu</w:t>
      </w:r>
      <w:r>
        <w:rPr>
          <w:rFonts w:ascii="Arial" w:hAnsi="Arial" w:cs="Arial"/>
          <w:sz w:val="20"/>
          <w:szCs w:val="20"/>
        </w:rPr>
        <w:t xml:space="preserve"> 2001 k těmto zemím přistoupilo Řecko a odtud </w:t>
      </w:r>
      <w:r w:rsidRPr="009F0BF3">
        <w:rPr>
          <w:rFonts w:ascii="Arial" w:hAnsi="Arial" w:cs="Arial"/>
          <w:bCs/>
          <w:sz w:val="20"/>
          <w:szCs w:val="20"/>
        </w:rPr>
        <w:t>Eurozóna (12 zemí)</w:t>
      </w:r>
      <w:r w:rsidRPr="009F0BF3">
        <w:rPr>
          <w:rFonts w:ascii="Arial" w:hAnsi="Arial" w:cs="Arial"/>
          <w:sz w:val="20"/>
          <w:szCs w:val="20"/>
        </w:rPr>
        <w:t>.</w:t>
      </w:r>
      <w:r w:rsidRPr="0077005C">
        <w:rPr>
          <w:rFonts w:ascii="Arial" w:hAnsi="Arial" w:cs="Arial"/>
          <w:color w:val="FF0000"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sz w:val="20"/>
          <w:szCs w:val="20"/>
        </w:rPr>
        <w:t>1. 1. 2007</w:t>
      </w:r>
      <w:r w:rsidRPr="00BD381A">
        <w:rPr>
          <w:rFonts w:ascii="Arial" w:hAnsi="Arial" w:cs="Arial"/>
          <w:sz w:val="20"/>
          <w:szCs w:val="20"/>
        </w:rPr>
        <w:t xml:space="preserve"> rozšířilo p</w:t>
      </w:r>
      <w:r w:rsidR="009357DC">
        <w:rPr>
          <w:rFonts w:ascii="Arial" w:hAnsi="Arial" w:cs="Arial"/>
          <w:sz w:val="20"/>
          <w:szCs w:val="20"/>
        </w:rPr>
        <w:t>očet zemí, které úspěšně přijaly</w:t>
      </w:r>
      <w:r w:rsidRPr="00BD381A">
        <w:rPr>
          <w:rFonts w:ascii="Arial" w:hAnsi="Arial" w:cs="Arial"/>
          <w:sz w:val="20"/>
          <w:szCs w:val="20"/>
        </w:rPr>
        <w:t xml:space="preserve"> euro ve formě bankovek a mincí</w:t>
      </w:r>
      <w:r w:rsidR="00CB6E32">
        <w:rPr>
          <w:rFonts w:ascii="Arial" w:hAnsi="Arial" w:cs="Arial"/>
          <w:sz w:val="20"/>
          <w:szCs w:val="20"/>
        </w:rPr>
        <w:t>,</w:t>
      </w:r>
      <w:r w:rsidRPr="00BD381A">
        <w:rPr>
          <w:rFonts w:ascii="Arial" w:hAnsi="Arial" w:cs="Arial"/>
          <w:sz w:val="20"/>
          <w:szCs w:val="20"/>
        </w:rPr>
        <w:t xml:space="preserve"> Slovinsko</w:t>
      </w:r>
      <w:r w:rsidR="00B619D6" w:rsidRPr="00B619D6">
        <w:rPr>
          <w:rFonts w:ascii="Arial" w:hAnsi="Arial" w:cs="Arial"/>
          <w:sz w:val="20"/>
          <w:szCs w:val="20"/>
        </w:rPr>
        <w:t xml:space="preserve"> – </w:t>
      </w:r>
      <w:r w:rsidR="00B619D6" w:rsidRPr="009F0BF3">
        <w:rPr>
          <w:rFonts w:ascii="Arial" w:hAnsi="Arial" w:cs="Arial"/>
          <w:sz w:val="20"/>
          <w:szCs w:val="20"/>
        </w:rPr>
        <w:t>Eurozóna (13 zemí)</w:t>
      </w:r>
      <w:r w:rsidR="008E669C" w:rsidRPr="009F0BF3">
        <w:rPr>
          <w:rFonts w:ascii="Arial" w:hAnsi="Arial" w:cs="Arial"/>
          <w:sz w:val="20"/>
          <w:szCs w:val="20"/>
        </w:rPr>
        <w:t>,</w:t>
      </w:r>
      <w:r w:rsidR="007002DA" w:rsidRPr="00BD381A">
        <w:rPr>
          <w:rFonts w:ascii="Arial" w:hAnsi="Arial" w:cs="Arial"/>
          <w:bCs/>
          <w:sz w:val="20"/>
          <w:szCs w:val="20"/>
        </w:rPr>
        <w:t xml:space="preserve"> </w:t>
      </w:r>
      <w:r w:rsidR="00A97723" w:rsidRPr="00BD381A">
        <w:rPr>
          <w:rFonts w:ascii="Arial" w:hAnsi="Arial" w:cs="Arial"/>
          <w:bCs/>
          <w:sz w:val="20"/>
          <w:szCs w:val="20"/>
        </w:rPr>
        <w:t>1. 1. 2008</w:t>
      </w:r>
      <w:r w:rsidRPr="00BD381A">
        <w:rPr>
          <w:rFonts w:ascii="Arial" w:hAnsi="Arial" w:cs="Arial"/>
          <w:bCs/>
          <w:sz w:val="20"/>
          <w:szCs w:val="20"/>
        </w:rPr>
        <w:t xml:space="preserve"> </w:t>
      </w:r>
      <w:r w:rsidR="00B619D6">
        <w:rPr>
          <w:rFonts w:ascii="Arial" w:hAnsi="Arial" w:cs="Arial"/>
          <w:bCs/>
          <w:sz w:val="20"/>
          <w:szCs w:val="20"/>
        </w:rPr>
        <w:t xml:space="preserve">přistoupily </w:t>
      </w:r>
      <w:r w:rsidR="007002DA" w:rsidRPr="00BD381A">
        <w:rPr>
          <w:rFonts w:ascii="Arial" w:hAnsi="Arial" w:cs="Arial"/>
          <w:bCs/>
          <w:sz w:val="20"/>
          <w:szCs w:val="20"/>
        </w:rPr>
        <w:t>Kypr a Malta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B619D6" w:rsidRPr="00B619D6">
        <w:rPr>
          <w:rFonts w:ascii="Arial" w:hAnsi="Arial" w:cs="Arial"/>
          <w:sz w:val="20"/>
          <w:szCs w:val="20"/>
        </w:rPr>
        <w:t>–</w:t>
      </w:r>
      <w:r w:rsidR="00B619D6" w:rsidRPr="00B619D6">
        <w:rPr>
          <w:rFonts w:ascii="Arial" w:hAnsi="Arial" w:cs="Arial"/>
          <w:bCs/>
          <w:sz w:val="20"/>
          <w:szCs w:val="20"/>
        </w:rPr>
        <w:t xml:space="preserve"> </w:t>
      </w:r>
      <w:r w:rsidR="007002DA" w:rsidRPr="009F0BF3">
        <w:rPr>
          <w:rFonts w:ascii="Arial" w:hAnsi="Arial" w:cs="Arial"/>
          <w:bCs/>
          <w:sz w:val="20"/>
          <w:szCs w:val="20"/>
        </w:rPr>
        <w:t>Eurozóna (15 zemí)</w:t>
      </w:r>
      <w:r w:rsidR="009B1856" w:rsidRPr="009F0BF3">
        <w:rPr>
          <w:rFonts w:ascii="Arial" w:hAnsi="Arial" w:cs="Arial"/>
          <w:bCs/>
          <w:sz w:val="20"/>
          <w:szCs w:val="20"/>
        </w:rPr>
        <w:t>,</w:t>
      </w:r>
      <w:r w:rsidR="00A97723" w:rsidRPr="00A97723">
        <w:rPr>
          <w:rFonts w:ascii="Arial" w:hAnsi="Arial" w:cs="Arial"/>
          <w:bCs/>
          <w:sz w:val="20"/>
          <w:szCs w:val="20"/>
        </w:rPr>
        <w:t xml:space="preserve"> 1. 1. 2009 Slovensko – </w:t>
      </w:r>
      <w:r w:rsidR="00A97723" w:rsidRPr="009F0BF3">
        <w:rPr>
          <w:rFonts w:ascii="Arial" w:hAnsi="Arial" w:cs="Arial"/>
          <w:bCs/>
          <w:sz w:val="20"/>
          <w:szCs w:val="20"/>
        </w:rPr>
        <w:t>Eurozóna (16 zemí)</w:t>
      </w:r>
      <w:r w:rsidR="009F0BF3">
        <w:rPr>
          <w:rFonts w:ascii="Arial" w:hAnsi="Arial" w:cs="Arial"/>
          <w:bCs/>
          <w:sz w:val="20"/>
          <w:szCs w:val="20"/>
        </w:rPr>
        <w:t>,</w:t>
      </w:r>
      <w:r w:rsidR="008E669C">
        <w:rPr>
          <w:rFonts w:ascii="Arial" w:hAnsi="Arial" w:cs="Arial"/>
          <w:bCs/>
          <w:sz w:val="20"/>
          <w:szCs w:val="20"/>
        </w:rPr>
        <w:t xml:space="preserve"> 1. 1. 2011 Estonsko </w:t>
      </w:r>
      <w:r w:rsidR="008E669C" w:rsidRPr="00A97723">
        <w:rPr>
          <w:rFonts w:ascii="Arial" w:hAnsi="Arial" w:cs="Arial"/>
          <w:bCs/>
          <w:sz w:val="20"/>
          <w:szCs w:val="20"/>
        </w:rPr>
        <w:t>–</w:t>
      </w:r>
      <w:r w:rsidR="008E669C">
        <w:rPr>
          <w:rFonts w:ascii="Arial" w:hAnsi="Arial" w:cs="Arial"/>
          <w:bCs/>
          <w:sz w:val="20"/>
          <w:szCs w:val="20"/>
        </w:rPr>
        <w:t xml:space="preserve"> 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 xml:space="preserve">Eurozóna 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>(</w:t>
      </w:r>
      <w:r w:rsidR="009B1856" w:rsidRPr="008E669C">
        <w:rPr>
          <w:rFonts w:ascii="Arial" w:hAnsi="Arial" w:cs="Arial"/>
          <w:b/>
          <w:bCs/>
          <w:sz w:val="20"/>
          <w:szCs w:val="20"/>
        </w:rPr>
        <w:t>17</w:t>
      </w:r>
      <w:r w:rsidR="008E669C" w:rsidRPr="008E669C">
        <w:rPr>
          <w:rFonts w:ascii="Arial" w:hAnsi="Arial" w:cs="Arial"/>
          <w:b/>
          <w:bCs/>
          <w:sz w:val="20"/>
          <w:szCs w:val="20"/>
        </w:rPr>
        <w:t xml:space="preserve"> zemí)</w:t>
      </w:r>
      <w:r w:rsidR="00A40D45">
        <w:rPr>
          <w:rFonts w:ascii="Arial" w:hAnsi="Arial" w:cs="Arial"/>
          <w:bCs/>
          <w:sz w:val="20"/>
          <w:szCs w:val="20"/>
        </w:rPr>
        <w:t xml:space="preserve">, </w:t>
      </w:r>
      <w:r w:rsidR="009F0BF3">
        <w:rPr>
          <w:rFonts w:ascii="Arial" w:hAnsi="Arial" w:cs="Arial"/>
          <w:bCs/>
          <w:sz w:val="20"/>
          <w:szCs w:val="20"/>
        </w:rPr>
        <w:t xml:space="preserve">1. 1. 2014 Lotyšsko – </w:t>
      </w:r>
      <w:r w:rsidR="009F0BF3" w:rsidRPr="009F0BF3">
        <w:rPr>
          <w:rFonts w:ascii="Arial" w:hAnsi="Arial" w:cs="Arial"/>
          <w:b/>
          <w:bCs/>
          <w:sz w:val="20"/>
          <w:szCs w:val="20"/>
        </w:rPr>
        <w:t>Eurozóna (18 zemí)</w:t>
      </w:r>
      <w:r w:rsidR="00A40D45">
        <w:rPr>
          <w:rFonts w:ascii="Arial" w:hAnsi="Arial" w:cs="Arial"/>
          <w:bCs/>
          <w:sz w:val="20"/>
          <w:szCs w:val="20"/>
        </w:rPr>
        <w:t xml:space="preserve"> a 1. 1. 2015 Litva – </w:t>
      </w:r>
      <w:r w:rsidR="00A40D45" w:rsidRPr="00CC229C">
        <w:rPr>
          <w:rFonts w:ascii="Arial" w:hAnsi="Arial" w:cs="Arial"/>
          <w:b/>
          <w:bCs/>
          <w:sz w:val="20"/>
          <w:szCs w:val="20"/>
        </w:rPr>
        <w:t>Eurozóna (19 zemí)</w:t>
      </w:r>
      <w:r w:rsidR="00A40D45">
        <w:rPr>
          <w:rFonts w:ascii="Arial" w:hAnsi="Arial" w:cs="Arial"/>
          <w:bCs/>
          <w:sz w:val="20"/>
          <w:szCs w:val="20"/>
        </w:rPr>
        <w:t>.</w:t>
      </w:r>
    </w:p>
    <w:p w:rsidR="0004266E" w:rsidRDefault="0004266E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Standard kupní síly (</w:t>
      </w:r>
      <w:r w:rsidR="004001AD">
        <w:rPr>
          <w:rFonts w:ascii="Arial" w:hAnsi="Arial" w:cs="Arial"/>
          <w:b/>
          <w:bCs/>
          <w:sz w:val="20"/>
        </w:rPr>
        <w:t>PPS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je umělá měna</w:t>
      </w:r>
      <w:r w:rsidR="00CF60DE">
        <w:rPr>
          <w:rFonts w:ascii="Arial" w:hAnsi="Arial" w:cs="Arial"/>
          <w:sz w:val="20"/>
        </w:rPr>
        <w:t xml:space="preserve"> odrážející</w:t>
      </w:r>
      <w:r>
        <w:rPr>
          <w:rFonts w:ascii="Arial" w:hAnsi="Arial" w:cs="Arial"/>
          <w:sz w:val="20"/>
        </w:rPr>
        <w:t xml:space="preserve"> rozdíly v národních cenových úrovních, které nejsou zachyceny směnným kurzem. Tato jednotka umožňuje smysluplné objemové srovnání ekonomických ukazatelů mezi zeměmi. Úhrnné veličiny vyjádřeny standardem kupní síly jsou získány vydělením souhrnných hodnot v běžných cenách a národní měně příslušnou paritou kupní síly.</w:t>
      </w:r>
    </w:p>
    <w:p w:rsidR="0004266E" w:rsidRDefault="0004266E" w:rsidP="001B60E2">
      <w:pPr>
        <w:pStyle w:val="Normln0"/>
        <w:autoSpaceDE/>
        <w:autoSpaceDN/>
        <w:adjustRightInd/>
        <w:spacing w:before="120"/>
        <w:jc w:val="both"/>
        <w:rPr>
          <w:rFonts w:cs="Arial"/>
          <w:sz w:val="20"/>
        </w:rPr>
      </w:pPr>
      <w:r>
        <w:rPr>
          <w:rFonts w:cs="Arial"/>
          <w:b/>
          <w:bCs/>
          <w:sz w:val="20"/>
        </w:rPr>
        <w:lastRenderedPageBreak/>
        <w:t>Parity kupní síly (P</w:t>
      </w:r>
      <w:r w:rsidR="004001AD">
        <w:rPr>
          <w:rFonts w:cs="Arial"/>
          <w:b/>
          <w:bCs/>
          <w:sz w:val="20"/>
        </w:rPr>
        <w:t>PP</w:t>
      </w:r>
      <w:r>
        <w:rPr>
          <w:rFonts w:cs="Arial"/>
          <w:b/>
          <w:bCs/>
          <w:sz w:val="20"/>
        </w:rPr>
        <w:t xml:space="preserve">) </w:t>
      </w:r>
      <w:r>
        <w:rPr>
          <w:rFonts w:cs="Arial"/>
          <w:sz w:val="20"/>
        </w:rPr>
        <w:t>jsou směnné kurzy, které vyrovnávají kupní sílu jednotlivých měn. To znamená, že za daný obnos peněz, konver</w:t>
      </w:r>
      <w:r w:rsidR="00BE7D59">
        <w:rPr>
          <w:rFonts w:cs="Arial"/>
          <w:sz w:val="20"/>
        </w:rPr>
        <w:t>tovaný do různých měn kurzem PPP</w:t>
      </w:r>
      <w:r>
        <w:rPr>
          <w:rFonts w:cs="Arial"/>
          <w:sz w:val="20"/>
        </w:rPr>
        <w:t>, je možné koupit ve všech zemích ten samý spotřební ko</w:t>
      </w:r>
      <w:r w:rsidR="00BE7D59">
        <w:rPr>
          <w:rFonts w:cs="Arial"/>
          <w:sz w:val="20"/>
        </w:rPr>
        <w:t>š zboží a služeb. Kurzy PPP</w:t>
      </w:r>
      <w:r>
        <w:rPr>
          <w:rFonts w:cs="Arial"/>
          <w:sz w:val="20"/>
        </w:rPr>
        <w:t xml:space="preserve"> tak odstraňují rozdíly v cenových úrovních mezi zeměmi. </w:t>
      </w:r>
    </w:p>
    <w:p w:rsidR="009F0BF3" w:rsidRDefault="009F0BF3" w:rsidP="001B60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V kapitole 8 </w:t>
      </w:r>
      <w:r w:rsidRPr="009F0BF3">
        <w:rPr>
          <w:rFonts w:ascii="Arial" w:hAnsi="Arial" w:cs="Arial"/>
          <w:b/>
          <w:sz w:val="20"/>
          <w:szCs w:val="16"/>
        </w:rPr>
        <w:t>Makroekonomika</w:t>
      </w:r>
      <w:r>
        <w:rPr>
          <w:rFonts w:ascii="Arial" w:hAnsi="Arial" w:cs="Arial"/>
          <w:sz w:val="20"/>
          <w:szCs w:val="16"/>
        </w:rPr>
        <w:t xml:space="preserve"> byly ukazatele týkající se národních účtů zpracovány podle nového Evropského systému integrovan</w:t>
      </w:r>
      <w:r w:rsidR="00335719">
        <w:rPr>
          <w:rFonts w:ascii="Arial" w:hAnsi="Arial" w:cs="Arial"/>
          <w:sz w:val="20"/>
          <w:szCs w:val="16"/>
        </w:rPr>
        <w:t xml:space="preserve">ých hospodářských účtů </w:t>
      </w:r>
      <w:r w:rsidR="00335719" w:rsidRPr="00D44E27">
        <w:rPr>
          <w:rFonts w:ascii="Arial" w:hAnsi="Arial" w:cs="Arial"/>
          <w:b/>
          <w:sz w:val="20"/>
          <w:szCs w:val="16"/>
        </w:rPr>
        <w:t>ESA 2010</w:t>
      </w:r>
      <w:r w:rsidR="00335719">
        <w:rPr>
          <w:rFonts w:ascii="Arial" w:hAnsi="Arial" w:cs="Arial"/>
          <w:sz w:val="20"/>
          <w:szCs w:val="16"/>
        </w:rPr>
        <w:t>,</w:t>
      </w:r>
      <w:r>
        <w:rPr>
          <w:rFonts w:ascii="Arial" w:hAnsi="Arial" w:cs="Arial"/>
          <w:sz w:val="20"/>
          <w:szCs w:val="16"/>
        </w:rPr>
        <w:t xml:space="preserve"> </w:t>
      </w:r>
      <w:r w:rsidR="00335719">
        <w:rPr>
          <w:rFonts w:ascii="Arial" w:hAnsi="Arial" w:cs="Arial"/>
          <w:sz w:val="20"/>
          <w:szCs w:val="16"/>
        </w:rPr>
        <w:t xml:space="preserve">ukazatele týkající se platební bilance podle </w:t>
      </w:r>
      <w:r w:rsidR="00D44E27">
        <w:rPr>
          <w:rFonts w:ascii="Arial" w:hAnsi="Arial" w:cs="Arial"/>
          <w:sz w:val="20"/>
          <w:szCs w:val="16"/>
        </w:rPr>
        <w:t>šestého vydání Manuálu k sestavení platební bilance a investiční pozice vůči zahraničí (</w:t>
      </w:r>
      <w:r w:rsidR="00D44E27" w:rsidRPr="00D44E27">
        <w:rPr>
          <w:rFonts w:ascii="Arial" w:hAnsi="Arial" w:cs="Arial"/>
          <w:b/>
          <w:sz w:val="20"/>
          <w:szCs w:val="16"/>
        </w:rPr>
        <w:t>BPM6</w:t>
      </w:r>
      <w:r w:rsidR="00D44E27">
        <w:rPr>
          <w:rFonts w:ascii="Arial" w:hAnsi="Arial" w:cs="Arial"/>
          <w:sz w:val="20"/>
          <w:szCs w:val="16"/>
        </w:rPr>
        <w:t>).</w:t>
      </w:r>
    </w:p>
    <w:p w:rsidR="00C56207" w:rsidRDefault="00CD580D" w:rsidP="00DF5274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Kapitoly</w:t>
      </w:r>
      <w:r w:rsidR="00C56207">
        <w:rPr>
          <w:rFonts w:ascii="Arial" w:hAnsi="Arial" w:cs="Arial"/>
          <w:sz w:val="20"/>
        </w:rPr>
        <w:t xml:space="preserve"> 1</w:t>
      </w:r>
      <w:r w:rsidR="007C6D79">
        <w:rPr>
          <w:rFonts w:ascii="Arial" w:hAnsi="Arial" w:cs="Arial"/>
          <w:sz w:val="20"/>
        </w:rPr>
        <w:t>2</w:t>
      </w:r>
      <w:r w:rsidR="00C56207">
        <w:rPr>
          <w:rFonts w:ascii="Arial" w:hAnsi="Arial" w:cs="Arial"/>
          <w:sz w:val="20"/>
        </w:rPr>
        <w:t xml:space="preserve"> </w:t>
      </w:r>
      <w:r w:rsidR="00C56207" w:rsidRPr="00C56207">
        <w:rPr>
          <w:rFonts w:ascii="Arial" w:hAnsi="Arial" w:cs="Arial"/>
          <w:b/>
          <w:sz w:val="20"/>
        </w:rPr>
        <w:t>Regiony</w:t>
      </w:r>
      <w:r w:rsidR="00C562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1</w:t>
      </w:r>
      <w:r w:rsidR="007C6D7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</w:t>
      </w:r>
      <w:r w:rsidRPr="00CD580D">
        <w:rPr>
          <w:rFonts w:ascii="Arial" w:hAnsi="Arial" w:cs="Arial"/>
          <w:b/>
          <w:sz w:val="20"/>
        </w:rPr>
        <w:t>Územní uspořádání zemí EU</w:t>
      </w:r>
      <w:r>
        <w:rPr>
          <w:rFonts w:ascii="Arial" w:hAnsi="Arial" w:cs="Arial"/>
          <w:sz w:val="20"/>
        </w:rPr>
        <w:t xml:space="preserve"> se věnují</w:t>
      </w:r>
      <w:r w:rsidR="00C56207">
        <w:rPr>
          <w:rFonts w:ascii="Arial" w:hAnsi="Arial" w:cs="Arial"/>
          <w:sz w:val="20"/>
        </w:rPr>
        <w:t xml:space="preserve"> regionům Evropské unie. </w:t>
      </w:r>
      <w:r w:rsidR="00EC482A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ublikace</w:t>
      </w:r>
      <w:r w:rsidR="0002416F">
        <w:rPr>
          <w:rFonts w:ascii="Arial" w:hAnsi="Arial" w:cs="Arial"/>
          <w:sz w:val="20"/>
        </w:rPr>
        <w:t xml:space="preserve"> o</w:t>
      </w:r>
      <w:r w:rsidR="00EC482A">
        <w:rPr>
          <w:rFonts w:ascii="Arial" w:hAnsi="Arial" w:cs="Arial"/>
          <w:sz w:val="20"/>
        </w:rPr>
        <w:t>bsahuje</w:t>
      </w:r>
      <w:r w:rsidR="0002416F">
        <w:rPr>
          <w:rFonts w:ascii="Arial" w:hAnsi="Arial" w:cs="Arial"/>
          <w:sz w:val="20"/>
        </w:rPr>
        <w:t xml:space="preserve"> mapy a k</w:t>
      </w:r>
      <w:r w:rsidR="00C56207">
        <w:rPr>
          <w:rFonts w:ascii="Arial" w:hAnsi="Arial" w:cs="Arial"/>
          <w:sz w:val="20"/>
        </w:rPr>
        <w:t xml:space="preserve">artogramy sloužící k rychlému porovnání úrovně některých ekonomických a sociálních charakteristik jednotlivých regionů. Regiony jsou členěny podle klasifikace NUTS (La </w:t>
      </w:r>
      <w:proofErr w:type="spellStart"/>
      <w:r w:rsidR="00C56207">
        <w:rPr>
          <w:rFonts w:ascii="Arial" w:hAnsi="Arial" w:cs="Arial"/>
          <w:sz w:val="20"/>
        </w:rPr>
        <w:t>nomenclature</w:t>
      </w:r>
      <w:proofErr w:type="spellEnd"/>
      <w:r w:rsidR="00C56207">
        <w:rPr>
          <w:rFonts w:ascii="Arial" w:hAnsi="Arial" w:cs="Arial"/>
          <w:sz w:val="20"/>
        </w:rPr>
        <w:t xml:space="preserve"> des </w:t>
      </w:r>
      <w:proofErr w:type="spellStart"/>
      <w:r w:rsidR="00C56207">
        <w:rPr>
          <w:rFonts w:ascii="Arial" w:hAnsi="Arial" w:cs="Arial"/>
          <w:sz w:val="20"/>
        </w:rPr>
        <w:t>unités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territoriales</w:t>
      </w:r>
      <w:proofErr w:type="spellEnd"/>
      <w:r w:rsidR="00C56207">
        <w:rPr>
          <w:rFonts w:ascii="Arial" w:hAnsi="Arial" w:cs="Arial"/>
          <w:sz w:val="20"/>
        </w:rPr>
        <w:t xml:space="preserve"> </w:t>
      </w:r>
      <w:proofErr w:type="spellStart"/>
      <w:r w:rsidR="00C56207">
        <w:rPr>
          <w:rFonts w:ascii="Arial" w:hAnsi="Arial" w:cs="Arial"/>
          <w:sz w:val="20"/>
        </w:rPr>
        <w:t>statistiques</w:t>
      </w:r>
      <w:proofErr w:type="spellEnd"/>
      <w:r w:rsidR="00C56207">
        <w:rPr>
          <w:rFonts w:ascii="Arial" w:hAnsi="Arial" w:cs="Arial"/>
          <w:sz w:val="20"/>
        </w:rPr>
        <w:t>), což je správní klasifikace členící území Evropské unie (EU) do regionů na třech úrovních (NUTS 1, 2 a 3). Aktuální verze NUTS</w:t>
      </w:r>
      <w:r w:rsidR="00D873BD">
        <w:rPr>
          <w:rFonts w:ascii="Arial" w:hAnsi="Arial" w:cs="Arial"/>
          <w:sz w:val="20"/>
        </w:rPr>
        <w:t xml:space="preserve"> 2013 je platná od 1. </w:t>
      </w:r>
      <w:r w:rsidR="00487111">
        <w:rPr>
          <w:rFonts w:ascii="Arial" w:hAnsi="Arial" w:cs="Arial"/>
          <w:sz w:val="20"/>
        </w:rPr>
        <w:t>l</w:t>
      </w:r>
      <w:r w:rsidR="00D873BD">
        <w:rPr>
          <w:rFonts w:ascii="Arial" w:hAnsi="Arial" w:cs="Arial"/>
          <w:sz w:val="20"/>
        </w:rPr>
        <w:t>edna 2015 a</w:t>
      </w:r>
      <w:r w:rsidR="00C56207">
        <w:rPr>
          <w:rFonts w:ascii="Arial" w:hAnsi="Arial" w:cs="Arial"/>
          <w:sz w:val="20"/>
        </w:rPr>
        <w:t xml:space="preserve"> rozděluje území Evropské unie a jejích 2</w:t>
      </w:r>
      <w:r w:rsidR="007C6D79">
        <w:rPr>
          <w:rFonts w:ascii="Arial" w:hAnsi="Arial" w:cs="Arial"/>
          <w:sz w:val="20"/>
        </w:rPr>
        <w:t>8</w:t>
      </w:r>
      <w:r w:rsidR="004F3B62">
        <w:rPr>
          <w:rFonts w:ascii="Arial" w:hAnsi="Arial" w:cs="Arial"/>
          <w:sz w:val="20"/>
        </w:rPr>
        <w:t xml:space="preserve"> členských států do 98</w:t>
      </w:r>
      <w:r w:rsidR="00C45680">
        <w:rPr>
          <w:rFonts w:ascii="Arial" w:hAnsi="Arial" w:cs="Arial"/>
          <w:sz w:val="20"/>
        </w:rPr>
        <w:t xml:space="preserve"> regionů N</w:t>
      </w:r>
      <w:r w:rsidR="00D873BD">
        <w:rPr>
          <w:rFonts w:ascii="Arial" w:hAnsi="Arial" w:cs="Arial"/>
          <w:sz w:val="20"/>
        </w:rPr>
        <w:t>UTS 1, 276 regionů NUTS 2 a 1342</w:t>
      </w:r>
      <w:r w:rsidR="00C56207">
        <w:rPr>
          <w:rFonts w:ascii="Arial" w:hAnsi="Arial" w:cs="Arial"/>
          <w:sz w:val="20"/>
        </w:rPr>
        <w:t xml:space="preserve"> regionů NUTS 3. V této publikaci uvádíme u některých zemí údaje za NUTS 3, </w:t>
      </w:r>
      <w:r w:rsidR="000C1E65">
        <w:rPr>
          <w:rFonts w:ascii="Arial" w:hAnsi="Arial" w:cs="Arial"/>
          <w:sz w:val="20"/>
        </w:rPr>
        <w:t>u jiných pouze za</w:t>
      </w:r>
      <w:r w:rsidR="00C56207">
        <w:rPr>
          <w:rFonts w:ascii="Arial" w:hAnsi="Arial" w:cs="Arial"/>
          <w:sz w:val="20"/>
        </w:rPr>
        <w:t xml:space="preserve"> NUTS 2. Vzhledem</w:t>
      </w:r>
      <w:r w:rsidR="0031536A">
        <w:rPr>
          <w:rFonts w:ascii="Arial" w:hAnsi="Arial" w:cs="Arial"/>
          <w:sz w:val="20"/>
        </w:rPr>
        <w:t xml:space="preserve"> k omezenému rozsahu publikace </w:t>
      </w:r>
      <w:r w:rsidR="00C56207">
        <w:rPr>
          <w:rFonts w:ascii="Arial" w:hAnsi="Arial" w:cs="Arial"/>
          <w:sz w:val="20"/>
        </w:rPr>
        <w:t>nebylo možné uvést data za všech 13</w:t>
      </w:r>
      <w:r w:rsidR="00487111">
        <w:rPr>
          <w:rFonts w:ascii="Arial" w:hAnsi="Arial" w:cs="Arial"/>
          <w:sz w:val="20"/>
        </w:rPr>
        <w:t>42</w:t>
      </w:r>
      <w:r w:rsidR="00C56207">
        <w:rPr>
          <w:rFonts w:ascii="Arial" w:hAnsi="Arial" w:cs="Arial"/>
          <w:sz w:val="20"/>
        </w:rPr>
        <w:t xml:space="preserve"> regionů (NUTS 3), ani v mapách velkých zemí (Francie, Velká Británie) </w:t>
      </w:r>
      <w:r w:rsidR="00EC482A">
        <w:rPr>
          <w:rFonts w:ascii="Arial" w:hAnsi="Arial" w:cs="Arial"/>
          <w:sz w:val="20"/>
        </w:rPr>
        <w:t xml:space="preserve">zobrazit </w:t>
      </w:r>
      <w:r w:rsidR="00C56207">
        <w:rPr>
          <w:rFonts w:ascii="Arial" w:hAnsi="Arial" w:cs="Arial"/>
          <w:sz w:val="20"/>
        </w:rPr>
        <w:t xml:space="preserve">tak podrobné členění. </w:t>
      </w:r>
      <w:r w:rsidR="00487111">
        <w:rPr>
          <w:rFonts w:ascii="Arial" w:hAnsi="Arial" w:cs="Arial"/>
          <w:sz w:val="20"/>
        </w:rPr>
        <w:t>V kapitole 13 jsou u některých zemí (Velká Británie, Řecko a Slovinsko) ještě uvedeny hranice podle NUTS 2010.</w:t>
      </w:r>
    </w:p>
    <w:p w:rsidR="00C56207" w:rsidRPr="00294D34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Vzhledem k tomu, že několik regionů v rámci EU má totožné </w:t>
      </w:r>
      <w:r w:rsidR="00EC482A">
        <w:rPr>
          <w:rFonts w:ascii="Arial" w:hAnsi="Arial" w:cs="Arial"/>
          <w:sz w:val="20"/>
        </w:rPr>
        <w:t>pojmenování</w:t>
      </w:r>
      <w:r w:rsidRPr="00294D34">
        <w:rPr>
          <w:rFonts w:ascii="Arial" w:hAnsi="Arial" w:cs="Arial"/>
          <w:sz w:val="20"/>
        </w:rPr>
        <w:t>, jejich rozlišení je v NUTS provedeno přidáním zkratky státu. Některé NUTS regiony se objevují na více úrovních</w:t>
      </w:r>
      <w:r w:rsidR="0002416F" w:rsidRPr="00294D34">
        <w:rPr>
          <w:rFonts w:ascii="Arial" w:hAnsi="Arial" w:cs="Arial"/>
          <w:sz w:val="20"/>
        </w:rPr>
        <w:t xml:space="preserve"> (např. Lucembursko je státem a </w:t>
      </w:r>
      <w:r w:rsidRPr="00294D34">
        <w:rPr>
          <w:rFonts w:ascii="Arial" w:hAnsi="Arial" w:cs="Arial"/>
          <w:sz w:val="20"/>
        </w:rPr>
        <w:t>současně regionem na úrovni 1, 2 a 3). V těchto případech kódy končí na nulu pro region s identickým územím na následující nižší úrovni. Označení nesmí být identické pro různé úrovně NUTS, a to ani v případě, že je územní rozsah těchto regionů totožný.</w:t>
      </w:r>
    </w:p>
    <w:p w:rsidR="00B5124D" w:rsidRDefault="00C56207" w:rsidP="00C56207">
      <w:pPr>
        <w:jc w:val="both"/>
        <w:rPr>
          <w:rFonts w:ascii="Arial" w:hAnsi="Arial" w:cs="Arial"/>
          <w:sz w:val="20"/>
        </w:rPr>
      </w:pPr>
      <w:r w:rsidRPr="00294D34">
        <w:rPr>
          <w:rFonts w:ascii="Arial" w:hAnsi="Arial" w:cs="Arial"/>
          <w:sz w:val="20"/>
        </w:rPr>
        <w:t xml:space="preserve">Mapy by měly </w:t>
      </w:r>
      <w:r w:rsidR="00EC482A" w:rsidRPr="00294D34">
        <w:rPr>
          <w:rFonts w:ascii="Arial" w:hAnsi="Arial" w:cs="Arial"/>
          <w:sz w:val="20"/>
        </w:rPr>
        <w:t xml:space="preserve">uživateli </w:t>
      </w:r>
      <w:r w:rsidRPr="00294D34">
        <w:rPr>
          <w:rFonts w:ascii="Arial" w:hAnsi="Arial" w:cs="Arial"/>
          <w:sz w:val="20"/>
        </w:rPr>
        <w:t>umožnit lokalizovat jednotlivé regiony</w:t>
      </w:r>
      <w:r w:rsidR="00EC482A">
        <w:rPr>
          <w:rFonts w:ascii="Arial" w:hAnsi="Arial" w:cs="Arial"/>
          <w:sz w:val="20"/>
        </w:rPr>
        <w:t>.</w:t>
      </w:r>
      <w:r w:rsidRPr="00294D34">
        <w:rPr>
          <w:rFonts w:ascii="Arial" w:hAnsi="Arial" w:cs="Arial"/>
          <w:sz w:val="20"/>
        </w:rPr>
        <w:t xml:space="preserve"> </w:t>
      </w:r>
      <w:r w:rsidR="00EC482A">
        <w:rPr>
          <w:rFonts w:ascii="Arial" w:hAnsi="Arial" w:cs="Arial"/>
          <w:sz w:val="20"/>
        </w:rPr>
        <w:t>J</w:t>
      </w:r>
      <w:r w:rsidRPr="00294D34">
        <w:rPr>
          <w:rFonts w:ascii="Arial" w:hAnsi="Arial" w:cs="Arial"/>
          <w:sz w:val="20"/>
        </w:rPr>
        <w:t xml:space="preserve">ejich hranice jsou ale </w:t>
      </w:r>
      <w:r w:rsidR="00EC482A">
        <w:rPr>
          <w:rFonts w:ascii="Arial" w:hAnsi="Arial" w:cs="Arial"/>
          <w:sz w:val="20"/>
        </w:rPr>
        <w:t>pouze</w:t>
      </w:r>
      <w:r w:rsidRPr="00294D34">
        <w:rPr>
          <w:rFonts w:ascii="Arial" w:hAnsi="Arial" w:cs="Arial"/>
          <w:sz w:val="20"/>
        </w:rPr>
        <w:t xml:space="preserve"> indikativní. Použité měřítko map se pro jednotlivé státy liší. U mapy každého státu je uveden </w:t>
      </w:r>
      <w:r w:rsidR="00EC482A">
        <w:rPr>
          <w:rFonts w:ascii="Arial" w:hAnsi="Arial" w:cs="Arial"/>
          <w:sz w:val="20"/>
        </w:rPr>
        <w:t>název</w:t>
      </w:r>
      <w:r w:rsidRPr="00294D34">
        <w:rPr>
          <w:rFonts w:ascii="Arial" w:hAnsi="Arial" w:cs="Arial"/>
          <w:sz w:val="20"/>
        </w:rPr>
        <w:t xml:space="preserve"> státu v českém, anglickém</w:t>
      </w:r>
      <w:r>
        <w:rPr>
          <w:rFonts w:ascii="Arial" w:hAnsi="Arial" w:cs="Arial"/>
          <w:sz w:val="20"/>
        </w:rPr>
        <w:t xml:space="preserve"> a národním jazyce. Českým překladem jsou opatřeny i </w:t>
      </w:r>
      <w:r w:rsidR="0002416F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ázvy</w:t>
      </w:r>
      <w:r w:rsidR="0002416F">
        <w:rPr>
          <w:rFonts w:ascii="Arial" w:hAnsi="Arial" w:cs="Arial"/>
          <w:sz w:val="20"/>
        </w:rPr>
        <w:t xml:space="preserve"> některých</w:t>
      </w:r>
      <w:r>
        <w:rPr>
          <w:rFonts w:ascii="Arial" w:hAnsi="Arial" w:cs="Arial"/>
          <w:sz w:val="20"/>
        </w:rPr>
        <w:t xml:space="preserve"> regionů, které jsou jinak uváděny pouze v národních jazycích. Zámořská území jsou umístěna v malých okénkách po straně mapy. Pro lepší orientaci jsou zakreslena významnější sídla, velikost kruhu odpovídá přibližnému počtu obyvatel v administrativních či geografických hranicích.</w:t>
      </w:r>
    </w:p>
    <w:p w:rsidR="00370B7C" w:rsidRDefault="00370B7C" w:rsidP="00B5124D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Státy jsou v publikaci řazeny abecedně podle zkrácených českých názvů. Zkrácené české i anglické názvy zemí jsou přebírány z Číselníku zemí (CZEM) novelizovaného dne 1</w:t>
      </w:r>
      <w:r w:rsidR="003F5BE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června 20</w:t>
      </w:r>
      <w:r w:rsidR="003F5BE8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. </w:t>
      </w:r>
      <w:r w:rsidR="00B5124D">
        <w:rPr>
          <w:rFonts w:ascii="Arial" w:hAnsi="Arial" w:cs="Arial"/>
          <w:sz w:val="20"/>
        </w:rPr>
        <w:t xml:space="preserve">Česká republika je uváděna </w:t>
      </w:r>
      <w:r w:rsidR="004D7B84">
        <w:rPr>
          <w:rFonts w:ascii="Arial" w:hAnsi="Arial" w:cs="Arial"/>
          <w:sz w:val="20"/>
        </w:rPr>
        <w:t xml:space="preserve">zkráceným </w:t>
      </w:r>
      <w:r w:rsidR="00B5124D">
        <w:rPr>
          <w:rFonts w:ascii="Arial" w:hAnsi="Arial" w:cs="Arial"/>
          <w:sz w:val="20"/>
        </w:rPr>
        <w:t>názvem</w:t>
      </w:r>
      <w:r w:rsidR="004D7B84">
        <w:rPr>
          <w:rFonts w:ascii="Arial" w:hAnsi="Arial" w:cs="Arial"/>
          <w:sz w:val="20"/>
        </w:rPr>
        <w:t xml:space="preserve"> Česko</w:t>
      </w:r>
      <w:r w:rsidR="00B5124D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Upozorňujeme uživatele, že zkrácený český název </w:t>
      </w:r>
      <w:r w:rsidRPr="00370B7C">
        <w:rPr>
          <w:rFonts w:ascii="Arial" w:hAnsi="Arial" w:cs="Arial"/>
          <w:sz w:val="20"/>
        </w:rPr>
        <w:t>Spojené</w:t>
      </w:r>
      <w:r>
        <w:rPr>
          <w:rFonts w:ascii="Arial" w:hAnsi="Arial" w:cs="Arial"/>
          <w:sz w:val="20"/>
        </w:rPr>
        <w:t>ho</w:t>
      </w:r>
      <w:r w:rsidRPr="00370B7C">
        <w:rPr>
          <w:rFonts w:ascii="Arial" w:hAnsi="Arial" w:cs="Arial"/>
          <w:sz w:val="20"/>
        </w:rPr>
        <w:t xml:space="preserve"> království Velké Británie a Severního Irska</w:t>
      </w:r>
      <w:r>
        <w:rPr>
          <w:rFonts w:ascii="Arial" w:hAnsi="Arial" w:cs="Arial"/>
          <w:sz w:val="20"/>
        </w:rPr>
        <w:t xml:space="preserve"> je </w:t>
      </w:r>
      <w:r w:rsidRPr="00370B7C">
        <w:rPr>
          <w:rFonts w:ascii="Arial" w:hAnsi="Arial" w:cs="Arial"/>
          <w:b/>
          <w:sz w:val="20"/>
        </w:rPr>
        <w:t>Velká Británie</w:t>
      </w:r>
      <w:r w:rsidR="00EB090A">
        <w:rPr>
          <w:rFonts w:ascii="Arial" w:hAnsi="Arial" w:cs="Arial"/>
          <w:sz w:val="20"/>
        </w:rPr>
        <w:t xml:space="preserve">, zkrácený anglický název je United </w:t>
      </w:r>
      <w:proofErr w:type="spellStart"/>
      <w:r w:rsidR="00EB090A">
        <w:rPr>
          <w:rFonts w:ascii="Arial" w:hAnsi="Arial" w:cs="Arial"/>
          <w:sz w:val="20"/>
        </w:rPr>
        <w:t>Kingdom</w:t>
      </w:r>
      <w:proofErr w:type="spellEnd"/>
      <w:r>
        <w:rPr>
          <w:rFonts w:ascii="Arial" w:hAnsi="Arial" w:cs="Arial"/>
          <w:sz w:val="20"/>
        </w:rPr>
        <w:t>.</w:t>
      </w:r>
      <w:r w:rsidR="00B5124D">
        <w:rPr>
          <w:rFonts w:ascii="Arial" w:hAnsi="Arial" w:cs="Arial"/>
          <w:sz w:val="20"/>
        </w:rPr>
        <w:t xml:space="preserve"> Číselník zemí (CZEM) naleznete na stránkách ČSÚ pod odkazem:</w:t>
      </w:r>
    </w:p>
    <w:p w:rsidR="00DF5274" w:rsidRPr="001901AC" w:rsidRDefault="00A044CA" w:rsidP="00D44E27">
      <w:pPr>
        <w:pStyle w:val="Zkladntext2"/>
        <w:spacing w:before="120"/>
        <w:jc w:val="both"/>
        <w:rPr>
          <w:sz w:val="18"/>
          <w:szCs w:val="18"/>
        </w:rPr>
      </w:pPr>
      <w:hyperlink r:id="rId7" w:history="1">
        <w:r w:rsidR="00D44E27" w:rsidRPr="001901AC">
          <w:rPr>
            <w:rStyle w:val="Hypertextovodkaz"/>
            <w:sz w:val="18"/>
            <w:szCs w:val="18"/>
          </w:rPr>
          <w:t>https://www.czso.cz/csu/czso/ciselnik_zemi_-czem-</w:t>
        </w:r>
      </w:hyperlink>
    </w:p>
    <w:p w:rsidR="00D44E27" w:rsidRDefault="00D44E27" w:rsidP="001B60E2">
      <w:pPr>
        <w:pStyle w:val="Zkladntext2"/>
        <w:spacing w:before="120"/>
        <w:ind w:firstLine="360"/>
        <w:jc w:val="both"/>
      </w:pPr>
    </w:p>
    <w:p w:rsidR="0004266E" w:rsidRDefault="0004266E" w:rsidP="001B60E2">
      <w:pPr>
        <w:pStyle w:val="Zkladntext2"/>
        <w:spacing w:before="120"/>
        <w:ind w:firstLine="360"/>
        <w:jc w:val="both"/>
      </w:pPr>
      <w:r>
        <w:t>Cílem této publikace je posloužit širokému okruhu zájemců o informace týkající se postavení ČR při srovnávání s ostatními zeměmi. Pracovníci ČSÚ uvítají případné další náměty a připomínky ze strany uživatelů</w:t>
      </w:r>
      <w:r w:rsidR="00A97723">
        <w:t>, které</w:t>
      </w:r>
      <w:r>
        <w:t xml:space="preserve"> využijí </w:t>
      </w:r>
      <w:r w:rsidR="00A97723">
        <w:t>v budoucnu</w:t>
      </w:r>
      <w:r>
        <w:t xml:space="preserve"> k dalšímu zkvalitnění své práce.</w:t>
      </w:r>
    </w:p>
    <w:sectPr w:rsidR="0004266E" w:rsidSect="00BA4CE0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2158"/>
    <w:multiLevelType w:val="hybridMultilevel"/>
    <w:tmpl w:val="E212713C"/>
    <w:lvl w:ilvl="0" w:tplc="87CAE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228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82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9C0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6E2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7EB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4C5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4A27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84C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94242"/>
    <w:multiLevelType w:val="hybridMultilevel"/>
    <w:tmpl w:val="C046CA08"/>
    <w:lvl w:ilvl="0" w:tplc="B4500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4700B"/>
    <w:multiLevelType w:val="hybridMultilevel"/>
    <w:tmpl w:val="52ACF8B0"/>
    <w:lvl w:ilvl="0" w:tplc="3F4CC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F68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D25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CA0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3E8D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98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96E3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5A1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D"/>
    <w:rsid w:val="0002416F"/>
    <w:rsid w:val="0004266E"/>
    <w:rsid w:val="00061B58"/>
    <w:rsid w:val="00080442"/>
    <w:rsid w:val="00093A42"/>
    <w:rsid w:val="000B3D3B"/>
    <w:rsid w:val="000C1E65"/>
    <w:rsid w:val="000C217A"/>
    <w:rsid w:val="00162ACE"/>
    <w:rsid w:val="001901AC"/>
    <w:rsid w:val="001A5715"/>
    <w:rsid w:val="001B60E2"/>
    <w:rsid w:val="001C68EC"/>
    <w:rsid w:val="001E08DB"/>
    <w:rsid w:val="002315CD"/>
    <w:rsid w:val="002402D8"/>
    <w:rsid w:val="00262B7F"/>
    <w:rsid w:val="00287AF6"/>
    <w:rsid w:val="00287F59"/>
    <w:rsid w:val="00294D34"/>
    <w:rsid w:val="002C57C5"/>
    <w:rsid w:val="00302911"/>
    <w:rsid w:val="00312DF8"/>
    <w:rsid w:val="0031536A"/>
    <w:rsid w:val="00335719"/>
    <w:rsid w:val="00347258"/>
    <w:rsid w:val="00370B7C"/>
    <w:rsid w:val="003950C8"/>
    <w:rsid w:val="003A20AA"/>
    <w:rsid w:val="003B2489"/>
    <w:rsid w:val="003F5BE8"/>
    <w:rsid w:val="003F678B"/>
    <w:rsid w:val="004001AD"/>
    <w:rsid w:val="004057F2"/>
    <w:rsid w:val="00423A7C"/>
    <w:rsid w:val="00486806"/>
    <w:rsid w:val="00487111"/>
    <w:rsid w:val="004D7B84"/>
    <w:rsid w:val="004F3B62"/>
    <w:rsid w:val="00535463"/>
    <w:rsid w:val="00617E13"/>
    <w:rsid w:val="006A0116"/>
    <w:rsid w:val="006B2F59"/>
    <w:rsid w:val="006B5412"/>
    <w:rsid w:val="007002DA"/>
    <w:rsid w:val="00743552"/>
    <w:rsid w:val="0077005C"/>
    <w:rsid w:val="007A0BDC"/>
    <w:rsid w:val="007C6D79"/>
    <w:rsid w:val="007D02BE"/>
    <w:rsid w:val="007F2138"/>
    <w:rsid w:val="0085762F"/>
    <w:rsid w:val="00862193"/>
    <w:rsid w:val="008E40F1"/>
    <w:rsid w:val="008E669C"/>
    <w:rsid w:val="00907167"/>
    <w:rsid w:val="00907ADF"/>
    <w:rsid w:val="009357DC"/>
    <w:rsid w:val="009753F9"/>
    <w:rsid w:val="0098732E"/>
    <w:rsid w:val="009B1856"/>
    <w:rsid w:val="009E6DA1"/>
    <w:rsid w:val="009F0BF3"/>
    <w:rsid w:val="00A044CA"/>
    <w:rsid w:val="00A05CF0"/>
    <w:rsid w:val="00A173AF"/>
    <w:rsid w:val="00A24A80"/>
    <w:rsid w:val="00A40D45"/>
    <w:rsid w:val="00A97723"/>
    <w:rsid w:val="00AB5697"/>
    <w:rsid w:val="00AE32F3"/>
    <w:rsid w:val="00B5124D"/>
    <w:rsid w:val="00B619D6"/>
    <w:rsid w:val="00B728F3"/>
    <w:rsid w:val="00BA4CE0"/>
    <w:rsid w:val="00BC0D6E"/>
    <w:rsid w:val="00BC3096"/>
    <w:rsid w:val="00BD381A"/>
    <w:rsid w:val="00BE7D59"/>
    <w:rsid w:val="00C27B28"/>
    <w:rsid w:val="00C33DE1"/>
    <w:rsid w:val="00C45680"/>
    <w:rsid w:val="00C559F1"/>
    <w:rsid w:val="00C56207"/>
    <w:rsid w:val="00C85DD7"/>
    <w:rsid w:val="00CB6E32"/>
    <w:rsid w:val="00CC229C"/>
    <w:rsid w:val="00CD580D"/>
    <w:rsid w:val="00CF60DE"/>
    <w:rsid w:val="00D35FEF"/>
    <w:rsid w:val="00D44E27"/>
    <w:rsid w:val="00D73F14"/>
    <w:rsid w:val="00D873BD"/>
    <w:rsid w:val="00DB6DF6"/>
    <w:rsid w:val="00DD4B43"/>
    <w:rsid w:val="00DE320B"/>
    <w:rsid w:val="00DF5274"/>
    <w:rsid w:val="00E87BEC"/>
    <w:rsid w:val="00EA44E7"/>
    <w:rsid w:val="00EB090A"/>
    <w:rsid w:val="00EC482A"/>
    <w:rsid w:val="00F17CF5"/>
    <w:rsid w:val="00F35720"/>
    <w:rsid w:val="00F378BE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1D9072-3D79-4828-8CF7-F6D872A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0C8"/>
    <w:rPr>
      <w:sz w:val="24"/>
      <w:szCs w:val="24"/>
    </w:rPr>
  </w:style>
  <w:style w:type="paragraph" w:styleId="Nadpis1">
    <w:name w:val="heading 1"/>
    <w:basedOn w:val="Normln"/>
    <w:next w:val="Normln"/>
    <w:qFormat/>
    <w:rsid w:val="003950C8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qFormat/>
    <w:rsid w:val="003950C8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950C8"/>
    <w:rPr>
      <w:color w:val="0000FF"/>
      <w:u w:val="single"/>
    </w:rPr>
  </w:style>
  <w:style w:type="paragraph" w:customStyle="1" w:styleId="documentdescription">
    <w:name w:val="documentdescription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3950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rsid w:val="003950C8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3950C8"/>
    <w:pPr>
      <w:jc w:val="both"/>
    </w:pPr>
    <w:rPr>
      <w:rFonts w:ascii="Arial" w:hAnsi="Arial" w:cs="Arial"/>
      <w:sz w:val="20"/>
    </w:rPr>
  </w:style>
  <w:style w:type="paragraph" w:styleId="Zkladntext2">
    <w:name w:val="Body Text 2"/>
    <w:basedOn w:val="Normln"/>
    <w:rsid w:val="003950C8"/>
    <w:rPr>
      <w:rFonts w:ascii="Arial" w:hAnsi="Arial" w:cs="Arial"/>
      <w:sz w:val="20"/>
    </w:rPr>
  </w:style>
  <w:style w:type="paragraph" w:customStyle="1" w:styleId="Normln0">
    <w:name w:val="Normln"/>
    <w:rsid w:val="003950C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DF527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F5274"/>
    <w:rPr>
      <w:rFonts w:ascii="Tahoma" w:hAnsi="Tahoma" w:cs="Tahoma"/>
      <w:sz w:val="16"/>
      <w:szCs w:val="16"/>
    </w:rPr>
  </w:style>
  <w:style w:type="character" w:styleId="Sledovanodkaz">
    <w:name w:val="FollowedHyperlink"/>
    <w:rsid w:val="003357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iselnik_zemi_-czem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so.cz/csu/czso/rozdily_mezi_daty_zverejnovanymi_ceskym_statistickym_uradem_a_eurostatem" TargetMode="External"/><Relationship Id="rId5" Type="http://schemas.openxmlformats.org/officeDocument/2006/relationships/hyperlink" Target="http://www.czs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8180</CharactersWithSpaces>
  <SharedDoc>false</SharedDoc>
  <HLinks>
    <vt:vector size="12" baseType="variant">
      <vt:variant>
        <vt:i4>2424869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http://www.czso.cz/csu/redakce.nsf/i/rozdily_mezi_daty_zverejnovanymi_ceskym_statistickym_uradem_a_eurostatem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Michaela Šťastná</dc:creator>
  <cp:lastModifiedBy>Audy Jana</cp:lastModifiedBy>
  <cp:revision>2</cp:revision>
  <cp:lastPrinted>2019-02-20T12:25:00Z</cp:lastPrinted>
  <dcterms:created xsi:type="dcterms:W3CDTF">2021-02-02T08:29:00Z</dcterms:created>
  <dcterms:modified xsi:type="dcterms:W3CDTF">2021-02-02T08:29:00Z</dcterms:modified>
</cp:coreProperties>
</file>