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9E05" w14:textId="49727EC0" w:rsidR="00006F29" w:rsidRPr="007F4FAF" w:rsidRDefault="0059473D" w:rsidP="00800A7F">
      <w:pPr>
        <w:jc w:val="both"/>
        <w:rPr>
          <w:rFonts w:ascii="Arial" w:eastAsia="MS Mincho" w:hAnsi="Arial" w:cs="Arial"/>
          <w:bCs/>
          <w:i/>
          <w:caps/>
          <w:color w:val="0085BC"/>
          <w:lang w:val="en-GB"/>
        </w:rPr>
      </w:pPr>
      <w:proofErr w:type="gramStart"/>
      <w:r w:rsidRPr="007F4FAF">
        <w:rPr>
          <w:rFonts w:ascii="Arial" w:eastAsia="MS Mincho" w:hAnsi="Arial" w:cs="Arial"/>
          <w:b/>
          <w:bCs/>
          <w:i/>
          <w:caps/>
          <w:color w:val="0085BC"/>
          <w:lang w:val="en-GB"/>
        </w:rPr>
        <w:t>33</w:t>
      </w:r>
      <w:r w:rsidR="00800A7F" w:rsidRPr="007F4FAF">
        <w:rPr>
          <w:rFonts w:ascii="Arial" w:eastAsia="MS Mincho" w:hAnsi="Arial" w:cs="Arial"/>
          <w:b/>
          <w:bCs/>
          <w:i/>
          <w:caps/>
          <w:color w:val="0085BC"/>
          <w:lang w:val="en-GB"/>
        </w:rPr>
        <w:t xml:space="preserve"> </w:t>
      </w:r>
      <w:r w:rsidR="004E694B" w:rsidRPr="007F4FAF">
        <w:rPr>
          <w:rFonts w:ascii="Arial" w:eastAsia="MS Mincho" w:hAnsi="Arial" w:cs="Arial"/>
          <w:b/>
          <w:bCs/>
          <w:i/>
          <w:caps/>
          <w:color w:val="0085BC"/>
          <w:lang w:val="en-GB"/>
        </w:rPr>
        <w:t xml:space="preserve"> </w:t>
      </w:r>
      <w:r w:rsidR="00C762B5" w:rsidRPr="007F4FAF">
        <w:rPr>
          <w:rFonts w:ascii="Arial" w:eastAsia="MS Mincho" w:hAnsi="Arial" w:cs="Arial"/>
          <w:b/>
          <w:bCs/>
          <w:i/>
          <w:caps/>
          <w:color w:val="0085BC"/>
          <w:lang w:val="en-GB"/>
        </w:rPr>
        <w:t>P</w:t>
      </w:r>
      <w:r w:rsidR="007F4FAF" w:rsidRPr="007F4FAF">
        <w:rPr>
          <w:rFonts w:ascii="Arial" w:eastAsia="MS Mincho" w:hAnsi="Arial" w:cs="Arial"/>
          <w:b/>
          <w:bCs/>
          <w:i/>
          <w:caps/>
          <w:color w:val="0085BC"/>
          <w:lang w:val="en-GB"/>
        </w:rPr>
        <w:t>opulation</w:t>
      </w:r>
      <w:proofErr w:type="gramEnd"/>
      <w:r w:rsidR="007F4FAF" w:rsidRPr="007F4FAF">
        <w:rPr>
          <w:rFonts w:ascii="Arial" w:eastAsia="MS Mincho" w:hAnsi="Arial" w:cs="Arial"/>
          <w:b/>
          <w:bCs/>
          <w:i/>
          <w:caps/>
          <w:color w:val="0085BC"/>
          <w:lang w:val="en-GB"/>
        </w:rPr>
        <w:t xml:space="preserve"> and Housing Census</w:t>
      </w:r>
    </w:p>
    <w:p w14:paraId="003202E2" w14:textId="0DC5B8E0" w:rsidR="006941C5" w:rsidRPr="00F04D56" w:rsidRDefault="006941C5" w:rsidP="00800A7F">
      <w:pPr>
        <w:pStyle w:val="Zkladntextodsazen"/>
        <w:ind w:firstLine="0"/>
        <w:rPr>
          <w:sz w:val="18"/>
          <w:szCs w:val="18"/>
          <w:lang w:val="en-GB"/>
        </w:rPr>
      </w:pPr>
    </w:p>
    <w:p w14:paraId="53E2A86B" w14:textId="77777777" w:rsidR="00A65CA2" w:rsidRPr="00A65CA2" w:rsidRDefault="00A65CA2" w:rsidP="00A65CA2">
      <w:pPr>
        <w:rPr>
          <w:rFonts w:ascii="Arial" w:hAnsi="Arial" w:cs="Arial"/>
          <w:b/>
          <w:i/>
          <w:color w:val="0071BC"/>
          <w:sz w:val="20"/>
          <w:szCs w:val="20"/>
          <w:lang w:val="en-GB"/>
        </w:rPr>
      </w:pPr>
      <w:r w:rsidRPr="00A65CA2">
        <w:rPr>
          <w:rFonts w:ascii="Arial" w:hAnsi="Arial" w:cs="Arial"/>
          <w:b/>
          <w:i/>
          <w:color w:val="0071BC"/>
          <w:sz w:val="20"/>
          <w:szCs w:val="20"/>
          <w:lang w:val="en-GB"/>
        </w:rPr>
        <w:t>Methodological notes</w:t>
      </w:r>
    </w:p>
    <w:p w14:paraId="396403BD" w14:textId="77777777" w:rsidR="00A65CA2" w:rsidRPr="00E07E2B" w:rsidRDefault="00A65CA2" w:rsidP="00A65CA2">
      <w:pPr>
        <w:rPr>
          <w:rFonts w:ascii="Arial" w:hAnsi="Arial" w:cs="Arial"/>
          <w:bCs/>
          <w:i/>
          <w:iCs/>
          <w:sz w:val="18"/>
          <w:szCs w:val="18"/>
          <w:lang w:val="en-GB"/>
        </w:rPr>
      </w:pPr>
    </w:p>
    <w:p w14:paraId="4CF02E98" w14:textId="77777777" w:rsidR="00A65CA2" w:rsidRPr="00C65563" w:rsidRDefault="00A65CA2" w:rsidP="00A65CA2">
      <w:pPr>
        <w:jc w:val="both"/>
        <w:rPr>
          <w:rFonts w:ascii="Arial" w:eastAsiaTheme="minorHAnsi" w:hAnsi="Arial" w:cs="Arial"/>
          <w:i/>
          <w:sz w:val="18"/>
          <w:szCs w:val="18"/>
          <w:lang w:val="en-GB"/>
        </w:rPr>
      </w:pPr>
      <w:r w:rsidRPr="00C65563">
        <w:rPr>
          <w:rFonts w:ascii="Arial" w:eastAsiaTheme="minorHAnsi" w:hAnsi="Arial" w:cs="Arial"/>
          <w:i/>
          <w:sz w:val="18"/>
          <w:szCs w:val="18"/>
          <w:lang w:val="en-GB"/>
        </w:rPr>
        <w:t xml:space="preserve">The Chapter contains basic data on economic activity status of the population, the housing and dwelling stock, and private (housekeeping) households from results of the Population and Housing Census, which was carried out based on the Act No 332/2020 Sb on the whole territory of the Czech Republic as at 26 March 2021. Data were ascertained as at midnight from Friday 26 March 2021 to Saturday 27 March 2021 (the decisive moment). Basic data on the population from the 2021 Census were published in the Statistical Yearbook of the Czech Republic </w:t>
      </w:r>
      <w:r w:rsidRPr="00C65563">
        <w:rPr>
          <w:rFonts w:ascii="Arial" w:hAnsi="Arial" w:cs="Arial"/>
          <w:i/>
          <w:color w:val="000000" w:themeColor="text1"/>
          <w:lang w:val="en-GB"/>
        </w:rPr>
        <w:t xml:space="preserve">– </w:t>
      </w:r>
      <w:r w:rsidRPr="00C65563">
        <w:rPr>
          <w:rFonts w:ascii="Arial" w:eastAsiaTheme="minorHAnsi" w:hAnsi="Arial" w:cs="Arial"/>
          <w:i/>
          <w:sz w:val="18"/>
          <w:szCs w:val="18"/>
          <w:lang w:val="en-GB"/>
        </w:rPr>
        <w:t>2022.</w:t>
      </w:r>
    </w:p>
    <w:p w14:paraId="35385B41" w14:textId="77777777" w:rsidR="00A65CA2" w:rsidRPr="00C65563" w:rsidRDefault="00A65CA2" w:rsidP="00A65CA2">
      <w:pPr>
        <w:spacing w:before="120"/>
        <w:jc w:val="both"/>
        <w:rPr>
          <w:rFonts w:ascii="Arial" w:hAnsi="Arial" w:cs="Arial"/>
          <w:b/>
          <w:bCs/>
          <w:i/>
          <w:sz w:val="18"/>
          <w:szCs w:val="18"/>
          <w:lang w:val="en-GB"/>
        </w:rPr>
      </w:pPr>
      <w:r w:rsidRPr="00C65563">
        <w:rPr>
          <w:rFonts w:ascii="Arial" w:hAnsi="Arial" w:cs="Arial"/>
          <w:bCs/>
          <w:i/>
          <w:sz w:val="18"/>
          <w:szCs w:val="18"/>
          <w:lang w:val="en-GB"/>
        </w:rPr>
        <w:t xml:space="preserve">Results of the 2021 Census have been processed and published </w:t>
      </w:r>
      <w:r w:rsidRPr="00C65563">
        <w:rPr>
          <w:rFonts w:ascii="Arial" w:hAnsi="Arial" w:cs="Arial"/>
          <w:b/>
          <w:bCs/>
          <w:i/>
          <w:sz w:val="18"/>
          <w:szCs w:val="18"/>
          <w:lang w:val="en-GB"/>
        </w:rPr>
        <w:t>for</w:t>
      </w:r>
      <w:r w:rsidRPr="00C65563">
        <w:rPr>
          <w:rFonts w:ascii="Arial" w:hAnsi="Arial" w:cs="Arial"/>
          <w:bCs/>
          <w:i/>
          <w:sz w:val="18"/>
          <w:szCs w:val="18"/>
          <w:lang w:val="en-GB"/>
        </w:rPr>
        <w:t xml:space="preserve"> </w:t>
      </w:r>
      <w:r w:rsidRPr="00C65563">
        <w:rPr>
          <w:rFonts w:ascii="Arial" w:hAnsi="Arial" w:cs="Arial"/>
          <w:b/>
          <w:bCs/>
          <w:i/>
          <w:sz w:val="18"/>
          <w:szCs w:val="18"/>
          <w:lang w:val="en-GB"/>
        </w:rPr>
        <w:t>usually resident population</w:t>
      </w:r>
      <w:r w:rsidRPr="00C65563">
        <w:rPr>
          <w:rFonts w:ascii="Arial" w:hAnsi="Arial" w:cs="Arial"/>
          <w:bCs/>
          <w:i/>
          <w:sz w:val="18"/>
          <w:szCs w:val="18"/>
          <w:lang w:val="en-GB"/>
        </w:rPr>
        <w:t xml:space="preserve"> </w:t>
      </w:r>
      <w:r w:rsidRPr="00C65563">
        <w:rPr>
          <w:rFonts w:ascii="Arial" w:hAnsi="Arial" w:cs="Arial"/>
          <w:b/>
          <w:bCs/>
          <w:i/>
          <w:sz w:val="18"/>
          <w:szCs w:val="18"/>
          <w:lang w:val="en-GB"/>
        </w:rPr>
        <w:t>or</w:t>
      </w:r>
      <w:r w:rsidRPr="00C65563">
        <w:rPr>
          <w:rFonts w:ascii="Arial" w:hAnsi="Arial" w:cs="Arial"/>
          <w:bCs/>
          <w:i/>
          <w:sz w:val="18"/>
          <w:szCs w:val="18"/>
          <w:lang w:val="en-GB"/>
        </w:rPr>
        <w:t xml:space="preserve"> </w:t>
      </w:r>
      <w:r w:rsidRPr="00C65563">
        <w:rPr>
          <w:rFonts w:ascii="Arial" w:hAnsi="Arial" w:cs="Arial"/>
          <w:b/>
          <w:bCs/>
          <w:i/>
          <w:sz w:val="18"/>
          <w:szCs w:val="18"/>
          <w:lang w:val="en-GB"/>
        </w:rPr>
        <w:t xml:space="preserve">according to the place of usual residence of persons. </w:t>
      </w:r>
    </w:p>
    <w:p w14:paraId="4E11A4E1" w14:textId="77777777" w:rsidR="00A65CA2" w:rsidRPr="00C65563" w:rsidRDefault="00A65CA2" w:rsidP="00A65CA2">
      <w:pPr>
        <w:spacing w:before="120"/>
        <w:jc w:val="both"/>
        <w:rPr>
          <w:rFonts w:ascii="Arial" w:hAnsi="Arial" w:cs="Arial"/>
          <w:b/>
          <w:bCs/>
          <w:i/>
          <w:sz w:val="18"/>
          <w:szCs w:val="18"/>
          <w:lang w:val="en-GB"/>
        </w:rPr>
      </w:pPr>
      <w:r w:rsidRPr="00C65563">
        <w:rPr>
          <w:rFonts w:ascii="Arial" w:hAnsi="Arial" w:cs="Arial"/>
          <w:bCs/>
          <w:i/>
          <w:sz w:val="18"/>
          <w:szCs w:val="18"/>
          <w:lang w:val="en-GB"/>
        </w:rPr>
        <w:t>The</w:t>
      </w:r>
      <w:r w:rsidRPr="00C65563">
        <w:rPr>
          <w:rFonts w:ascii="Arial" w:hAnsi="Arial" w:cs="Arial"/>
          <w:b/>
          <w:bCs/>
          <w:i/>
          <w:sz w:val="18"/>
          <w:szCs w:val="18"/>
          <w:lang w:val="en-GB"/>
        </w:rPr>
        <w:t xml:space="preserve"> place of usual residence </w:t>
      </w:r>
      <w:r w:rsidRPr="00C65563">
        <w:rPr>
          <w:rFonts w:ascii="Arial" w:hAnsi="Arial" w:cs="Arial"/>
          <w:bCs/>
          <w:i/>
          <w:sz w:val="18"/>
          <w:szCs w:val="18"/>
          <w:lang w:val="en-GB"/>
        </w:rPr>
        <w:t xml:space="preserve">is defined as the place where a person predominantly resides, spends the daily period of rest, regardless of temporary absences for purposes of recreation, holidays, visits to friends and relatives, business, medical treatment, and the like, and where the person is a member of a concrete household. </w:t>
      </w:r>
    </w:p>
    <w:p w14:paraId="4CF2D45F" w14:textId="15EF2488" w:rsidR="005053D4"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bCs/>
          <w:i/>
          <w:sz w:val="18"/>
          <w:szCs w:val="18"/>
          <w:lang w:val="en-GB"/>
        </w:rPr>
      </w:pPr>
      <w:r w:rsidRPr="00C65563">
        <w:rPr>
          <w:rFonts w:ascii="Arial" w:hAnsi="Arial" w:cs="Arial"/>
          <w:bCs/>
          <w:i/>
          <w:sz w:val="18"/>
          <w:szCs w:val="18"/>
          <w:lang w:val="en-GB"/>
        </w:rPr>
        <w:t>The place of usual residence of persons is, besides data on persons, decisive also for compilation of private households, their breakdown by territory, and data on occupancy of dwellings and houses.</w:t>
      </w:r>
    </w:p>
    <w:p w14:paraId="3DB1389F" w14:textId="77777777" w:rsidR="005053D4" w:rsidRPr="00C65563"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i/>
          <w:sz w:val="18"/>
          <w:szCs w:val="18"/>
          <w:lang w:val="en-GB"/>
        </w:rPr>
      </w:pPr>
    </w:p>
    <w:p w14:paraId="52D5F7BD" w14:textId="566123C3" w:rsidR="005053D4" w:rsidRPr="00C65563"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i/>
          <w:sz w:val="18"/>
          <w:szCs w:val="18"/>
          <w:lang w:val="en-GB"/>
        </w:rPr>
      </w:pPr>
    </w:p>
    <w:p w14:paraId="5015A4CA" w14:textId="77777777" w:rsidR="00A65CA2" w:rsidRPr="00C65563" w:rsidRDefault="00A65CA2" w:rsidP="00A65CA2">
      <w:pPr>
        <w:rPr>
          <w:rFonts w:ascii="Arial" w:hAnsi="Arial" w:cs="Arial"/>
          <w:b/>
          <w:i/>
          <w:color w:val="0071BC"/>
          <w:sz w:val="20"/>
          <w:szCs w:val="20"/>
          <w:lang w:val="en-GB"/>
        </w:rPr>
      </w:pPr>
      <w:r w:rsidRPr="00C65563">
        <w:rPr>
          <w:rFonts w:ascii="Arial" w:hAnsi="Arial" w:cs="Arial"/>
          <w:b/>
          <w:i/>
          <w:color w:val="0071BC"/>
          <w:sz w:val="20"/>
          <w:szCs w:val="20"/>
          <w:lang w:val="en-GB"/>
        </w:rPr>
        <w:t>Population</w:t>
      </w:r>
    </w:p>
    <w:p w14:paraId="695FA835"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b/>
          <w:bCs/>
          <w:i/>
          <w:sz w:val="18"/>
          <w:szCs w:val="18"/>
          <w:lang w:val="en-GB"/>
        </w:rPr>
        <w:t xml:space="preserve">Labour force </w:t>
      </w:r>
      <w:r w:rsidRPr="00C65563">
        <w:rPr>
          <w:rFonts w:ascii="Arial" w:hAnsi="Arial" w:cs="Arial"/>
          <w:bCs/>
          <w:i/>
          <w:sz w:val="18"/>
          <w:szCs w:val="18"/>
          <w:lang w:val="en-GB"/>
        </w:rPr>
        <w:t>(economically active population/persons) are the employed (working persons) and the unemployed.</w:t>
      </w:r>
    </w:p>
    <w:p w14:paraId="15C4D665" w14:textId="77777777" w:rsidR="00A65CA2" w:rsidRPr="00C65563" w:rsidRDefault="00A65CA2" w:rsidP="00A65CA2">
      <w:pPr>
        <w:pStyle w:val="Rbntext"/>
        <w:spacing w:before="120" w:after="0"/>
        <w:rPr>
          <w:rFonts w:cs="Arial"/>
          <w:i/>
          <w:sz w:val="18"/>
          <w:szCs w:val="18"/>
          <w:lang w:val="en-GB"/>
        </w:rPr>
      </w:pPr>
      <w:r w:rsidRPr="00C65563">
        <w:rPr>
          <w:rFonts w:cs="Arial"/>
          <w:b/>
          <w:i/>
          <w:sz w:val="18"/>
          <w:szCs w:val="18"/>
          <w:lang w:val="en-GB"/>
        </w:rPr>
        <w:t>The employed</w:t>
      </w:r>
      <w:r w:rsidRPr="00C65563">
        <w:rPr>
          <w:rFonts w:cs="Arial"/>
          <w:i/>
          <w:sz w:val="18"/>
          <w:szCs w:val="18"/>
          <w:lang w:val="en-GB"/>
        </w:rPr>
        <w:t xml:space="preserve"> are all persons aged 15+ years (15 years and more) who at the “decisive moment” of the Census had a formal job attachment or worked for a wage, salary, or another type of remuneration for at least 1 hour per week. It also includes working pensioners, working pupils and students, and persons on maternity leave (28 or 37 weeks).</w:t>
      </w:r>
    </w:p>
    <w:p w14:paraId="3B618BB3" w14:textId="77777777" w:rsidR="00A65CA2" w:rsidRPr="00C65563" w:rsidRDefault="00A65CA2" w:rsidP="00A65CA2">
      <w:pPr>
        <w:pStyle w:val="Rbntext"/>
        <w:spacing w:before="120" w:after="0"/>
        <w:rPr>
          <w:rFonts w:cs="Arial"/>
          <w:i/>
          <w:sz w:val="18"/>
          <w:szCs w:val="18"/>
          <w:lang w:val="en-GB"/>
        </w:rPr>
      </w:pPr>
      <w:r w:rsidRPr="00C65563">
        <w:rPr>
          <w:rFonts w:cs="Arial"/>
          <w:i/>
          <w:sz w:val="18"/>
          <w:szCs w:val="18"/>
          <w:lang w:val="en-GB"/>
        </w:rPr>
        <w:t>Persons with the formal job attachment are employees and the self-employed with a business licence regardless of hours worked, a type of job (permanent, temporary) or a type of an employment relationship, agreement, or a contract.</w:t>
      </w:r>
    </w:p>
    <w:p w14:paraId="283935E9" w14:textId="77777777" w:rsidR="00A65CA2" w:rsidRPr="00C65563" w:rsidRDefault="00A65CA2" w:rsidP="00A65CA2">
      <w:pPr>
        <w:pStyle w:val="Rbntext"/>
        <w:spacing w:before="120" w:after="0"/>
        <w:rPr>
          <w:rFonts w:cs="Arial"/>
          <w:i/>
          <w:sz w:val="18"/>
          <w:szCs w:val="18"/>
          <w:lang w:val="en-GB"/>
        </w:rPr>
      </w:pPr>
      <w:r w:rsidRPr="00C65563">
        <w:rPr>
          <w:rFonts w:cs="Arial"/>
          <w:b/>
          <w:i/>
          <w:sz w:val="18"/>
          <w:szCs w:val="18"/>
          <w:lang w:val="en-GB"/>
        </w:rPr>
        <w:t>The unemployed</w:t>
      </w:r>
      <w:r w:rsidRPr="00C65563">
        <w:rPr>
          <w:rFonts w:cs="Arial"/>
          <w:i/>
          <w:sz w:val="18"/>
          <w:szCs w:val="18"/>
          <w:lang w:val="en-GB"/>
        </w:rPr>
        <w:t xml:space="preserve"> are all persons aged 15+ years (15 years and more) who at the “decisive moment” of the Census were jobless and were concurrently seeking a job (through a labour office or by other means). </w:t>
      </w:r>
    </w:p>
    <w:p w14:paraId="35D5E3FE" w14:textId="77777777" w:rsidR="00A65CA2" w:rsidRPr="00C65563" w:rsidRDefault="00A65CA2" w:rsidP="00A65CA2">
      <w:pPr>
        <w:pStyle w:val="Rbntext"/>
        <w:spacing w:before="120" w:after="0"/>
        <w:rPr>
          <w:rFonts w:cs="Arial"/>
          <w:i/>
          <w:sz w:val="18"/>
          <w:szCs w:val="18"/>
          <w:lang w:val="en-GB"/>
        </w:rPr>
      </w:pPr>
      <w:r w:rsidRPr="00C65563">
        <w:rPr>
          <w:rFonts w:cs="Arial"/>
          <w:i/>
          <w:sz w:val="18"/>
          <w:szCs w:val="18"/>
          <w:lang w:val="en-GB"/>
        </w:rPr>
        <w:t xml:space="preserve">Persons </w:t>
      </w:r>
      <w:r w:rsidRPr="00C65563">
        <w:rPr>
          <w:rFonts w:cs="Arial"/>
          <w:b/>
          <w:i/>
          <w:sz w:val="18"/>
          <w:szCs w:val="18"/>
          <w:lang w:val="en-GB"/>
        </w:rPr>
        <w:t>outside the labour force</w:t>
      </w:r>
      <w:r w:rsidRPr="00C65563">
        <w:rPr>
          <w:rFonts w:cs="Arial"/>
          <w:i/>
          <w:sz w:val="18"/>
          <w:szCs w:val="18"/>
          <w:lang w:val="en-GB"/>
        </w:rPr>
        <w:t xml:space="preserve"> </w:t>
      </w:r>
      <w:r w:rsidRPr="00C65563">
        <w:rPr>
          <w:rFonts w:cs="Arial"/>
          <w:bCs/>
          <w:i/>
          <w:sz w:val="18"/>
          <w:szCs w:val="18"/>
          <w:lang w:val="en-GB"/>
        </w:rPr>
        <w:t>(economically inactive persons) are persons</w:t>
      </w:r>
      <w:r w:rsidRPr="00C65563">
        <w:rPr>
          <w:rFonts w:cs="Arial"/>
          <w:i/>
          <w:sz w:val="18"/>
          <w:szCs w:val="18"/>
          <w:lang w:val="en-GB"/>
        </w:rPr>
        <w:t>, who are neither employed nor unemployed. They are non-working pensioners, other non-working persons with their own source of livelihood, persons on parental leave, non-working pupils and students, homemakers, preschool children, and other dependent persons.</w:t>
      </w:r>
    </w:p>
    <w:p w14:paraId="69985186" w14:textId="77777777" w:rsidR="00A65CA2" w:rsidRPr="00C65563" w:rsidRDefault="00A65CA2" w:rsidP="00A65CA2">
      <w:pPr>
        <w:pStyle w:val="Rbntext"/>
        <w:spacing w:before="120" w:after="0"/>
        <w:rPr>
          <w:rFonts w:cs="Arial"/>
          <w:i/>
          <w:sz w:val="18"/>
          <w:szCs w:val="18"/>
          <w:lang w:val="en-GB"/>
        </w:rPr>
      </w:pPr>
      <w:r w:rsidRPr="00C65563">
        <w:rPr>
          <w:rFonts w:cs="Arial"/>
          <w:i/>
          <w:sz w:val="18"/>
          <w:szCs w:val="18"/>
          <w:lang w:val="en-GB"/>
        </w:rPr>
        <w:t xml:space="preserve">As for employed persons, the following were surveyed: their </w:t>
      </w:r>
      <w:r w:rsidRPr="00C65563">
        <w:rPr>
          <w:rFonts w:cs="Arial"/>
          <w:b/>
          <w:bCs/>
          <w:i/>
          <w:sz w:val="18"/>
          <w:szCs w:val="18"/>
          <w:lang w:val="en-GB"/>
        </w:rPr>
        <w:t xml:space="preserve">status in employment, occupation </w:t>
      </w:r>
      <w:r w:rsidRPr="00C65563">
        <w:rPr>
          <w:rFonts w:cs="Arial"/>
          <w:bCs/>
          <w:i/>
          <w:sz w:val="18"/>
          <w:szCs w:val="18"/>
          <w:lang w:val="en-GB"/>
        </w:rPr>
        <w:t xml:space="preserve">and </w:t>
      </w:r>
      <w:r w:rsidRPr="00C65563">
        <w:rPr>
          <w:rFonts w:cs="Arial"/>
          <w:b/>
          <w:bCs/>
          <w:i/>
          <w:sz w:val="18"/>
          <w:szCs w:val="18"/>
          <w:lang w:val="en-GB"/>
        </w:rPr>
        <w:t xml:space="preserve">economic activity (industry/branch) </w:t>
      </w:r>
      <w:r w:rsidRPr="00C65563">
        <w:rPr>
          <w:rFonts w:cs="Arial"/>
          <w:bCs/>
          <w:i/>
          <w:sz w:val="18"/>
          <w:szCs w:val="18"/>
          <w:lang w:val="en-GB"/>
        </w:rPr>
        <w:t xml:space="preserve">according to their current job, in case of more jobs according to their main job. </w:t>
      </w:r>
    </w:p>
    <w:p w14:paraId="137C821C" w14:textId="77777777" w:rsidR="00A65CA2" w:rsidRPr="00C65563" w:rsidRDefault="00A65CA2" w:rsidP="00A65CA2">
      <w:pPr>
        <w:pStyle w:val="Rbntext"/>
        <w:spacing w:before="120" w:after="0"/>
        <w:rPr>
          <w:rFonts w:cs="Arial"/>
          <w:bCs/>
          <w:i/>
          <w:sz w:val="18"/>
          <w:szCs w:val="18"/>
          <w:lang w:val="en-GB"/>
        </w:rPr>
      </w:pPr>
      <w:r w:rsidRPr="00C65563">
        <w:rPr>
          <w:rFonts w:cs="Arial"/>
          <w:b/>
          <w:bCs/>
          <w:i/>
          <w:sz w:val="18"/>
          <w:szCs w:val="18"/>
          <w:lang w:val="en-GB"/>
        </w:rPr>
        <w:t xml:space="preserve">Status in employment </w:t>
      </w:r>
      <w:r w:rsidRPr="00C65563">
        <w:rPr>
          <w:rFonts w:cs="Arial"/>
          <w:bCs/>
          <w:i/>
          <w:sz w:val="18"/>
          <w:szCs w:val="18"/>
          <w:lang w:val="en-GB"/>
        </w:rPr>
        <w:t>was surveyed</w:t>
      </w:r>
      <w:r w:rsidRPr="00C65563">
        <w:rPr>
          <w:rFonts w:cs="Arial"/>
          <w:b/>
          <w:bCs/>
          <w:i/>
          <w:sz w:val="18"/>
          <w:szCs w:val="18"/>
          <w:lang w:val="en-GB"/>
        </w:rPr>
        <w:t xml:space="preserve"> </w:t>
      </w:r>
      <w:r w:rsidRPr="00C65563">
        <w:rPr>
          <w:rFonts w:cs="Arial"/>
          <w:bCs/>
          <w:i/>
          <w:sz w:val="18"/>
          <w:szCs w:val="18"/>
          <w:lang w:val="en-GB"/>
        </w:rPr>
        <w:t xml:space="preserve">solely from administrative data sources (information system of the Czech Social Security Administration, data of the General Financial Directorate, Statistical Business Register (RES)). </w:t>
      </w:r>
    </w:p>
    <w:p w14:paraId="2A982C63" w14:textId="77777777" w:rsidR="00A65CA2" w:rsidRPr="00C65563" w:rsidRDefault="00A65CA2" w:rsidP="00A65CA2">
      <w:pPr>
        <w:pStyle w:val="Rbntext"/>
        <w:spacing w:before="120" w:after="0"/>
        <w:rPr>
          <w:rFonts w:cs="Arial"/>
          <w:i/>
          <w:sz w:val="18"/>
          <w:szCs w:val="18"/>
          <w:lang w:val="en-GB"/>
        </w:rPr>
      </w:pPr>
      <w:r w:rsidRPr="00C65563">
        <w:rPr>
          <w:rFonts w:cs="Arial"/>
          <w:i/>
          <w:sz w:val="18"/>
          <w:szCs w:val="18"/>
          <w:lang w:val="en-GB"/>
        </w:rPr>
        <w:t xml:space="preserve">Employers are the self-employed with employees. Own-account workers are the self-employed without employees. Employees have paid employment jobs. </w:t>
      </w:r>
    </w:p>
    <w:p w14:paraId="0795A11E" w14:textId="2AEB9EFE" w:rsidR="005053D4"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b/>
          <w:bCs/>
          <w:i/>
          <w:sz w:val="18"/>
          <w:szCs w:val="18"/>
          <w:lang w:val="en-GB"/>
        </w:rPr>
        <w:t>Industry/branch of economic activity</w:t>
      </w:r>
      <w:r w:rsidRPr="00C65563">
        <w:rPr>
          <w:rFonts w:ascii="Arial" w:hAnsi="Arial" w:cs="Arial"/>
          <w:i/>
          <w:sz w:val="18"/>
          <w:szCs w:val="18"/>
          <w:lang w:val="en-GB"/>
        </w:rPr>
        <w:t xml:space="preserve"> was surveyed as a type of economic activity (industry/branch) of an employer or the scope of business activities.</w:t>
      </w:r>
    </w:p>
    <w:p w14:paraId="1252B333" w14:textId="77777777" w:rsidR="005053D4" w:rsidRPr="00C65563"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sz w:val="18"/>
          <w:szCs w:val="18"/>
          <w:lang w:val="en-GB"/>
        </w:rPr>
      </w:pPr>
    </w:p>
    <w:p w14:paraId="09B160F4" w14:textId="77777777" w:rsidR="005053D4" w:rsidRPr="00C65563"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sz w:val="18"/>
          <w:szCs w:val="18"/>
          <w:lang w:val="en-GB"/>
        </w:rPr>
      </w:pPr>
    </w:p>
    <w:p w14:paraId="20F652E8" w14:textId="77777777" w:rsidR="00A65CA2" w:rsidRPr="00C65563" w:rsidRDefault="00A65CA2" w:rsidP="00A65CA2">
      <w:pPr>
        <w:rPr>
          <w:rFonts w:ascii="Arial" w:hAnsi="Arial" w:cs="Arial"/>
          <w:b/>
          <w:i/>
          <w:color w:val="0071BC"/>
          <w:sz w:val="20"/>
          <w:szCs w:val="20"/>
          <w:lang w:val="en-GB"/>
        </w:rPr>
      </w:pPr>
      <w:r w:rsidRPr="00C65563">
        <w:rPr>
          <w:rFonts w:ascii="Arial" w:hAnsi="Arial" w:cs="Arial"/>
          <w:b/>
          <w:i/>
          <w:color w:val="0071BC"/>
          <w:sz w:val="20"/>
          <w:szCs w:val="20"/>
          <w:lang w:val="en-GB"/>
        </w:rPr>
        <w:t>Houses</w:t>
      </w:r>
    </w:p>
    <w:p w14:paraId="24D7420F"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The</w:t>
      </w:r>
      <w:r w:rsidRPr="00C65563">
        <w:rPr>
          <w:rFonts w:ascii="Arial" w:hAnsi="Arial" w:cs="Arial"/>
          <w:b/>
          <w:i/>
          <w:sz w:val="18"/>
          <w:szCs w:val="18"/>
          <w:lang w:val="en-GB"/>
        </w:rPr>
        <w:t xml:space="preserve"> number of houses</w:t>
      </w:r>
      <w:r w:rsidRPr="00C65563">
        <w:rPr>
          <w:rFonts w:ascii="Arial" w:hAnsi="Arial" w:cs="Arial"/>
          <w:bCs/>
          <w:i/>
          <w:iCs/>
          <w:sz w:val="18"/>
          <w:szCs w:val="18"/>
          <w:lang w:val="en-GB"/>
        </w:rPr>
        <w:t xml:space="preserve"> includes all houses designed for habitation (intended for residential/living purposes), i.e. buildings with dwellings (a dwelling), and buildings containing other premises designed for habitation or longer-term accommodation, such as accommodation establishments (institutions). The number of houses thus includes besides family houses and apartment buildings (multi-dwelling buildings) also service buildings with a dwelling (e.g. a school with a dwelling) and various establishments designed for habitation </w:t>
      </w:r>
      <w:r w:rsidRPr="00C65563">
        <w:rPr>
          <w:rFonts w:ascii="Arial" w:hAnsi="Arial" w:cs="Arial"/>
          <w:i/>
          <w:sz w:val="18"/>
          <w:szCs w:val="18"/>
          <w:lang w:val="en-GB"/>
        </w:rPr>
        <w:t>–</w:t>
      </w:r>
      <w:r w:rsidRPr="00C65563">
        <w:rPr>
          <w:rFonts w:ascii="Arial" w:hAnsi="Arial" w:cs="Arial"/>
          <w:bCs/>
          <w:i/>
          <w:iCs/>
          <w:sz w:val="18"/>
          <w:szCs w:val="18"/>
          <w:lang w:val="en-GB"/>
        </w:rPr>
        <w:t xml:space="preserve"> e.g. youth hostels, student’s halls of residence, children's homes, social care institutions, retirement homes (community care homes), boarding houses for the elderly, monasteries and convents, reception centres for foreigners, hostels, etc. </w:t>
      </w:r>
    </w:p>
    <w:p w14:paraId="710E00A1" w14:textId="77777777" w:rsidR="00A65CA2" w:rsidRPr="00C65563" w:rsidRDefault="00A65CA2" w:rsidP="00A65CA2">
      <w:pPr>
        <w:pStyle w:val="Rbntext"/>
        <w:spacing w:before="120" w:after="0"/>
        <w:rPr>
          <w:rFonts w:cs="Arial"/>
          <w:i/>
          <w:sz w:val="18"/>
          <w:szCs w:val="18"/>
          <w:lang w:val="en-GB"/>
        </w:rPr>
      </w:pPr>
      <w:r w:rsidRPr="00C65563">
        <w:rPr>
          <w:rFonts w:cs="Arial"/>
          <w:i/>
          <w:iCs/>
          <w:sz w:val="18"/>
          <w:szCs w:val="18"/>
          <w:lang w:val="en-GB"/>
        </w:rPr>
        <w:t xml:space="preserve">The </w:t>
      </w:r>
      <w:r w:rsidRPr="00C65563">
        <w:rPr>
          <w:rFonts w:cs="Arial"/>
          <w:b/>
          <w:i/>
          <w:iCs/>
          <w:sz w:val="18"/>
          <w:szCs w:val="18"/>
          <w:lang w:val="en-GB"/>
        </w:rPr>
        <w:t>occupied house</w:t>
      </w:r>
      <w:r w:rsidRPr="00C65563">
        <w:rPr>
          <w:rFonts w:cs="Arial"/>
          <w:bCs/>
          <w:i/>
          <w:iCs/>
          <w:sz w:val="18"/>
          <w:szCs w:val="18"/>
          <w:lang w:val="en-GB"/>
        </w:rPr>
        <w:t xml:space="preserve"> </w:t>
      </w:r>
      <w:r w:rsidRPr="00C65563">
        <w:rPr>
          <w:rFonts w:cs="Arial"/>
          <w:i/>
          <w:sz w:val="18"/>
          <w:szCs w:val="18"/>
          <w:lang w:val="en-GB"/>
        </w:rPr>
        <w:t>is a house designed for habitation (intended for residential/living purposes), in which at least one person has usual residence.</w:t>
      </w:r>
    </w:p>
    <w:p w14:paraId="413B0FC2"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iCs/>
          <w:sz w:val="18"/>
          <w:szCs w:val="18"/>
          <w:lang w:val="en-GB"/>
        </w:rPr>
        <w:t>The</w:t>
      </w:r>
      <w:r w:rsidRPr="00C65563">
        <w:rPr>
          <w:rFonts w:ascii="Arial" w:hAnsi="Arial" w:cs="Arial"/>
          <w:b/>
          <w:i/>
          <w:iCs/>
          <w:sz w:val="18"/>
          <w:szCs w:val="18"/>
          <w:lang w:val="en-GB"/>
        </w:rPr>
        <w:t xml:space="preserve"> unoccupied house</w:t>
      </w:r>
      <w:r w:rsidRPr="00C65563">
        <w:rPr>
          <w:rFonts w:ascii="Arial" w:hAnsi="Arial" w:cs="Arial"/>
          <w:bCs/>
          <w:i/>
          <w:iCs/>
          <w:sz w:val="18"/>
          <w:szCs w:val="18"/>
          <w:lang w:val="en-GB"/>
        </w:rPr>
        <w:t xml:space="preserve"> </w:t>
      </w:r>
      <w:r w:rsidRPr="00C65563">
        <w:rPr>
          <w:rFonts w:ascii="Arial" w:hAnsi="Arial" w:cs="Arial"/>
          <w:i/>
          <w:sz w:val="18"/>
          <w:szCs w:val="18"/>
          <w:lang w:val="en-GB"/>
        </w:rPr>
        <w:t>is a house designed for habitation (intended for residential/living purposes), in which no person has usual residence. The number of unoccupied houses includes all houses with dwellings and all houses with an accommodation establishment (institution) without a dwelling provided that they are designed for habitation. Unoccupied buildings without dwellings or with an establishment only serving for temporary accommodation (hotels, hostels, hospitals, and the like) are not included in the number of unoccupied houses.</w:t>
      </w:r>
    </w:p>
    <w:p w14:paraId="11D85547" w14:textId="77777777" w:rsidR="00A65CA2" w:rsidRPr="00C65563" w:rsidRDefault="00A65CA2" w:rsidP="00A65CA2">
      <w:pPr>
        <w:pStyle w:val="Rbntext"/>
        <w:spacing w:before="120" w:after="0"/>
        <w:rPr>
          <w:rFonts w:cs="Arial"/>
          <w:i/>
          <w:sz w:val="18"/>
          <w:szCs w:val="18"/>
          <w:lang w:val="en-GB"/>
        </w:rPr>
      </w:pPr>
      <w:r w:rsidRPr="00C65563">
        <w:rPr>
          <w:rFonts w:cs="Arial"/>
          <w:i/>
          <w:sz w:val="18"/>
          <w:szCs w:val="18"/>
          <w:lang w:val="en-GB"/>
        </w:rPr>
        <w:t xml:space="preserve">By </w:t>
      </w:r>
      <w:r w:rsidRPr="00C65563">
        <w:rPr>
          <w:rFonts w:cs="Arial"/>
          <w:b/>
          <w:i/>
          <w:sz w:val="18"/>
          <w:szCs w:val="18"/>
          <w:lang w:val="en-GB"/>
        </w:rPr>
        <w:t>type of house</w:t>
      </w:r>
      <w:r w:rsidRPr="00C65563">
        <w:rPr>
          <w:rFonts w:cs="Arial"/>
          <w:bCs/>
          <w:i/>
          <w:iCs/>
          <w:sz w:val="18"/>
          <w:szCs w:val="18"/>
          <w:lang w:val="en-GB"/>
        </w:rPr>
        <w:t xml:space="preserve"> </w:t>
      </w:r>
      <w:r w:rsidRPr="00C65563">
        <w:rPr>
          <w:rFonts w:cs="Arial"/>
          <w:i/>
          <w:sz w:val="18"/>
          <w:szCs w:val="18"/>
          <w:lang w:val="en-GB"/>
        </w:rPr>
        <w:t>the following are distinguished:</w:t>
      </w:r>
    </w:p>
    <w:p w14:paraId="334C496E" w14:textId="77777777" w:rsidR="00A65CA2" w:rsidRPr="00C65563" w:rsidRDefault="00A65CA2" w:rsidP="00A65CA2">
      <w:pPr>
        <w:pStyle w:val="Odstavecseseznamem"/>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0" w:line="240" w:lineRule="auto"/>
        <w:ind w:left="170" w:hanging="170"/>
        <w:contextualSpacing w:val="0"/>
        <w:rPr>
          <w:rFonts w:ascii="Arial" w:hAnsi="Arial" w:cs="Arial"/>
          <w:i/>
          <w:sz w:val="18"/>
          <w:szCs w:val="18"/>
          <w:lang w:val="en-GB"/>
        </w:rPr>
      </w:pPr>
      <w:r w:rsidRPr="00C65563">
        <w:rPr>
          <w:rFonts w:ascii="Arial" w:hAnsi="Arial" w:cs="Arial"/>
          <w:bCs/>
          <w:i/>
          <w:iCs/>
          <w:sz w:val="18"/>
          <w:szCs w:val="18"/>
          <w:lang w:val="en-GB"/>
        </w:rPr>
        <w:t>– </w:t>
      </w:r>
      <w:proofErr w:type="gramStart"/>
      <w:r w:rsidRPr="00C65563">
        <w:rPr>
          <w:rFonts w:ascii="Arial" w:hAnsi="Arial" w:cs="Arial"/>
          <w:bCs/>
          <w:i/>
          <w:iCs/>
          <w:sz w:val="18"/>
          <w:szCs w:val="18"/>
          <w:lang w:val="en-GB"/>
        </w:rPr>
        <w:t>the</w:t>
      </w:r>
      <w:proofErr w:type="gramEnd"/>
      <w:r w:rsidRPr="00C65563">
        <w:rPr>
          <w:rFonts w:ascii="Arial" w:hAnsi="Arial" w:cs="Arial"/>
          <w:bCs/>
          <w:i/>
          <w:iCs/>
          <w:sz w:val="18"/>
          <w:szCs w:val="18"/>
          <w:lang w:val="en-GB"/>
        </w:rPr>
        <w:t xml:space="preserve"> </w:t>
      </w:r>
      <w:r w:rsidRPr="00C65563">
        <w:rPr>
          <w:rFonts w:ascii="Arial" w:hAnsi="Arial" w:cs="Arial"/>
          <w:b/>
          <w:bCs/>
          <w:i/>
          <w:iCs/>
          <w:sz w:val="18"/>
          <w:szCs w:val="18"/>
          <w:lang w:val="en-GB"/>
        </w:rPr>
        <w:t>family house</w:t>
      </w:r>
      <w:r w:rsidRPr="00C65563">
        <w:rPr>
          <w:rFonts w:ascii="Arial" w:hAnsi="Arial" w:cs="Arial"/>
          <w:bCs/>
          <w:i/>
          <w:iCs/>
          <w:sz w:val="18"/>
          <w:szCs w:val="18"/>
          <w:lang w:val="en-GB"/>
        </w:rPr>
        <w:t xml:space="preserve"> </w:t>
      </w:r>
      <w:r w:rsidRPr="00C65563">
        <w:rPr>
          <w:rFonts w:ascii="Arial" w:hAnsi="Arial" w:cs="Arial"/>
          <w:i/>
          <w:sz w:val="18"/>
          <w:szCs w:val="18"/>
          <w:lang w:val="en-GB"/>
        </w:rPr>
        <w:t>– has maximally three separate dwellings</w:t>
      </w:r>
      <w:r w:rsidRPr="00C65563">
        <w:rPr>
          <w:rFonts w:cs="Arial"/>
          <w:i/>
          <w:sz w:val="18"/>
          <w:szCs w:val="18"/>
          <w:lang w:val="en-GB"/>
        </w:rPr>
        <w:t xml:space="preserve"> </w:t>
      </w:r>
      <w:r w:rsidRPr="00C65563">
        <w:rPr>
          <w:rFonts w:ascii="Arial" w:hAnsi="Arial" w:cs="Arial"/>
          <w:i/>
          <w:sz w:val="18"/>
          <w:szCs w:val="18"/>
          <w:lang w:val="en-GB"/>
        </w:rPr>
        <w:t xml:space="preserve">and a prevailing purpose of use of the house is habitation. Family houses could be detached houses, semi-detached (two family houses built on adjacent lots and structurally connected by </w:t>
      </w:r>
      <w:r w:rsidRPr="00C65563">
        <w:rPr>
          <w:rFonts w:ascii="Arial" w:hAnsi="Arial" w:cs="Arial"/>
          <w:i/>
          <w:sz w:val="18"/>
          <w:szCs w:val="18"/>
          <w:lang w:val="en-GB"/>
        </w:rPr>
        <w:br/>
      </w:r>
      <w:r w:rsidRPr="00C65563">
        <w:rPr>
          <w:rFonts w:ascii="Arial" w:hAnsi="Arial" w:cs="Arial"/>
          <w:i/>
          <w:sz w:val="18"/>
          <w:szCs w:val="18"/>
          <w:lang w:val="en-GB"/>
        </w:rPr>
        <w:lastRenderedPageBreak/>
        <w:t>a shared wall) and row houses (at least three family homes joined within one circumferential wall). One- to three-dwelling buildings with an establishment/facility designed for habitation or with a different prevailing purpose of use are not included here.</w:t>
      </w:r>
    </w:p>
    <w:p w14:paraId="10A9C320" w14:textId="77777777" w:rsidR="00A65CA2" w:rsidRPr="00C65563" w:rsidRDefault="00A65CA2" w:rsidP="00A65CA2">
      <w:pPr>
        <w:pStyle w:val="Rbntext"/>
        <w:spacing w:before="120" w:after="0"/>
        <w:ind w:left="170" w:hanging="170"/>
        <w:rPr>
          <w:rFonts w:cs="Arial"/>
          <w:bCs/>
          <w:i/>
          <w:iCs/>
          <w:sz w:val="18"/>
          <w:szCs w:val="18"/>
          <w:lang w:val="en-GB"/>
        </w:rPr>
      </w:pPr>
      <w:r w:rsidRPr="00C65563">
        <w:rPr>
          <w:rFonts w:cs="Arial"/>
          <w:i/>
          <w:sz w:val="18"/>
          <w:szCs w:val="18"/>
          <w:lang w:val="en-GB"/>
        </w:rPr>
        <w:t>– </w:t>
      </w:r>
      <w:proofErr w:type="gramStart"/>
      <w:r w:rsidRPr="00C65563">
        <w:rPr>
          <w:rFonts w:cs="Arial"/>
          <w:i/>
          <w:sz w:val="18"/>
          <w:szCs w:val="18"/>
          <w:lang w:val="en-GB"/>
        </w:rPr>
        <w:t>the</w:t>
      </w:r>
      <w:proofErr w:type="gramEnd"/>
      <w:r w:rsidRPr="00C65563">
        <w:rPr>
          <w:rFonts w:cs="Arial"/>
          <w:i/>
          <w:sz w:val="18"/>
          <w:szCs w:val="18"/>
          <w:lang w:val="en-GB"/>
        </w:rPr>
        <w:t xml:space="preserve"> </w:t>
      </w:r>
      <w:r w:rsidRPr="00C65563">
        <w:rPr>
          <w:rFonts w:cs="Arial"/>
          <w:b/>
          <w:i/>
          <w:sz w:val="18"/>
          <w:szCs w:val="18"/>
          <w:lang w:val="en-GB"/>
        </w:rPr>
        <w:t>apartment building</w:t>
      </w:r>
      <w:r w:rsidRPr="00C65563">
        <w:rPr>
          <w:rFonts w:cs="Arial"/>
          <w:i/>
          <w:sz w:val="18"/>
          <w:szCs w:val="18"/>
          <w:lang w:val="en-GB"/>
        </w:rPr>
        <w:t xml:space="preserve"> (elsewhere also called </w:t>
      </w:r>
      <w:r w:rsidRPr="00C65563">
        <w:rPr>
          <w:rFonts w:cs="Arial"/>
          <w:b/>
          <w:i/>
          <w:sz w:val="18"/>
          <w:szCs w:val="18"/>
          <w:lang w:val="en-GB"/>
        </w:rPr>
        <w:t>multi-dwelling building</w:t>
      </w:r>
      <w:r w:rsidRPr="00C65563">
        <w:rPr>
          <w:rFonts w:cs="Arial"/>
          <w:i/>
          <w:sz w:val="18"/>
          <w:szCs w:val="18"/>
          <w:lang w:val="en-GB"/>
        </w:rPr>
        <w:t>) – has four or more dwellings usually accessible from a common corridor or a staircase and a prevailing purpose of use of the house is habitation. The number of floors plays no role. F</w:t>
      </w:r>
      <w:r w:rsidRPr="00C65563">
        <w:rPr>
          <w:rFonts w:cs="Arial"/>
          <w:bCs/>
          <w:i/>
          <w:iCs/>
          <w:sz w:val="18"/>
          <w:szCs w:val="18"/>
          <w:lang w:val="en-GB"/>
        </w:rPr>
        <w:t xml:space="preserve">our- or multi-dwelling buildings with </w:t>
      </w:r>
      <w:r w:rsidRPr="00C65563">
        <w:rPr>
          <w:rFonts w:cs="Arial"/>
          <w:i/>
          <w:sz w:val="18"/>
          <w:szCs w:val="18"/>
          <w:lang w:val="en-GB"/>
        </w:rPr>
        <w:t>an establishment/facility designed for habitation or with a different prevailing purpose of use are not included here</w:t>
      </w:r>
      <w:r w:rsidRPr="00C65563">
        <w:rPr>
          <w:rFonts w:cs="Arial"/>
          <w:bCs/>
          <w:i/>
          <w:iCs/>
          <w:sz w:val="18"/>
          <w:szCs w:val="18"/>
          <w:lang w:val="en-GB"/>
        </w:rPr>
        <w:t>.</w:t>
      </w:r>
    </w:p>
    <w:p w14:paraId="5BAF6503" w14:textId="77777777" w:rsidR="00A65CA2" w:rsidRPr="00C65563" w:rsidRDefault="00A65CA2" w:rsidP="00A65CA2">
      <w:pPr>
        <w:pStyle w:val="Rbntext"/>
        <w:spacing w:before="120" w:after="0"/>
        <w:ind w:left="170" w:hanging="170"/>
        <w:rPr>
          <w:rFonts w:cs="Arial"/>
          <w:bCs/>
          <w:i/>
          <w:iCs/>
          <w:sz w:val="18"/>
          <w:szCs w:val="18"/>
          <w:lang w:val="en-GB"/>
        </w:rPr>
      </w:pPr>
      <w:r w:rsidRPr="00C65563">
        <w:rPr>
          <w:rFonts w:cs="Arial"/>
          <w:b/>
          <w:bCs/>
          <w:i/>
          <w:iCs/>
          <w:sz w:val="18"/>
          <w:szCs w:val="18"/>
          <w:lang w:val="en-GB"/>
        </w:rPr>
        <w:t>– </w:t>
      </w:r>
      <w:proofErr w:type="gramStart"/>
      <w:r w:rsidRPr="00C65563">
        <w:rPr>
          <w:rFonts w:cs="Arial"/>
          <w:b/>
          <w:bCs/>
          <w:i/>
          <w:iCs/>
          <w:sz w:val="18"/>
          <w:szCs w:val="18"/>
          <w:lang w:val="en-GB"/>
        </w:rPr>
        <w:t>other</w:t>
      </w:r>
      <w:proofErr w:type="gramEnd"/>
      <w:r w:rsidRPr="00C65563">
        <w:rPr>
          <w:rFonts w:cs="Arial"/>
          <w:b/>
          <w:bCs/>
          <w:i/>
          <w:iCs/>
          <w:sz w:val="18"/>
          <w:szCs w:val="18"/>
          <w:lang w:val="en-GB"/>
        </w:rPr>
        <w:t xml:space="preserve"> buildings</w:t>
      </w:r>
      <w:r w:rsidRPr="00C65563">
        <w:rPr>
          <w:rFonts w:cs="Arial"/>
          <w:bCs/>
          <w:i/>
          <w:iCs/>
          <w:sz w:val="18"/>
          <w:szCs w:val="18"/>
          <w:lang w:val="en-GB"/>
        </w:rPr>
        <w:t xml:space="preserve"> – include all other types of buildings except for family houses and apartment buildings (multi-dwelling buildings).</w:t>
      </w:r>
    </w:p>
    <w:p w14:paraId="30BB1796" w14:textId="72C2FB61" w:rsidR="005053D4"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iCs/>
          <w:sz w:val="18"/>
          <w:szCs w:val="18"/>
          <w:lang w:val="en-GB"/>
        </w:rPr>
        <w:t>The</w:t>
      </w:r>
      <w:r w:rsidRPr="00C65563">
        <w:rPr>
          <w:rFonts w:ascii="Arial" w:hAnsi="Arial" w:cs="Arial"/>
          <w:b/>
          <w:i/>
          <w:iCs/>
          <w:sz w:val="18"/>
          <w:szCs w:val="18"/>
          <w:lang w:val="en-GB"/>
        </w:rPr>
        <w:t xml:space="preserve"> house owner</w:t>
      </w:r>
      <w:r w:rsidRPr="00C65563">
        <w:rPr>
          <w:rFonts w:ascii="Arial" w:hAnsi="Arial" w:cs="Arial"/>
          <w:bCs/>
          <w:i/>
          <w:iCs/>
          <w:sz w:val="18"/>
          <w:szCs w:val="18"/>
          <w:lang w:val="en-GB"/>
        </w:rPr>
        <w:t xml:space="preserve"> is a natural or a legal person or a combination thereof. The data on the ownership structure of the housing stock were taken from the data of the real estate cadastre valid as at 26 March 2021. The type of ownership, not the number of owners, is a deciding factor. The (type of) owner – natural person also includes cases of more co-owners of a house provided that they are natural persons </w:t>
      </w:r>
      <w:r w:rsidRPr="00C65563">
        <w:rPr>
          <w:rFonts w:ascii="Arial" w:hAnsi="Arial" w:cs="Arial"/>
          <w:i/>
          <w:sz w:val="18"/>
          <w:szCs w:val="18"/>
          <w:lang w:val="en-GB"/>
        </w:rPr>
        <w:t>(e.g. community property of spouses)</w:t>
      </w:r>
      <w:r w:rsidRPr="00C65563">
        <w:rPr>
          <w:rFonts w:ascii="Arial" w:hAnsi="Arial" w:cs="Arial"/>
          <w:bCs/>
          <w:i/>
          <w:iCs/>
          <w:sz w:val="18"/>
          <w:szCs w:val="18"/>
          <w:lang w:val="en-GB"/>
        </w:rPr>
        <w:t>. Co-ownership of dwelling (unit) owners only includes cases when the whole house is in the co-ownership of natural or legal persons that are kept in the real estate cadastre</w:t>
      </w:r>
      <w:r w:rsidRPr="00C65563">
        <w:rPr>
          <w:rFonts w:ascii="Arial" w:hAnsi="Arial" w:cs="Arial"/>
          <w:i/>
          <w:sz w:val="18"/>
          <w:szCs w:val="18"/>
          <w:lang w:val="en-GB"/>
        </w:rPr>
        <w:t xml:space="preserve"> as owners of specific defined units of a dwelling (flat) type or a group of dwellings (flats) type. </w:t>
      </w:r>
      <w:r w:rsidRPr="00C65563">
        <w:rPr>
          <w:rFonts w:ascii="Arial" w:hAnsi="Arial" w:cs="Arial"/>
          <w:bCs/>
          <w:i/>
          <w:iCs/>
          <w:sz w:val="18"/>
          <w:szCs w:val="18"/>
          <w:lang w:val="en-GB"/>
        </w:rPr>
        <w:t>The (type of) owner – other legal person – is found in houses belonging to legal persons other than housing cooperatives, municipalities, or the state. A combination of owners includes other cases of co-ownership of the house by several owners of different types who are not at the same time kept (listed) in the real estate cadastre as owners of the units (e.g. natural persons and other legal persons, municipalities, and housing cooperatives, etc.).</w:t>
      </w:r>
    </w:p>
    <w:p w14:paraId="1484AC7D" w14:textId="77777777" w:rsidR="005053D4" w:rsidRPr="00C65563"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sz w:val="18"/>
          <w:szCs w:val="18"/>
          <w:lang w:val="en-GB"/>
        </w:rPr>
      </w:pPr>
    </w:p>
    <w:p w14:paraId="40D9E677" w14:textId="77777777" w:rsidR="005053D4" w:rsidRPr="00C65563"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sz w:val="18"/>
          <w:szCs w:val="18"/>
          <w:lang w:val="en-GB"/>
        </w:rPr>
      </w:pPr>
    </w:p>
    <w:p w14:paraId="026B3FC5" w14:textId="77777777" w:rsidR="005053D4" w:rsidRPr="00C65563" w:rsidRDefault="005053D4" w:rsidP="005053D4">
      <w:pPr>
        <w:rPr>
          <w:rFonts w:ascii="Arial" w:hAnsi="Arial" w:cs="Arial"/>
          <w:b/>
          <w:i/>
          <w:color w:val="0071BC"/>
          <w:sz w:val="20"/>
          <w:szCs w:val="20"/>
          <w:lang w:val="en-GB"/>
        </w:rPr>
      </w:pPr>
      <w:r w:rsidRPr="00C65563">
        <w:rPr>
          <w:rFonts w:ascii="Arial" w:hAnsi="Arial" w:cs="Arial"/>
          <w:b/>
          <w:i/>
          <w:color w:val="0071BC"/>
          <w:sz w:val="20"/>
          <w:szCs w:val="20"/>
          <w:lang w:val="en-GB"/>
        </w:rPr>
        <w:t>Dwellings</w:t>
      </w:r>
    </w:p>
    <w:p w14:paraId="6FA34349"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 xml:space="preserve">The type of </w:t>
      </w:r>
      <w:r w:rsidRPr="00C65563">
        <w:rPr>
          <w:rFonts w:ascii="Arial" w:hAnsi="Arial" w:cs="Arial"/>
          <w:b/>
          <w:i/>
          <w:sz w:val="18"/>
          <w:szCs w:val="18"/>
          <w:lang w:val="en-GB"/>
        </w:rPr>
        <w:t xml:space="preserve">housing arrangements </w:t>
      </w:r>
      <w:r w:rsidRPr="00C65563">
        <w:rPr>
          <w:rFonts w:ascii="Arial" w:hAnsi="Arial" w:cs="Arial"/>
          <w:i/>
          <w:sz w:val="18"/>
          <w:szCs w:val="18"/>
          <w:lang w:val="en-GB"/>
        </w:rPr>
        <w:t>for all persons and households was ascertained in the Census. In addition to the conventional dwelling, a distinction is made for persons in housing arrangements in an accommodation establishment (institution), various types of housing outside the dwelling stock in other buildings and premises (recreational, emergency, or mobile buildings and premises, and the like), and homeless persons (without a dwelling).</w:t>
      </w:r>
    </w:p>
    <w:p w14:paraId="65593D3B"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A</w:t>
      </w:r>
      <w:r w:rsidRPr="00C65563">
        <w:rPr>
          <w:rFonts w:ascii="Arial" w:hAnsi="Arial" w:cs="Arial"/>
          <w:b/>
          <w:i/>
          <w:sz w:val="18"/>
          <w:szCs w:val="18"/>
          <w:lang w:val="en-GB"/>
        </w:rPr>
        <w:t xml:space="preserve"> dwelling</w:t>
      </w:r>
      <w:r w:rsidRPr="00C65563">
        <w:rPr>
          <w:rFonts w:ascii="Arial" w:hAnsi="Arial" w:cs="Arial"/>
          <w:i/>
          <w:sz w:val="18"/>
          <w:szCs w:val="18"/>
          <w:lang w:val="en-GB"/>
        </w:rPr>
        <w:t xml:space="preserve"> is a closed set of rooms or a single room that meet the requirements for housing and are </w:t>
      </w:r>
      <w:r w:rsidRPr="00C65563">
        <w:rPr>
          <w:rFonts w:ascii="Arial" w:hAnsi="Arial" w:cs="Arial"/>
          <w:bCs/>
          <w:i/>
          <w:iCs/>
          <w:sz w:val="18"/>
          <w:szCs w:val="18"/>
          <w:lang w:val="en-GB"/>
        </w:rPr>
        <w:t>designed for habitation.</w:t>
      </w:r>
    </w:p>
    <w:p w14:paraId="2B8EFEFD" w14:textId="77777777" w:rsidR="00A65CA2" w:rsidRPr="00C65563" w:rsidRDefault="00A65CA2" w:rsidP="00A65CA2">
      <w:pPr>
        <w:pStyle w:val="Rbntext"/>
        <w:spacing w:before="120"/>
        <w:rPr>
          <w:rFonts w:cs="Arial"/>
          <w:i/>
          <w:sz w:val="18"/>
          <w:szCs w:val="18"/>
          <w:lang w:val="en-GB"/>
        </w:rPr>
      </w:pPr>
      <w:r w:rsidRPr="00C65563">
        <w:rPr>
          <w:rFonts w:cs="Arial"/>
          <w:i/>
          <w:iCs/>
          <w:sz w:val="18"/>
          <w:szCs w:val="18"/>
          <w:lang w:val="en-GB"/>
        </w:rPr>
        <w:t>An</w:t>
      </w:r>
      <w:r w:rsidRPr="00C65563">
        <w:rPr>
          <w:rFonts w:cs="Arial"/>
          <w:b/>
          <w:i/>
          <w:iCs/>
          <w:sz w:val="18"/>
          <w:szCs w:val="18"/>
          <w:lang w:val="en-GB"/>
        </w:rPr>
        <w:t xml:space="preserve"> occupied dwelling </w:t>
      </w:r>
      <w:r w:rsidRPr="00C65563">
        <w:rPr>
          <w:rFonts w:cs="Arial"/>
          <w:i/>
          <w:iCs/>
          <w:sz w:val="18"/>
          <w:szCs w:val="18"/>
          <w:lang w:val="en-GB"/>
        </w:rPr>
        <w:t xml:space="preserve">is a dwelling, in which at least one person has his or her (place of) usual residence. </w:t>
      </w:r>
      <w:r w:rsidRPr="00C65563">
        <w:rPr>
          <w:rFonts w:cs="Arial"/>
          <w:i/>
          <w:sz w:val="18"/>
          <w:szCs w:val="18"/>
          <w:lang w:val="en-GB"/>
        </w:rPr>
        <w:t xml:space="preserve"> </w:t>
      </w:r>
    </w:p>
    <w:p w14:paraId="27D901BC"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iCs/>
          <w:sz w:val="18"/>
          <w:szCs w:val="18"/>
          <w:lang w:val="en-GB"/>
        </w:rPr>
        <w:t>An</w:t>
      </w:r>
      <w:r w:rsidRPr="00C65563">
        <w:rPr>
          <w:rFonts w:ascii="Arial" w:hAnsi="Arial" w:cs="Arial"/>
          <w:b/>
          <w:i/>
          <w:iCs/>
          <w:sz w:val="18"/>
          <w:szCs w:val="18"/>
          <w:lang w:val="en-GB"/>
        </w:rPr>
        <w:t xml:space="preserve"> unoccupied dwelling </w:t>
      </w:r>
      <w:r w:rsidRPr="00C65563">
        <w:rPr>
          <w:rFonts w:ascii="Arial" w:hAnsi="Arial" w:cs="Arial"/>
          <w:i/>
          <w:iCs/>
          <w:sz w:val="18"/>
          <w:szCs w:val="18"/>
          <w:lang w:val="en-GB"/>
        </w:rPr>
        <w:t>is a dwelling, in which no person has his or her (place of) usual residence</w:t>
      </w:r>
      <w:r w:rsidRPr="00C65563">
        <w:rPr>
          <w:rFonts w:ascii="Arial" w:hAnsi="Arial" w:cs="Arial"/>
          <w:i/>
          <w:sz w:val="18"/>
          <w:szCs w:val="18"/>
          <w:lang w:val="en-GB"/>
        </w:rPr>
        <w:t xml:space="preserve">. </w:t>
      </w:r>
    </w:p>
    <w:p w14:paraId="4B244A42"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bCs/>
          <w:i/>
          <w:iCs/>
          <w:sz w:val="18"/>
          <w:szCs w:val="18"/>
          <w:lang w:val="en-GB"/>
        </w:rPr>
      </w:pPr>
      <w:r w:rsidRPr="00C65563">
        <w:rPr>
          <w:rFonts w:ascii="Arial" w:hAnsi="Arial" w:cs="Arial"/>
          <w:b/>
          <w:i/>
          <w:iCs/>
          <w:sz w:val="18"/>
          <w:szCs w:val="18"/>
          <w:lang w:val="en-GB"/>
        </w:rPr>
        <w:t xml:space="preserve">Tenure status </w:t>
      </w:r>
      <w:r w:rsidRPr="00C65563">
        <w:rPr>
          <w:rFonts w:ascii="Arial" w:hAnsi="Arial" w:cs="Arial"/>
          <w:bCs/>
          <w:i/>
          <w:iCs/>
          <w:sz w:val="18"/>
          <w:szCs w:val="18"/>
          <w:lang w:val="en-GB"/>
        </w:rPr>
        <w:t xml:space="preserve">characterises the </w:t>
      </w:r>
      <w:r w:rsidRPr="00C65563">
        <w:rPr>
          <w:rFonts w:ascii="Arial" w:hAnsi="Arial" w:cs="Arial"/>
          <w:i/>
          <w:iCs/>
          <w:sz w:val="18"/>
          <w:szCs w:val="18"/>
          <w:lang w:val="en-GB"/>
        </w:rPr>
        <w:t>legal grounds for use of a dwelling</w:t>
      </w:r>
      <w:r w:rsidRPr="00C65563">
        <w:rPr>
          <w:rFonts w:ascii="Arial" w:hAnsi="Arial" w:cs="Arial"/>
          <w:bCs/>
          <w:i/>
          <w:iCs/>
          <w:sz w:val="18"/>
          <w:szCs w:val="18"/>
          <w:lang w:val="en-GB"/>
        </w:rPr>
        <w:t xml:space="preserve"> from the point of view of the user (occupant) of the dwelling, i.e. a household that lives in the dwelling.</w:t>
      </w:r>
    </w:p>
    <w:p w14:paraId="4A41B253"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A dwelling in own house is a dwelling where a dwelling user (occupant) is concurrently the owner or co-owner of the house.</w:t>
      </w:r>
    </w:p>
    <w:p w14:paraId="5562E6A7"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bCs/>
          <w:i/>
          <w:iCs/>
          <w:sz w:val="18"/>
          <w:szCs w:val="18"/>
          <w:lang w:val="en-GB"/>
        </w:rPr>
      </w:pPr>
      <w:r w:rsidRPr="00C65563">
        <w:rPr>
          <w:rFonts w:ascii="Arial" w:hAnsi="Arial" w:cs="Arial"/>
          <w:bCs/>
          <w:i/>
          <w:iCs/>
          <w:sz w:val="18"/>
          <w:szCs w:val="18"/>
          <w:lang w:val="en-GB"/>
        </w:rPr>
        <w:t xml:space="preserve">A dwelling in personal (private) ownership (owner occupied dwelling) is a dwelling, a user (occupant) of which is separately kept a record of in the real estate cadastre as the owner of the unit. </w:t>
      </w:r>
    </w:p>
    <w:p w14:paraId="4E377FF7"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 xml:space="preserve">Other free use of dwelling is a free use that is usually based on family connections or an agreement of a user (occupant) of </w:t>
      </w:r>
      <w:r w:rsidRPr="00C65563">
        <w:rPr>
          <w:rFonts w:ascii="Arial" w:hAnsi="Arial" w:cs="Arial"/>
          <w:i/>
          <w:sz w:val="18"/>
          <w:szCs w:val="18"/>
          <w:lang w:val="en-GB"/>
        </w:rPr>
        <w:br/>
        <w:t>a dwelling and an owner of the dwelling or a house. A user (occupant) of a dwelling does not have a rental contract concluded; however, they may cover costs of accommodation and running a household (electricity, gas, water, waste disposal).</w:t>
      </w:r>
    </w:p>
    <w:p w14:paraId="423504C4"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bCs/>
          <w:i/>
          <w:iCs/>
          <w:sz w:val="18"/>
          <w:szCs w:val="18"/>
          <w:lang w:val="en-GB"/>
        </w:rPr>
        <w:t xml:space="preserve">A rented dwelling is used (occupied) based on a lease (rental) agreement; it also includes cases of persons living as subtenants in a rented dwelling. </w:t>
      </w:r>
    </w:p>
    <w:p w14:paraId="0704AB79"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bCs/>
          <w:i/>
          <w:iCs/>
          <w:sz w:val="18"/>
          <w:szCs w:val="18"/>
          <w:lang w:val="en-GB"/>
        </w:rPr>
      </w:pPr>
      <w:r w:rsidRPr="00C65563">
        <w:rPr>
          <w:rFonts w:ascii="Arial" w:hAnsi="Arial" w:cs="Arial"/>
          <w:i/>
          <w:sz w:val="18"/>
          <w:szCs w:val="18"/>
          <w:lang w:val="en-GB"/>
        </w:rPr>
        <w:t xml:space="preserve">A dwelling in co-operative ownership (a cooperative dwelling) </w:t>
      </w:r>
      <w:r w:rsidRPr="00C65563">
        <w:rPr>
          <w:rFonts w:ascii="Arial" w:hAnsi="Arial" w:cs="Arial"/>
          <w:bCs/>
          <w:i/>
          <w:iCs/>
          <w:sz w:val="18"/>
          <w:szCs w:val="18"/>
          <w:lang w:val="en-GB"/>
        </w:rPr>
        <w:t>is a dwelling in the ownership of a (housing) cooperative and the user (occupant) of a dwelling is concurrently a member of the cooperative.</w:t>
      </w:r>
    </w:p>
    <w:p w14:paraId="5932F362"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 xml:space="preserve">Other tenure status of dwelling includes all cases other than the tenure status of dwelling mentioned above (e.g. previously separately distinguished service dwellings or caretaker’s dwellings, etc.). </w:t>
      </w:r>
    </w:p>
    <w:p w14:paraId="12AFD9CF"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i/>
          <w:sz w:val="18"/>
          <w:szCs w:val="18"/>
          <w:lang w:val="en-GB"/>
        </w:rPr>
        <w:t>A</w:t>
      </w:r>
      <w:r w:rsidRPr="00C65563">
        <w:rPr>
          <w:rFonts w:ascii="Arial" w:hAnsi="Arial" w:cs="Arial"/>
          <w:b/>
          <w:i/>
          <w:sz w:val="18"/>
          <w:szCs w:val="18"/>
          <w:lang w:val="en-GB"/>
        </w:rPr>
        <w:t xml:space="preserve"> habitable room</w:t>
      </w:r>
      <w:r w:rsidRPr="00C65563">
        <w:rPr>
          <w:rFonts w:ascii="Arial" w:hAnsi="Arial" w:cs="Arial"/>
          <w:i/>
          <w:sz w:val="18"/>
          <w:szCs w:val="18"/>
          <w:lang w:val="en-GB"/>
        </w:rPr>
        <w:t xml:space="preserve"> is a room of a dwelling (e.g. a living room, bedroom, dining room, kitchen), which is designed for habitation and its floor space (area) is at least 4 m</w:t>
      </w:r>
      <w:r w:rsidRPr="00C65563">
        <w:rPr>
          <w:rFonts w:ascii="Arial" w:hAnsi="Arial" w:cs="Arial"/>
          <w:i/>
          <w:sz w:val="18"/>
          <w:szCs w:val="18"/>
          <w:vertAlign w:val="superscript"/>
          <w:lang w:val="en-GB"/>
        </w:rPr>
        <w:t>2</w:t>
      </w:r>
      <w:r w:rsidRPr="00C65563">
        <w:rPr>
          <w:rFonts w:ascii="Arial" w:hAnsi="Arial" w:cs="Arial"/>
          <w:i/>
          <w:sz w:val="18"/>
          <w:szCs w:val="18"/>
          <w:lang w:val="en-GB"/>
        </w:rPr>
        <w:t>.</w:t>
      </w:r>
    </w:p>
    <w:p w14:paraId="7F43A08E" w14:textId="77777777" w:rsidR="00A65CA2" w:rsidRPr="00C65563"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cs="Arial"/>
          <w:b/>
          <w:i/>
          <w:sz w:val="18"/>
          <w:szCs w:val="18"/>
          <w:lang w:val="en-GB"/>
        </w:rPr>
        <w:t>Total floor space</w:t>
      </w:r>
      <w:r w:rsidRPr="00C65563">
        <w:rPr>
          <w:rFonts w:ascii="Arial" w:hAnsi="Arial" w:cs="Arial"/>
          <w:i/>
          <w:sz w:val="18"/>
          <w:szCs w:val="18"/>
          <w:lang w:val="en-GB"/>
        </w:rPr>
        <w:t xml:space="preserve"> is an area measured along the inside of the unit’s circumferential wall, stated in square meters and rounded to a whole number. The total floor space includes the area of all habitable rooms and other parts of the dwelling (amenities (sanitary facility), hallway, etc.). It does not include the area of other spaces belonging to a dwelling such as uninhabitable cellars or attics, terraces, balconies, or enclosed balconies (even if enclosed by glass).</w:t>
      </w:r>
    </w:p>
    <w:p w14:paraId="259D6C08" w14:textId="607356EE" w:rsidR="005053D4" w:rsidRPr="00C65563" w:rsidRDefault="00A65CA2" w:rsidP="00A65CA2">
      <w:pPr>
        <w:pStyle w:val="Rbntext"/>
        <w:spacing w:before="120" w:after="0"/>
        <w:rPr>
          <w:rFonts w:cs="Arial"/>
          <w:i/>
          <w:sz w:val="18"/>
          <w:szCs w:val="18"/>
          <w:lang w:val="en-GB"/>
        </w:rPr>
      </w:pPr>
      <w:r w:rsidRPr="00C65563">
        <w:rPr>
          <w:i/>
          <w:sz w:val="18"/>
          <w:szCs w:val="18"/>
          <w:lang w:val="en-GB"/>
        </w:rPr>
        <w:t>All calculations of average values of characteristics of the dwelling stock were only calculated from sets of dwellings with found values.</w:t>
      </w:r>
    </w:p>
    <w:p w14:paraId="0FBC39FE" w14:textId="43098842" w:rsidR="005053D4" w:rsidRPr="00C65563" w:rsidRDefault="005053D4" w:rsidP="005053D4">
      <w:pPr>
        <w:pStyle w:val="Rbntext"/>
        <w:spacing w:after="0"/>
        <w:rPr>
          <w:rFonts w:cs="Arial"/>
          <w:i/>
          <w:sz w:val="18"/>
          <w:szCs w:val="18"/>
          <w:lang w:val="en-GB"/>
        </w:rPr>
      </w:pPr>
    </w:p>
    <w:p w14:paraId="5FBD34A6" w14:textId="77777777" w:rsidR="005053D4" w:rsidRPr="00C65563" w:rsidRDefault="005053D4" w:rsidP="005053D4">
      <w:pPr>
        <w:pStyle w:val="Rbntext"/>
        <w:spacing w:after="0"/>
        <w:rPr>
          <w:rFonts w:cs="Arial"/>
          <w:i/>
          <w:sz w:val="18"/>
          <w:szCs w:val="18"/>
          <w:lang w:val="en-GB"/>
        </w:rPr>
      </w:pPr>
    </w:p>
    <w:p w14:paraId="23462801" w14:textId="77777777" w:rsidR="005053D4" w:rsidRPr="00C65563" w:rsidRDefault="005053D4" w:rsidP="005053D4">
      <w:pPr>
        <w:rPr>
          <w:rFonts w:ascii="Arial" w:hAnsi="Arial" w:cs="Arial"/>
          <w:b/>
          <w:i/>
          <w:color w:val="0071BC"/>
          <w:sz w:val="20"/>
          <w:szCs w:val="20"/>
          <w:lang w:val="en-GB"/>
        </w:rPr>
      </w:pPr>
      <w:r w:rsidRPr="00C65563">
        <w:rPr>
          <w:rFonts w:ascii="Arial" w:hAnsi="Arial" w:cs="Arial"/>
          <w:b/>
          <w:i/>
          <w:color w:val="0071BC"/>
          <w:sz w:val="20"/>
          <w:szCs w:val="20"/>
          <w:lang w:val="en-GB"/>
        </w:rPr>
        <w:t>Households</w:t>
      </w:r>
    </w:p>
    <w:p w14:paraId="59CB81D5" w14:textId="77777777" w:rsidR="00A65CA2" w:rsidRPr="00C65563" w:rsidRDefault="00A65CA2" w:rsidP="00A65CA2">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C65563">
        <w:rPr>
          <w:rFonts w:ascii="Arial" w:hAnsi="Arial"/>
          <w:i/>
          <w:sz w:val="18"/>
          <w:szCs w:val="18"/>
          <w:lang w:val="en-GB"/>
        </w:rPr>
        <w:t xml:space="preserve">Households consist of persons with a common place of usual residence living in one apartment/dwelling (flat) or another dwelling. Data on households were processed according to records of kinship and other relationship </w:t>
      </w:r>
      <w:r w:rsidRPr="00C65563">
        <w:rPr>
          <w:rFonts w:ascii="Arial" w:hAnsi="Arial" w:cs="Arial"/>
          <w:i/>
          <w:sz w:val="18"/>
          <w:szCs w:val="18"/>
          <w:lang w:val="en-GB"/>
        </w:rPr>
        <w:t xml:space="preserve">on a census form (questionnaire), to which information from administrative sources of the Ministry of the Interior was added. </w:t>
      </w:r>
    </w:p>
    <w:p w14:paraId="6F40A8CF" w14:textId="77777777" w:rsidR="00A65CA2" w:rsidRPr="00C65563" w:rsidRDefault="00A65CA2" w:rsidP="00A65CA2">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i/>
          <w:sz w:val="18"/>
          <w:szCs w:val="18"/>
          <w:lang w:val="en-GB"/>
        </w:rPr>
      </w:pPr>
      <w:r w:rsidRPr="00C65563">
        <w:rPr>
          <w:rFonts w:ascii="Arial" w:hAnsi="Arial"/>
          <w:i/>
          <w:sz w:val="18"/>
          <w:szCs w:val="18"/>
          <w:lang w:val="en-GB"/>
        </w:rPr>
        <w:lastRenderedPageBreak/>
        <w:t xml:space="preserve">A </w:t>
      </w:r>
      <w:r w:rsidRPr="00C65563">
        <w:rPr>
          <w:rFonts w:ascii="Arial" w:hAnsi="Arial"/>
          <w:b/>
          <w:i/>
          <w:sz w:val="18"/>
          <w:szCs w:val="18"/>
          <w:lang w:val="en-GB"/>
        </w:rPr>
        <w:t>dwelling household</w:t>
      </w:r>
      <w:r w:rsidRPr="00C65563">
        <w:rPr>
          <w:rFonts w:ascii="Arial" w:hAnsi="Arial"/>
          <w:i/>
          <w:sz w:val="18"/>
          <w:szCs w:val="18"/>
          <w:lang w:val="en-GB"/>
        </w:rPr>
        <w:t> consists of persons living together in one dwelling.</w:t>
      </w:r>
    </w:p>
    <w:p w14:paraId="1E9904A3" w14:textId="77777777" w:rsidR="00A65CA2" w:rsidRPr="00C65563" w:rsidRDefault="00A65CA2" w:rsidP="00A65CA2">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i/>
          <w:sz w:val="18"/>
          <w:szCs w:val="18"/>
          <w:lang w:val="en-GB"/>
        </w:rPr>
      </w:pPr>
      <w:r w:rsidRPr="00C65563">
        <w:rPr>
          <w:rFonts w:ascii="Arial" w:hAnsi="Arial"/>
          <w:i/>
          <w:sz w:val="18"/>
          <w:szCs w:val="18"/>
          <w:lang w:val="en-GB"/>
        </w:rPr>
        <w:t xml:space="preserve">A </w:t>
      </w:r>
      <w:r w:rsidRPr="00C65563">
        <w:rPr>
          <w:rFonts w:ascii="Arial" w:hAnsi="Arial"/>
          <w:b/>
          <w:i/>
          <w:sz w:val="18"/>
          <w:szCs w:val="18"/>
          <w:lang w:val="en-GB"/>
        </w:rPr>
        <w:t>private household</w:t>
      </w:r>
      <w:r w:rsidRPr="00C65563">
        <w:rPr>
          <w:rFonts w:ascii="Arial" w:hAnsi="Arial"/>
          <w:i/>
          <w:sz w:val="18"/>
          <w:szCs w:val="18"/>
          <w:lang w:val="en-GB"/>
        </w:rPr>
        <w:t> (a housekeeping household) consists of persons who pay jointly for expenses of the household, such as food, housing costs, etc. Common housekeeping also applies to children who are members of the household even if they themselves do not contribute to covering household expenses. Types of private households (housekeeping households):</w:t>
      </w:r>
    </w:p>
    <w:p w14:paraId="6F53A95E" w14:textId="77777777" w:rsidR="00A65CA2" w:rsidRPr="00C65563" w:rsidRDefault="00A65CA2" w:rsidP="00A65CA2">
      <w:pPr>
        <w:shd w:val="clear" w:color="auto" w:fill="FFFFFF"/>
        <w:spacing w:before="120"/>
        <w:ind w:left="170" w:hanging="170"/>
        <w:jc w:val="both"/>
        <w:rPr>
          <w:rFonts w:ascii="Arial" w:hAnsi="Arial"/>
          <w:i/>
          <w:sz w:val="18"/>
          <w:szCs w:val="18"/>
          <w:lang w:val="en-GB"/>
        </w:rPr>
      </w:pPr>
      <w:r w:rsidRPr="00C65563">
        <w:rPr>
          <w:rFonts w:ascii="Arial" w:hAnsi="Arial" w:cs="Arial"/>
          <w:b/>
          <w:bCs/>
          <w:i/>
          <w:color w:val="333333"/>
          <w:sz w:val="18"/>
          <w:szCs w:val="18"/>
          <w:bdr w:val="none" w:sz="0" w:space="0" w:color="auto" w:frame="1"/>
          <w:lang w:val="en-GB"/>
        </w:rPr>
        <w:t>– one-couple family household </w:t>
      </w:r>
      <w:r w:rsidRPr="00C65563">
        <w:rPr>
          <w:rFonts w:ascii="Arial" w:hAnsi="Arial"/>
          <w:i/>
          <w:sz w:val="18"/>
          <w:szCs w:val="18"/>
          <w:lang w:val="en-GB"/>
        </w:rPr>
        <w:t xml:space="preserve">– </w:t>
      </w:r>
      <w:r w:rsidRPr="00C65563">
        <w:rPr>
          <w:rFonts w:ascii="Arial" w:hAnsi="Arial" w:cs="Arial"/>
          <w:i/>
          <w:color w:val="333333"/>
          <w:sz w:val="18"/>
          <w:szCs w:val="18"/>
          <w:lang w:val="en-GB"/>
        </w:rPr>
        <w:t xml:space="preserve">it </w:t>
      </w:r>
      <w:r w:rsidRPr="00C65563">
        <w:rPr>
          <w:rFonts w:ascii="Arial" w:hAnsi="Arial"/>
          <w:i/>
          <w:sz w:val="18"/>
          <w:szCs w:val="18"/>
          <w:lang w:val="en-GB"/>
        </w:rPr>
        <w:t>includes a married couple (a husband-wife couple), a cohabiting opposite-sex couple – i.e. consensual union (a de facto marriage), partners living in a registered partnership, or a cohabiting same-sex couple (so-called de facto partnership), in all cases with or without resident children;</w:t>
      </w:r>
    </w:p>
    <w:p w14:paraId="77957847" w14:textId="77777777" w:rsidR="00A65CA2" w:rsidRPr="00EE0686" w:rsidRDefault="00A65CA2" w:rsidP="00A65CA2">
      <w:pPr>
        <w:shd w:val="clear" w:color="auto" w:fill="FFFFFF"/>
        <w:ind w:left="170" w:hanging="170"/>
        <w:jc w:val="both"/>
        <w:rPr>
          <w:rFonts w:ascii="Arial" w:hAnsi="Arial" w:cs="Arial"/>
          <w:i/>
          <w:sz w:val="18"/>
          <w:szCs w:val="18"/>
          <w:lang w:val="en-GB"/>
        </w:rPr>
      </w:pPr>
      <w:r w:rsidRPr="00C65563">
        <w:rPr>
          <w:rFonts w:ascii="Arial" w:hAnsi="Arial" w:cs="Arial"/>
          <w:b/>
          <w:bCs/>
          <w:i/>
          <w:color w:val="333333"/>
          <w:sz w:val="18"/>
          <w:szCs w:val="18"/>
          <w:bdr w:val="none" w:sz="0" w:space="0" w:color="auto" w:frame="1"/>
          <w:lang w:val="en-GB"/>
        </w:rPr>
        <w:t>– </w:t>
      </w:r>
      <w:proofErr w:type="gramStart"/>
      <w:r w:rsidRPr="00C65563">
        <w:rPr>
          <w:rFonts w:ascii="Arial" w:hAnsi="Arial" w:cs="Arial"/>
          <w:b/>
          <w:bCs/>
          <w:i/>
          <w:color w:val="333333"/>
          <w:sz w:val="18"/>
          <w:szCs w:val="18"/>
          <w:bdr w:val="none" w:sz="0" w:space="0" w:color="auto" w:frame="1"/>
          <w:lang w:val="en-GB"/>
        </w:rPr>
        <w:t>one</w:t>
      </w:r>
      <w:proofErr w:type="gramEnd"/>
      <w:r w:rsidRPr="00C65563">
        <w:rPr>
          <w:rFonts w:ascii="Arial" w:hAnsi="Arial" w:cs="Arial"/>
          <w:b/>
          <w:bCs/>
          <w:i/>
          <w:color w:val="333333"/>
          <w:sz w:val="18"/>
          <w:szCs w:val="18"/>
          <w:bdr w:val="none" w:sz="0" w:space="0" w:color="auto" w:frame="1"/>
          <w:lang w:val="en-GB"/>
        </w:rPr>
        <w:t xml:space="preserve"> lone-parent family household</w:t>
      </w:r>
      <w:r w:rsidRPr="00C65563">
        <w:rPr>
          <w:rFonts w:ascii="Arial" w:hAnsi="Arial" w:cs="Arial"/>
          <w:i/>
          <w:color w:val="333333"/>
          <w:sz w:val="18"/>
          <w:szCs w:val="18"/>
          <w:lang w:val="en-GB"/>
        </w:rPr>
        <w:t> </w:t>
      </w:r>
      <w:r w:rsidRPr="00EE0686">
        <w:rPr>
          <w:rFonts w:ascii="Arial" w:hAnsi="Arial"/>
          <w:i/>
          <w:sz w:val="18"/>
          <w:szCs w:val="18"/>
          <w:lang w:val="en-GB"/>
        </w:rPr>
        <w:t xml:space="preserve">– </w:t>
      </w:r>
      <w:r w:rsidRPr="00EE0686">
        <w:rPr>
          <w:rFonts w:ascii="Arial" w:hAnsi="Arial" w:cs="Arial"/>
          <w:i/>
          <w:sz w:val="18"/>
          <w:szCs w:val="18"/>
          <w:lang w:val="en-GB"/>
        </w:rPr>
        <w:t>one parent living with at least one child;</w:t>
      </w:r>
    </w:p>
    <w:p w14:paraId="3C3422D2" w14:textId="77777777" w:rsidR="00A65CA2" w:rsidRPr="00EE0686" w:rsidRDefault="00A65CA2" w:rsidP="00A65CA2">
      <w:pPr>
        <w:shd w:val="clear" w:color="auto" w:fill="FFFFFF"/>
        <w:ind w:left="170" w:hanging="170"/>
        <w:jc w:val="both"/>
        <w:rPr>
          <w:rFonts w:ascii="Arial" w:hAnsi="Arial" w:cs="Arial"/>
          <w:i/>
          <w:sz w:val="18"/>
          <w:szCs w:val="18"/>
          <w:lang w:val="en-GB"/>
        </w:rPr>
      </w:pPr>
      <w:r w:rsidRPr="00EE0686">
        <w:rPr>
          <w:rFonts w:ascii="Arial" w:hAnsi="Arial" w:cs="Arial"/>
          <w:b/>
          <w:bCs/>
          <w:i/>
          <w:sz w:val="18"/>
          <w:szCs w:val="18"/>
          <w:bdr w:val="none" w:sz="0" w:space="0" w:color="auto" w:frame="1"/>
          <w:lang w:val="en-GB"/>
        </w:rPr>
        <w:t>– </w:t>
      </w:r>
      <w:proofErr w:type="gramStart"/>
      <w:r w:rsidRPr="00EE0686">
        <w:rPr>
          <w:rFonts w:ascii="Arial" w:hAnsi="Arial" w:cs="Arial"/>
          <w:b/>
          <w:bCs/>
          <w:i/>
          <w:sz w:val="18"/>
          <w:szCs w:val="18"/>
          <w:bdr w:val="none" w:sz="0" w:space="0" w:color="auto" w:frame="1"/>
          <w:lang w:val="en-GB"/>
        </w:rPr>
        <w:t>household</w:t>
      </w:r>
      <w:proofErr w:type="gramEnd"/>
      <w:r w:rsidRPr="00EE0686">
        <w:rPr>
          <w:rFonts w:ascii="Arial" w:hAnsi="Arial" w:cs="Arial"/>
          <w:b/>
          <w:bCs/>
          <w:i/>
          <w:sz w:val="18"/>
          <w:szCs w:val="18"/>
          <w:bdr w:val="none" w:sz="0" w:space="0" w:color="auto" w:frame="1"/>
          <w:lang w:val="en-GB"/>
        </w:rPr>
        <w:t xml:space="preserve"> consisting of two or more families</w:t>
      </w:r>
      <w:r w:rsidRPr="00EE0686">
        <w:rPr>
          <w:rFonts w:ascii="Arial" w:hAnsi="Arial" w:cs="Arial"/>
          <w:bCs/>
          <w:i/>
          <w:sz w:val="18"/>
          <w:szCs w:val="18"/>
          <w:bdr w:val="none" w:sz="0" w:space="0" w:color="auto" w:frame="1"/>
          <w:lang w:val="en-GB"/>
        </w:rPr>
        <w:t>;</w:t>
      </w:r>
    </w:p>
    <w:p w14:paraId="3728A2D6" w14:textId="77777777" w:rsidR="00A65CA2" w:rsidRPr="00EE0686" w:rsidRDefault="00A65CA2" w:rsidP="00A65CA2">
      <w:pPr>
        <w:shd w:val="clear" w:color="auto" w:fill="FFFFFF"/>
        <w:ind w:left="170" w:hanging="170"/>
        <w:jc w:val="both"/>
        <w:rPr>
          <w:rFonts w:ascii="Arial" w:hAnsi="Arial" w:cs="Arial"/>
          <w:i/>
          <w:sz w:val="18"/>
          <w:szCs w:val="18"/>
          <w:lang w:val="en-GB"/>
        </w:rPr>
      </w:pPr>
      <w:r w:rsidRPr="00EE0686">
        <w:rPr>
          <w:rFonts w:ascii="Arial" w:hAnsi="Arial" w:cs="Arial"/>
          <w:b/>
          <w:bCs/>
          <w:i/>
          <w:sz w:val="18"/>
          <w:szCs w:val="18"/>
          <w:bdr w:val="none" w:sz="0" w:space="0" w:color="auto" w:frame="1"/>
          <w:lang w:val="en-GB"/>
        </w:rPr>
        <w:t>– non-family household of more members</w:t>
      </w:r>
      <w:r w:rsidRPr="00EE0686">
        <w:rPr>
          <w:rFonts w:ascii="Arial" w:hAnsi="Arial" w:cs="Arial"/>
          <w:i/>
          <w:sz w:val="18"/>
          <w:szCs w:val="18"/>
          <w:lang w:val="en-GB"/>
        </w:rPr>
        <w:t xml:space="preserve"> (also called </w:t>
      </w:r>
      <w:r w:rsidRPr="00EE0686">
        <w:rPr>
          <w:rFonts w:ascii="Arial" w:hAnsi="Arial" w:cs="Arial"/>
          <w:b/>
          <w:i/>
          <w:sz w:val="18"/>
          <w:szCs w:val="18"/>
          <w:lang w:val="en-GB"/>
        </w:rPr>
        <w:t>non-family multi-person household</w:t>
      </w:r>
      <w:r w:rsidRPr="00EE0686">
        <w:rPr>
          <w:rFonts w:ascii="Arial" w:hAnsi="Arial" w:cs="Arial"/>
          <w:i/>
          <w:sz w:val="18"/>
          <w:szCs w:val="18"/>
          <w:lang w:val="en-GB"/>
        </w:rPr>
        <w:t xml:space="preserve">) </w:t>
      </w:r>
      <w:r w:rsidRPr="00EE0686">
        <w:rPr>
          <w:rFonts w:ascii="Arial" w:hAnsi="Arial"/>
          <w:i/>
          <w:sz w:val="18"/>
          <w:szCs w:val="18"/>
          <w:lang w:val="en-GB"/>
        </w:rPr>
        <w:t>–</w:t>
      </w:r>
      <w:r w:rsidRPr="00EE0686">
        <w:rPr>
          <w:rFonts w:ascii="Arial" w:hAnsi="Arial" w:cs="Arial"/>
          <w:i/>
          <w:sz w:val="18"/>
          <w:szCs w:val="18"/>
          <w:lang w:val="en-GB"/>
        </w:rPr>
        <w:t xml:space="preserve"> two or more persons, related to each other or not, who are in the same private household (housekeeping household) but do not form one-couple family household; a non-family multi-person household also includes households of a grandparent with grandchildren (except for grandparents forming a couple – a one-couple family);  </w:t>
      </w:r>
    </w:p>
    <w:p w14:paraId="2CFBCFB3" w14:textId="77777777" w:rsidR="00A65CA2" w:rsidRPr="00EE0686" w:rsidRDefault="00A65CA2" w:rsidP="00A65CA2">
      <w:pPr>
        <w:shd w:val="clear" w:color="auto" w:fill="FFFFFF"/>
        <w:ind w:left="170" w:hanging="170"/>
        <w:jc w:val="both"/>
        <w:rPr>
          <w:rFonts w:ascii="Arial" w:hAnsi="Arial" w:cs="Arial"/>
          <w:i/>
          <w:sz w:val="18"/>
          <w:szCs w:val="18"/>
          <w:lang w:val="en-GB"/>
        </w:rPr>
      </w:pPr>
      <w:r w:rsidRPr="00EE0686">
        <w:rPr>
          <w:rFonts w:ascii="Arial" w:hAnsi="Arial" w:cs="Arial"/>
          <w:b/>
          <w:bCs/>
          <w:i/>
          <w:sz w:val="18"/>
          <w:szCs w:val="18"/>
          <w:bdr w:val="none" w:sz="0" w:space="0" w:color="auto" w:frame="1"/>
          <w:lang w:val="en-GB"/>
        </w:rPr>
        <w:t>– </w:t>
      </w:r>
      <w:proofErr w:type="gramStart"/>
      <w:r w:rsidRPr="00EE0686">
        <w:rPr>
          <w:rFonts w:ascii="Arial" w:hAnsi="Arial" w:cs="Arial"/>
          <w:b/>
          <w:bCs/>
          <w:i/>
          <w:sz w:val="18"/>
          <w:szCs w:val="18"/>
          <w:bdr w:val="none" w:sz="0" w:space="0" w:color="auto" w:frame="1"/>
          <w:lang w:val="en-GB"/>
        </w:rPr>
        <w:t>one-person</w:t>
      </w:r>
      <w:proofErr w:type="gramEnd"/>
      <w:r w:rsidRPr="00EE0686">
        <w:rPr>
          <w:rFonts w:ascii="Arial" w:hAnsi="Arial" w:cs="Arial"/>
          <w:b/>
          <w:bCs/>
          <w:i/>
          <w:sz w:val="18"/>
          <w:szCs w:val="18"/>
          <w:bdr w:val="none" w:sz="0" w:space="0" w:color="auto" w:frame="1"/>
          <w:lang w:val="en-GB"/>
        </w:rPr>
        <w:t xml:space="preserve"> household</w:t>
      </w:r>
      <w:r w:rsidRPr="00EE0686">
        <w:rPr>
          <w:rFonts w:ascii="Arial" w:hAnsi="Arial" w:cs="Arial"/>
          <w:bCs/>
          <w:i/>
          <w:sz w:val="18"/>
          <w:szCs w:val="18"/>
          <w:bdr w:val="none" w:sz="0" w:space="0" w:color="auto" w:frame="1"/>
          <w:lang w:val="en-GB"/>
        </w:rPr>
        <w:t>.</w:t>
      </w:r>
    </w:p>
    <w:p w14:paraId="535BC557" w14:textId="77777777" w:rsidR="00A65CA2" w:rsidRPr="00EE0686" w:rsidRDefault="00A65CA2" w:rsidP="00A65CA2">
      <w:pPr>
        <w:shd w:val="clear" w:color="auto" w:fill="FFFFFF"/>
        <w:spacing w:before="120"/>
        <w:jc w:val="both"/>
        <w:rPr>
          <w:rFonts w:ascii="Arial" w:hAnsi="Arial" w:cs="Arial"/>
          <w:i/>
          <w:sz w:val="18"/>
          <w:szCs w:val="18"/>
          <w:lang w:val="en-GB"/>
        </w:rPr>
      </w:pPr>
      <w:r w:rsidRPr="00EE0686">
        <w:rPr>
          <w:rFonts w:ascii="Arial" w:hAnsi="Arial" w:cs="Arial"/>
          <w:i/>
          <w:sz w:val="18"/>
          <w:szCs w:val="18"/>
          <w:lang w:val="en-GB"/>
        </w:rPr>
        <w:t>A one-family household may also include other (individual) persons if they join common housekeeping of the household.</w:t>
      </w:r>
    </w:p>
    <w:p w14:paraId="02AE871B" w14:textId="77777777" w:rsidR="00A65CA2" w:rsidRPr="00EE0686"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i/>
          <w:sz w:val="18"/>
          <w:szCs w:val="18"/>
          <w:lang w:val="en-GB"/>
        </w:rPr>
      </w:pPr>
      <w:r w:rsidRPr="00EE0686">
        <w:rPr>
          <w:rFonts w:ascii="Arial" w:hAnsi="Arial" w:cs="Arial"/>
          <w:i/>
          <w:sz w:val="18"/>
          <w:szCs w:val="18"/>
          <w:lang w:val="en-GB"/>
        </w:rPr>
        <w:t xml:space="preserve">Private households (housekeeping households) were processed for persons living in dwellings, in other housing units, and also for families or non-family multi-person households in institutions. Single persons living in institutions and homeless persons are not included in the number of private households (housekeeping households). </w:t>
      </w:r>
    </w:p>
    <w:p w14:paraId="7941503B" w14:textId="7C81CAE1" w:rsidR="0059473D" w:rsidRPr="00EE0686"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outlineLvl w:val="0"/>
        <w:rPr>
          <w:rFonts w:ascii="Arial" w:hAnsi="Arial" w:cs="Arial"/>
          <w:bCs/>
          <w:i/>
          <w:sz w:val="18"/>
          <w:szCs w:val="18"/>
        </w:rPr>
      </w:pPr>
      <w:r w:rsidRPr="00EE0686">
        <w:rPr>
          <w:rFonts w:ascii="Arial" w:hAnsi="Arial" w:cs="Arial"/>
          <w:i/>
          <w:sz w:val="18"/>
          <w:szCs w:val="18"/>
          <w:lang w:val="en-GB"/>
        </w:rPr>
        <w:t>In the census results, one-family households are also classified, among others, according to the number of dependent children. A </w:t>
      </w:r>
      <w:r w:rsidRPr="00EE0686">
        <w:rPr>
          <w:rFonts w:ascii="Arial" w:hAnsi="Arial" w:cs="Arial"/>
          <w:b/>
          <w:bCs/>
          <w:i/>
          <w:sz w:val="18"/>
          <w:szCs w:val="18"/>
          <w:bdr w:val="none" w:sz="0" w:space="0" w:color="auto" w:frame="1"/>
          <w:lang w:val="en-GB"/>
        </w:rPr>
        <w:t>dependent child</w:t>
      </w:r>
      <w:r w:rsidRPr="00EE0686">
        <w:rPr>
          <w:rFonts w:ascii="Arial" w:hAnsi="Arial" w:cs="Arial"/>
          <w:i/>
          <w:sz w:val="18"/>
          <w:szCs w:val="18"/>
          <w:lang w:val="en-GB"/>
        </w:rPr>
        <w:t> is each person in a one-family household whose household status is a “child”, is not included in the labour force and concurrently is aged 0–25 years.</w:t>
      </w:r>
    </w:p>
    <w:p w14:paraId="1386C82B" w14:textId="77777777" w:rsidR="005053D4" w:rsidRPr="00EE0686"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i/>
          <w:sz w:val="18"/>
          <w:szCs w:val="18"/>
        </w:rPr>
      </w:pPr>
    </w:p>
    <w:p w14:paraId="60147206" w14:textId="77777777" w:rsidR="005053D4" w:rsidRPr="00EE0686" w:rsidRDefault="005053D4" w:rsidP="005053D4">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i/>
          <w:sz w:val="18"/>
          <w:szCs w:val="18"/>
        </w:rPr>
      </w:pPr>
    </w:p>
    <w:p w14:paraId="4B73141A" w14:textId="77777777" w:rsidR="0059473D" w:rsidRPr="00C65563" w:rsidRDefault="0059473D" w:rsidP="0059473D">
      <w:pPr>
        <w:rPr>
          <w:rFonts w:ascii="Arial" w:eastAsia="Arial Unicode MS" w:hAnsi="Arial" w:cs="Arial"/>
          <w:i/>
          <w:iCs/>
          <w:color w:val="0071BC"/>
          <w:sz w:val="20"/>
          <w:szCs w:val="20"/>
          <w:lang w:val="en-GB"/>
        </w:rPr>
      </w:pPr>
      <w:r w:rsidRPr="00C65563">
        <w:rPr>
          <w:rFonts w:ascii="Arial" w:eastAsia="Arial Unicode MS" w:hAnsi="Arial" w:cs="Arial"/>
          <w:b/>
          <w:bCs/>
          <w:i/>
          <w:iCs/>
          <w:color w:val="0071BC"/>
          <w:sz w:val="20"/>
          <w:szCs w:val="20"/>
          <w:lang w:val="en-GB"/>
        </w:rPr>
        <w:t>Notes on Tables</w:t>
      </w:r>
    </w:p>
    <w:p w14:paraId="0E6059C5" w14:textId="77777777" w:rsidR="0059473D" w:rsidRPr="00C65563" w:rsidRDefault="0059473D" w:rsidP="00F3186B">
      <w:pPr>
        <w:rPr>
          <w:rFonts w:ascii="Arial" w:eastAsia="Arial Unicode MS" w:hAnsi="Arial" w:cs="Arial"/>
          <w:i/>
          <w:iCs/>
          <w:sz w:val="18"/>
          <w:szCs w:val="18"/>
          <w:lang w:val="en-GB"/>
        </w:rPr>
      </w:pPr>
    </w:p>
    <w:p w14:paraId="106EF033" w14:textId="77777777" w:rsidR="00A65CA2" w:rsidRPr="00C65563" w:rsidRDefault="00A65CA2" w:rsidP="00A65CA2">
      <w:pPr>
        <w:ind w:left="454" w:hanging="454"/>
        <w:rPr>
          <w:rFonts w:ascii="Arial" w:hAnsi="Arial" w:cs="Arial"/>
          <w:b/>
          <w:i/>
          <w:color w:val="0071BC"/>
          <w:sz w:val="20"/>
          <w:szCs w:val="20"/>
          <w:lang w:val="en-GB"/>
        </w:rPr>
      </w:pPr>
      <w:r w:rsidRPr="00C65563">
        <w:rPr>
          <w:rFonts w:ascii="Arial" w:hAnsi="Arial" w:cs="Arial"/>
          <w:b/>
          <w:i/>
          <w:color w:val="0071BC"/>
          <w:sz w:val="20"/>
          <w:szCs w:val="20"/>
          <w:lang w:val="en-GB"/>
        </w:rPr>
        <w:t>Table 33-1</w:t>
      </w:r>
      <w:proofErr w:type="gramStart"/>
      <w:r w:rsidRPr="00C65563">
        <w:rPr>
          <w:rFonts w:ascii="Arial" w:hAnsi="Arial" w:cs="Arial"/>
          <w:b/>
          <w:i/>
          <w:color w:val="0071BC"/>
          <w:sz w:val="20"/>
          <w:szCs w:val="20"/>
          <w:lang w:val="en-GB"/>
        </w:rPr>
        <w:t>  Population</w:t>
      </w:r>
      <w:proofErr w:type="gramEnd"/>
      <w:r w:rsidRPr="00C65563">
        <w:rPr>
          <w:rFonts w:ascii="Arial" w:hAnsi="Arial" w:cs="Arial"/>
          <w:b/>
          <w:i/>
          <w:color w:val="0071BC"/>
          <w:sz w:val="20"/>
          <w:szCs w:val="20"/>
          <w:lang w:val="en-GB"/>
        </w:rPr>
        <w:t xml:space="preserve"> by economic activity status, housing and dwelling stock, dwelling households, private households by type and housing arrangements according to results of population censuses in 1970–2021</w:t>
      </w:r>
    </w:p>
    <w:p w14:paraId="0B0197E4" w14:textId="77777777" w:rsidR="00A65CA2" w:rsidRPr="00C65563" w:rsidRDefault="00A65CA2" w:rsidP="00A65CA2">
      <w:pPr>
        <w:autoSpaceDE w:val="0"/>
        <w:autoSpaceDN w:val="0"/>
        <w:adjustRightInd w:val="0"/>
        <w:rPr>
          <w:rFonts w:ascii="Arial" w:hAnsi="Arial" w:cs="Arial"/>
          <w:i/>
          <w:sz w:val="18"/>
          <w:szCs w:val="18"/>
          <w:lang w:val="en-GB"/>
        </w:rPr>
      </w:pPr>
    </w:p>
    <w:p w14:paraId="572CC49E" w14:textId="77777777" w:rsidR="00A65CA2" w:rsidRPr="00C65563" w:rsidRDefault="00A65CA2" w:rsidP="00A65CA2">
      <w:pPr>
        <w:autoSpaceDE w:val="0"/>
        <w:autoSpaceDN w:val="0"/>
        <w:adjustRightInd w:val="0"/>
        <w:jc w:val="both"/>
        <w:rPr>
          <w:rFonts w:ascii="Arial" w:hAnsi="Arial" w:cs="Arial"/>
          <w:i/>
          <w:sz w:val="18"/>
          <w:szCs w:val="18"/>
          <w:lang w:val="en-GB"/>
        </w:rPr>
      </w:pPr>
      <w:r w:rsidRPr="00C65563">
        <w:rPr>
          <w:rFonts w:ascii="Arial" w:hAnsi="Arial" w:cs="Arial"/>
          <w:i/>
          <w:sz w:val="18"/>
          <w:szCs w:val="18"/>
          <w:lang w:val="en-GB"/>
        </w:rPr>
        <w:t>Data from censuses in the years from 1970 to 2001 are for persons with permanent residence, data from censuses in 2011 and 2021 are for persons with usual residence in the territory of the Czech Republic. In the years 2001 to 2021, data also include foreigners with long-term residence.</w:t>
      </w:r>
    </w:p>
    <w:p w14:paraId="70AA1759" w14:textId="6B7FC37A" w:rsidR="0059473D" w:rsidRPr="003444C7" w:rsidRDefault="00A65CA2" w:rsidP="00A65CA2">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sz w:val="18"/>
          <w:szCs w:val="18"/>
        </w:rPr>
      </w:pPr>
      <w:r w:rsidRPr="00C65563">
        <w:rPr>
          <w:rFonts w:ascii="Arial" w:hAnsi="Arial" w:cs="Arial"/>
          <w:i/>
          <w:sz w:val="18"/>
          <w:szCs w:val="18"/>
          <w:lang w:val="en-GB"/>
        </w:rPr>
        <w:t>In 1970–2001, provided data are for permanently occupied houses and dwellings, in 2011 and 2021 for usually occupied. Private (housekeeping) households and dwelling households in 1970–2001 were compiled according to the place of permanent residence of persons or according to the place of long-term residence (in 2001, when the Census also included foreigners with long-term residence). In 2011 and 2021, households consisted of persons with a common place of usual residence.</w:t>
      </w:r>
    </w:p>
    <w:p w14:paraId="484E9F2D" w14:textId="7EC3B385" w:rsidR="0059473D" w:rsidRPr="00F3186B" w:rsidRDefault="0059473D" w:rsidP="0059473D">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p>
    <w:p w14:paraId="34CAF42C" w14:textId="77777777" w:rsidR="00F3186B" w:rsidRPr="00F3186B" w:rsidRDefault="00F3186B" w:rsidP="0059473D">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p>
    <w:p w14:paraId="0B3D6648" w14:textId="77777777" w:rsidR="0059473D" w:rsidRPr="007F4FAF" w:rsidRDefault="0059473D" w:rsidP="0059473D">
      <w:pPr>
        <w:jc w:val="center"/>
        <w:rPr>
          <w:rFonts w:ascii="Arial" w:hAnsi="Arial" w:cs="Arial"/>
          <w:i/>
          <w:iCs/>
          <w:color w:val="0071BC"/>
          <w:sz w:val="20"/>
          <w:szCs w:val="20"/>
          <w:lang w:val="en-GB"/>
        </w:rPr>
      </w:pPr>
      <w:proofErr w:type="gramStart"/>
      <w:r w:rsidRPr="007F4FAF">
        <w:rPr>
          <w:rFonts w:ascii="Arial" w:hAnsi="Arial" w:cs="Arial"/>
          <w:color w:val="0071BC"/>
          <w:sz w:val="20"/>
          <w:szCs w:val="20"/>
        </w:rPr>
        <w:t>*          *          *</w:t>
      </w:r>
      <w:proofErr w:type="gramEnd"/>
    </w:p>
    <w:p w14:paraId="4D897EF8" w14:textId="77777777" w:rsidR="0059473D" w:rsidRPr="003444C7" w:rsidRDefault="0059473D" w:rsidP="0059473D">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sz w:val="18"/>
          <w:szCs w:val="18"/>
        </w:rPr>
      </w:pPr>
    </w:p>
    <w:p w14:paraId="2ED8CD61" w14:textId="77777777" w:rsidR="0059473D" w:rsidRPr="003444C7" w:rsidRDefault="0059473D" w:rsidP="0059473D">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sz w:val="18"/>
          <w:szCs w:val="18"/>
        </w:rPr>
      </w:pPr>
    </w:p>
    <w:p w14:paraId="4E4BE18C" w14:textId="0B9E5003" w:rsidR="0059473D" w:rsidRPr="003444C7" w:rsidRDefault="00F3186B" w:rsidP="0059473D">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eastAsia="Arial Unicode MS" w:hAnsi="Arial" w:cs="Arial"/>
          <w:i/>
          <w:iCs/>
          <w:sz w:val="18"/>
          <w:szCs w:val="18"/>
          <w:lang w:val="en-GB"/>
        </w:rPr>
      </w:pPr>
      <w:r w:rsidRPr="00A23BA2">
        <w:rPr>
          <w:rFonts w:ascii="Arial" w:hAnsi="Arial" w:cs="Arial"/>
          <w:i/>
          <w:sz w:val="18"/>
          <w:szCs w:val="18"/>
          <w:lang w:val="en-GB"/>
        </w:rPr>
        <w:t>Further data from the 2021 Population and Housing Census can be found on the website of the Czech Statistical Office at:</w:t>
      </w:r>
    </w:p>
    <w:p w14:paraId="01A33A59" w14:textId="42C30833" w:rsidR="00C762B5" w:rsidRPr="007F4FAF" w:rsidRDefault="0059473D" w:rsidP="0059473D">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color w:val="0070C0"/>
          <w:u w:val="single"/>
        </w:rPr>
      </w:pPr>
      <w:r w:rsidRPr="003444C7">
        <w:rPr>
          <w:rFonts w:ascii="Arial" w:eastAsia="Arial Unicode MS" w:hAnsi="Arial" w:cs="Arial"/>
          <w:i/>
          <w:iCs/>
          <w:sz w:val="18"/>
          <w:szCs w:val="18"/>
          <w:lang w:val="en-GB"/>
        </w:rPr>
        <w:t>– </w:t>
      </w:r>
      <w:hyperlink r:id="rId6" w:history="1">
        <w:r w:rsidR="006F089D" w:rsidRPr="006F089D">
          <w:rPr>
            <w:rStyle w:val="Hypertextovodkaz"/>
            <w:rFonts w:ascii="Arial" w:eastAsia="Arial Unicode MS" w:hAnsi="Arial" w:cs="Arial"/>
            <w:iCs/>
            <w:sz w:val="18"/>
            <w:szCs w:val="18"/>
            <w:lang w:val="en-GB"/>
          </w:rPr>
          <w:t>www.scit</w:t>
        </w:r>
        <w:r w:rsidR="006F089D" w:rsidRPr="006F089D">
          <w:rPr>
            <w:rStyle w:val="Hypertextovodkaz"/>
            <w:rFonts w:ascii="Arial" w:eastAsia="Arial Unicode MS" w:hAnsi="Arial" w:cs="Arial"/>
            <w:iCs/>
            <w:sz w:val="18"/>
            <w:szCs w:val="18"/>
            <w:lang w:val="en-GB"/>
          </w:rPr>
          <w:t>a</w:t>
        </w:r>
        <w:r w:rsidR="006F089D" w:rsidRPr="006F089D">
          <w:rPr>
            <w:rStyle w:val="Hypertextovodkaz"/>
            <w:rFonts w:ascii="Arial" w:eastAsia="Arial Unicode MS" w:hAnsi="Arial" w:cs="Arial"/>
            <w:iCs/>
            <w:sz w:val="18"/>
            <w:szCs w:val="18"/>
            <w:lang w:val="en-GB"/>
          </w:rPr>
          <w:t>n</w:t>
        </w:r>
        <w:r w:rsidR="006F089D" w:rsidRPr="006F089D">
          <w:rPr>
            <w:rStyle w:val="Hypertextovodkaz"/>
            <w:rFonts w:ascii="Arial" w:eastAsia="Arial Unicode MS" w:hAnsi="Arial" w:cs="Arial"/>
            <w:iCs/>
            <w:sz w:val="18"/>
            <w:szCs w:val="18"/>
            <w:lang w:val="en-GB"/>
          </w:rPr>
          <w:t>i</w:t>
        </w:r>
        <w:r w:rsidR="006F089D" w:rsidRPr="006F089D">
          <w:rPr>
            <w:rStyle w:val="Hypertextovodkaz"/>
            <w:rFonts w:ascii="Arial" w:eastAsia="Arial Unicode MS" w:hAnsi="Arial" w:cs="Arial"/>
            <w:iCs/>
            <w:sz w:val="18"/>
            <w:szCs w:val="18"/>
            <w:lang w:val="en-GB"/>
          </w:rPr>
          <w:t>.</w:t>
        </w:r>
        <w:r w:rsidR="006F089D" w:rsidRPr="006F089D">
          <w:rPr>
            <w:rStyle w:val="Hypertextovodkaz"/>
            <w:rFonts w:ascii="Arial" w:eastAsia="Arial Unicode MS" w:hAnsi="Arial" w:cs="Arial"/>
            <w:iCs/>
            <w:sz w:val="18"/>
            <w:szCs w:val="18"/>
            <w:lang w:val="en-GB"/>
          </w:rPr>
          <w:t>cz/h</w:t>
        </w:r>
        <w:bookmarkStart w:id="0" w:name="_GoBack"/>
        <w:bookmarkEnd w:id="0"/>
        <w:r w:rsidR="006F089D" w:rsidRPr="006F089D">
          <w:rPr>
            <w:rStyle w:val="Hypertextovodkaz"/>
            <w:rFonts w:ascii="Arial" w:eastAsia="Arial Unicode MS" w:hAnsi="Arial" w:cs="Arial"/>
            <w:iCs/>
            <w:sz w:val="18"/>
            <w:szCs w:val="18"/>
            <w:lang w:val="en-GB"/>
          </w:rPr>
          <w:t>ome</w:t>
        </w:r>
      </w:hyperlink>
    </w:p>
    <w:sectPr w:rsidR="00C762B5" w:rsidRPr="007F4FAF" w:rsidSect="00800A7F">
      <w:pgSz w:w="11906" w:h="16838"/>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2C95"/>
    <w:multiLevelType w:val="hybridMultilevel"/>
    <w:tmpl w:val="0068EBCC"/>
    <w:lvl w:ilvl="0" w:tplc="6A26BC4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3C4441"/>
    <w:multiLevelType w:val="hybridMultilevel"/>
    <w:tmpl w:val="67F49080"/>
    <w:lvl w:ilvl="0" w:tplc="6C3EE8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48B05623"/>
    <w:multiLevelType w:val="hybridMultilevel"/>
    <w:tmpl w:val="66E6F02C"/>
    <w:lvl w:ilvl="0" w:tplc="6A26BC4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543445"/>
    <w:multiLevelType w:val="hybridMultilevel"/>
    <w:tmpl w:val="EF008EB4"/>
    <w:lvl w:ilvl="0" w:tplc="B052C0E0">
      <w:numFmt w:val="bullet"/>
      <w:lvlText w:val="–"/>
      <w:lvlJc w:val="left"/>
      <w:pPr>
        <w:ind w:left="712" w:hanging="360"/>
      </w:pPr>
      <w:rPr>
        <w:rFonts w:ascii="Arial" w:eastAsia="Times New Roman" w:hAnsi="Arial" w:cs="Arial" w:hint="default"/>
      </w:rPr>
    </w:lvl>
    <w:lvl w:ilvl="1" w:tplc="04050003" w:tentative="1">
      <w:start w:val="1"/>
      <w:numFmt w:val="bullet"/>
      <w:lvlText w:val="o"/>
      <w:lvlJc w:val="left"/>
      <w:pPr>
        <w:ind w:left="1432" w:hanging="360"/>
      </w:pPr>
      <w:rPr>
        <w:rFonts w:ascii="Courier New" w:hAnsi="Courier New" w:cs="Courier New" w:hint="default"/>
      </w:rPr>
    </w:lvl>
    <w:lvl w:ilvl="2" w:tplc="04050005" w:tentative="1">
      <w:start w:val="1"/>
      <w:numFmt w:val="bullet"/>
      <w:lvlText w:val=""/>
      <w:lvlJc w:val="left"/>
      <w:pPr>
        <w:ind w:left="2152" w:hanging="360"/>
      </w:pPr>
      <w:rPr>
        <w:rFonts w:ascii="Wingdings" w:hAnsi="Wingdings" w:hint="default"/>
      </w:rPr>
    </w:lvl>
    <w:lvl w:ilvl="3" w:tplc="04050001" w:tentative="1">
      <w:start w:val="1"/>
      <w:numFmt w:val="bullet"/>
      <w:lvlText w:val=""/>
      <w:lvlJc w:val="left"/>
      <w:pPr>
        <w:ind w:left="2872" w:hanging="360"/>
      </w:pPr>
      <w:rPr>
        <w:rFonts w:ascii="Symbol" w:hAnsi="Symbol" w:hint="default"/>
      </w:rPr>
    </w:lvl>
    <w:lvl w:ilvl="4" w:tplc="04050003" w:tentative="1">
      <w:start w:val="1"/>
      <w:numFmt w:val="bullet"/>
      <w:lvlText w:val="o"/>
      <w:lvlJc w:val="left"/>
      <w:pPr>
        <w:ind w:left="3592" w:hanging="360"/>
      </w:pPr>
      <w:rPr>
        <w:rFonts w:ascii="Courier New" w:hAnsi="Courier New" w:cs="Courier New" w:hint="default"/>
      </w:rPr>
    </w:lvl>
    <w:lvl w:ilvl="5" w:tplc="04050005" w:tentative="1">
      <w:start w:val="1"/>
      <w:numFmt w:val="bullet"/>
      <w:lvlText w:val=""/>
      <w:lvlJc w:val="left"/>
      <w:pPr>
        <w:ind w:left="4312" w:hanging="360"/>
      </w:pPr>
      <w:rPr>
        <w:rFonts w:ascii="Wingdings" w:hAnsi="Wingdings" w:hint="default"/>
      </w:rPr>
    </w:lvl>
    <w:lvl w:ilvl="6" w:tplc="04050001" w:tentative="1">
      <w:start w:val="1"/>
      <w:numFmt w:val="bullet"/>
      <w:lvlText w:val=""/>
      <w:lvlJc w:val="left"/>
      <w:pPr>
        <w:ind w:left="5032" w:hanging="360"/>
      </w:pPr>
      <w:rPr>
        <w:rFonts w:ascii="Symbol" w:hAnsi="Symbol" w:hint="default"/>
      </w:rPr>
    </w:lvl>
    <w:lvl w:ilvl="7" w:tplc="04050003" w:tentative="1">
      <w:start w:val="1"/>
      <w:numFmt w:val="bullet"/>
      <w:lvlText w:val="o"/>
      <w:lvlJc w:val="left"/>
      <w:pPr>
        <w:ind w:left="5752" w:hanging="360"/>
      </w:pPr>
      <w:rPr>
        <w:rFonts w:ascii="Courier New" w:hAnsi="Courier New" w:cs="Courier New" w:hint="default"/>
      </w:rPr>
    </w:lvl>
    <w:lvl w:ilvl="8" w:tplc="04050005" w:tentative="1">
      <w:start w:val="1"/>
      <w:numFmt w:val="bullet"/>
      <w:lvlText w:val=""/>
      <w:lvlJc w:val="left"/>
      <w:pPr>
        <w:ind w:left="6472"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29"/>
    <w:rsid w:val="00000973"/>
    <w:rsid w:val="0000632A"/>
    <w:rsid w:val="00006F29"/>
    <w:rsid w:val="00007606"/>
    <w:rsid w:val="00007BD9"/>
    <w:rsid w:val="00007CE4"/>
    <w:rsid w:val="00011D96"/>
    <w:rsid w:val="00012BA7"/>
    <w:rsid w:val="000158AA"/>
    <w:rsid w:val="0001670B"/>
    <w:rsid w:val="00020EA2"/>
    <w:rsid w:val="00021A1C"/>
    <w:rsid w:val="00026870"/>
    <w:rsid w:val="00032F15"/>
    <w:rsid w:val="00033E75"/>
    <w:rsid w:val="00034FEC"/>
    <w:rsid w:val="0004021E"/>
    <w:rsid w:val="00040C8E"/>
    <w:rsid w:val="00040DF1"/>
    <w:rsid w:val="0004386D"/>
    <w:rsid w:val="00044008"/>
    <w:rsid w:val="00052CE9"/>
    <w:rsid w:val="00056795"/>
    <w:rsid w:val="00056DE1"/>
    <w:rsid w:val="00060799"/>
    <w:rsid w:val="00062DD6"/>
    <w:rsid w:val="00065AD8"/>
    <w:rsid w:val="00067455"/>
    <w:rsid w:val="0007333E"/>
    <w:rsid w:val="0007498F"/>
    <w:rsid w:val="0007662A"/>
    <w:rsid w:val="000839BC"/>
    <w:rsid w:val="00084DEC"/>
    <w:rsid w:val="00093230"/>
    <w:rsid w:val="00093A7B"/>
    <w:rsid w:val="0009476F"/>
    <w:rsid w:val="00095D4D"/>
    <w:rsid w:val="000A0CDB"/>
    <w:rsid w:val="000A3B67"/>
    <w:rsid w:val="000A7A85"/>
    <w:rsid w:val="000B05EE"/>
    <w:rsid w:val="000B0DE2"/>
    <w:rsid w:val="000B3DAF"/>
    <w:rsid w:val="000B4BBD"/>
    <w:rsid w:val="000B55D9"/>
    <w:rsid w:val="000C104B"/>
    <w:rsid w:val="000C3019"/>
    <w:rsid w:val="000C3CCF"/>
    <w:rsid w:val="000C51DC"/>
    <w:rsid w:val="000C5D0D"/>
    <w:rsid w:val="000D2403"/>
    <w:rsid w:val="000D2410"/>
    <w:rsid w:val="000D65D5"/>
    <w:rsid w:val="000D6979"/>
    <w:rsid w:val="000D7505"/>
    <w:rsid w:val="000E1E35"/>
    <w:rsid w:val="000E2783"/>
    <w:rsid w:val="000E370E"/>
    <w:rsid w:val="000E4A76"/>
    <w:rsid w:val="000E4FD2"/>
    <w:rsid w:val="000E7961"/>
    <w:rsid w:val="000F6F20"/>
    <w:rsid w:val="00102C0E"/>
    <w:rsid w:val="0010651E"/>
    <w:rsid w:val="00106AFE"/>
    <w:rsid w:val="0011379F"/>
    <w:rsid w:val="00114969"/>
    <w:rsid w:val="00126EE4"/>
    <w:rsid w:val="00127B9C"/>
    <w:rsid w:val="00130469"/>
    <w:rsid w:val="00133165"/>
    <w:rsid w:val="00140905"/>
    <w:rsid w:val="00140A16"/>
    <w:rsid w:val="0014105A"/>
    <w:rsid w:val="00147E8B"/>
    <w:rsid w:val="00151C50"/>
    <w:rsid w:val="001555A9"/>
    <w:rsid w:val="00157C58"/>
    <w:rsid w:val="00157F99"/>
    <w:rsid w:val="00160D9F"/>
    <w:rsid w:val="00161136"/>
    <w:rsid w:val="001728C0"/>
    <w:rsid w:val="00173747"/>
    <w:rsid w:val="00174931"/>
    <w:rsid w:val="00175761"/>
    <w:rsid w:val="00180AB5"/>
    <w:rsid w:val="00184B67"/>
    <w:rsid w:val="0019444A"/>
    <w:rsid w:val="00195AA2"/>
    <w:rsid w:val="001A00EF"/>
    <w:rsid w:val="001A08D1"/>
    <w:rsid w:val="001A493F"/>
    <w:rsid w:val="001A6EA9"/>
    <w:rsid w:val="001B0954"/>
    <w:rsid w:val="001B117E"/>
    <w:rsid w:val="001B5F57"/>
    <w:rsid w:val="001B7458"/>
    <w:rsid w:val="001B7A57"/>
    <w:rsid w:val="001C575B"/>
    <w:rsid w:val="001D1110"/>
    <w:rsid w:val="001D1DF9"/>
    <w:rsid w:val="001D3671"/>
    <w:rsid w:val="001D50A7"/>
    <w:rsid w:val="001D6FC8"/>
    <w:rsid w:val="001E7847"/>
    <w:rsid w:val="001E7A46"/>
    <w:rsid w:val="001F20B0"/>
    <w:rsid w:val="001F2CFE"/>
    <w:rsid w:val="001F6757"/>
    <w:rsid w:val="001F737A"/>
    <w:rsid w:val="0020512D"/>
    <w:rsid w:val="002051CD"/>
    <w:rsid w:val="00216DCD"/>
    <w:rsid w:val="00221935"/>
    <w:rsid w:val="00225CAF"/>
    <w:rsid w:val="002346D7"/>
    <w:rsid w:val="00237C89"/>
    <w:rsid w:val="0024003F"/>
    <w:rsid w:val="00240133"/>
    <w:rsid w:val="002410F7"/>
    <w:rsid w:val="00241406"/>
    <w:rsid w:val="00246A51"/>
    <w:rsid w:val="00250BA6"/>
    <w:rsid w:val="00250CAC"/>
    <w:rsid w:val="00251DDB"/>
    <w:rsid w:val="002601F1"/>
    <w:rsid w:val="00260565"/>
    <w:rsid w:val="00261A54"/>
    <w:rsid w:val="002678C2"/>
    <w:rsid w:val="002756B4"/>
    <w:rsid w:val="0028558B"/>
    <w:rsid w:val="00287303"/>
    <w:rsid w:val="00287A10"/>
    <w:rsid w:val="00291FC2"/>
    <w:rsid w:val="00292F89"/>
    <w:rsid w:val="0029385D"/>
    <w:rsid w:val="00293BD7"/>
    <w:rsid w:val="002978C9"/>
    <w:rsid w:val="002A33F0"/>
    <w:rsid w:val="002A4189"/>
    <w:rsid w:val="002A5DC6"/>
    <w:rsid w:val="002A7366"/>
    <w:rsid w:val="002B505E"/>
    <w:rsid w:val="002C2FEA"/>
    <w:rsid w:val="002D25C9"/>
    <w:rsid w:val="002D2F2B"/>
    <w:rsid w:val="002D3AD7"/>
    <w:rsid w:val="002D43E7"/>
    <w:rsid w:val="002F2F84"/>
    <w:rsid w:val="002F55FF"/>
    <w:rsid w:val="0030121F"/>
    <w:rsid w:val="00301858"/>
    <w:rsid w:val="003063D0"/>
    <w:rsid w:val="00306534"/>
    <w:rsid w:val="00313E54"/>
    <w:rsid w:val="003205DF"/>
    <w:rsid w:val="003224E8"/>
    <w:rsid w:val="00332CFB"/>
    <w:rsid w:val="00333A49"/>
    <w:rsid w:val="00336B6E"/>
    <w:rsid w:val="0033763D"/>
    <w:rsid w:val="00340112"/>
    <w:rsid w:val="00340698"/>
    <w:rsid w:val="003440C1"/>
    <w:rsid w:val="003529E8"/>
    <w:rsid w:val="00354C7C"/>
    <w:rsid w:val="00356B8C"/>
    <w:rsid w:val="003650E5"/>
    <w:rsid w:val="0037069E"/>
    <w:rsid w:val="00374234"/>
    <w:rsid w:val="0037436C"/>
    <w:rsid w:val="00375A22"/>
    <w:rsid w:val="00377BCC"/>
    <w:rsid w:val="00381668"/>
    <w:rsid w:val="00382BCD"/>
    <w:rsid w:val="00383590"/>
    <w:rsid w:val="00384324"/>
    <w:rsid w:val="00384F43"/>
    <w:rsid w:val="00386873"/>
    <w:rsid w:val="0039199E"/>
    <w:rsid w:val="003964B4"/>
    <w:rsid w:val="003A100F"/>
    <w:rsid w:val="003A1787"/>
    <w:rsid w:val="003A5458"/>
    <w:rsid w:val="003A6A59"/>
    <w:rsid w:val="003B068A"/>
    <w:rsid w:val="003B5C01"/>
    <w:rsid w:val="003B7E18"/>
    <w:rsid w:val="003C38C3"/>
    <w:rsid w:val="003C4827"/>
    <w:rsid w:val="003D470D"/>
    <w:rsid w:val="003D73F7"/>
    <w:rsid w:val="003E2CB8"/>
    <w:rsid w:val="003E3E2A"/>
    <w:rsid w:val="003E7559"/>
    <w:rsid w:val="003E7D8E"/>
    <w:rsid w:val="003F198E"/>
    <w:rsid w:val="003F4D05"/>
    <w:rsid w:val="003F7388"/>
    <w:rsid w:val="00400DA8"/>
    <w:rsid w:val="004042A8"/>
    <w:rsid w:val="00404538"/>
    <w:rsid w:val="00405A82"/>
    <w:rsid w:val="00405EA8"/>
    <w:rsid w:val="0041196A"/>
    <w:rsid w:val="004124A6"/>
    <w:rsid w:val="00414268"/>
    <w:rsid w:val="0041548E"/>
    <w:rsid w:val="00422932"/>
    <w:rsid w:val="00423112"/>
    <w:rsid w:val="0042406E"/>
    <w:rsid w:val="004315A6"/>
    <w:rsid w:val="00434350"/>
    <w:rsid w:val="00435CC9"/>
    <w:rsid w:val="004363B3"/>
    <w:rsid w:val="0044197F"/>
    <w:rsid w:val="00441A9A"/>
    <w:rsid w:val="00445FFB"/>
    <w:rsid w:val="004461CA"/>
    <w:rsid w:val="00447BC1"/>
    <w:rsid w:val="00451B55"/>
    <w:rsid w:val="00451FE2"/>
    <w:rsid w:val="00455C93"/>
    <w:rsid w:val="00461A20"/>
    <w:rsid w:val="00462DCF"/>
    <w:rsid w:val="00463097"/>
    <w:rsid w:val="00466233"/>
    <w:rsid w:val="004676DD"/>
    <w:rsid w:val="00467C89"/>
    <w:rsid w:val="00471281"/>
    <w:rsid w:val="00472701"/>
    <w:rsid w:val="00472FAB"/>
    <w:rsid w:val="00477B17"/>
    <w:rsid w:val="004814CE"/>
    <w:rsid w:val="0048481E"/>
    <w:rsid w:val="00493840"/>
    <w:rsid w:val="004A0477"/>
    <w:rsid w:val="004A11A2"/>
    <w:rsid w:val="004A258C"/>
    <w:rsid w:val="004B1773"/>
    <w:rsid w:val="004B3364"/>
    <w:rsid w:val="004C113D"/>
    <w:rsid w:val="004C11FA"/>
    <w:rsid w:val="004C3150"/>
    <w:rsid w:val="004C3A46"/>
    <w:rsid w:val="004C46FD"/>
    <w:rsid w:val="004C53BA"/>
    <w:rsid w:val="004C62CD"/>
    <w:rsid w:val="004C6385"/>
    <w:rsid w:val="004C64ED"/>
    <w:rsid w:val="004C72C2"/>
    <w:rsid w:val="004D7C53"/>
    <w:rsid w:val="004E02FD"/>
    <w:rsid w:val="004E3015"/>
    <w:rsid w:val="004E3079"/>
    <w:rsid w:val="004E694B"/>
    <w:rsid w:val="004E7B4C"/>
    <w:rsid w:val="004F0B2D"/>
    <w:rsid w:val="004F1FA4"/>
    <w:rsid w:val="004F3FC1"/>
    <w:rsid w:val="004F4F91"/>
    <w:rsid w:val="004F628F"/>
    <w:rsid w:val="004F6664"/>
    <w:rsid w:val="00501D87"/>
    <w:rsid w:val="00502314"/>
    <w:rsid w:val="00502BBC"/>
    <w:rsid w:val="00503834"/>
    <w:rsid w:val="00504445"/>
    <w:rsid w:val="005053D4"/>
    <w:rsid w:val="00505CD0"/>
    <w:rsid w:val="00505F10"/>
    <w:rsid w:val="00506DF4"/>
    <w:rsid w:val="00507AC8"/>
    <w:rsid w:val="00512FD7"/>
    <w:rsid w:val="005142B0"/>
    <w:rsid w:val="00515B72"/>
    <w:rsid w:val="00516264"/>
    <w:rsid w:val="0051703D"/>
    <w:rsid w:val="005173D3"/>
    <w:rsid w:val="00520EB2"/>
    <w:rsid w:val="00521CD3"/>
    <w:rsid w:val="005257E7"/>
    <w:rsid w:val="0053336A"/>
    <w:rsid w:val="0053344B"/>
    <w:rsid w:val="005348DF"/>
    <w:rsid w:val="00535EFA"/>
    <w:rsid w:val="00540A71"/>
    <w:rsid w:val="005433BB"/>
    <w:rsid w:val="0054498F"/>
    <w:rsid w:val="00557063"/>
    <w:rsid w:val="00560767"/>
    <w:rsid w:val="00561149"/>
    <w:rsid w:val="00565759"/>
    <w:rsid w:val="00572EEB"/>
    <w:rsid w:val="005749AE"/>
    <w:rsid w:val="00576F21"/>
    <w:rsid w:val="005844CD"/>
    <w:rsid w:val="0059473D"/>
    <w:rsid w:val="005A0124"/>
    <w:rsid w:val="005A184B"/>
    <w:rsid w:val="005B57E2"/>
    <w:rsid w:val="005B63B1"/>
    <w:rsid w:val="005C0830"/>
    <w:rsid w:val="005C1382"/>
    <w:rsid w:val="005C2C16"/>
    <w:rsid w:val="005C41C5"/>
    <w:rsid w:val="005D091C"/>
    <w:rsid w:val="005D2BDD"/>
    <w:rsid w:val="005E0CF3"/>
    <w:rsid w:val="005E24BF"/>
    <w:rsid w:val="005E3836"/>
    <w:rsid w:val="005E4989"/>
    <w:rsid w:val="005E4B1F"/>
    <w:rsid w:val="005F0193"/>
    <w:rsid w:val="006000F4"/>
    <w:rsid w:val="00601701"/>
    <w:rsid w:val="00601BF7"/>
    <w:rsid w:val="00604867"/>
    <w:rsid w:val="006165C2"/>
    <w:rsid w:val="006205AE"/>
    <w:rsid w:val="00621544"/>
    <w:rsid w:val="00621F81"/>
    <w:rsid w:val="00630757"/>
    <w:rsid w:val="00631793"/>
    <w:rsid w:val="006329D8"/>
    <w:rsid w:val="00633374"/>
    <w:rsid w:val="00633ACD"/>
    <w:rsid w:val="00634C15"/>
    <w:rsid w:val="0063569D"/>
    <w:rsid w:val="00635AA8"/>
    <w:rsid w:val="006430F4"/>
    <w:rsid w:val="00644FA4"/>
    <w:rsid w:val="0064600C"/>
    <w:rsid w:val="0065120A"/>
    <w:rsid w:val="00660051"/>
    <w:rsid w:val="00666756"/>
    <w:rsid w:val="006749E1"/>
    <w:rsid w:val="006751B6"/>
    <w:rsid w:val="00676D6A"/>
    <w:rsid w:val="00677B9F"/>
    <w:rsid w:val="00681FD0"/>
    <w:rsid w:val="006842B1"/>
    <w:rsid w:val="006853F6"/>
    <w:rsid w:val="0069197B"/>
    <w:rsid w:val="00692380"/>
    <w:rsid w:val="006941C5"/>
    <w:rsid w:val="006962F9"/>
    <w:rsid w:val="00696634"/>
    <w:rsid w:val="006976DB"/>
    <w:rsid w:val="006A11C3"/>
    <w:rsid w:val="006B716A"/>
    <w:rsid w:val="006B7D4E"/>
    <w:rsid w:val="006C12F6"/>
    <w:rsid w:val="006C2145"/>
    <w:rsid w:val="006D2071"/>
    <w:rsid w:val="006D3A44"/>
    <w:rsid w:val="006E0D71"/>
    <w:rsid w:val="006E1840"/>
    <w:rsid w:val="006F089D"/>
    <w:rsid w:val="006F1C25"/>
    <w:rsid w:val="006F4E40"/>
    <w:rsid w:val="006F50D3"/>
    <w:rsid w:val="006F5B5B"/>
    <w:rsid w:val="006F72D4"/>
    <w:rsid w:val="007011C7"/>
    <w:rsid w:val="007038C9"/>
    <w:rsid w:val="0070531E"/>
    <w:rsid w:val="00705407"/>
    <w:rsid w:val="00705EB4"/>
    <w:rsid w:val="00707C0A"/>
    <w:rsid w:val="00712AE0"/>
    <w:rsid w:val="007233DD"/>
    <w:rsid w:val="00724DCE"/>
    <w:rsid w:val="00725B38"/>
    <w:rsid w:val="0073222E"/>
    <w:rsid w:val="00745018"/>
    <w:rsid w:val="007476D3"/>
    <w:rsid w:val="007478BD"/>
    <w:rsid w:val="00751476"/>
    <w:rsid w:val="00756293"/>
    <w:rsid w:val="00760407"/>
    <w:rsid w:val="00760E41"/>
    <w:rsid w:val="00761351"/>
    <w:rsid w:val="00762A05"/>
    <w:rsid w:val="007638BD"/>
    <w:rsid w:val="00764928"/>
    <w:rsid w:val="007651A2"/>
    <w:rsid w:val="00765CC3"/>
    <w:rsid w:val="00767F18"/>
    <w:rsid w:val="0077397F"/>
    <w:rsid w:val="007804E4"/>
    <w:rsid w:val="00784500"/>
    <w:rsid w:val="00784C68"/>
    <w:rsid w:val="0079585F"/>
    <w:rsid w:val="007A1FD6"/>
    <w:rsid w:val="007A292E"/>
    <w:rsid w:val="007A2B55"/>
    <w:rsid w:val="007A42F6"/>
    <w:rsid w:val="007A45A9"/>
    <w:rsid w:val="007B5804"/>
    <w:rsid w:val="007B6E11"/>
    <w:rsid w:val="007C0481"/>
    <w:rsid w:val="007C1220"/>
    <w:rsid w:val="007C479B"/>
    <w:rsid w:val="007C5410"/>
    <w:rsid w:val="007C7108"/>
    <w:rsid w:val="007D0065"/>
    <w:rsid w:val="007D1AB8"/>
    <w:rsid w:val="007D58BF"/>
    <w:rsid w:val="007E179F"/>
    <w:rsid w:val="007E6988"/>
    <w:rsid w:val="007E7C36"/>
    <w:rsid w:val="007E7DEC"/>
    <w:rsid w:val="007F00C4"/>
    <w:rsid w:val="007F132A"/>
    <w:rsid w:val="007F3666"/>
    <w:rsid w:val="007F42CF"/>
    <w:rsid w:val="007F4FAF"/>
    <w:rsid w:val="007F57F6"/>
    <w:rsid w:val="007F5FFD"/>
    <w:rsid w:val="007F66F6"/>
    <w:rsid w:val="00800135"/>
    <w:rsid w:val="00800A7F"/>
    <w:rsid w:val="00805BD2"/>
    <w:rsid w:val="00807267"/>
    <w:rsid w:val="008174A7"/>
    <w:rsid w:val="00823F0A"/>
    <w:rsid w:val="00826133"/>
    <w:rsid w:val="00827DAD"/>
    <w:rsid w:val="00834F6D"/>
    <w:rsid w:val="00836AB1"/>
    <w:rsid w:val="00836B57"/>
    <w:rsid w:val="00841B5E"/>
    <w:rsid w:val="00853C57"/>
    <w:rsid w:val="008567D9"/>
    <w:rsid w:val="00862A7E"/>
    <w:rsid w:val="00865FE8"/>
    <w:rsid w:val="008663D1"/>
    <w:rsid w:val="00871336"/>
    <w:rsid w:val="008773E2"/>
    <w:rsid w:val="008776BA"/>
    <w:rsid w:val="00877C19"/>
    <w:rsid w:val="0088520E"/>
    <w:rsid w:val="008872BA"/>
    <w:rsid w:val="00892216"/>
    <w:rsid w:val="00893918"/>
    <w:rsid w:val="00894539"/>
    <w:rsid w:val="008A2A14"/>
    <w:rsid w:val="008A2EA1"/>
    <w:rsid w:val="008A392B"/>
    <w:rsid w:val="008B0B16"/>
    <w:rsid w:val="008B36B0"/>
    <w:rsid w:val="008B417F"/>
    <w:rsid w:val="008B6D51"/>
    <w:rsid w:val="008D001F"/>
    <w:rsid w:val="008D2CD1"/>
    <w:rsid w:val="008E0726"/>
    <w:rsid w:val="008E431D"/>
    <w:rsid w:val="008E4BEA"/>
    <w:rsid w:val="009020DC"/>
    <w:rsid w:val="00902D72"/>
    <w:rsid w:val="00903DD3"/>
    <w:rsid w:val="00904769"/>
    <w:rsid w:val="00905184"/>
    <w:rsid w:val="00905673"/>
    <w:rsid w:val="00917F80"/>
    <w:rsid w:val="00923AFA"/>
    <w:rsid w:val="00931512"/>
    <w:rsid w:val="00932D2B"/>
    <w:rsid w:val="0094015C"/>
    <w:rsid w:val="00940B02"/>
    <w:rsid w:val="00941232"/>
    <w:rsid w:val="00950B5C"/>
    <w:rsid w:val="009523CD"/>
    <w:rsid w:val="00952B78"/>
    <w:rsid w:val="0096544C"/>
    <w:rsid w:val="00966E7E"/>
    <w:rsid w:val="00970A37"/>
    <w:rsid w:val="00972003"/>
    <w:rsid w:val="009861A1"/>
    <w:rsid w:val="009927EE"/>
    <w:rsid w:val="00994053"/>
    <w:rsid w:val="009A07EA"/>
    <w:rsid w:val="009A662C"/>
    <w:rsid w:val="009B4475"/>
    <w:rsid w:val="009B5312"/>
    <w:rsid w:val="009B6915"/>
    <w:rsid w:val="009B7397"/>
    <w:rsid w:val="009C0284"/>
    <w:rsid w:val="009C1D9C"/>
    <w:rsid w:val="009C7F53"/>
    <w:rsid w:val="009D4C25"/>
    <w:rsid w:val="009D6B5C"/>
    <w:rsid w:val="009D6E38"/>
    <w:rsid w:val="009E60EB"/>
    <w:rsid w:val="009E6D1C"/>
    <w:rsid w:val="00A0027D"/>
    <w:rsid w:val="00A015BA"/>
    <w:rsid w:val="00A02DCD"/>
    <w:rsid w:val="00A03FE7"/>
    <w:rsid w:val="00A04188"/>
    <w:rsid w:val="00A05D30"/>
    <w:rsid w:val="00A060C4"/>
    <w:rsid w:val="00A101F9"/>
    <w:rsid w:val="00A122D5"/>
    <w:rsid w:val="00A1230D"/>
    <w:rsid w:val="00A12B52"/>
    <w:rsid w:val="00A1375B"/>
    <w:rsid w:val="00A15A77"/>
    <w:rsid w:val="00A17F6C"/>
    <w:rsid w:val="00A256C2"/>
    <w:rsid w:val="00A35B5C"/>
    <w:rsid w:val="00A36B0D"/>
    <w:rsid w:val="00A410B1"/>
    <w:rsid w:val="00A44F19"/>
    <w:rsid w:val="00A44FE1"/>
    <w:rsid w:val="00A545D6"/>
    <w:rsid w:val="00A55108"/>
    <w:rsid w:val="00A575B6"/>
    <w:rsid w:val="00A60B31"/>
    <w:rsid w:val="00A62B93"/>
    <w:rsid w:val="00A636A8"/>
    <w:rsid w:val="00A65CA2"/>
    <w:rsid w:val="00A6749E"/>
    <w:rsid w:val="00A679CC"/>
    <w:rsid w:val="00A74DA3"/>
    <w:rsid w:val="00A74DBA"/>
    <w:rsid w:val="00A75311"/>
    <w:rsid w:val="00A770F2"/>
    <w:rsid w:val="00A801E3"/>
    <w:rsid w:val="00A80A1A"/>
    <w:rsid w:val="00A82F50"/>
    <w:rsid w:val="00A86B5F"/>
    <w:rsid w:val="00A9051B"/>
    <w:rsid w:val="00A91CC9"/>
    <w:rsid w:val="00A9221A"/>
    <w:rsid w:val="00AA08CF"/>
    <w:rsid w:val="00AA16B5"/>
    <w:rsid w:val="00AA66F3"/>
    <w:rsid w:val="00AB3D69"/>
    <w:rsid w:val="00AB6E37"/>
    <w:rsid w:val="00AC19F1"/>
    <w:rsid w:val="00AC3536"/>
    <w:rsid w:val="00AC69F8"/>
    <w:rsid w:val="00AD1244"/>
    <w:rsid w:val="00AD2E91"/>
    <w:rsid w:val="00AD39B6"/>
    <w:rsid w:val="00AE2409"/>
    <w:rsid w:val="00AE4A7E"/>
    <w:rsid w:val="00AF16BD"/>
    <w:rsid w:val="00AF2A58"/>
    <w:rsid w:val="00AF7883"/>
    <w:rsid w:val="00AF7FAA"/>
    <w:rsid w:val="00B017AA"/>
    <w:rsid w:val="00B02AA4"/>
    <w:rsid w:val="00B03A54"/>
    <w:rsid w:val="00B1351D"/>
    <w:rsid w:val="00B255BD"/>
    <w:rsid w:val="00B26131"/>
    <w:rsid w:val="00B346AA"/>
    <w:rsid w:val="00B35C9B"/>
    <w:rsid w:val="00B37DA0"/>
    <w:rsid w:val="00B42444"/>
    <w:rsid w:val="00B440EF"/>
    <w:rsid w:val="00B44132"/>
    <w:rsid w:val="00B452CF"/>
    <w:rsid w:val="00B47A30"/>
    <w:rsid w:val="00B51190"/>
    <w:rsid w:val="00B55D4D"/>
    <w:rsid w:val="00B5794C"/>
    <w:rsid w:val="00B607A0"/>
    <w:rsid w:val="00B61FF0"/>
    <w:rsid w:val="00B63FF9"/>
    <w:rsid w:val="00B665B5"/>
    <w:rsid w:val="00B706A4"/>
    <w:rsid w:val="00B72BF7"/>
    <w:rsid w:val="00B8213A"/>
    <w:rsid w:val="00B827AA"/>
    <w:rsid w:val="00B90F37"/>
    <w:rsid w:val="00B929D5"/>
    <w:rsid w:val="00B977B4"/>
    <w:rsid w:val="00B97B86"/>
    <w:rsid w:val="00BA20D8"/>
    <w:rsid w:val="00BB20D0"/>
    <w:rsid w:val="00BB3B4A"/>
    <w:rsid w:val="00BB6DA7"/>
    <w:rsid w:val="00BC337F"/>
    <w:rsid w:val="00BC74F2"/>
    <w:rsid w:val="00BD3EA6"/>
    <w:rsid w:val="00BD6FF1"/>
    <w:rsid w:val="00BE058E"/>
    <w:rsid w:val="00BE1446"/>
    <w:rsid w:val="00BE2CFA"/>
    <w:rsid w:val="00BE4A43"/>
    <w:rsid w:val="00BE4D94"/>
    <w:rsid w:val="00BE65CF"/>
    <w:rsid w:val="00BF041C"/>
    <w:rsid w:val="00BF357B"/>
    <w:rsid w:val="00BF4F01"/>
    <w:rsid w:val="00C00616"/>
    <w:rsid w:val="00C04089"/>
    <w:rsid w:val="00C0414C"/>
    <w:rsid w:val="00C04F60"/>
    <w:rsid w:val="00C11575"/>
    <w:rsid w:val="00C124A3"/>
    <w:rsid w:val="00C14C5D"/>
    <w:rsid w:val="00C160FD"/>
    <w:rsid w:val="00C30734"/>
    <w:rsid w:val="00C35243"/>
    <w:rsid w:val="00C3649B"/>
    <w:rsid w:val="00C37140"/>
    <w:rsid w:val="00C43C62"/>
    <w:rsid w:val="00C44C40"/>
    <w:rsid w:val="00C5085E"/>
    <w:rsid w:val="00C51AB9"/>
    <w:rsid w:val="00C52A23"/>
    <w:rsid w:val="00C5537B"/>
    <w:rsid w:val="00C55A04"/>
    <w:rsid w:val="00C57622"/>
    <w:rsid w:val="00C57A97"/>
    <w:rsid w:val="00C60842"/>
    <w:rsid w:val="00C60BC2"/>
    <w:rsid w:val="00C61C41"/>
    <w:rsid w:val="00C63DB1"/>
    <w:rsid w:val="00C65563"/>
    <w:rsid w:val="00C66483"/>
    <w:rsid w:val="00C66F3C"/>
    <w:rsid w:val="00C67375"/>
    <w:rsid w:val="00C762B5"/>
    <w:rsid w:val="00C81827"/>
    <w:rsid w:val="00C90F6D"/>
    <w:rsid w:val="00C92496"/>
    <w:rsid w:val="00C93ADC"/>
    <w:rsid w:val="00C96273"/>
    <w:rsid w:val="00CA1FAD"/>
    <w:rsid w:val="00CA79BD"/>
    <w:rsid w:val="00CB614F"/>
    <w:rsid w:val="00CC2EBB"/>
    <w:rsid w:val="00CD0D81"/>
    <w:rsid w:val="00CD0E21"/>
    <w:rsid w:val="00CD2390"/>
    <w:rsid w:val="00CD2BEA"/>
    <w:rsid w:val="00CE0CB9"/>
    <w:rsid w:val="00CE623A"/>
    <w:rsid w:val="00CE6B70"/>
    <w:rsid w:val="00CF3620"/>
    <w:rsid w:val="00D05902"/>
    <w:rsid w:val="00D103DD"/>
    <w:rsid w:val="00D1507E"/>
    <w:rsid w:val="00D1592C"/>
    <w:rsid w:val="00D15EF6"/>
    <w:rsid w:val="00D16E7E"/>
    <w:rsid w:val="00D47BF6"/>
    <w:rsid w:val="00D559DF"/>
    <w:rsid w:val="00D5700A"/>
    <w:rsid w:val="00D6310E"/>
    <w:rsid w:val="00D63DFC"/>
    <w:rsid w:val="00D6440C"/>
    <w:rsid w:val="00D65294"/>
    <w:rsid w:val="00D66D3E"/>
    <w:rsid w:val="00D6788E"/>
    <w:rsid w:val="00D73F31"/>
    <w:rsid w:val="00D7684A"/>
    <w:rsid w:val="00D803F2"/>
    <w:rsid w:val="00D8191C"/>
    <w:rsid w:val="00D83513"/>
    <w:rsid w:val="00D86264"/>
    <w:rsid w:val="00D875B5"/>
    <w:rsid w:val="00D87A96"/>
    <w:rsid w:val="00D87D16"/>
    <w:rsid w:val="00D91C52"/>
    <w:rsid w:val="00D91D5A"/>
    <w:rsid w:val="00D95B50"/>
    <w:rsid w:val="00D963AD"/>
    <w:rsid w:val="00DA6F97"/>
    <w:rsid w:val="00DA7055"/>
    <w:rsid w:val="00DB01EF"/>
    <w:rsid w:val="00DB4016"/>
    <w:rsid w:val="00DB40C2"/>
    <w:rsid w:val="00DC2566"/>
    <w:rsid w:val="00DC2756"/>
    <w:rsid w:val="00DC58B9"/>
    <w:rsid w:val="00DD6468"/>
    <w:rsid w:val="00DD7842"/>
    <w:rsid w:val="00DD7849"/>
    <w:rsid w:val="00DE4713"/>
    <w:rsid w:val="00DE4E90"/>
    <w:rsid w:val="00DE5D9A"/>
    <w:rsid w:val="00DE5EED"/>
    <w:rsid w:val="00DE69A2"/>
    <w:rsid w:val="00DF13C5"/>
    <w:rsid w:val="00DF2377"/>
    <w:rsid w:val="00DF6F16"/>
    <w:rsid w:val="00E00F15"/>
    <w:rsid w:val="00E01557"/>
    <w:rsid w:val="00E01913"/>
    <w:rsid w:val="00E06840"/>
    <w:rsid w:val="00E07088"/>
    <w:rsid w:val="00E1046A"/>
    <w:rsid w:val="00E10781"/>
    <w:rsid w:val="00E14791"/>
    <w:rsid w:val="00E152BF"/>
    <w:rsid w:val="00E15522"/>
    <w:rsid w:val="00E16999"/>
    <w:rsid w:val="00E175E4"/>
    <w:rsid w:val="00E17666"/>
    <w:rsid w:val="00E31578"/>
    <w:rsid w:val="00E31AB5"/>
    <w:rsid w:val="00E3551D"/>
    <w:rsid w:val="00E3568D"/>
    <w:rsid w:val="00E35C28"/>
    <w:rsid w:val="00E417DC"/>
    <w:rsid w:val="00E5185F"/>
    <w:rsid w:val="00E51B81"/>
    <w:rsid w:val="00E55203"/>
    <w:rsid w:val="00E63417"/>
    <w:rsid w:val="00E65B35"/>
    <w:rsid w:val="00E702E3"/>
    <w:rsid w:val="00E8051F"/>
    <w:rsid w:val="00E809BA"/>
    <w:rsid w:val="00E80C31"/>
    <w:rsid w:val="00E80FD7"/>
    <w:rsid w:val="00E867E9"/>
    <w:rsid w:val="00E90F9B"/>
    <w:rsid w:val="00E93BA1"/>
    <w:rsid w:val="00E94CFC"/>
    <w:rsid w:val="00E9544C"/>
    <w:rsid w:val="00E95694"/>
    <w:rsid w:val="00E95D22"/>
    <w:rsid w:val="00E97ACA"/>
    <w:rsid w:val="00EA2C16"/>
    <w:rsid w:val="00EA4566"/>
    <w:rsid w:val="00EA4DC1"/>
    <w:rsid w:val="00EA6D87"/>
    <w:rsid w:val="00EB63A2"/>
    <w:rsid w:val="00EC3FF5"/>
    <w:rsid w:val="00EC48C3"/>
    <w:rsid w:val="00EC5FCA"/>
    <w:rsid w:val="00ED1358"/>
    <w:rsid w:val="00ED2EC5"/>
    <w:rsid w:val="00ED3A7E"/>
    <w:rsid w:val="00EE0686"/>
    <w:rsid w:val="00EE1B5B"/>
    <w:rsid w:val="00EE3659"/>
    <w:rsid w:val="00EE792D"/>
    <w:rsid w:val="00EF0E51"/>
    <w:rsid w:val="00EF2ECD"/>
    <w:rsid w:val="00F04D56"/>
    <w:rsid w:val="00F05262"/>
    <w:rsid w:val="00F073E5"/>
    <w:rsid w:val="00F0758A"/>
    <w:rsid w:val="00F07B97"/>
    <w:rsid w:val="00F1029A"/>
    <w:rsid w:val="00F14F65"/>
    <w:rsid w:val="00F159AE"/>
    <w:rsid w:val="00F1647D"/>
    <w:rsid w:val="00F1649E"/>
    <w:rsid w:val="00F2315F"/>
    <w:rsid w:val="00F24167"/>
    <w:rsid w:val="00F25E90"/>
    <w:rsid w:val="00F26434"/>
    <w:rsid w:val="00F30E55"/>
    <w:rsid w:val="00F3186B"/>
    <w:rsid w:val="00F31961"/>
    <w:rsid w:val="00F32414"/>
    <w:rsid w:val="00F41A72"/>
    <w:rsid w:val="00F41AD3"/>
    <w:rsid w:val="00F4370A"/>
    <w:rsid w:val="00F45B0D"/>
    <w:rsid w:val="00F520BE"/>
    <w:rsid w:val="00F5249F"/>
    <w:rsid w:val="00F52E56"/>
    <w:rsid w:val="00F5460E"/>
    <w:rsid w:val="00F602CA"/>
    <w:rsid w:val="00F6539E"/>
    <w:rsid w:val="00F65853"/>
    <w:rsid w:val="00F66557"/>
    <w:rsid w:val="00F716C4"/>
    <w:rsid w:val="00F71FE5"/>
    <w:rsid w:val="00F731CC"/>
    <w:rsid w:val="00F731E8"/>
    <w:rsid w:val="00F76083"/>
    <w:rsid w:val="00F7713F"/>
    <w:rsid w:val="00F81955"/>
    <w:rsid w:val="00F84832"/>
    <w:rsid w:val="00F8575A"/>
    <w:rsid w:val="00F903A4"/>
    <w:rsid w:val="00F913F5"/>
    <w:rsid w:val="00F918D3"/>
    <w:rsid w:val="00F94033"/>
    <w:rsid w:val="00F97B80"/>
    <w:rsid w:val="00FB050F"/>
    <w:rsid w:val="00FB313A"/>
    <w:rsid w:val="00FB3355"/>
    <w:rsid w:val="00FB3C3A"/>
    <w:rsid w:val="00FB4665"/>
    <w:rsid w:val="00FC37A7"/>
    <w:rsid w:val="00FC6DB9"/>
    <w:rsid w:val="00FD087D"/>
    <w:rsid w:val="00FE6BDA"/>
    <w:rsid w:val="00FF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C97"/>
  <w15:docId w15:val="{30AAF00A-10A0-42B9-96DB-F2F7C685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6F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006F29"/>
    <w:rPr>
      <w:rFonts w:ascii="Courier New" w:hAnsi="Courier New" w:cs="Courier New"/>
      <w:sz w:val="20"/>
      <w:szCs w:val="20"/>
    </w:rPr>
  </w:style>
  <w:style w:type="character" w:customStyle="1" w:styleId="ProsttextChar">
    <w:name w:val="Prostý text Char"/>
    <w:basedOn w:val="Standardnpsmoodstavce"/>
    <w:link w:val="Prosttext"/>
    <w:rsid w:val="00006F29"/>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006F29"/>
    <w:pPr>
      <w:ind w:firstLine="720"/>
      <w:jc w:val="both"/>
    </w:pPr>
    <w:rPr>
      <w:rFonts w:ascii="Arial" w:eastAsia="MS Mincho" w:hAnsi="Arial" w:cs="Arial"/>
      <w:sz w:val="20"/>
    </w:rPr>
  </w:style>
  <w:style w:type="character" w:customStyle="1" w:styleId="ZkladntextodsazenChar">
    <w:name w:val="Základní text odsazený Char"/>
    <w:basedOn w:val="Standardnpsmoodstavce"/>
    <w:link w:val="Zkladntextodsazen"/>
    <w:rsid w:val="00006F29"/>
    <w:rPr>
      <w:rFonts w:ascii="Arial" w:eastAsia="MS Mincho" w:hAnsi="Arial" w:cs="Arial"/>
      <w:sz w:val="20"/>
      <w:szCs w:val="24"/>
      <w:lang w:eastAsia="cs-CZ"/>
    </w:rPr>
  </w:style>
  <w:style w:type="character" w:styleId="Hypertextovodkaz">
    <w:name w:val="Hyperlink"/>
    <w:rsid w:val="00384F43"/>
    <w:rPr>
      <w:color w:val="0000FF"/>
      <w:u w:val="single"/>
    </w:rPr>
  </w:style>
  <w:style w:type="paragraph" w:customStyle="1" w:styleId="Normang-1">
    <w:name w:val="Norm ang - ř. 1"/>
    <w:aliases w:val="5"/>
    <w:basedOn w:val="Normln"/>
    <w:rsid w:val="00340698"/>
    <w:pPr>
      <w:spacing w:before="120" w:after="120" w:line="360" w:lineRule="auto"/>
      <w:jc w:val="both"/>
    </w:pPr>
    <w:rPr>
      <w:lang w:val="en-GB"/>
    </w:rPr>
  </w:style>
  <w:style w:type="character" w:styleId="Sledovanodkaz">
    <w:name w:val="FollowedHyperlink"/>
    <w:basedOn w:val="Standardnpsmoodstavce"/>
    <w:uiPriority w:val="99"/>
    <w:semiHidden/>
    <w:unhideWhenUsed/>
    <w:rsid w:val="00C51AB9"/>
    <w:rPr>
      <w:color w:val="800080" w:themeColor="followedHyperlink"/>
      <w:u w:val="single"/>
    </w:rPr>
  </w:style>
  <w:style w:type="paragraph" w:customStyle="1" w:styleId="Rtextmetodika">
    <w:name w:val="R text metodika"/>
    <w:basedOn w:val="Normln"/>
    <w:rsid w:val="003C38C3"/>
    <w:pPr>
      <w:spacing w:after="120"/>
      <w:jc w:val="both"/>
    </w:pPr>
    <w:rPr>
      <w:rFonts w:ascii="Arial" w:hAnsi="Arial"/>
      <w:sz w:val="18"/>
      <w:szCs w:val="20"/>
    </w:rPr>
  </w:style>
  <w:style w:type="paragraph" w:customStyle="1" w:styleId="RtextmetodikaA">
    <w:name w:val="R text metodika A"/>
    <w:basedOn w:val="Normln"/>
    <w:rsid w:val="003C38C3"/>
    <w:pPr>
      <w:spacing w:after="120"/>
      <w:jc w:val="both"/>
    </w:pPr>
    <w:rPr>
      <w:rFonts w:ascii="Arial" w:hAnsi="Arial"/>
      <w:i/>
      <w:sz w:val="18"/>
      <w:szCs w:val="20"/>
      <w:lang w:val="en-GB"/>
    </w:rPr>
  </w:style>
  <w:style w:type="paragraph" w:styleId="Zkladntextodsazen2">
    <w:name w:val="Body Text Indent 2"/>
    <w:basedOn w:val="Normln"/>
    <w:link w:val="Zkladntextodsazen2Char"/>
    <w:rsid w:val="00AC19F1"/>
    <w:pPr>
      <w:spacing w:after="120" w:line="480" w:lineRule="auto"/>
      <w:ind w:left="283"/>
    </w:pPr>
  </w:style>
  <w:style w:type="character" w:customStyle="1" w:styleId="Zkladntextodsazen2Char">
    <w:name w:val="Základní text odsazený 2 Char"/>
    <w:basedOn w:val="Standardnpsmoodstavce"/>
    <w:link w:val="Zkladntextodsazen2"/>
    <w:rsid w:val="00AC19F1"/>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D87D16"/>
    <w:pPr>
      <w:spacing w:after="120" w:line="480" w:lineRule="auto"/>
    </w:pPr>
  </w:style>
  <w:style w:type="character" w:customStyle="1" w:styleId="Zkladntext2Char">
    <w:name w:val="Základní text 2 Char"/>
    <w:basedOn w:val="Standardnpsmoodstavce"/>
    <w:link w:val="Zkladntext2"/>
    <w:uiPriority w:val="99"/>
    <w:semiHidden/>
    <w:rsid w:val="00D87D1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87D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7D16"/>
    <w:rPr>
      <w:rFonts w:ascii="Segoe UI" w:eastAsia="Times New Roman" w:hAnsi="Segoe UI" w:cs="Segoe UI"/>
      <w:sz w:val="18"/>
      <w:szCs w:val="18"/>
      <w:lang w:eastAsia="cs-CZ"/>
    </w:rPr>
  </w:style>
  <w:style w:type="paragraph" w:customStyle="1" w:styleId="Style0">
    <w:name w:val="Style0"/>
    <w:rsid w:val="00D47BF6"/>
    <w:pPr>
      <w:autoSpaceDE w:val="0"/>
      <w:autoSpaceDN w:val="0"/>
      <w:adjustRightInd w:val="0"/>
      <w:spacing w:after="0" w:line="240" w:lineRule="auto"/>
    </w:pPr>
    <w:rPr>
      <w:rFonts w:ascii="MS Sans Serif" w:eastAsia="Times New Roman" w:hAnsi="MS Sans Serif" w:cs="Times New Roman"/>
      <w:sz w:val="20"/>
      <w:szCs w:val="24"/>
      <w:lang w:eastAsia="cs-CZ"/>
    </w:rPr>
  </w:style>
  <w:style w:type="character" w:styleId="Odkaznakoment">
    <w:name w:val="annotation reference"/>
    <w:basedOn w:val="Standardnpsmoodstavce"/>
    <w:uiPriority w:val="99"/>
    <w:semiHidden/>
    <w:unhideWhenUsed/>
    <w:rsid w:val="00EC5FCA"/>
    <w:rPr>
      <w:sz w:val="16"/>
      <w:szCs w:val="16"/>
    </w:rPr>
  </w:style>
  <w:style w:type="paragraph" w:styleId="Textkomente">
    <w:name w:val="annotation text"/>
    <w:basedOn w:val="Normln"/>
    <w:link w:val="TextkomenteChar"/>
    <w:uiPriority w:val="99"/>
    <w:semiHidden/>
    <w:unhideWhenUsed/>
    <w:rsid w:val="00EC5FCA"/>
    <w:rPr>
      <w:sz w:val="20"/>
      <w:szCs w:val="20"/>
    </w:rPr>
  </w:style>
  <w:style w:type="character" w:customStyle="1" w:styleId="TextkomenteChar">
    <w:name w:val="Text komentáře Char"/>
    <w:basedOn w:val="Standardnpsmoodstavce"/>
    <w:link w:val="Textkomente"/>
    <w:uiPriority w:val="99"/>
    <w:semiHidden/>
    <w:rsid w:val="00EC5F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FCA"/>
    <w:rPr>
      <w:b/>
      <w:bCs/>
    </w:rPr>
  </w:style>
  <w:style w:type="character" w:customStyle="1" w:styleId="PedmtkomenteChar">
    <w:name w:val="Předmět komentáře Char"/>
    <w:basedOn w:val="TextkomenteChar"/>
    <w:link w:val="Pedmtkomente"/>
    <w:uiPriority w:val="99"/>
    <w:semiHidden/>
    <w:rsid w:val="00EC5FCA"/>
    <w:rPr>
      <w:rFonts w:ascii="Times New Roman" w:eastAsia="Times New Roman" w:hAnsi="Times New Roman" w:cs="Times New Roman"/>
      <w:b/>
      <w:bCs/>
      <w:sz w:val="20"/>
      <w:szCs w:val="20"/>
      <w:lang w:eastAsia="cs-CZ"/>
    </w:rPr>
  </w:style>
  <w:style w:type="paragraph" w:styleId="Revize">
    <w:name w:val="Revision"/>
    <w:hidden/>
    <w:uiPriority w:val="99"/>
    <w:semiHidden/>
    <w:rsid w:val="006853F6"/>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nhideWhenUsed/>
    <w:rsid w:val="00C762B5"/>
    <w:pPr>
      <w:tabs>
        <w:tab w:val="center" w:pos="4536"/>
        <w:tab w:val="right" w:pos="9072"/>
      </w:tabs>
      <w:spacing w:after="200" w:line="276" w:lineRule="auto"/>
      <w:jc w:val="both"/>
    </w:pPr>
    <w:rPr>
      <w:rFonts w:asciiTheme="minorHAnsi" w:eastAsiaTheme="minorEastAsia" w:hAnsiTheme="minorHAnsi" w:cstheme="minorBidi"/>
      <w:sz w:val="20"/>
      <w:szCs w:val="20"/>
      <w:lang w:eastAsia="en-US"/>
    </w:rPr>
  </w:style>
  <w:style w:type="character" w:customStyle="1" w:styleId="ZpatChar">
    <w:name w:val="Zápatí Char"/>
    <w:basedOn w:val="Standardnpsmoodstavce"/>
    <w:link w:val="Zpat"/>
    <w:rsid w:val="00C762B5"/>
    <w:rPr>
      <w:rFonts w:eastAsiaTheme="minorEastAsia"/>
      <w:sz w:val="20"/>
      <w:szCs w:val="20"/>
    </w:rPr>
  </w:style>
  <w:style w:type="paragraph" w:styleId="Odstavecseseznamem">
    <w:name w:val="List Paragraph"/>
    <w:basedOn w:val="Normln"/>
    <w:uiPriority w:val="34"/>
    <w:qFormat/>
    <w:rsid w:val="005053D4"/>
    <w:pPr>
      <w:spacing w:after="200" w:line="276" w:lineRule="auto"/>
      <w:ind w:left="720"/>
      <w:contextualSpacing/>
      <w:jc w:val="both"/>
    </w:pPr>
    <w:rPr>
      <w:rFonts w:asciiTheme="minorHAnsi" w:eastAsiaTheme="minorEastAsia" w:hAnsiTheme="minorHAnsi" w:cstheme="minorBidi"/>
      <w:sz w:val="20"/>
      <w:szCs w:val="20"/>
      <w:lang w:eastAsia="en-US"/>
    </w:rPr>
  </w:style>
  <w:style w:type="paragraph" w:customStyle="1" w:styleId="Rbntext">
    <w:name w:val="R běžný text"/>
    <w:rsid w:val="005053D4"/>
    <w:pPr>
      <w:spacing w:after="120" w:line="240" w:lineRule="auto"/>
      <w:jc w:val="both"/>
    </w:pPr>
    <w:rPr>
      <w:rFonts w:ascii="Arial" w:eastAsia="Times New Roman" w:hAnsi="Arial" w:cs="Times New Roman"/>
      <w:sz w:val="20"/>
      <w:szCs w:val="20"/>
      <w:lang w:eastAsia="cs-CZ"/>
    </w:rPr>
  </w:style>
  <w:style w:type="paragraph" w:customStyle="1" w:styleId="Standardn1">
    <w:name w:val="Standardní :1"/>
    <w:rsid w:val="00A65CA2"/>
    <w:pPr>
      <w:widowControl w:val="0"/>
      <w:spacing w:after="0" w:line="240" w:lineRule="auto"/>
      <w:jc w:val="both"/>
    </w:pPr>
    <w:rPr>
      <w:rFonts w:ascii="Times New Roman" w:eastAsia="Times New Roman" w:hAnsi="Times New Roman" w:cs="Times New Roman"/>
      <w:snapToGrid w:val="0"/>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tani.cz/ho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60809-E3E9-4DDB-A299-F854B07F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1976</Words>
  <Characters>11659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POPULATION AND HOUSING CENSUS, Methodological notes, Statistical Yearbook of the CR 2023</dc:title>
  <dc:creator>Czech Statistical Office</dc:creator>
  <cp:lastModifiedBy>Zadák Rostislav</cp:lastModifiedBy>
  <cp:revision>16</cp:revision>
  <cp:lastPrinted>2018-04-24T06:02:00Z</cp:lastPrinted>
  <dcterms:created xsi:type="dcterms:W3CDTF">2022-10-06T14:56:00Z</dcterms:created>
  <dcterms:modified xsi:type="dcterms:W3CDTF">2023-11-13T10:00:00Z</dcterms:modified>
</cp:coreProperties>
</file>