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541B7A" w:rsidP="0097104F">
      <w:pPr>
        <w:pStyle w:val="Nadpis1"/>
      </w:pPr>
      <w:bookmarkStart w:id="0" w:name="_GoBack"/>
      <w:bookmarkEnd w:id="0"/>
      <w:r w:rsidRPr="00541B7A">
        <w:t>Meziroční růst cen byl nejvyšší od loňského září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541B7A">
        <w:t>dub</w:t>
      </w:r>
      <w:r w:rsidR="001869E7">
        <w:t>en</w:t>
      </w:r>
      <w:r w:rsidR="00250429">
        <w:t> 20</w:t>
      </w:r>
      <w:r w:rsidR="00D563FA">
        <w:t>2</w:t>
      </w:r>
      <w:r w:rsidR="0085490B">
        <w:t>1</w:t>
      </w:r>
    </w:p>
    <w:p w:rsidR="00C031B4" w:rsidRPr="0072569E" w:rsidRDefault="00541B7A" w:rsidP="00C031B4">
      <w:pPr>
        <w:pStyle w:val="Perex"/>
        <w:rPr>
          <w:b w:val="0"/>
        </w:rPr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dubnu proti březnu</w:t>
      </w:r>
      <w:r w:rsidRPr="002E7BAD">
        <w:t xml:space="preserve"> o </w:t>
      </w:r>
      <w:r>
        <w:t>0,5</w:t>
      </w:r>
      <w:r w:rsidRPr="002E7BAD">
        <w:t> %</w:t>
      </w:r>
      <w:r>
        <w:t xml:space="preserve">. </w:t>
      </w:r>
      <w:r w:rsidRPr="00860E4B">
        <w:t xml:space="preserve">Tento vývoj byl ovlivněn zejména růstem cen </w:t>
      </w:r>
      <w:r>
        <w:t>v oddíle alkoholické nápoje, tabák a v oddíle potraviny a nealkoholické nápoje.</w:t>
      </w:r>
      <w:r w:rsidRPr="00186648">
        <w:t xml:space="preserve"> </w:t>
      </w:r>
      <w:r w:rsidRPr="002E7BAD">
        <w:t>Meziročně vzrostly spotřebitelské ceny v </w:t>
      </w:r>
      <w:r>
        <w:t>dubnu</w:t>
      </w:r>
      <w:r w:rsidRPr="002E7BAD">
        <w:t xml:space="preserve"> o </w:t>
      </w:r>
      <w:r>
        <w:t>3,1</w:t>
      </w:r>
      <w:r w:rsidRPr="002E7BAD">
        <w:t> %</w:t>
      </w:r>
      <w:r>
        <w:t>, což bylo o 0,8</w:t>
      </w:r>
      <w:r w:rsidRPr="00895A77">
        <w:t xml:space="preserve"> procentního bodu </w:t>
      </w:r>
      <w:r>
        <w:t>více než </w:t>
      </w:r>
      <w:r w:rsidRPr="00895A77">
        <w:t>v</w:t>
      </w:r>
      <w:r>
        <w:t> březnu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541B7A" w:rsidRDefault="00541B7A" w:rsidP="00541B7A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49363E">
        <w:rPr>
          <w:rFonts w:cs="Arial"/>
          <w:szCs w:val="20"/>
        </w:rPr>
        <w:t>Růst cen v</w:t>
      </w:r>
      <w:r>
        <w:rPr>
          <w:rFonts w:cs="Arial"/>
          <w:szCs w:val="20"/>
        </w:rPr>
        <w:t> </w:t>
      </w:r>
      <w:r w:rsidRPr="0049363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 byl ovlivněn především vyššími cenami tabákových výrobků o 1,9 % a lihovin o 2,4 %. V oddíle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vzrostly ceny zeleniny o 10,9 %, vepřového masa o </w:t>
      </w:r>
      <w:r w:rsidRPr="00E841E7">
        <w:rPr>
          <w:rFonts w:cs="Arial"/>
          <w:szCs w:val="20"/>
        </w:rPr>
        <w:t>4,</w:t>
      </w:r>
      <w:r>
        <w:rPr>
          <w:rFonts w:cs="Arial"/>
          <w:szCs w:val="20"/>
        </w:rPr>
        <w:t>4 %, olejů a tuků o 2,8 %. Ceny ovoce klesly o 4,9 %. V </w:t>
      </w:r>
      <w:r w:rsidRPr="0049363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 se zvýšily ceny pohonných hmot a olejů o 2,9 % a automobilů o 0,3 %. Růst cen v oddíle bytové vybavení, zařízení domácnosti byl ovlivněn zejména vyššími cenami zboží a služeb pro běžnou údržbu domácnosti o 1,6 %.</w:t>
      </w:r>
    </w:p>
    <w:p w:rsidR="00D563FA" w:rsidRPr="00D563FA" w:rsidRDefault="00541B7A" w:rsidP="00541B7A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1,0 % a </w:t>
      </w:r>
      <w:r w:rsidRPr="00D554D7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zůstaly na úrovni měsíce března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541B7A" w:rsidRDefault="00541B7A" w:rsidP="00541B7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dubnu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3,1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0,8 procentního bodu více než v březnu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Toto zrychlení meziročního cenového růstu bylo ovlivněno především cenami v oddíle doprava, kde </w:t>
      </w:r>
      <w:r w:rsidRPr="00F63C1D">
        <w:rPr>
          <w:rFonts w:cs="Arial"/>
          <w:szCs w:val="20"/>
        </w:rPr>
        <w:t>ceny pohonných hmot a olejů</w:t>
      </w:r>
      <w:r>
        <w:rPr>
          <w:rFonts w:cs="Arial"/>
          <w:szCs w:val="20"/>
        </w:rPr>
        <w:t xml:space="preserve"> v dubnu vzrostly o 16,3 % (v březnu o 1,1 %), </w:t>
      </w:r>
      <w:r w:rsidRPr="000929B5">
        <w:rPr>
          <w:rFonts w:cs="Arial"/>
          <w:szCs w:val="20"/>
        </w:rPr>
        <w:t>zejména v důsledku jejich meziměsíčního poklesu v dubnu 2020</w:t>
      </w:r>
      <w:r>
        <w:rPr>
          <w:rFonts w:cs="Arial"/>
          <w:szCs w:val="20"/>
        </w:rPr>
        <w:t xml:space="preserve"> (o </w:t>
      </w:r>
      <w:r w:rsidRPr="000929B5">
        <w:rPr>
          <w:rFonts w:cs="Arial"/>
          <w:szCs w:val="20"/>
        </w:rPr>
        <w:t>10,5</w:t>
      </w:r>
      <w:r>
        <w:rPr>
          <w:rFonts w:cs="Arial"/>
          <w:szCs w:val="20"/>
        </w:rPr>
        <w:t> </w:t>
      </w:r>
      <w:r w:rsidRPr="000929B5">
        <w:rPr>
          <w:rFonts w:cs="Arial"/>
          <w:szCs w:val="20"/>
        </w:rPr>
        <w:t>%).</w:t>
      </w:r>
      <w:r w:rsidRPr="00E046D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oddíle alkoholické nápoje, tabák zrychlil růst cen lihovin na 5,1 % (v březnu 1,3 %), piva na 8,5 % (v březnu 4,4 %) a tabákových výrobků na 19,5 % (v březnu 17,5 %). Ceny vína přešly z březnového poklesu o 3,1 % v růst o 1,0 % v dubnu.</w:t>
      </w:r>
    </w:p>
    <w:p w:rsidR="00541B7A" w:rsidRDefault="00541B7A" w:rsidP="00541B7A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> dubnu nadále největší</w:t>
      </w:r>
      <w:r w:rsidRPr="007B39C3">
        <w:rPr>
          <w:rFonts w:cs="Arial"/>
          <w:szCs w:val="20"/>
        </w:rPr>
        <w:t xml:space="preserve"> vliv ceny 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 (nárůst o 13,0 %). </w:t>
      </w:r>
      <w:r w:rsidRPr="00702C26">
        <w:rPr>
          <w:rFonts w:cs="Arial"/>
          <w:szCs w:val="20"/>
        </w:rPr>
        <w:t>Další v pořadí vlivu byly ceny v oddíle doprava s meziročním nárůstem o </w:t>
      </w:r>
      <w:r>
        <w:rPr>
          <w:rFonts w:cs="Arial"/>
          <w:szCs w:val="20"/>
        </w:rPr>
        <w:t>9,1</w:t>
      </w:r>
      <w:r w:rsidRPr="00702C26">
        <w:rPr>
          <w:rFonts w:cs="Arial"/>
          <w:szCs w:val="20"/>
        </w:rPr>
        <w:t> %, kde se zvýšily ceny automobilů o </w:t>
      </w:r>
      <w:r>
        <w:rPr>
          <w:rFonts w:cs="Arial"/>
          <w:szCs w:val="20"/>
        </w:rPr>
        <w:t>8,4 </w:t>
      </w:r>
      <w:r w:rsidRPr="00702C26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>V </w:t>
      </w:r>
      <w:r w:rsidRPr="007E2B5C">
        <w:rPr>
          <w:rFonts w:cs="Arial"/>
          <w:szCs w:val="20"/>
        </w:rPr>
        <w:t>oddíle bydlení</w:t>
      </w:r>
      <w:r>
        <w:rPr>
          <w:rFonts w:cs="Arial"/>
          <w:szCs w:val="20"/>
        </w:rPr>
        <w:t xml:space="preserve"> vzrostly ceny nájemného z bytu o 1,5</w:t>
      </w:r>
      <w:r w:rsidRPr="007E2B5C">
        <w:rPr>
          <w:rFonts w:cs="Arial"/>
          <w:szCs w:val="20"/>
        </w:rPr>
        <w:t xml:space="preserve"> %, vodného </w:t>
      </w:r>
      <w:r>
        <w:rPr>
          <w:rFonts w:cs="Arial"/>
          <w:szCs w:val="20"/>
        </w:rPr>
        <w:t xml:space="preserve">o 1,9 %, </w:t>
      </w:r>
      <w:r w:rsidRPr="007E2B5C">
        <w:rPr>
          <w:rFonts w:cs="Arial"/>
          <w:szCs w:val="20"/>
        </w:rPr>
        <w:t>stočného o </w:t>
      </w:r>
      <w:r>
        <w:rPr>
          <w:rFonts w:cs="Arial"/>
          <w:szCs w:val="20"/>
        </w:rPr>
        <w:t>2,3</w:t>
      </w:r>
      <w:r w:rsidRPr="007E2B5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624B98">
        <w:rPr>
          <w:rFonts w:cs="Arial"/>
          <w:szCs w:val="20"/>
        </w:rPr>
        <w:t xml:space="preserve">elektřiny </w:t>
      </w:r>
      <w:r>
        <w:rPr>
          <w:rFonts w:cs="Arial"/>
          <w:szCs w:val="20"/>
        </w:rPr>
        <w:t xml:space="preserve">klesly </w:t>
      </w:r>
      <w:r w:rsidRPr="00624B98">
        <w:rPr>
          <w:rFonts w:cs="Arial"/>
          <w:szCs w:val="20"/>
        </w:rPr>
        <w:t>o </w:t>
      </w:r>
      <w:r>
        <w:rPr>
          <w:rFonts w:cs="Arial"/>
          <w:szCs w:val="20"/>
        </w:rPr>
        <w:t>3,4</w:t>
      </w:r>
      <w:r w:rsidRPr="00624B98">
        <w:rPr>
          <w:rFonts w:cs="Arial"/>
          <w:szCs w:val="20"/>
        </w:rPr>
        <w:t> % a zemního plynu o </w:t>
      </w:r>
      <w:r>
        <w:rPr>
          <w:rFonts w:cs="Arial"/>
          <w:szCs w:val="20"/>
        </w:rPr>
        <w:t>4,7</w:t>
      </w:r>
      <w:r w:rsidRPr="00624B98">
        <w:rPr>
          <w:rFonts w:cs="Arial"/>
          <w:szCs w:val="20"/>
        </w:rPr>
        <w:t> %.</w:t>
      </w:r>
      <w:r w:rsidRPr="0011098A">
        <w:rPr>
          <w:rFonts w:cs="Arial"/>
          <w:szCs w:val="20"/>
        </w:rPr>
        <w:t xml:space="preserve"> </w:t>
      </w:r>
      <w:r w:rsidRPr="00702C26">
        <w:rPr>
          <w:rFonts w:cs="Arial"/>
          <w:szCs w:val="20"/>
        </w:rPr>
        <w:t xml:space="preserve">V oddíle ostatní zboží a služby </w:t>
      </w:r>
      <w:r>
        <w:rPr>
          <w:rFonts w:cs="Arial"/>
          <w:szCs w:val="20"/>
        </w:rPr>
        <w:t>byly vyšší</w:t>
      </w:r>
      <w:r w:rsidRPr="00702C26">
        <w:rPr>
          <w:rFonts w:cs="Arial"/>
          <w:szCs w:val="20"/>
        </w:rPr>
        <w:t xml:space="preserve"> ceny finančních služeb o 8</w:t>
      </w:r>
      <w:r>
        <w:rPr>
          <w:rFonts w:cs="Arial"/>
          <w:szCs w:val="20"/>
        </w:rPr>
        <w:t>,8</w:t>
      </w:r>
      <w:r w:rsidRPr="005957C0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N</w:t>
      </w:r>
      <w:r w:rsidRPr="00432CD2">
        <w:rPr>
          <w:rFonts w:eastAsia="Calibri"/>
          <w:szCs w:val="22"/>
        </w:rPr>
        <w:t>a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>půso</w:t>
      </w:r>
      <w:r w:rsidRPr="00432CD2">
        <w:rPr>
          <w:rFonts w:eastAsia="Calibri"/>
          <w:szCs w:val="22"/>
        </w:rPr>
        <w:t>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dubnu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v oddíle potraviny a nealkoholické nápoje, kde byly meziročně nižší ceny vepřového masa o 7,2 % a zeleniny o 3,4 %, z čehož ceny brambor klesly o 26,6 %.</w:t>
      </w:r>
    </w:p>
    <w:p w:rsidR="00541B7A" w:rsidRDefault="00541B7A" w:rsidP="00541B7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3,3 %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2,8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 xml:space="preserve">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</w:t>
      </w:r>
      <w:r>
        <w:rPr>
          <w:rFonts w:cs="Arial"/>
          <w:szCs w:val="20"/>
        </w:rPr>
        <w:t>3</w:t>
      </w:r>
      <w:r w:rsidRPr="005E4E4C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5E4E4C">
        <w:rPr>
          <w:rFonts w:cs="Arial"/>
          <w:szCs w:val="20"/>
        </w:rPr>
        <w:t> %.</w:t>
      </w:r>
    </w:p>
    <w:p w:rsidR="00F071F6" w:rsidRPr="00F071F6" w:rsidRDefault="00541B7A" w:rsidP="00541B7A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dubnu 2,8</w:t>
      </w:r>
      <w:r w:rsidRPr="00576E20">
        <w:rPr>
          <w:rFonts w:cs="Arial"/>
          <w:szCs w:val="20"/>
        </w:rPr>
        <w:t> %.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1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541B7A" w:rsidRPr="00541B7A" w:rsidRDefault="00541B7A" w:rsidP="00541B7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41B7A">
        <w:rPr>
          <w:rFonts w:cs="Arial"/>
          <w:sz w:val="20"/>
          <w:szCs w:val="20"/>
        </w:rPr>
        <w:t xml:space="preserve">Podle předběžných výpočtů vzrostl </w:t>
      </w:r>
      <w:r w:rsidRPr="00541B7A">
        <w:rPr>
          <w:rFonts w:cs="Arial"/>
          <w:b/>
          <w:sz w:val="20"/>
          <w:szCs w:val="20"/>
        </w:rPr>
        <w:t xml:space="preserve">v dubnu </w:t>
      </w:r>
      <w:r w:rsidRPr="00541B7A">
        <w:rPr>
          <w:rFonts w:cs="Arial"/>
          <w:sz w:val="20"/>
          <w:szCs w:val="20"/>
        </w:rPr>
        <w:t xml:space="preserve">HICP v Česku </w:t>
      </w:r>
      <w:r w:rsidRPr="00541B7A">
        <w:rPr>
          <w:rFonts w:cs="Arial"/>
          <w:b/>
          <w:sz w:val="20"/>
          <w:szCs w:val="20"/>
        </w:rPr>
        <w:t xml:space="preserve">meziměsíčně </w:t>
      </w:r>
      <w:r w:rsidRPr="00541B7A">
        <w:rPr>
          <w:rFonts w:cs="Arial"/>
          <w:sz w:val="20"/>
          <w:szCs w:val="20"/>
        </w:rPr>
        <w:t>o 0,6 % a </w:t>
      </w:r>
      <w:r w:rsidRPr="00541B7A">
        <w:rPr>
          <w:rFonts w:cs="Arial"/>
          <w:b/>
          <w:sz w:val="20"/>
          <w:szCs w:val="20"/>
        </w:rPr>
        <w:t xml:space="preserve">meziročně </w:t>
      </w:r>
      <w:r w:rsidRPr="00541B7A">
        <w:rPr>
          <w:rFonts w:cs="Arial"/>
          <w:sz w:val="20"/>
          <w:szCs w:val="20"/>
        </w:rPr>
        <w:t xml:space="preserve">o 3,1 %. </w:t>
      </w:r>
      <w:r w:rsidRPr="00541B7A">
        <w:rPr>
          <w:rFonts w:cs="Arial"/>
          <w:b/>
          <w:sz w:val="20"/>
          <w:szCs w:val="20"/>
        </w:rPr>
        <w:t>Podle bleskových odhadů</w:t>
      </w:r>
      <w:r w:rsidRPr="00541B7A">
        <w:rPr>
          <w:rFonts w:cs="Arial"/>
          <w:sz w:val="20"/>
          <w:szCs w:val="20"/>
        </w:rPr>
        <w:t xml:space="preserve"> </w:t>
      </w:r>
      <w:proofErr w:type="spellStart"/>
      <w:r w:rsidRPr="00541B7A">
        <w:rPr>
          <w:rFonts w:cs="Arial"/>
          <w:sz w:val="20"/>
          <w:szCs w:val="20"/>
        </w:rPr>
        <w:t>Eurostatu</w:t>
      </w:r>
      <w:proofErr w:type="spellEnd"/>
      <w:r w:rsidRPr="00541B7A">
        <w:rPr>
          <w:rFonts w:cs="Arial"/>
          <w:b/>
          <w:sz w:val="20"/>
          <w:szCs w:val="20"/>
        </w:rPr>
        <w:t xml:space="preserve"> </w:t>
      </w:r>
      <w:r w:rsidRPr="00541B7A">
        <w:rPr>
          <w:rFonts w:cs="Arial"/>
          <w:sz w:val="20"/>
          <w:szCs w:val="20"/>
        </w:rPr>
        <w:t>byla</w:t>
      </w:r>
      <w:r w:rsidRPr="00541B7A">
        <w:rPr>
          <w:rFonts w:cs="Arial"/>
          <w:b/>
          <w:sz w:val="20"/>
          <w:szCs w:val="20"/>
        </w:rPr>
        <w:t xml:space="preserve"> meziroční</w:t>
      </w:r>
      <w:r w:rsidRPr="00541B7A">
        <w:rPr>
          <w:rFonts w:cs="Arial"/>
          <w:sz w:val="20"/>
          <w:szCs w:val="20"/>
        </w:rPr>
        <w:t xml:space="preserve"> změna HICP za Eurozónu </w:t>
      </w:r>
      <w:r w:rsidRPr="00541B7A">
        <w:rPr>
          <w:rFonts w:cs="Arial"/>
          <w:b/>
          <w:sz w:val="20"/>
          <w:szCs w:val="20"/>
        </w:rPr>
        <w:t>v</w:t>
      </w:r>
      <w:r w:rsidRPr="00541B7A">
        <w:rPr>
          <w:rFonts w:cs="Arial"/>
          <w:b/>
          <w:bCs/>
          <w:sz w:val="20"/>
          <w:szCs w:val="20"/>
        </w:rPr>
        <w:t> dubnu 2021</w:t>
      </w:r>
      <w:r w:rsidRPr="00541B7A">
        <w:rPr>
          <w:rFonts w:cs="Arial"/>
          <w:sz w:val="20"/>
          <w:szCs w:val="20"/>
        </w:rPr>
        <w:t xml:space="preserve"> 1,6 % (v březnu 1,3 %). Na Slovensku byly ceny</w:t>
      </w:r>
      <w:r w:rsidRPr="00541B7A">
        <w:rPr>
          <w:rFonts w:cs="Arial"/>
          <w:bCs/>
          <w:sz w:val="20"/>
          <w:szCs w:val="20"/>
        </w:rPr>
        <w:t xml:space="preserve"> </w:t>
      </w:r>
      <w:r w:rsidRPr="00541B7A">
        <w:rPr>
          <w:rFonts w:cs="Arial"/>
          <w:sz w:val="20"/>
          <w:szCs w:val="20"/>
        </w:rPr>
        <w:t>v dubnu meziročně vyšší o 1,7 % a v Německu</w:t>
      </w:r>
      <w:r w:rsidRPr="00541B7A">
        <w:rPr>
          <w:rFonts w:cs="Arial"/>
          <w:bCs/>
          <w:sz w:val="20"/>
          <w:szCs w:val="20"/>
        </w:rPr>
        <w:t xml:space="preserve"> o 2,1 %. P</w:t>
      </w:r>
      <w:r w:rsidRPr="00541B7A">
        <w:rPr>
          <w:rFonts w:cs="Arial"/>
          <w:sz w:val="20"/>
          <w:szCs w:val="20"/>
        </w:rPr>
        <w:t xml:space="preserve">odle předběžných údajů </w:t>
      </w:r>
      <w:proofErr w:type="spellStart"/>
      <w:r w:rsidRPr="00541B7A">
        <w:rPr>
          <w:rFonts w:cs="Arial"/>
          <w:sz w:val="20"/>
          <w:szCs w:val="20"/>
        </w:rPr>
        <w:t>Eurostatu</w:t>
      </w:r>
      <w:proofErr w:type="spellEnd"/>
      <w:r w:rsidRPr="00541B7A">
        <w:rPr>
          <w:rFonts w:cs="Arial"/>
          <w:sz w:val="20"/>
          <w:szCs w:val="20"/>
        </w:rPr>
        <w:t xml:space="preserve"> byla </w:t>
      </w:r>
      <w:r w:rsidRPr="00541B7A">
        <w:rPr>
          <w:rFonts w:cs="Arial"/>
          <w:b/>
          <w:sz w:val="20"/>
          <w:szCs w:val="20"/>
        </w:rPr>
        <w:t>meziroční</w:t>
      </w:r>
      <w:r w:rsidRPr="00541B7A">
        <w:rPr>
          <w:rFonts w:cs="Arial"/>
          <w:sz w:val="20"/>
          <w:szCs w:val="20"/>
        </w:rPr>
        <w:t xml:space="preserve"> změna HICP </w:t>
      </w:r>
      <w:r w:rsidRPr="00541B7A">
        <w:rPr>
          <w:rFonts w:cs="Arial"/>
          <w:b/>
          <w:bCs/>
          <w:sz w:val="20"/>
          <w:szCs w:val="20"/>
        </w:rPr>
        <w:t xml:space="preserve">27 členských zemí EU </w:t>
      </w:r>
      <w:r w:rsidRPr="00541B7A">
        <w:rPr>
          <w:rFonts w:cs="Arial"/>
          <w:b/>
          <w:sz w:val="20"/>
          <w:szCs w:val="20"/>
        </w:rPr>
        <w:t xml:space="preserve">v březnu </w:t>
      </w:r>
      <w:r w:rsidRPr="00541B7A">
        <w:rPr>
          <w:rFonts w:cs="Arial"/>
          <w:sz w:val="20"/>
          <w:szCs w:val="20"/>
        </w:rPr>
        <w:t xml:space="preserve">1,7 %, což bylo o 0,4 procentního bodu více než v únoru. </w:t>
      </w:r>
      <w:r w:rsidRPr="00541B7A">
        <w:rPr>
          <w:rFonts w:cs="Arial"/>
          <w:bCs/>
          <w:sz w:val="20"/>
          <w:szCs w:val="20"/>
        </w:rPr>
        <w:t>Nejvíce ceny v březnu meziročně vzrostly v Polsku (o 4,4 %). Naopak pokles cen nastal pouze v Řecku (o 2,0 %).</w:t>
      </w:r>
    </w:p>
    <w:p w:rsidR="00541B7A" w:rsidRDefault="00541B7A" w:rsidP="00541B7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41B7A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541B7A">
        <w:rPr>
          <w:rFonts w:cs="Arial"/>
          <w:sz w:val="20"/>
          <w:szCs w:val="20"/>
        </w:rPr>
        <w:t>Eurostatu</w:t>
      </w:r>
      <w:proofErr w:type="spellEnd"/>
      <w:r w:rsidRPr="00541B7A">
        <w:rPr>
          <w:rFonts w:cs="Arial"/>
          <w:sz w:val="20"/>
          <w:szCs w:val="20"/>
        </w:rPr>
        <w:t xml:space="preserve">: </w:t>
      </w:r>
      <w:hyperlink r:id="rId8" w:history="1">
        <w:r w:rsidRPr="00541B7A">
          <w:rPr>
            <w:rStyle w:val="Hypertextovodkaz"/>
            <w:sz w:val="20"/>
            <w:szCs w:val="20"/>
          </w:rPr>
          <w:t>HICP</w:t>
        </w:r>
      </w:hyperlink>
      <w:r w:rsidRPr="00541B7A">
        <w:rPr>
          <w:sz w:val="20"/>
          <w:szCs w:val="20"/>
        </w:rPr>
        <w:t>.</w:t>
      </w:r>
      <w:r w:rsidRPr="00541B7A">
        <w:rPr>
          <w:rFonts w:cs="Arial"/>
          <w:sz w:val="20"/>
          <w:szCs w:val="20"/>
        </w:rPr>
        <w:t>)</w:t>
      </w:r>
    </w:p>
    <w:p w:rsidR="00386F01" w:rsidRPr="00714B66" w:rsidRDefault="00386F01" w:rsidP="00386F01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714B66">
        <w:rPr>
          <w:rFonts w:cs="Arial"/>
          <w:szCs w:val="20"/>
        </w:rPr>
        <w:lastRenderedPageBreak/>
        <w:t xml:space="preserve">Celková úroveň spotřebitelských cen </w:t>
      </w:r>
      <w:r w:rsidRPr="00714B66">
        <w:rPr>
          <w:rFonts w:cs="Arial"/>
          <w:b/>
          <w:bCs/>
          <w:szCs w:val="20"/>
        </w:rPr>
        <w:t>domácností důchodců</w:t>
      </w:r>
      <w:r w:rsidRPr="00714B66">
        <w:rPr>
          <w:rFonts w:cs="Arial"/>
          <w:szCs w:val="20"/>
        </w:rPr>
        <w:t xml:space="preserve"> v </w:t>
      </w:r>
      <w:r>
        <w:rPr>
          <w:rFonts w:cs="Arial"/>
          <w:szCs w:val="20"/>
        </w:rPr>
        <w:t>dubnu</w:t>
      </w:r>
      <w:r w:rsidRPr="00714B66">
        <w:rPr>
          <w:rFonts w:cs="Arial"/>
          <w:szCs w:val="20"/>
        </w:rPr>
        <w:t xml:space="preserve"> ve srovnání s předcházejícím měsícem </w:t>
      </w:r>
      <w:r>
        <w:rPr>
          <w:rFonts w:cs="Arial"/>
          <w:szCs w:val="20"/>
        </w:rPr>
        <w:t>vzrostla o 0,5</w:t>
      </w:r>
      <w:r w:rsidRPr="00714B66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Tento vývoj byl ovlivněn</w:t>
      </w:r>
      <w:r w:rsidRPr="00714B66">
        <w:rPr>
          <w:rFonts w:cs="Arial"/>
          <w:szCs w:val="20"/>
        </w:rPr>
        <w:t xml:space="preserve"> především </w:t>
      </w:r>
      <w:r>
        <w:rPr>
          <w:rFonts w:cs="Arial"/>
          <w:szCs w:val="20"/>
        </w:rPr>
        <w:t xml:space="preserve">růstem </w:t>
      </w:r>
      <w:r w:rsidRPr="00714B66">
        <w:rPr>
          <w:rFonts w:cs="Arial"/>
          <w:szCs w:val="20"/>
        </w:rPr>
        <w:t xml:space="preserve">cen v oddíle </w:t>
      </w:r>
      <w:r>
        <w:rPr>
          <w:rFonts w:cs="Arial"/>
          <w:szCs w:val="20"/>
        </w:rPr>
        <w:t>potraviny a nealkoholické nápoje o 0,9 %, kde byly vyšší zejména ceny zeleniny, vepřového masa, olejů a tuků. V oddíle alkoholické nápoje, tabák ceny vzrostly o 1,3 %. V tomto oddíle byly vyšší především ceny tabákových výrobků a lihovin. Růst cen v oddíle doprava o 1,0 % byl způsoben zejména rostoucími cenami pohonných hmot a olejů.</w:t>
      </w:r>
    </w:p>
    <w:p w:rsidR="00386F01" w:rsidRPr="00714B66" w:rsidRDefault="00386F01" w:rsidP="00386F01">
      <w:pPr>
        <w:jc w:val="both"/>
        <w:rPr>
          <w:rFonts w:cs="Arial"/>
          <w:szCs w:val="20"/>
        </w:rPr>
      </w:pPr>
      <w:r w:rsidRPr="00714B66">
        <w:rPr>
          <w:rFonts w:cs="Arial"/>
          <w:b/>
          <w:bCs/>
          <w:szCs w:val="20"/>
        </w:rPr>
        <w:t>V hlavním městě Praze</w:t>
      </w:r>
      <w:r w:rsidRPr="00714B66">
        <w:rPr>
          <w:rFonts w:cs="Arial"/>
          <w:szCs w:val="20"/>
        </w:rPr>
        <w:t xml:space="preserve"> spotřebitelské ceny úhrnem ve srovnání s minulým měsícem </w:t>
      </w:r>
      <w:r>
        <w:rPr>
          <w:rFonts w:cs="Arial"/>
          <w:szCs w:val="20"/>
        </w:rPr>
        <w:t xml:space="preserve">vzrostly o 0,3 % </w:t>
      </w:r>
      <w:r w:rsidRPr="00714B66">
        <w:rPr>
          <w:rFonts w:cs="Arial"/>
          <w:szCs w:val="20"/>
        </w:rPr>
        <w:t>(</w:t>
      </w:r>
      <w:r>
        <w:rPr>
          <w:rFonts w:cs="Arial"/>
          <w:szCs w:val="20"/>
        </w:rPr>
        <w:t>v Česku o 0,5 %)</w:t>
      </w:r>
      <w:r w:rsidRPr="00ED485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Největší vliv na tento vývoj </w:t>
      </w:r>
      <w:r w:rsidRPr="00714B66">
        <w:rPr>
          <w:rFonts w:cs="Arial"/>
          <w:szCs w:val="20"/>
        </w:rPr>
        <w:t xml:space="preserve">mělo </w:t>
      </w:r>
      <w:r>
        <w:rPr>
          <w:rFonts w:cs="Arial"/>
          <w:szCs w:val="20"/>
        </w:rPr>
        <w:t xml:space="preserve">zvýšení </w:t>
      </w:r>
      <w:r w:rsidRPr="00714B66">
        <w:rPr>
          <w:rFonts w:cs="Arial"/>
          <w:szCs w:val="20"/>
        </w:rPr>
        <w:t>cen v oddíle</w:t>
      </w:r>
      <w:r>
        <w:rPr>
          <w:rFonts w:cs="Arial"/>
          <w:szCs w:val="20"/>
        </w:rPr>
        <w:t xml:space="preserve"> alkoholické nápoje, tabák o 1,6 % (v Česku také o 1,6 %). V tomto oddíle došlo zejména k růstu cen tabákových výrobků a lihovin. V oddíle potraviny a nealkoholické nápoje</w:t>
      </w:r>
      <w:r w:rsidRPr="001723FD">
        <w:rPr>
          <w:rFonts w:cs="Arial"/>
          <w:szCs w:val="20"/>
        </w:rPr>
        <w:t xml:space="preserve"> ceny vzrostly o</w:t>
      </w:r>
      <w:r>
        <w:rPr>
          <w:rFonts w:cs="Arial"/>
          <w:szCs w:val="20"/>
        </w:rPr>
        <w:t> 0,8 </w:t>
      </w:r>
      <w:r w:rsidRPr="001723FD">
        <w:rPr>
          <w:rFonts w:cs="Arial"/>
          <w:szCs w:val="20"/>
        </w:rPr>
        <w:t xml:space="preserve">% (v Česku </w:t>
      </w:r>
      <w:r>
        <w:rPr>
          <w:rFonts w:cs="Arial"/>
          <w:szCs w:val="20"/>
        </w:rPr>
        <w:t xml:space="preserve">rovněž </w:t>
      </w:r>
      <w:r w:rsidRPr="001723FD">
        <w:rPr>
          <w:rFonts w:cs="Arial"/>
          <w:szCs w:val="20"/>
        </w:rPr>
        <w:t>o</w:t>
      </w:r>
      <w:r>
        <w:rPr>
          <w:rFonts w:cs="Arial"/>
          <w:szCs w:val="20"/>
        </w:rPr>
        <w:t> </w:t>
      </w:r>
      <w:r w:rsidRPr="001723FD">
        <w:rPr>
          <w:rFonts w:cs="Arial"/>
          <w:szCs w:val="20"/>
        </w:rPr>
        <w:t>0,</w:t>
      </w:r>
      <w:r>
        <w:rPr>
          <w:rFonts w:cs="Arial"/>
          <w:szCs w:val="20"/>
        </w:rPr>
        <w:t>8 </w:t>
      </w:r>
      <w:r w:rsidRPr="001723FD">
        <w:rPr>
          <w:rFonts w:cs="Arial"/>
          <w:szCs w:val="20"/>
        </w:rPr>
        <w:t xml:space="preserve">%). V tomto oddíle byly vyšší zejména ceny </w:t>
      </w:r>
      <w:r>
        <w:rPr>
          <w:rFonts w:cs="Arial"/>
          <w:szCs w:val="20"/>
        </w:rPr>
        <w:t>zeleniny, vepřového masa, olejů a tuků</w:t>
      </w:r>
      <w:r w:rsidRPr="001723F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ED4850">
        <w:rPr>
          <w:rFonts w:cs="Arial"/>
          <w:szCs w:val="20"/>
        </w:rPr>
        <w:t>V</w:t>
      </w:r>
      <w:r>
        <w:rPr>
          <w:rFonts w:cs="Arial"/>
          <w:szCs w:val="20"/>
        </w:rPr>
        <w:t> oddíle doprava se ceny zvýšily o 0,9 % (v Česku o 1,0 %) vlivem růstu cen pohonných hmot a olejů a automobilů.</w:t>
      </w:r>
    </w:p>
    <w:p w:rsidR="00386F01" w:rsidRPr="00541B7A" w:rsidRDefault="00386F01" w:rsidP="00541B7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1869E7" w:rsidRPr="001869E7" w:rsidRDefault="002157F1" w:rsidP="00541B7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hyperlink r:id="rId9" w:history="1">
        <w:r w:rsidR="00541B7A" w:rsidRPr="00541B7A">
          <w:rPr>
            <w:rStyle w:val="Hypertextovodkaz"/>
            <w:rFonts w:cs="Arial"/>
            <w:bCs/>
            <w:sz w:val="20"/>
            <w:szCs w:val="20"/>
          </w:rPr>
          <w:t>Metodická poznámka k indexu spotřebitelských cen za duben 2021 (COVID-19)</w:t>
        </w:r>
      </w:hyperlink>
    </w:p>
    <w:sectPr w:rsidR="001869E7" w:rsidRPr="001869E7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F1" w:rsidRDefault="002157F1" w:rsidP="00E71A58">
      <w:r>
        <w:separator/>
      </w:r>
    </w:p>
  </w:endnote>
  <w:endnote w:type="continuationSeparator" w:id="0">
    <w:p w:rsidR="002157F1" w:rsidRDefault="002157F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407468">
      <w:rPr>
        <w:szCs w:val="16"/>
      </w:rPr>
      <w:t>dub</w:t>
    </w:r>
    <w:r w:rsidR="006817A4">
      <w:rPr>
        <w:szCs w:val="16"/>
      </w:rPr>
      <w:t>en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407468">
      <w:rPr>
        <w:rStyle w:val="ZpatChar"/>
        <w:i/>
        <w:szCs w:val="16"/>
      </w:rPr>
      <w:t>April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F1" w:rsidRDefault="002157F1" w:rsidP="00E71A58">
      <w:r>
        <w:separator/>
      </w:r>
    </w:p>
  </w:footnote>
  <w:footnote w:type="continuationSeparator" w:id="0">
    <w:p w:rsidR="002157F1" w:rsidRDefault="002157F1" w:rsidP="00E71A58">
      <w:r>
        <w:continuationSeparator/>
      </w:r>
    </w:p>
  </w:footnote>
  <w:footnote w:id="1">
    <w:p w:rsidR="00F071F6" w:rsidRDefault="00F071F6" w:rsidP="00F071F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57F1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86F01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0CF2"/>
    <w:rsid w:val="00407468"/>
    <w:rsid w:val="00407C13"/>
    <w:rsid w:val="00410638"/>
    <w:rsid w:val="00410DDA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8807EB8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duben-2021-covid-1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EEBF-3528-4E46-82FD-382586D9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280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154</cp:revision>
  <cp:lastPrinted>2017-01-18T13:33:00Z</cp:lastPrinted>
  <dcterms:created xsi:type="dcterms:W3CDTF">2017-02-09T16:27:00Z</dcterms:created>
  <dcterms:modified xsi:type="dcterms:W3CDTF">2021-05-17T07:57:00Z</dcterms:modified>
</cp:coreProperties>
</file>