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6D2" w:rsidRPr="00360DE3" w:rsidRDefault="00141782" w:rsidP="005D3386">
      <w:pPr>
        <w:pStyle w:val="Nadpis110"/>
      </w:pPr>
      <w:bookmarkStart w:id="0" w:name="_Toc527639470"/>
      <w:r w:rsidRPr="00360DE3">
        <w:t>5. Trh práce</w:t>
      </w:r>
      <w:bookmarkEnd w:id="0"/>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5D3386">
        <w:trPr>
          <w:trHeight w:val="145"/>
        </w:trPr>
        <w:tc>
          <w:tcPr>
            <w:tcW w:w="1966" w:type="dxa"/>
          </w:tcPr>
          <w:p w:rsidR="005D3386" w:rsidRPr="00360DE3" w:rsidRDefault="005D3386" w:rsidP="005D3386">
            <w:pPr>
              <w:pStyle w:val="Marginlie"/>
              <w:rPr>
                <w:spacing w:val="0"/>
              </w:rPr>
            </w:pPr>
            <w:r w:rsidRPr="00360DE3">
              <w:rPr>
                <w:spacing w:val="0"/>
              </w:rPr>
              <w:t>Situace na pracovním trhu v Česku loni výrazně nahrávala zaměstnancům i osobám hledajících práci.</w:t>
            </w:r>
          </w:p>
        </w:tc>
        <w:tc>
          <w:tcPr>
            <w:tcW w:w="276" w:type="dxa"/>
          </w:tcPr>
          <w:p w:rsidR="005D3386" w:rsidRPr="00360DE3" w:rsidRDefault="005D3386" w:rsidP="005D3386">
            <w:pPr>
              <w:pStyle w:val="Textpoznpodarou"/>
              <w:jc w:val="both"/>
            </w:pPr>
          </w:p>
        </w:tc>
        <w:tc>
          <w:tcPr>
            <w:tcW w:w="7355" w:type="dxa"/>
          </w:tcPr>
          <w:p w:rsidR="005D3386" w:rsidRPr="00360DE3" w:rsidRDefault="005D3386" w:rsidP="005D3386">
            <w:pPr>
              <w:spacing w:after="200"/>
            </w:pPr>
            <w:r w:rsidRPr="00360DE3">
              <w:t>Tuzemský trh práce zažil v roce 2017 výjimečný rok. Pokračující svižný růst ekonomiky se pozitivně odrazil v tvorbě nových pracovních míst. Nezaměstnanost se nadále snižovala, práci nacházeli z velké části dlouhodobě nezaměstnaní. Při stále omezenějším rezervoáru potenciálních pracovních sil z tuzemska využívaly podniky intenzivněji náboru lidí ze zahraničí, který však i kvůli své administrativní náročnosti nestačil jejich potřeby plně pokrýt. Z rostoucího napětí na pracovním trhu profitovaly osoby v zaměstnaneckém postavení, jejichž výdělky akcelerovaly k tempům z vrcholu konjunktury minulé dekády. V kontextu zemí EU se trh práce v Česku v mnohých ohledech těšil zcela výsadnímu postavení (</w:t>
            </w:r>
            <w:r w:rsidR="005B08EB">
              <w:t xml:space="preserve">pohledem ukazatelů: </w:t>
            </w:r>
            <w:r w:rsidRPr="00360DE3">
              <w:t xml:space="preserve">míra nezaměstnanosti, míra zaměstnanosti mužů, míra volných pracovních míst). </w:t>
            </w:r>
          </w:p>
        </w:tc>
      </w:tr>
    </w:tbl>
    <w:p w:rsidR="005D3386" w:rsidRPr="00360DE3" w:rsidRDefault="005D3386" w:rsidP="005D3386">
      <w:pPr>
        <w:pStyle w:val="Nadpis2"/>
      </w:pPr>
      <w:bookmarkStart w:id="1" w:name="_Toc527639471"/>
      <w:r w:rsidRPr="00360DE3">
        <w:t>5.1 Zaměstnanost</w:t>
      </w:r>
      <w:bookmarkEnd w:id="1"/>
    </w:p>
    <w:tbl>
      <w:tblPr>
        <w:tblW w:w="9644" w:type="dxa"/>
        <w:tblInd w:w="-15" w:type="dxa"/>
        <w:tblLayout w:type="fixed"/>
        <w:tblCellMar>
          <w:left w:w="0" w:type="dxa"/>
          <w:right w:w="0" w:type="dxa"/>
        </w:tblCellMar>
        <w:tblLook w:val="00A0"/>
      </w:tblPr>
      <w:tblGrid>
        <w:gridCol w:w="1966"/>
        <w:gridCol w:w="10"/>
        <w:gridCol w:w="266"/>
        <w:gridCol w:w="11"/>
        <w:gridCol w:w="7344"/>
        <w:gridCol w:w="47"/>
      </w:tblGrid>
      <w:tr w:rsidR="005D3386" w:rsidRPr="00360DE3" w:rsidTr="005D3386">
        <w:trPr>
          <w:gridAfter w:val="1"/>
          <w:wAfter w:w="47" w:type="dxa"/>
          <w:trHeight w:val="145"/>
        </w:trPr>
        <w:tc>
          <w:tcPr>
            <w:tcW w:w="1966" w:type="dxa"/>
            <w:shd w:val="clear" w:color="auto" w:fill="auto"/>
          </w:tcPr>
          <w:p w:rsidR="005D3386" w:rsidRPr="00360DE3" w:rsidRDefault="005D3386" w:rsidP="005D3386">
            <w:pPr>
              <w:pStyle w:val="Marginlie"/>
              <w:rPr>
                <w:spacing w:val="0"/>
              </w:rPr>
            </w:pPr>
            <w:r w:rsidRPr="00360DE3">
              <w:rPr>
                <w:spacing w:val="0"/>
              </w:rPr>
              <w:t xml:space="preserve">Současný hospodářský růst společně s dlouhodobě působícími demografickými vlivy vyústily v rekordním </w:t>
            </w:r>
            <w:proofErr w:type="gramStart"/>
            <w:r w:rsidRPr="00360DE3">
              <w:rPr>
                <w:spacing w:val="0"/>
              </w:rPr>
              <w:t>počet</w:t>
            </w:r>
            <w:proofErr w:type="gramEnd"/>
            <w:r w:rsidRPr="00360DE3">
              <w:rPr>
                <w:spacing w:val="0"/>
              </w:rPr>
              <w:t xml:space="preserve"> pracovníků.</w:t>
            </w:r>
          </w:p>
        </w:tc>
        <w:tc>
          <w:tcPr>
            <w:tcW w:w="276" w:type="dxa"/>
            <w:gridSpan w:val="2"/>
          </w:tcPr>
          <w:p w:rsidR="005D3386" w:rsidRPr="00360DE3" w:rsidRDefault="005D3386" w:rsidP="005D3386">
            <w:pPr>
              <w:pStyle w:val="Textpoznpodarou"/>
              <w:jc w:val="both"/>
            </w:pPr>
          </w:p>
        </w:tc>
        <w:tc>
          <w:tcPr>
            <w:tcW w:w="7355" w:type="dxa"/>
            <w:gridSpan w:val="2"/>
          </w:tcPr>
          <w:p w:rsidR="005D3386" w:rsidRPr="00EA0840" w:rsidRDefault="005D3386" w:rsidP="005D3386">
            <w:pPr>
              <w:spacing w:after="200"/>
            </w:pPr>
            <w:r w:rsidRPr="00EA0840">
              <w:t xml:space="preserve">Celková zaměstnanost </w:t>
            </w:r>
            <w:r w:rsidR="005B08EB">
              <w:t xml:space="preserve">v národním hospodářství </w:t>
            </w:r>
            <w:r w:rsidRPr="00EA0840">
              <w:t>(ve fyzických osobách)</w:t>
            </w:r>
            <w:r w:rsidRPr="00EA0840">
              <w:rPr>
                <w:rStyle w:val="Znakapoznpodarou"/>
              </w:rPr>
              <w:footnoteReference w:id="1"/>
            </w:r>
            <w:r w:rsidRPr="00EA0840">
              <w:t xml:space="preserve"> vzrostla v roce 2017 o 1,6 % meziroč</w:t>
            </w:r>
            <w:r w:rsidR="005B08EB">
              <w:t>ně. Jednalo se</w:t>
            </w:r>
            <w:r w:rsidRPr="00EA0840">
              <w:t xml:space="preserve"> společně s předešlým rokem, kdy zaměstnanost posilovala shodným tempem jako loni, o nejlepší výsledek po roce 2008. Loňský růst zaměstnanosti byl v Česku obdobný jako v celé </w:t>
            </w:r>
            <w:r w:rsidR="005B08EB">
              <w:t>EU či např. sousedním Německu a</w:t>
            </w:r>
            <w:r w:rsidR="005B08EB" w:rsidRPr="00360DE3">
              <w:t> </w:t>
            </w:r>
            <w:r w:rsidRPr="00EA0840">
              <w:t>Rakousku, za většinou novějších členských států Unie však zaostal</w:t>
            </w:r>
            <w:r w:rsidRPr="00EA0840">
              <w:rPr>
                <w:rStyle w:val="Znakapoznpodarou"/>
              </w:rPr>
              <w:footnoteReference w:id="2"/>
            </w:r>
            <w:r w:rsidRPr="00EA0840">
              <w:t xml:space="preserve">. Na rozdíl od roku 2016 již loni k vyšší zaměstnanosti nepřispívali </w:t>
            </w:r>
            <w:proofErr w:type="spellStart"/>
            <w:r w:rsidRPr="00EA0840">
              <w:t>sebezaměstnaní</w:t>
            </w:r>
            <w:proofErr w:type="spellEnd"/>
            <w:r w:rsidRPr="00EA0840">
              <w:t>. Na jeho konci mělo v ČR práci již 5,37 mil. lidí</w:t>
            </w:r>
            <w:r w:rsidRPr="00EA0840">
              <w:rPr>
                <w:rStyle w:val="Znakapoznpodarou"/>
              </w:rPr>
              <w:footnoteReference w:id="3"/>
            </w:r>
            <w:r w:rsidRPr="00EA0840">
              <w:t>. Rekordní výše zaměstnanosti byla vedle efektu hospodářského cyklu ovlivněna také dlouhodobě působícími demografickými vlivy. Četnost toků mezi neaktivitou a zaměstnaností odrážela i dopad navyšujícího se věku odchodu d</w:t>
            </w:r>
            <w:r w:rsidR="005B08EB">
              <w:t>o důchodu (s větší intenzitou u</w:t>
            </w:r>
            <w:r w:rsidR="005B08EB" w:rsidRPr="00EA0840">
              <w:t> </w:t>
            </w:r>
            <w:r w:rsidRPr="00EA0840">
              <w:t>žen).</w:t>
            </w:r>
          </w:p>
        </w:tc>
      </w:tr>
      <w:tr w:rsidR="005D3386" w:rsidRPr="00360DE3" w:rsidTr="005D3386">
        <w:trPr>
          <w:gridAfter w:val="1"/>
          <w:wAfter w:w="47" w:type="dxa"/>
          <w:trHeight w:val="145"/>
        </w:trPr>
        <w:tc>
          <w:tcPr>
            <w:tcW w:w="1966" w:type="dxa"/>
            <w:shd w:val="clear" w:color="auto" w:fill="auto"/>
          </w:tcPr>
          <w:p w:rsidR="005D3386" w:rsidRPr="00360DE3" w:rsidRDefault="005D3386" w:rsidP="005D3386">
            <w:pPr>
              <w:pStyle w:val="Marginlie"/>
              <w:rPr>
                <w:spacing w:val="0"/>
              </w:rPr>
            </w:pPr>
            <w:r w:rsidRPr="00360DE3">
              <w:rPr>
                <w:spacing w:val="0"/>
              </w:rPr>
              <w:t>Role zpracovatelského průmyslu jako hlavního tvůrce pracovních míst loni oslabila ve prospěch služeb, kde sílila zejména odvětví s dominancí státu.</w:t>
            </w: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360DE3">
            <w:pPr>
              <w:pStyle w:val="Marginlie"/>
              <w:rPr>
                <w:spacing w:val="0"/>
              </w:rPr>
            </w:pPr>
          </w:p>
        </w:tc>
        <w:tc>
          <w:tcPr>
            <w:tcW w:w="276" w:type="dxa"/>
            <w:gridSpan w:val="2"/>
          </w:tcPr>
          <w:p w:rsidR="005D3386" w:rsidRPr="00360DE3" w:rsidRDefault="005D3386" w:rsidP="005D3386">
            <w:pPr>
              <w:pStyle w:val="Textpoznpodarou"/>
              <w:jc w:val="both"/>
            </w:pPr>
          </w:p>
        </w:tc>
        <w:tc>
          <w:tcPr>
            <w:tcW w:w="7355" w:type="dxa"/>
            <w:gridSpan w:val="2"/>
          </w:tcPr>
          <w:p w:rsidR="00360DE3" w:rsidRPr="00EA0840" w:rsidRDefault="005D3386" w:rsidP="00360DE3">
            <w:pPr>
              <w:spacing w:after="0"/>
            </w:pPr>
            <w:r w:rsidRPr="00EA0840">
              <w:t xml:space="preserve">Počet pracovníků (po přepočtu na celé úvazky) v ekonomice se v roce 2017 </w:t>
            </w:r>
            <w:proofErr w:type="gramStart"/>
            <w:r w:rsidRPr="00EA0840">
              <w:t>zvýšil</w:t>
            </w:r>
            <w:proofErr w:type="gramEnd"/>
            <w:r w:rsidRPr="00EA0840">
              <w:t xml:space="preserve"> o 62 tis. osob  Stavy zaměstnaných nadále </w:t>
            </w:r>
            <w:proofErr w:type="gramStart"/>
            <w:r w:rsidRPr="00EA0840">
              <w:t>rozšiřoval</w:t>
            </w:r>
            <w:proofErr w:type="gramEnd"/>
            <w:r w:rsidRPr="00EA0840">
              <w:t xml:space="preserve"> zpracovatelský průmysl (+13 tis.), jeho role však oproti rokům 2015 i 2016 (kdy zajistil více než polovinu meziročního přírůstku zaměstnanosti v celé ekonomice) citelně oslabila. Stály za tím jak sílící potíže při náboru nových pracovníků, tak i tlak na růst produktivity klíčových exportérů v prostředí posilující české koruny. Naopak již druhým rokem v řadě sílila role odvětví majících charakter veřejných služeb. Na jejich loňském růstu (+29 tis.) se podílelo primárně vzdělávání (+4,2 %, nejsilnější tempo po roce 2003). Pracovníci přibývali i ve zdravotnictví, sociálních službách i v oblastech souvisejících s bezpečností státu. Z ostatních služeb se dařilo odvětví ubytování, stravování a pohostinství (+3,2 %, nejvyšší tempo za posledních osm let). Na silný rok 2016 loni plně nenavázaly profesní, vědeck</w:t>
            </w:r>
            <w:r w:rsidR="00DF7AD4">
              <w:t>é a technické činnosti, jakož i</w:t>
            </w:r>
            <w:r w:rsidR="00DF7AD4" w:rsidRPr="00360DE3">
              <w:t> </w:t>
            </w:r>
            <w:r w:rsidRPr="00EA0840">
              <w:t>dlouhodobě nejdynamičtější odvětví služeb – informačních a komunikační činnosti. V dopravě nadále kontrastoval dynamický růst ve skladování (+5,0 %) s umírněným vývojem ve váhově dominantní p</w:t>
            </w:r>
            <w:r w:rsidR="00EA0840">
              <w:t>ozemní a potrubní dopravě (+0,8</w:t>
            </w:r>
            <w:r w:rsidR="00EA0840" w:rsidRPr="00EA0840">
              <w:t> </w:t>
            </w:r>
            <w:r w:rsidRPr="00EA0840">
              <w:t>%).</w:t>
            </w:r>
          </w:p>
          <w:p w:rsidR="00360DE3" w:rsidRDefault="00360DE3" w:rsidP="00360DE3">
            <w:pPr>
              <w:spacing w:after="0"/>
            </w:pPr>
          </w:p>
          <w:p w:rsidR="00DF7AD4" w:rsidRDefault="00DF7AD4" w:rsidP="00360DE3">
            <w:pPr>
              <w:spacing w:after="0"/>
            </w:pPr>
          </w:p>
          <w:p w:rsidR="00DF7AD4" w:rsidRDefault="00DF7AD4" w:rsidP="00360DE3">
            <w:pPr>
              <w:spacing w:after="0"/>
            </w:pPr>
          </w:p>
          <w:p w:rsidR="00DF7AD4" w:rsidRDefault="00DF7AD4" w:rsidP="00360DE3">
            <w:pPr>
              <w:spacing w:after="0"/>
            </w:pPr>
          </w:p>
          <w:p w:rsidR="00DF7AD4" w:rsidRPr="00EA0840" w:rsidRDefault="00DF7AD4" w:rsidP="00360DE3">
            <w:pPr>
              <w:spacing w:after="0"/>
            </w:pPr>
          </w:p>
          <w:p w:rsidR="00360DE3" w:rsidRPr="00EA0840" w:rsidRDefault="00360DE3" w:rsidP="00360DE3">
            <w:pPr>
              <w:spacing w:after="0"/>
            </w:pPr>
          </w:p>
        </w:tc>
      </w:tr>
      <w:tr w:rsidR="005D3386" w:rsidRPr="00360DE3" w:rsidTr="005D3386">
        <w:trPr>
          <w:gridAfter w:val="1"/>
          <w:wAfter w:w="47" w:type="dxa"/>
          <w:trHeight w:val="90"/>
        </w:trPr>
        <w:tc>
          <w:tcPr>
            <w:tcW w:w="1966" w:type="dxa"/>
            <w:vMerge w:val="restart"/>
            <w:shd w:val="clear" w:color="auto" w:fill="auto"/>
          </w:tcPr>
          <w:p w:rsidR="005D3386" w:rsidRPr="00360DE3" w:rsidRDefault="005D3386" w:rsidP="005D3386">
            <w:pPr>
              <w:pStyle w:val="Marginlie"/>
              <w:rPr>
                <w:spacing w:val="0"/>
              </w:rPr>
            </w:pPr>
          </w:p>
        </w:tc>
        <w:tc>
          <w:tcPr>
            <w:tcW w:w="276" w:type="dxa"/>
            <w:gridSpan w:val="2"/>
            <w:vMerge w:val="restart"/>
          </w:tcPr>
          <w:p w:rsidR="005D3386" w:rsidRPr="00360DE3" w:rsidRDefault="005D3386" w:rsidP="005D3386">
            <w:pPr>
              <w:pStyle w:val="Textpoznpodarou"/>
              <w:jc w:val="both"/>
            </w:pPr>
          </w:p>
        </w:tc>
        <w:tc>
          <w:tcPr>
            <w:tcW w:w="7355" w:type="dxa"/>
            <w:gridSpan w:val="2"/>
          </w:tcPr>
          <w:p w:rsidR="005D3386" w:rsidRPr="00360DE3" w:rsidRDefault="005D3386" w:rsidP="005D3386">
            <w:pPr>
              <w:spacing w:after="0"/>
              <w:rPr>
                <w:b/>
              </w:rPr>
            </w:pPr>
            <w:r w:rsidRPr="00360DE3">
              <w:rPr>
                <w:b/>
              </w:rPr>
              <w:t xml:space="preserve">Graf 5.1.1 Meziroční změny zaměstnanosti a nezaměstnanosti a sezónně očištěná míra volných pracovních míst </w:t>
            </w:r>
            <w:r w:rsidRPr="00360DE3">
              <w:t>(v %, po čtvrtletích)</w:t>
            </w:r>
          </w:p>
        </w:tc>
      </w:tr>
      <w:tr w:rsidR="005D3386" w:rsidRPr="00360DE3" w:rsidTr="005D3386">
        <w:trPr>
          <w:gridAfter w:val="1"/>
          <w:wAfter w:w="47" w:type="dxa"/>
          <w:trHeight w:val="90"/>
        </w:trPr>
        <w:tc>
          <w:tcPr>
            <w:tcW w:w="1966" w:type="dxa"/>
            <w:vMerge/>
            <w:shd w:val="clear" w:color="auto" w:fill="auto"/>
          </w:tcPr>
          <w:p w:rsidR="005D3386" w:rsidRPr="00360DE3" w:rsidRDefault="005D3386" w:rsidP="005D3386">
            <w:pPr>
              <w:pStyle w:val="Marginlie"/>
              <w:rPr>
                <w:spacing w:val="0"/>
              </w:rPr>
            </w:pPr>
          </w:p>
        </w:tc>
        <w:tc>
          <w:tcPr>
            <w:tcW w:w="276" w:type="dxa"/>
            <w:gridSpan w:val="2"/>
            <w:vMerge/>
          </w:tcPr>
          <w:p w:rsidR="005D3386" w:rsidRPr="00360DE3" w:rsidRDefault="005D3386" w:rsidP="005D3386">
            <w:pPr>
              <w:pStyle w:val="Textpoznpodarou"/>
              <w:jc w:val="both"/>
            </w:pPr>
          </w:p>
        </w:tc>
        <w:tc>
          <w:tcPr>
            <w:tcW w:w="7355" w:type="dxa"/>
            <w:gridSpan w:val="2"/>
          </w:tcPr>
          <w:p w:rsidR="005D3386" w:rsidRPr="00360DE3" w:rsidRDefault="005D3386" w:rsidP="005D3386">
            <w:pPr>
              <w:spacing w:after="0"/>
              <w:rPr>
                <w:b/>
              </w:rPr>
            </w:pPr>
            <w:r w:rsidRPr="00360DE3">
              <w:rPr>
                <w:b/>
                <w:noProof/>
              </w:rPr>
              <w:drawing>
                <wp:inline distT="0" distB="0" distL="0" distR="0">
                  <wp:extent cx="4705350" cy="3438525"/>
                  <wp:effectExtent l="19050" t="0" r="0" b="0"/>
                  <wp:docPr id="3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5D3386" w:rsidRPr="00360DE3" w:rsidTr="005D3386">
        <w:trPr>
          <w:gridAfter w:val="1"/>
          <w:wAfter w:w="47" w:type="dxa"/>
          <w:trHeight w:val="90"/>
        </w:trPr>
        <w:tc>
          <w:tcPr>
            <w:tcW w:w="1966" w:type="dxa"/>
            <w:vMerge/>
            <w:shd w:val="clear" w:color="auto" w:fill="auto"/>
          </w:tcPr>
          <w:p w:rsidR="005D3386" w:rsidRPr="00360DE3" w:rsidRDefault="005D3386" w:rsidP="005D3386">
            <w:pPr>
              <w:pStyle w:val="Marginlie"/>
              <w:rPr>
                <w:spacing w:val="0"/>
              </w:rPr>
            </w:pPr>
          </w:p>
        </w:tc>
        <w:tc>
          <w:tcPr>
            <w:tcW w:w="276" w:type="dxa"/>
            <w:gridSpan w:val="2"/>
            <w:vMerge/>
          </w:tcPr>
          <w:p w:rsidR="005D3386" w:rsidRPr="00360DE3" w:rsidRDefault="005D3386" w:rsidP="005D3386">
            <w:pPr>
              <w:pStyle w:val="Textpoznpodarou"/>
              <w:jc w:val="both"/>
            </w:pPr>
          </w:p>
        </w:tc>
        <w:tc>
          <w:tcPr>
            <w:tcW w:w="7355" w:type="dxa"/>
            <w:gridSpan w:val="2"/>
          </w:tcPr>
          <w:p w:rsidR="005D3386" w:rsidRPr="00360DE3" w:rsidRDefault="005D3386" w:rsidP="005D3386">
            <w:pPr>
              <w:pStyle w:val="Textpoznpodarou"/>
              <w:jc w:val="both"/>
              <w:rPr>
                <w:rFonts w:cs="Arial"/>
                <w:sz w:val="14"/>
                <w:szCs w:val="14"/>
              </w:rPr>
            </w:pPr>
            <w:r w:rsidRPr="00360DE3">
              <w:rPr>
                <w:rFonts w:cs="Arial"/>
                <w:sz w:val="14"/>
                <w:szCs w:val="14"/>
              </w:rPr>
              <w:t xml:space="preserve">*Bez odvětví zemědělství, lesnictví a rybářství. </w:t>
            </w:r>
          </w:p>
          <w:p w:rsidR="005D3386" w:rsidRPr="00360DE3" w:rsidRDefault="005D3386" w:rsidP="005D3386">
            <w:pPr>
              <w:pStyle w:val="Textpoznpodarou"/>
              <w:jc w:val="both"/>
              <w:rPr>
                <w:rFonts w:cs="Arial"/>
                <w:sz w:val="14"/>
                <w:szCs w:val="14"/>
              </w:rPr>
            </w:pPr>
            <w:r w:rsidRPr="00360DE3">
              <w:rPr>
                <w:rFonts w:cs="Arial"/>
                <w:sz w:val="14"/>
                <w:szCs w:val="14"/>
              </w:rPr>
              <w:t>Pozn.:Míra volných pracovních míst vyjadřuje</w:t>
            </w:r>
            <w:r w:rsidRPr="00360DE3">
              <w:rPr>
                <w:rFonts w:cs="Arial"/>
                <w:b/>
                <w:sz w:val="14"/>
                <w:szCs w:val="14"/>
              </w:rPr>
              <w:t xml:space="preserve"> </w:t>
            </w:r>
            <w:r w:rsidRPr="00360DE3">
              <w:rPr>
                <w:rFonts w:cs="Arial"/>
                <w:sz w:val="14"/>
                <w:szCs w:val="14"/>
              </w:rPr>
              <w:t>podíl volných míst (z podkladů evidence úřadů práce) na celkovém počtu obsazených (součet počtu zam</w:t>
            </w:r>
            <w:r w:rsidRPr="00360DE3">
              <w:rPr>
                <w:rFonts w:eastAsia="SimSun" w:cs="Arial"/>
                <w:sz w:val="14"/>
                <w:szCs w:val="14"/>
              </w:rPr>
              <w:t xml:space="preserve">ěstnanců a členů produkčních družstev dle VŠPS) </w:t>
            </w:r>
            <w:r w:rsidRPr="00360DE3">
              <w:rPr>
                <w:rFonts w:cs="Arial"/>
                <w:sz w:val="14"/>
                <w:szCs w:val="14"/>
              </w:rPr>
              <w:t>a volných míst. Do</w:t>
            </w:r>
            <w:r w:rsidRPr="00360DE3">
              <w:rPr>
                <w:rFonts w:eastAsia="SimSun" w:cs="Arial"/>
                <w:sz w:val="14"/>
                <w:szCs w:val="14"/>
              </w:rPr>
              <w:t xml:space="preserve"> celkového počtu volných míst nejsou zahrnuta místa vznikající u firem či soukromníků, do té doby bez zaměstnanců.</w:t>
            </w:r>
            <w:r w:rsidRPr="00360DE3">
              <w:rPr>
                <w:rFonts w:cs="Arial"/>
                <w:sz w:val="14"/>
                <w:szCs w:val="14"/>
              </w:rPr>
              <w:t xml:space="preserve"> </w:t>
            </w:r>
          </w:p>
          <w:p w:rsidR="005D3386" w:rsidRPr="00360DE3" w:rsidRDefault="005D3386" w:rsidP="00360DE3">
            <w:pPr>
              <w:pStyle w:val="Textpoznpodarou"/>
              <w:spacing w:after="240"/>
              <w:jc w:val="both"/>
              <w:rPr>
                <w:b/>
              </w:rPr>
            </w:pPr>
            <w:r w:rsidRPr="00360DE3">
              <w:rPr>
                <w:rFonts w:cs="Arial"/>
                <w:sz w:val="14"/>
                <w:szCs w:val="14"/>
              </w:rPr>
              <w:t>Zdroj: ČSÚ (národní účty, VŠPS), MPSV</w:t>
            </w:r>
          </w:p>
        </w:tc>
      </w:tr>
      <w:tr w:rsidR="005D3386" w:rsidRPr="00360DE3" w:rsidTr="005D3386">
        <w:tc>
          <w:tcPr>
            <w:tcW w:w="1976" w:type="dxa"/>
            <w:gridSpan w:val="2"/>
            <w:vMerge w:val="restart"/>
          </w:tcPr>
          <w:p w:rsidR="005D3386" w:rsidRPr="00360DE3" w:rsidRDefault="005D3386" w:rsidP="005D3386">
            <w:pPr>
              <w:pStyle w:val="Marginlie"/>
              <w:rPr>
                <w:spacing w:val="0"/>
              </w:rPr>
            </w:pPr>
          </w:p>
        </w:tc>
        <w:tc>
          <w:tcPr>
            <w:tcW w:w="277" w:type="dxa"/>
            <w:gridSpan w:val="2"/>
            <w:vMerge w:val="restart"/>
          </w:tcPr>
          <w:p w:rsidR="005D3386" w:rsidRPr="00360DE3" w:rsidRDefault="005D3386" w:rsidP="005D3386">
            <w:pPr>
              <w:pStyle w:val="Textpoznpodarou"/>
              <w:jc w:val="both"/>
            </w:pPr>
          </w:p>
        </w:tc>
        <w:tc>
          <w:tcPr>
            <w:tcW w:w="7391" w:type="dxa"/>
            <w:gridSpan w:val="2"/>
          </w:tcPr>
          <w:p w:rsidR="005D3386" w:rsidRPr="00360DE3" w:rsidRDefault="005D3386" w:rsidP="005D3386">
            <w:pPr>
              <w:spacing w:after="0"/>
            </w:pPr>
            <w:r w:rsidRPr="00360DE3">
              <w:rPr>
                <w:b/>
              </w:rPr>
              <w:t xml:space="preserve">Graf </w:t>
            </w:r>
            <w:proofErr w:type="gramStart"/>
            <w:r w:rsidRPr="00360DE3">
              <w:rPr>
                <w:b/>
              </w:rPr>
              <w:t>5.1.2  Zaměstnanost</w:t>
            </w:r>
            <w:proofErr w:type="gramEnd"/>
            <w:r w:rsidRPr="00360DE3">
              <w:rPr>
                <w:b/>
              </w:rPr>
              <w:t xml:space="preserve"> v hlavních odvětvích ekonomiky</w:t>
            </w:r>
            <w:r w:rsidRPr="00360DE3">
              <w:t xml:space="preserve"> </w:t>
            </w:r>
          </w:p>
          <w:p w:rsidR="005D3386" w:rsidRPr="00360DE3" w:rsidRDefault="005D3386" w:rsidP="005D3386">
            <w:pPr>
              <w:spacing w:after="0"/>
              <w:rPr>
                <w:b/>
              </w:rPr>
            </w:pPr>
            <w:r w:rsidRPr="00360DE3">
              <w:t>(úvazky na plnou pracovní dobu, úroveň roku 2007 =100)</w:t>
            </w:r>
          </w:p>
        </w:tc>
      </w:tr>
      <w:tr w:rsidR="005D3386" w:rsidRPr="00360DE3" w:rsidTr="005D3386">
        <w:trPr>
          <w:trHeight w:val="170"/>
        </w:trPr>
        <w:tc>
          <w:tcPr>
            <w:tcW w:w="1976" w:type="dxa"/>
            <w:gridSpan w:val="2"/>
            <w:vMerge/>
          </w:tcPr>
          <w:p w:rsidR="005D3386" w:rsidRPr="00360DE3" w:rsidRDefault="005D3386" w:rsidP="005D3386">
            <w:pPr>
              <w:pStyle w:val="Marginlie"/>
              <w:rPr>
                <w:spacing w:val="0"/>
              </w:rPr>
            </w:pPr>
          </w:p>
        </w:tc>
        <w:tc>
          <w:tcPr>
            <w:tcW w:w="277" w:type="dxa"/>
            <w:gridSpan w:val="2"/>
            <w:vMerge/>
          </w:tcPr>
          <w:p w:rsidR="005D3386" w:rsidRPr="00360DE3" w:rsidRDefault="005D3386" w:rsidP="005D3386">
            <w:pPr>
              <w:pStyle w:val="Textpoznpodarou"/>
              <w:jc w:val="both"/>
            </w:pPr>
          </w:p>
        </w:tc>
        <w:tc>
          <w:tcPr>
            <w:tcW w:w="7391" w:type="dxa"/>
            <w:gridSpan w:val="2"/>
          </w:tcPr>
          <w:p w:rsidR="005D3386" w:rsidRPr="00360DE3" w:rsidRDefault="005D3386" w:rsidP="005D3386">
            <w:pPr>
              <w:spacing w:after="0"/>
            </w:pPr>
            <w:r w:rsidRPr="00360DE3">
              <w:rPr>
                <w:noProof/>
              </w:rPr>
              <w:drawing>
                <wp:inline distT="0" distB="0" distL="0" distR="0">
                  <wp:extent cx="4714875" cy="3705225"/>
                  <wp:effectExtent l="19050" t="0" r="0" b="0"/>
                  <wp:docPr id="3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5D3386" w:rsidRPr="00360DE3" w:rsidTr="005D3386">
        <w:trPr>
          <w:trHeight w:val="170"/>
        </w:trPr>
        <w:tc>
          <w:tcPr>
            <w:tcW w:w="1976" w:type="dxa"/>
            <w:gridSpan w:val="2"/>
            <w:vMerge/>
          </w:tcPr>
          <w:p w:rsidR="005D3386" w:rsidRPr="00360DE3" w:rsidRDefault="005D3386" w:rsidP="005D3386">
            <w:pPr>
              <w:pStyle w:val="Marginlie"/>
              <w:rPr>
                <w:spacing w:val="0"/>
              </w:rPr>
            </w:pPr>
          </w:p>
        </w:tc>
        <w:tc>
          <w:tcPr>
            <w:tcW w:w="277" w:type="dxa"/>
            <w:gridSpan w:val="2"/>
            <w:vMerge/>
          </w:tcPr>
          <w:p w:rsidR="005D3386" w:rsidRPr="00360DE3" w:rsidRDefault="005D3386" w:rsidP="005D3386">
            <w:pPr>
              <w:pStyle w:val="Textpoznpodarou"/>
              <w:jc w:val="both"/>
            </w:pPr>
          </w:p>
        </w:tc>
        <w:tc>
          <w:tcPr>
            <w:tcW w:w="7391" w:type="dxa"/>
            <w:gridSpan w:val="2"/>
          </w:tcPr>
          <w:p w:rsidR="005D3386" w:rsidRPr="006836CB" w:rsidRDefault="0000437D" w:rsidP="005D3386">
            <w:pPr>
              <w:spacing w:after="0" w:line="240" w:lineRule="auto"/>
              <w:rPr>
                <w:spacing w:val="-2"/>
                <w:sz w:val="14"/>
                <w:szCs w:val="14"/>
              </w:rPr>
            </w:pPr>
            <w:r w:rsidRPr="006836CB">
              <w:rPr>
                <w:spacing w:val="-2"/>
                <w:sz w:val="14"/>
                <w:szCs w:val="14"/>
              </w:rPr>
              <w:t>*Zahrnuté</w:t>
            </w:r>
            <w:r w:rsidR="005D3386" w:rsidRPr="006836CB">
              <w:rPr>
                <w:spacing w:val="-2"/>
                <w:sz w:val="14"/>
                <w:szCs w:val="14"/>
              </w:rPr>
              <w:t xml:space="preserve"> odvětvové oddíly CZ-NACE 84 až 91 (Veřejná správa a obrana, vzdělávání, zdravotnictví, </w:t>
            </w:r>
            <w:proofErr w:type="spellStart"/>
            <w:r w:rsidR="005D3386" w:rsidRPr="006836CB">
              <w:rPr>
                <w:spacing w:val="-2"/>
                <w:sz w:val="14"/>
                <w:szCs w:val="14"/>
              </w:rPr>
              <w:t>soc</w:t>
            </w:r>
            <w:proofErr w:type="spellEnd"/>
            <w:r w:rsidR="005D3386" w:rsidRPr="006836CB">
              <w:rPr>
                <w:spacing w:val="-2"/>
                <w:sz w:val="14"/>
                <w:szCs w:val="14"/>
              </w:rPr>
              <w:t>, péče a služby, tvůrčí, umělecké a zábavní činnosti, knihovny, archivy, muzea a jiná kulturní zařízení.</w:t>
            </w:r>
          </w:p>
          <w:p w:rsidR="005D3386" w:rsidRPr="00360DE3" w:rsidRDefault="005D3386" w:rsidP="005D3386">
            <w:pPr>
              <w:rPr>
                <w:sz w:val="14"/>
                <w:szCs w:val="14"/>
              </w:rPr>
            </w:pPr>
            <w:r w:rsidRPr="00360DE3">
              <w:rPr>
                <w:sz w:val="14"/>
                <w:szCs w:val="14"/>
              </w:rPr>
              <w:t>Zdroj: ČSÚ (národní účty)</w:t>
            </w:r>
          </w:p>
        </w:tc>
      </w:tr>
      <w:tr w:rsidR="005D3386" w:rsidRPr="00360DE3" w:rsidTr="005D3386">
        <w:trPr>
          <w:trHeight w:val="145"/>
        </w:trPr>
        <w:tc>
          <w:tcPr>
            <w:tcW w:w="1976" w:type="dxa"/>
            <w:gridSpan w:val="2"/>
          </w:tcPr>
          <w:p w:rsidR="00360DE3" w:rsidRPr="00360DE3" w:rsidRDefault="00360DE3" w:rsidP="00360DE3">
            <w:pPr>
              <w:pStyle w:val="Marginlie"/>
              <w:rPr>
                <w:spacing w:val="0"/>
              </w:rPr>
            </w:pPr>
            <w:r w:rsidRPr="00360DE3">
              <w:rPr>
                <w:spacing w:val="0"/>
              </w:rPr>
              <w:lastRenderedPageBreak/>
              <w:t>Pokračoval dlouhodobý útlum zaměstnanosti v těžebních aktivitách, v menší míře stále i ve stavebnictví.</w:t>
            </w:r>
          </w:p>
          <w:p w:rsidR="005D3386" w:rsidRPr="00360DE3" w:rsidRDefault="005D3386" w:rsidP="005D3386">
            <w:pPr>
              <w:pStyle w:val="Marginlie"/>
              <w:rPr>
                <w:spacing w:val="0"/>
              </w:rPr>
            </w:pP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360DE3" w:rsidP="005D3386">
            <w:pPr>
              <w:rPr>
                <w:sz w:val="16"/>
                <w:szCs w:val="16"/>
              </w:rPr>
            </w:pPr>
            <w:r w:rsidRPr="00360DE3">
              <w:t>Navzdory celkově příznivému vývoji stále existovala odvětví, jež pracovní pozice ztrácela. Dlouhodobě strukturálně postižený obor těžby a dobývání ztratil jen v posledních dvou letech skoro sedminu pracovních míst. Ve stavebnictví přetrvával mírnější úbytek (zejména vlivem větších podniků) již sedmý rok v řadě</w:t>
            </w:r>
            <w:r w:rsidRPr="00360DE3">
              <w:rPr>
                <w:rStyle w:val="Znakapoznpodarou"/>
              </w:rPr>
              <w:footnoteReference w:id="4"/>
            </w:r>
            <w:r w:rsidRPr="00360DE3">
              <w:t>. Ve službách ztrácelo loni místa nejvíce peněžnictví a pojišťovnictví (-3,8 %), kde šlo ale o teprve třetí meziroční pokles za posledních čtrnáct let.</w:t>
            </w:r>
          </w:p>
        </w:tc>
      </w:tr>
      <w:tr w:rsidR="005D3386" w:rsidRPr="00360DE3" w:rsidTr="005D3386">
        <w:trPr>
          <w:trHeight w:val="145"/>
        </w:trPr>
        <w:tc>
          <w:tcPr>
            <w:tcW w:w="1976" w:type="dxa"/>
            <w:gridSpan w:val="2"/>
          </w:tcPr>
          <w:p w:rsidR="005D3386" w:rsidRPr="00360DE3" w:rsidRDefault="005D3386" w:rsidP="005D3386">
            <w:pPr>
              <w:pStyle w:val="Marginlie"/>
              <w:rPr>
                <w:spacing w:val="0"/>
              </w:rPr>
            </w:pPr>
            <w:r w:rsidRPr="00360DE3">
              <w:rPr>
                <w:spacing w:val="0"/>
              </w:rPr>
              <w:t>Rostoucí počet pracovníků byl po roce 2008 zajištěn vyšší mírou participace, neboť samotný počet obyvatel v produktivním věku setrvale klesal.</w:t>
            </w:r>
          </w:p>
          <w:p w:rsidR="005D3386" w:rsidRPr="00360DE3" w:rsidRDefault="005D3386" w:rsidP="005D3386">
            <w:pPr>
              <w:pStyle w:val="Marginlie"/>
              <w:rPr>
                <w:spacing w:val="0"/>
              </w:rPr>
            </w:pPr>
            <w:r w:rsidRPr="00360DE3">
              <w:rPr>
                <w:spacing w:val="0"/>
              </w:rPr>
              <w:t>Míra zaměstnanosti meziročně rostla napříč všemi pohlavně-věkovými skupinami, výjimkou byly žen ve věku 35-39 let.</w:t>
            </w:r>
          </w:p>
          <w:p w:rsidR="005D3386" w:rsidRPr="00360DE3" w:rsidRDefault="005D3386" w:rsidP="005D3386">
            <w:pPr>
              <w:pStyle w:val="Marginlie"/>
              <w:rPr>
                <w:spacing w:val="0"/>
              </w:rPr>
            </w:pP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5D3386" w:rsidP="005D3386">
            <w:r w:rsidRPr="00360DE3">
              <w:t>Počet obyvatel v produktivním věku (15–64 let) se v Česku po roce 2008 neustále snižuje. Vyšší zaměstnanost v ekonomice tak byla výsledkem nárůstu míry participace částečně podpořené plynule rostoucím důchodovým věkem</w:t>
            </w:r>
            <w:r w:rsidR="006836CB">
              <w:t>. Míra zaměstnanosti ve věku 15</w:t>
            </w:r>
            <w:r w:rsidR="006836CB" w:rsidRPr="00360DE3">
              <w:t>–</w:t>
            </w:r>
            <w:r w:rsidRPr="00360DE3">
              <w:t xml:space="preserve">64 let loni dosáhla 73,6 %, meziročně posílila o 1,7 p. </w:t>
            </w:r>
            <w:proofErr w:type="spellStart"/>
            <w:r w:rsidRPr="00360DE3">
              <w:t>b</w:t>
            </w:r>
            <w:proofErr w:type="spellEnd"/>
            <w:r w:rsidRPr="00360DE3">
              <w:t xml:space="preserve">. Relativně vysoká míra zapojení obyvatel souvisí s nízkou nezaměstnaností, ekonomickým růstem i specifickou odvětvovou skladbou ekonomiky s typicky vysokým podílem pracovních míst ve zpracovatelském průmyslu. K nárůstu míry zaměstnanosti došlo napříč všemi věkovými </w:t>
            </w:r>
            <w:r w:rsidR="006836CB">
              <w:t>skupinami vyjma osob ve věku 35</w:t>
            </w:r>
            <w:r w:rsidR="006836CB" w:rsidRPr="00360DE3">
              <w:t>–</w:t>
            </w:r>
            <w:r w:rsidRPr="00360DE3">
              <w:t>39 let, kde negativně působila slabší participace žen (</w:t>
            </w:r>
            <w:r w:rsidR="005B08EB">
              <w:t>-1,3 </w:t>
            </w:r>
            <w:proofErr w:type="spellStart"/>
            <w:proofErr w:type="gramStart"/>
            <w:r w:rsidR="005B08EB">
              <w:t>p.b</w:t>
            </w:r>
            <w:proofErr w:type="spellEnd"/>
            <w:r w:rsidR="005B08EB">
              <w:t>.) související</w:t>
            </w:r>
            <w:proofErr w:type="gramEnd"/>
            <w:r w:rsidR="005B08EB">
              <w:t xml:space="preserve"> zřejmě s</w:t>
            </w:r>
            <w:r w:rsidR="005B08EB" w:rsidRPr="00360DE3">
              <w:t> </w:t>
            </w:r>
            <w:r w:rsidRPr="00360DE3">
              <w:t>posunem průměrného věku matek při narození dítěte. Míra zaměstnanosti 20 až 64letých roste v ČR v posledních letech pravidelně vyšším tempem než v EU. Jen tři státy dosáhly loni v této věkové kategorii vyšší zaměstnanosti (Německo, Estonsko a zejména Švédsko – 81,8 %). Zatímco mezi muži dominovalo Česko (86,3 %) unijním zemím již čtvrtým rokem v řadě</w:t>
            </w:r>
            <w:r w:rsidRPr="00360DE3">
              <w:rPr>
                <w:rStyle w:val="Znakapoznpodarou"/>
              </w:rPr>
              <w:footnoteReference w:id="5"/>
            </w:r>
            <w:r w:rsidRPr="00360DE3">
              <w:t>, u žen stále patřilo až na začátek druhé desítky, když např. z novějších členských zemí dosahovaly vyšších intenzit všechny pobaltské státy.</w:t>
            </w:r>
          </w:p>
        </w:tc>
      </w:tr>
      <w:tr w:rsidR="005D3386" w:rsidRPr="00360DE3" w:rsidTr="005D3386">
        <w:trPr>
          <w:trHeight w:val="145"/>
        </w:trPr>
        <w:tc>
          <w:tcPr>
            <w:tcW w:w="1976" w:type="dxa"/>
            <w:gridSpan w:val="2"/>
          </w:tcPr>
          <w:p w:rsidR="005D3386" w:rsidRPr="00360DE3" w:rsidRDefault="005D3386" w:rsidP="005D3386">
            <w:pPr>
              <w:pStyle w:val="Marginlie"/>
              <w:rPr>
                <w:spacing w:val="0"/>
              </w:rPr>
            </w:pPr>
            <w:r w:rsidRPr="00360DE3">
              <w:rPr>
                <w:spacing w:val="0"/>
              </w:rPr>
              <w:t>Míra zaměstnanosti mladých v ČR zůstává v evropském kontextu výrazně podprůměrná, u lidí na sklonku produktivního věku ale úroveň EU mírně převyšovala.</w:t>
            </w: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5D3386" w:rsidP="005D3386">
            <w:r w:rsidRPr="00360DE3">
              <w:t xml:space="preserve">V prostředí sílícího nedostatku nových disponibilních pracovníků se pro tuzemské firmy stává stále větší výzvou intenzivnější zapojení obyvatel v „krajních“ věkových skupinách (studentů, osob na sklonku produktivního věku a aktivních seniorů), jakož i dalších lidí se specifickými potřebami (zdravotně postižených, žen na rodičovské dovolené aj). Míra zaměstnanosti nejmladších (15-24 let) zůstává v ČR i přes svůj mírný růst v posledních šesti letech v evropském kontextu stále podprůměrná (29 %, v sousedním Rakousku či Německu se pohybuje kolem 50 %, v Nizozemsku až 62 %). Naopak ve věku 55–64 let unijní úroveň loni převyšovala, a to jak u žen (53 % ku 51 %), tak u mužů (72 %, pátá nejvyšší hodnota v EU). Mezi 65-69letými byla v ČR zaměstnána jen osmina (mírně nižší podíl než v EU), participace v tomto věku navíc vykazuje výraznější selektivnost z hlediska vzdělání, profesí či regionu. </w:t>
            </w:r>
          </w:p>
        </w:tc>
      </w:tr>
      <w:tr w:rsidR="00360DE3" w:rsidRPr="00360DE3" w:rsidTr="005D3386">
        <w:trPr>
          <w:trHeight w:val="145"/>
        </w:trPr>
        <w:tc>
          <w:tcPr>
            <w:tcW w:w="1976" w:type="dxa"/>
            <w:gridSpan w:val="2"/>
          </w:tcPr>
          <w:p w:rsidR="00360DE3" w:rsidRPr="00360DE3" w:rsidRDefault="00360DE3" w:rsidP="00F162B3">
            <w:pPr>
              <w:pStyle w:val="Marginlie"/>
              <w:rPr>
                <w:spacing w:val="0"/>
              </w:rPr>
            </w:pPr>
            <w:r w:rsidRPr="00360DE3">
              <w:rPr>
                <w:spacing w:val="0"/>
              </w:rPr>
              <w:t xml:space="preserve">Česko patří mezi státy s nejvyšším rozdílem míry zaměstnanosti žen v závislosti na věku nejmladšího dítěte. </w:t>
            </w:r>
          </w:p>
          <w:p w:rsidR="00360DE3" w:rsidRPr="00360DE3" w:rsidRDefault="00360DE3" w:rsidP="00F162B3">
            <w:pPr>
              <w:pStyle w:val="Marginlie"/>
              <w:rPr>
                <w:spacing w:val="0"/>
              </w:rPr>
            </w:pPr>
            <w:r w:rsidRPr="00360DE3">
              <w:rPr>
                <w:spacing w:val="0"/>
              </w:rPr>
              <w:t xml:space="preserve">Míra zaměstnanosti žen s nejmladším dítětem v předškolním věku se v Česku vyvíjela odlišně podle počtu dětí. U žen s dvěma a více dětmi mírně rostla, u žen s pouze jedním dítětem spíše stagnovala. </w:t>
            </w:r>
          </w:p>
          <w:p w:rsidR="00360DE3" w:rsidRPr="00360DE3" w:rsidRDefault="00360DE3" w:rsidP="00F162B3">
            <w:pPr>
              <w:pStyle w:val="Marginlie"/>
              <w:rPr>
                <w:spacing w:val="0"/>
              </w:rPr>
            </w:pPr>
          </w:p>
        </w:tc>
        <w:tc>
          <w:tcPr>
            <w:tcW w:w="277" w:type="dxa"/>
            <w:gridSpan w:val="2"/>
          </w:tcPr>
          <w:p w:rsidR="00360DE3" w:rsidRPr="00360DE3" w:rsidRDefault="00360DE3" w:rsidP="00F162B3">
            <w:pPr>
              <w:pStyle w:val="Textpoznpodarou"/>
              <w:jc w:val="both"/>
            </w:pPr>
          </w:p>
        </w:tc>
        <w:tc>
          <w:tcPr>
            <w:tcW w:w="7391" w:type="dxa"/>
            <w:gridSpan w:val="2"/>
          </w:tcPr>
          <w:p w:rsidR="00360DE3" w:rsidRPr="00360DE3" w:rsidRDefault="00360DE3" w:rsidP="00F162B3">
            <w:r w:rsidRPr="00360DE3">
              <w:t>Pro zaměstnanost žen s dětmi před povinnou školní docházkou představuje klíčový determinant nabídka flexibilních forem pracovních úvazků podpořená komplexně pojatou rodinnou politikou státu. Česko podobně jako některé státy střední a východní Evropy (Slovensko, Maďarsko, Estonsko) charakterizuje to, že míra zaměstnanosti žen s alespoň jedním dítětem předškolního věku dosahuje v EU nejnižších hodnot</w:t>
            </w:r>
            <w:r w:rsidRPr="00360DE3">
              <w:rPr>
                <w:rStyle w:val="Znakapoznpodarou"/>
              </w:rPr>
              <w:footnoteReference w:id="6"/>
            </w:r>
            <w:r w:rsidRPr="00360DE3">
              <w:t xml:space="preserve">, pak však prudce stoupá s věkem dítěte. </w:t>
            </w:r>
            <w:r w:rsidR="005B08EB">
              <w:t>Míra z</w:t>
            </w:r>
            <w:r w:rsidRPr="00360DE3">
              <w:t>aměstnanost</w:t>
            </w:r>
            <w:r w:rsidR="005B08EB">
              <w:t>i</w:t>
            </w:r>
            <w:r w:rsidRPr="00360DE3">
              <w:t xml:space="preserve"> 20–49letých žen s věkem nejmladšího dítěte 6-11 let, resp. nad 12 let byla v ČR nejvyšší ze zemí EU (v obou případech těsně přesahovala 90 %). Podobně výsadní postavení mělo Če</w:t>
            </w:r>
            <w:r w:rsidR="006836CB">
              <w:t>sko v participaci bezdětných 20</w:t>
            </w:r>
            <w:r w:rsidR="006836CB" w:rsidRPr="00360DE3">
              <w:t>–</w:t>
            </w:r>
            <w:r w:rsidRPr="00360DE3">
              <w:t xml:space="preserve">49letých žen (88,5 %, o 10 p. </w:t>
            </w:r>
            <w:proofErr w:type="spellStart"/>
            <w:r w:rsidRPr="00360DE3">
              <w:t>b</w:t>
            </w:r>
            <w:proofErr w:type="spellEnd"/>
            <w:r w:rsidRPr="00360DE3">
              <w:t xml:space="preserve">. </w:t>
            </w:r>
            <w:proofErr w:type="gramStart"/>
            <w:r w:rsidRPr="00360DE3">
              <w:t>nad</w:t>
            </w:r>
            <w:proofErr w:type="gramEnd"/>
            <w:r w:rsidRPr="00360DE3">
              <w:t xml:space="preserve"> úrovní EU). </w:t>
            </w:r>
            <w:proofErr w:type="gramStart"/>
            <w:r w:rsidRPr="00360DE3">
              <w:t>U žen</w:t>
            </w:r>
            <w:proofErr w:type="gramEnd"/>
            <w:r w:rsidRPr="00360DE3">
              <w:t xml:space="preserve"> s nejmladším dítětem do 6 let věku zaměstnanost prudce klesala v případě jednoho dítěte (na 38 %, v EU na 68 %), u žen s dvěma </w:t>
            </w:r>
            <w:r w:rsidRPr="00360DE3">
              <w:lastRenderedPageBreak/>
              <w:t xml:space="preserve">dětmi byl </w:t>
            </w:r>
            <w:proofErr w:type="gramStart"/>
            <w:r w:rsidRPr="00360DE3">
              <w:t>jíž</w:t>
            </w:r>
            <w:proofErr w:type="gramEnd"/>
            <w:r w:rsidRPr="00360DE3">
              <w:t xml:space="preserve"> rozdíl mezi ČR a EU výrazně nižší (50 % vs. 66 %). Míra zaměstnanosti žen s dítětem/dětmi předškolního věku v ČR za poslední dekádu mírně vzrostla, avšak převážně zásluhou žen s vyšším počtem dětí. Naopak u žen pouze s jedním dítětem byl posun minimální. To se týká i nabízených flexibilních forem úvazků. Přestože v posledních třech letech lze pozorovat nárůst podílu žen s dítětem/dětmi v předškolním věku využívajících tyto úvazky</w:t>
            </w:r>
            <w:r w:rsidRPr="00360DE3">
              <w:rPr>
                <w:rStyle w:val="Znakapoznpodarou"/>
              </w:rPr>
              <w:footnoteReference w:id="7"/>
            </w:r>
            <w:r w:rsidRPr="00360DE3">
              <w:t>, z dlouhodobějšího pohledu je růstový trend méně průkazný.</w:t>
            </w:r>
          </w:p>
        </w:tc>
      </w:tr>
      <w:tr w:rsidR="00360DE3" w:rsidRPr="00360DE3" w:rsidTr="005D3386">
        <w:trPr>
          <w:trHeight w:val="170"/>
        </w:trPr>
        <w:tc>
          <w:tcPr>
            <w:tcW w:w="1976" w:type="dxa"/>
            <w:gridSpan w:val="2"/>
            <w:vMerge w:val="restart"/>
          </w:tcPr>
          <w:p w:rsidR="00360DE3" w:rsidRPr="00360DE3" w:rsidRDefault="00360DE3" w:rsidP="005D3386">
            <w:pPr>
              <w:pStyle w:val="Marginlie"/>
              <w:rPr>
                <w:spacing w:val="0"/>
              </w:rPr>
            </w:pPr>
          </w:p>
        </w:tc>
        <w:tc>
          <w:tcPr>
            <w:tcW w:w="277" w:type="dxa"/>
            <w:gridSpan w:val="2"/>
            <w:vMerge w:val="restart"/>
          </w:tcPr>
          <w:p w:rsidR="00360DE3" w:rsidRPr="00360DE3" w:rsidRDefault="00360DE3" w:rsidP="005D3386">
            <w:pPr>
              <w:pStyle w:val="Textpoznpodarou"/>
              <w:jc w:val="both"/>
            </w:pPr>
          </w:p>
        </w:tc>
        <w:tc>
          <w:tcPr>
            <w:tcW w:w="7391" w:type="dxa"/>
            <w:gridSpan w:val="2"/>
          </w:tcPr>
          <w:p w:rsidR="00360DE3" w:rsidRPr="00360DE3" w:rsidRDefault="00360DE3" w:rsidP="005D3386">
            <w:pPr>
              <w:spacing w:after="0"/>
              <w:rPr>
                <w:b/>
              </w:rPr>
            </w:pPr>
            <w:r w:rsidRPr="00360DE3">
              <w:rPr>
                <w:b/>
              </w:rPr>
              <w:t xml:space="preserve">Graf </w:t>
            </w:r>
            <w:proofErr w:type="gramStart"/>
            <w:r w:rsidRPr="00360DE3">
              <w:rPr>
                <w:b/>
              </w:rPr>
              <w:t>5.1.3  Mí</w:t>
            </w:r>
            <w:r w:rsidR="006836CB">
              <w:rPr>
                <w:b/>
              </w:rPr>
              <w:t>ra</w:t>
            </w:r>
            <w:proofErr w:type="gramEnd"/>
            <w:r w:rsidR="006836CB">
              <w:rPr>
                <w:b/>
              </w:rPr>
              <w:t xml:space="preserve"> zaměstnanosti žen ve věku 20</w:t>
            </w:r>
            <w:r w:rsidR="006836CB" w:rsidRPr="00360DE3">
              <w:t>–</w:t>
            </w:r>
            <w:r w:rsidRPr="00360DE3">
              <w:rPr>
                <w:b/>
              </w:rPr>
              <w:t xml:space="preserve">49 let dle počtu dětí a podíl pracujících žen* ve flexibilních formách zaměstnání </w:t>
            </w:r>
            <w:r w:rsidRPr="00360DE3">
              <w:t>(v %)</w:t>
            </w:r>
          </w:p>
        </w:tc>
      </w:tr>
      <w:tr w:rsidR="00360DE3" w:rsidRPr="00360DE3" w:rsidTr="005D3386">
        <w:trPr>
          <w:trHeight w:val="170"/>
        </w:trPr>
        <w:tc>
          <w:tcPr>
            <w:tcW w:w="1976" w:type="dxa"/>
            <w:gridSpan w:val="2"/>
            <w:vMerge/>
          </w:tcPr>
          <w:p w:rsidR="00360DE3" w:rsidRPr="00360DE3" w:rsidRDefault="00360DE3" w:rsidP="005D3386">
            <w:pPr>
              <w:pStyle w:val="Marginlie"/>
              <w:rPr>
                <w:spacing w:val="0"/>
              </w:rPr>
            </w:pPr>
          </w:p>
        </w:tc>
        <w:tc>
          <w:tcPr>
            <w:tcW w:w="277" w:type="dxa"/>
            <w:gridSpan w:val="2"/>
            <w:vMerge/>
          </w:tcPr>
          <w:p w:rsidR="00360DE3" w:rsidRPr="00360DE3" w:rsidRDefault="00360DE3" w:rsidP="005D3386">
            <w:pPr>
              <w:pStyle w:val="Textpoznpodarou"/>
              <w:jc w:val="both"/>
            </w:pPr>
          </w:p>
        </w:tc>
        <w:tc>
          <w:tcPr>
            <w:tcW w:w="7391" w:type="dxa"/>
            <w:gridSpan w:val="2"/>
          </w:tcPr>
          <w:p w:rsidR="00360DE3" w:rsidRPr="00360DE3" w:rsidRDefault="00360DE3" w:rsidP="005D3386">
            <w:pPr>
              <w:spacing w:after="0"/>
            </w:pPr>
            <w:r w:rsidRPr="00360DE3">
              <w:rPr>
                <w:noProof/>
              </w:rPr>
              <w:drawing>
                <wp:inline distT="0" distB="0" distL="0" distR="0">
                  <wp:extent cx="4714875" cy="3676650"/>
                  <wp:effectExtent l="0" t="0" r="0" b="0"/>
                  <wp:docPr id="3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360DE3" w:rsidRPr="00360DE3" w:rsidTr="005D3386">
        <w:trPr>
          <w:trHeight w:val="170"/>
        </w:trPr>
        <w:tc>
          <w:tcPr>
            <w:tcW w:w="1976" w:type="dxa"/>
            <w:gridSpan w:val="2"/>
            <w:vMerge/>
          </w:tcPr>
          <w:p w:rsidR="00360DE3" w:rsidRPr="00360DE3" w:rsidRDefault="00360DE3" w:rsidP="005D3386">
            <w:pPr>
              <w:pStyle w:val="Marginlie"/>
              <w:rPr>
                <w:spacing w:val="0"/>
              </w:rPr>
            </w:pPr>
          </w:p>
        </w:tc>
        <w:tc>
          <w:tcPr>
            <w:tcW w:w="277" w:type="dxa"/>
            <w:gridSpan w:val="2"/>
            <w:vMerge/>
          </w:tcPr>
          <w:p w:rsidR="00360DE3" w:rsidRPr="00360DE3" w:rsidRDefault="00360DE3" w:rsidP="005D3386">
            <w:pPr>
              <w:pStyle w:val="Textpoznpodarou"/>
              <w:jc w:val="both"/>
            </w:pPr>
          </w:p>
        </w:tc>
        <w:tc>
          <w:tcPr>
            <w:tcW w:w="7391" w:type="dxa"/>
            <w:gridSpan w:val="2"/>
          </w:tcPr>
          <w:p w:rsidR="00EA0840" w:rsidRDefault="00360DE3" w:rsidP="00EA0840">
            <w:pPr>
              <w:spacing w:after="0" w:line="240" w:lineRule="auto"/>
              <w:rPr>
                <w:sz w:val="14"/>
                <w:szCs w:val="14"/>
              </w:rPr>
            </w:pPr>
            <w:r w:rsidRPr="00360DE3">
              <w:rPr>
                <w:sz w:val="14"/>
                <w:szCs w:val="14"/>
              </w:rPr>
              <w:t xml:space="preserve">* s nejmladším dítětem ve věku do 6 let                                                                                                       </w:t>
            </w:r>
          </w:p>
          <w:p w:rsidR="00360DE3" w:rsidRPr="00360DE3" w:rsidRDefault="00360DE3" w:rsidP="005D3386">
            <w:pPr>
              <w:spacing w:after="200" w:line="240" w:lineRule="auto"/>
              <w:rPr>
                <w:sz w:val="14"/>
                <w:szCs w:val="14"/>
              </w:rPr>
            </w:pPr>
            <w:r w:rsidRPr="00360DE3">
              <w:rPr>
                <w:sz w:val="14"/>
                <w:szCs w:val="14"/>
              </w:rPr>
              <w:t xml:space="preserve">Zdroj: </w:t>
            </w:r>
            <w:proofErr w:type="spellStart"/>
            <w:r w:rsidRPr="00360DE3">
              <w:rPr>
                <w:sz w:val="14"/>
                <w:szCs w:val="14"/>
              </w:rPr>
              <w:t>Eurostat</w:t>
            </w:r>
            <w:proofErr w:type="spellEnd"/>
          </w:p>
        </w:tc>
      </w:tr>
    </w:tbl>
    <w:p w:rsidR="005D3386" w:rsidRPr="00360DE3" w:rsidRDefault="005D3386" w:rsidP="005D3386">
      <w:pPr>
        <w:pStyle w:val="Nadpis2"/>
      </w:pPr>
      <w:bookmarkStart w:id="2" w:name="_Toc527639472"/>
      <w:r w:rsidRPr="00360DE3">
        <w:t>5.2 Nezaměstnanost</w:t>
      </w:r>
      <w:bookmarkEnd w:id="2"/>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t>Počet ekonomicky neaktivních deklarujících ochotu pracovat se snížil pod 130 tis. Tvořil jádro potenciální pracovní síly z tuzemska.</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Výše uvedené skupiny (senioři, studenti, matky s malými dětmi, zdravotně postižení) tvoří zároveň jádro skupiny ekonomicky neaktivních chtějících pracovat, ale práci nehledajících (příp. hledajících, ale neschopných do ní do 14 dnů nastoupit). Jejich četnost klesla na konci roku 2017 pod 130 tis. osob, v poměru k celkovému počtu zaměstnaných činila 2,4 %. Tito lidé již v současnosti tvoří jádro potenciální pracovní síly z tuzemska, neboť při významném poklesu nezaměstnanosti vystupovala stále více do popředí její frikční (tedy obtížně redukovatelná) složka</w:t>
            </w:r>
            <w:r w:rsidRPr="00360DE3">
              <w:rPr>
                <w:rStyle w:val="Znakapoznpodarou"/>
              </w:rPr>
              <w:footnoteReference w:id="8"/>
            </w:r>
            <w:r w:rsidRPr="00360DE3">
              <w:t xml:space="preserve">. </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t>Tempo redukce míry nezaměstnanosti po většinu loňského roku nepolevovalo. Nezaměstnanost klesla na nové historické minimum.</w:t>
            </w:r>
          </w:p>
          <w:p w:rsidR="005D3386" w:rsidRPr="00360DE3" w:rsidRDefault="005D3386" w:rsidP="005D3386">
            <w:pPr>
              <w:pStyle w:val="Marginlie"/>
              <w:rPr>
                <w:spacing w:val="0"/>
              </w:rPr>
            </w:pPr>
            <w:r w:rsidRPr="00360DE3">
              <w:rPr>
                <w:spacing w:val="0"/>
              </w:rPr>
              <w:lastRenderedPageBreak/>
              <w:t>Výrazně klesala nezaměstnanost lidí se základním vzděláním. Citelně prořídly i stavy dlouhodobě nezaměstnaných.</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 xml:space="preserve">Sezónně očištěná míra obecné nezaměstnanosti se v průběhu roku 2017 plynule snižovala a na jeho konci dosahovala u žen 2,9 %, u mužů těsně prolomila 2% hranici. V obou případech šlo o minima v historii ČR. Tempo redukce nezaměstnanosti během loňska ve srovnání s rokem 2016 nepolevovalo, přestože zejména u mužů se již její úroveň blížila svým přirozeným limitům. K redukci </w:t>
            </w:r>
            <w:r w:rsidRPr="00360DE3">
              <w:lastRenderedPageBreak/>
              <w:t>nezaměstnanosti mezi roky 2016 a 2017 (o 56 tis. osob) p</w:t>
            </w:r>
            <w:r w:rsidR="006836CB">
              <w:t>řispěli nejvíce lidé ve věku 20</w:t>
            </w:r>
            <w:r w:rsidR="006836CB" w:rsidRPr="00360DE3">
              <w:t>–</w:t>
            </w:r>
            <w:r w:rsidRPr="00360DE3">
              <w:t>29 let (-21 tis.), z regionálního pohledu obyvatelé Moravskoslezského kraje (-14 tis.). Nezaměstnanost však klesala napříč všemi kraji, stejně tak i mezi všemi pětiletými věkovými skupinami (v produktivním věku). Tento příznivý vývoj se odrazil na snížení rozdílů nejen mezi regiony, ale i různými vzdělanostními skupinami obyvatel. Míra nezaměstnanosti osob s maximálně základním vzděláním loni sestoupila na 13,3 % (z vysokých 20,9 % v roce 2016), šlo o ne</w:t>
            </w:r>
            <w:r w:rsidR="0026207F">
              <w:t>j</w:t>
            </w:r>
            <w:r w:rsidRPr="00360DE3">
              <w:t>hlubší meziroční pokles v historii ČR. Ten souvisel s citelnou redukcí dlouhodobé nezaměstnanosti (bezmála o dvě pětiny). Velmi dobré postavení měli i vlivem odvětvové skladby ekonomiky lidé se středoškolským vzděláním. Rozdíl mezi nezaměstnanosti v této kategorii (2,7 %) a osob s terciárním vzděláváním (1,5 %) patřil loni k nejnižším v EU (společně s Dánskem a Švédskem).</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lastRenderedPageBreak/>
              <w:t>Česko obhájilo loňský primát státu s nejnižší nezaměstnaností v rámci celé EU.</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Míra nezaměstnanosti dosáhla za celý loňský rok 2,9 % a Česko se podruhé v řadě pyšnilo postavením státu s nejnižší nezaměstnaností v rámci EU. Velmi příznivé postavení si drželo i ve všech věkových skupinách</w:t>
            </w:r>
            <w:r w:rsidRPr="00360DE3">
              <w:rPr>
                <w:rStyle w:val="Znakapoznpodarou"/>
              </w:rPr>
              <w:footnoteReference w:id="9"/>
            </w:r>
            <w:r w:rsidRPr="00360DE3">
              <w:t>, v</w:t>
            </w:r>
            <w:r w:rsidR="006836CB">
              <w:t>yjma váhově okrajové skupiny 15</w:t>
            </w:r>
            <w:r w:rsidR="006836CB" w:rsidRPr="00360DE3">
              <w:t>–</w:t>
            </w:r>
            <w:r w:rsidRPr="00360DE3">
              <w:t xml:space="preserve">19 let (jež v ČR čítala méně než 5 % všech nezaměstnaných). Podíl dlouhodobě nezaměstnaných klesl na 35 % (z 42 % v roce 2016) a nacházel se o 10 p. </w:t>
            </w:r>
            <w:proofErr w:type="spellStart"/>
            <w:r w:rsidRPr="00360DE3">
              <w:t>b</w:t>
            </w:r>
            <w:proofErr w:type="spellEnd"/>
            <w:r w:rsidRPr="00360DE3">
              <w:t xml:space="preserve">. </w:t>
            </w:r>
            <w:proofErr w:type="gramStart"/>
            <w:r w:rsidRPr="00360DE3">
              <w:t>pod</w:t>
            </w:r>
            <w:proofErr w:type="gramEnd"/>
            <w:r w:rsidRPr="00360DE3">
              <w:t xml:space="preserve"> úrovní EU</w:t>
            </w:r>
            <w:r w:rsidRPr="00360DE3">
              <w:rPr>
                <w:rStyle w:val="Znakapoznpodarou"/>
              </w:rPr>
              <w:footnoteReference w:id="10"/>
            </w:r>
            <w:r w:rsidRPr="00360DE3">
              <w:rPr>
                <w:vertAlign w:val="superscript"/>
              </w:rPr>
              <w:t>.</w:t>
            </w:r>
            <w:r w:rsidRPr="00360DE3">
              <w:t xml:space="preserve"> </w:t>
            </w:r>
          </w:p>
        </w:tc>
      </w:tr>
      <w:tr w:rsidR="005D3386" w:rsidRPr="00360DE3" w:rsidTr="005D3386">
        <w:trPr>
          <w:trHeight w:val="170"/>
        </w:trPr>
        <w:tc>
          <w:tcPr>
            <w:tcW w:w="1976" w:type="dxa"/>
            <w:vMerge w:val="restart"/>
          </w:tcPr>
          <w:p w:rsidR="005D3386" w:rsidRPr="00360DE3" w:rsidRDefault="005D3386" w:rsidP="005D3386">
            <w:pPr>
              <w:pStyle w:val="Marginlie"/>
              <w:rPr>
                <w:spacing w:val="0"/>
              </w:rPr>
            </w:pPr>
          </w:p>
        </w:tc>
        <w:tc>
          <w:tcPr>
            <w:tcW w:w="277" w:type="dxa"/>
            <w:vMerge w:val="restart"/>
          </w:tcPr>
          <w:p w:rsidR="005D3386" w:rsidRPr="00360DE3" w:rsidRDefault="005D3386" w:rsidP="005D3386">
            <w:pPr>
              <w:pStyle w:val="Textpoznpodarou"/>
              <w:jc w:val="both"/>
            </w:pPr>
          </w:p>
        </w:tc>
        <w:tc>
          <w:tcPr>
            <w:tcW w:w="7391" w:type="dxa"/>
          </w:tcPr>
          <w:p w:rsidR="005D3386" w:rsidRPr="00360DE3" w:rsidRDefault="005D3386" w:rsidP="005D3386">
            <w:pPr>
              <w:spacing w:after="0"/>
              <w:rPr>
                <w:b/>
              </w:rPr>
            </w:pPr>
            <w:r w:rsidRPr="00360DE3">
              <w:rPr>
                <w:b/>
              </w:rPr>
              <w:t xml:space="preserve">Graf </w:t>
            </w:r>
            <w:proofErr w:type="gramStart"/>
            <w:r w:rsidRPr="00360DE3">
              <w:rPr>
                <w:b/>
              </w:rPr>
              <w:t>5.2.1  Počet</w:t>
            </w:r>
            <w:proofErr w:type="gramEnd"/>
            <w:r w:rsidRPr="00360DE3">
              <w:rPr>
                <w:b/>
              </w:rPr>
              <w:t xml:space="preserve"> nezaměstnaných uchazečů na volné pracovní místo </w:t>
            </w:r>
          </w:p>
          <w:p w:rsidR="005D3386" w:rsidRPr="00360DE3" w:rsidRDefault="005D3386" w:rsidP="005D3386">
            <w:pPr>
              <w:spacing w:after="0"/>
              <w:rPr>
                <w:b/>
                <w:szCs w:val="20"/>
              </w:rPr>
            </w:pPr>
            <w:r w:rsidRPr="00360DE3">
              <w:t>(dle vybraných kvalifikačních tříd)</w:t>
            </w:r>
          </w:p>
        </w:tc>
      </w:tr>
      <w:tr w:rsidR="005D3386" w:rsidRPr="00360DE3" w:rsidTr="005D3386">
        <w:trPr>
          <w:trHeight w:val="170"/>
        </w:trPr>
        <w:tc>
          <w:tcPr>
            <w:tcW w:w="1976" w:type="dxa"/>
            <w:vMerge/>
          </w:tcPr>
          <w:p w:rsidR="005D3386" w:rsidRPr="00360DE3" w:rsidRDefault="005D3386" w:rsidP="005D3386">
            <w:pPr>
              <w:pStyle w:val="Marginlie"/>
              <w:rPr>
                <w:spacing w:val="0"/>
              </w:rPr>
            </w:pPr>
          </w:p>
        </w:tc>
        <w:tc>
          <w:tcPr>
            <w:tcW w:w="277" w:type="dxa"/>
            <w:vMerge/>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629150" cy="3743325"/>
                  <wp:effectExtent l="19050" t="0" r="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D3386" w:rsidRPr="00360DE3" w:rsidTr="005D3386">
        <w:trPr>
          <w:trHeight w:val="170"/>
        </w:trPr>
        <w:tc>
          <w:tcPr>
            <w:tcW w:w="1976" w:type="dxa"/>
            <w:vMerge/>
          </w:tcPr>
          <w:p w:rsidR="005D3386" w:rsidRPr="00360DE3" w:rsidRDefault="005D3386" w:rsidP="005D3386">
            <w:pPr>
              <w:pStyle w:val="Marginlie"/>
              <w:rPr>
                <w:spacing w:val="0"/>
              </w:rPr>
            </w:pPr>
          </w:p>
        </w:tc>
        <w:tc>
          <w:tcPr>
            <w:tcW w:w="277" w:type="dxa"/>
            <w:vMerge/>
          </w:tcPr>
          <w:p w:rsidR="005D3386" w:rsidRPr="00360DE3" w:rsidRDefault="005D3386" w:rsidP="005D3386">
            <w:pPr>
              <w:pStyle w:val="Textpoznpodarou"/>
              <w:jc w:val="both"/>
            </w:pPr>
          </w:p>
        </w:tc>
        <w:tc>
          <w:tcPr>
            <w:tcW w:w="7391" w:type="dxa"/>
          </w:tcPr>
          <w:p w:rsidR="00EA0840" w:rsidRDefault="005D3386" w:rsidP="00EA0840">
            <w:pPr>
              <w:spacing w:after="0" w:line="240" w:lineRule="auto"/>
              <w:rPr>
                <w:rFonts w:cs="Arial"/>
                <w:sz w:val="14"/>
                <w:szCs w:val="14"/>
              </w:rPr>
            </w:pPr>
            <w:r w:rsidRPr="00360DE3">
              <w:rPr>
                <w:rFonts w:cs="Arial"/>
                <w:sz w:val="14"/>
                <w:szCs w:val="14"/>
              </w:rPr>
              <w:t xml:space="preserve">Pozn.:Kvalifikační třídy jsou do konce roku 2010 uvedeny dle klasifikace KZAM, od roku 2011 v klasifikaci CZ-ISCO. Všechny údaje vyjadřují skutečnost ke konci příslušných čtvrtletí.                                                                 </w:t>
            </w:r>
          </w:p>
          <w:p w:rsidR="005D3386" w:rsidRPr="00360DE3" w:rsidRDefault="005D3386" w:rsidP="005D3386">
            <w:pPr>
              <w:spacing w:line="240" w:lineRule="auto"/>
              <w:rPr>
                <w:rFonts w:cs="Arial"/>
                <w:sz w:val="14"/>
                <w:szCs w:val="14"/>
              </w:rPr>
            </w:pPr>
            <w:r w:rsidRPr="00360DE3">
              <w:rPr>
                <w:rFonts w:cs="Arial"/>
                <w:sz w:val="14"/>
                <w:szCs w:val="14"/>
              </w:rPr>
              <w:t>Zdroj: MPSV</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lastRenderedPageBreak/>
              <w:t>Růst volných míst v nabídce úřadů práce akceleroval. Z výrazné většiny byl však tažen nabídkou pozic s nízkými nároky na kvalifikaci.</w:t>
            </w:r>
          </w:p>
          <w:p w:rsidR="005D3386" w:rsidRPr="00360DE3" w:rsidRDefault="005D3386" w:rsidP="005D3386">
            <w:pPr>
              <w:pStyle w:val="Marginlie"/>
              <w:rPr>
                <w:spacing w:val="0"/>
              </w:rPr>
            </w:pPr>
          </w:p>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EA0840">
            <w:pPr>
              <w:rPr>
                <w:rFonts w:cs="Arial"/>
                <w:color w:val="0D0D0D" w:themeColor="text1" w:themeTint="F2"/>
              </w:rPr>
            </w:pPr>
            <w:r w:rsidRPr="00360DE3">
              <w:t xml:space="preserve">Pokles nezaměstnanosti byl doprovázen strmým růstem nabídky volných pracovních míst. </w:t>
            </w:r>
            <w:r w:rsidRPr="00360DE3">
              <w:rPr>
                <w:rFonts w:cs="Arial"/>
                <w:color w:val="0D0D0D" w:themeColor="text1" w:themeTint="F2"/>
              </w:rPr>
              <w:t>Na konci loňského září jejich počet (v evidenci úřadů práce) poprvé v historii překonal 200tis. hranici, na sklonku roku jich bylo již 217 tis. (meziročně o 84 tis. více). Rok 2017 byl prvním v historii ČR, kdy počet volných míst meziměsíčně rostl (navzdory sezónním vlivům) nepřetržitě po celý rok. O meziroční přírůstek se ze tří čtvrtin zasloužila místa s minimální deklarovanými kvalifikačními nároky (na něž postačovalo základní vzdělání, šlo hlavně o pozice ve zpracovatelském průmyslu a stavebnictví). Tato skutečnost spolu s citelnou redukcí dlouhodobé nezaměstnanosti naznačuje, že zaměstnavatelé měli s obsazením těchto míst pracovníky z tuzemska značné problémy. Téměř 48 % všech volných míst klasifikovalo na konci roku 2017 MPSV jako vhodné pro cizince</w:t>
            </w:r>
            <w:r w:rsidRPr="00360DE3">
              <w:rPr>
                <w:rStyle w:val="Znakapoznpodarou"/>
                <w:rFonts w:cs="Arial"/>
                <w:color w:val="0D0D0D" w:themeColor="text1" w:themeTint="F2"/>
              </w:rPr>
              <w:footnoteReference w:id="11"/>
            </w:r>
            <w:r w:rsidRPr="00360DE3">
              <w:rPr>
                <w:rFonts w:cs="Arial"/>
                <w:color w:val="0D0D0D" w:themeColor="text1" w:themeTint="F2"/>
              </w:rPr>
              <w:t>. Role zahraničních pracovníků na tuzemském trhu práce sílila</w:t>
            </w:r>
            <w:r w:rsidRPr="00360DE3">
              <w:rPr>
                <w:rStyle w:val="Znakapoznpodarou"/>
                <w:rFonts w:cs="Arial"/>
                <w:color w:val="0D0D0D" w:themeColor="text1" w:themeTint="F2"/>
              </w:rPr>
              <w:footnoteReference w:id="12"/>
            </w:r>
            <w:r w:rsidRPr="00360DE3">
              <w:rPr>
                <w:rFonts w:cs="Arial"/>
                <w:color w:val="0D0D0D" w:themeColor="text1" w:themeTint="F2"/>
              </w:rPr>
              <w:t>. Na jedno volné místo celkem připadalo na konci roku 2017 jen 1,3 uchazeče, nejméně od poloviny 90. let.</w:t>
            </w:r>
          </w:p>
        </w:tc>
      </w:tr>
      <w:tr w:rsidR="00EA0840" w:rsidRPr="00360DE3" w:rsidTr="00EA0840">
        <w:trPr>
          <w:trHeight w:val="145"/>
        </w:trPr>
        <w:tc>
          <w:tcPr>
            <w:tcW w:w="1976" w:type="dxa"/>
          </w:tcPr>
          <w:p w:rsidR="00EA0840" w:rsidRPr="00360DE3" w:rsidRDefault="00EA0840" w:rsidP="00DF7AD4">
            <w:pPr>
              <w:pStyle w:val="Marginlie"/>
              <w:rPr>
                <w:spacing w:val="0"/>
              </w:rPr>
            </w:pPr>
            <w:r w:rsidRPr="00360DE3">
              <w:rPr>
                <w:spacing w:val="0"/>
              </w:rPr>
              <w:t>Vyhlídky na nalezení práce výrazně vzrostly hlavně kvalifikovaným i nekvalifikovaným manuálním pracovníkům.</w:t>
            </w:r>
          </w:p>
        </w:tc>
        <w:tc>
          <w:tcPr>
            <w:tcW w:w="277" w:type="dxa"/>
          </w:tcPr>
          <w:p w:rsidR="00EA0840" w:rsidRPr="00360DE3" w:rsidRDefault="00EA0840" w:rsidP="00DF7AD4">
            <w:pPr>
              <w:pStyle w:val="Textpoznpodarou"/>
              <w:jc w:val="both"/>
            </w:pPr>
          </w:p>
        </w:tc>
        <w:tc>
          <w:tcPr>
            <w:tcW w:w="7391" w:type="dxa"/>
          </w:tcPr>
          <w:p w:rsidR="00EA0840" w:rsidRPr="00360DE3" w:rsidRDefault="00EA0840" w:rsidP="00EA0840">
            <w:r w:rsidRPr="00EA0840">
              <w:t xml:space="preserve">Šance nezaměstnaných na uplatnění se meziročně zlepšila ve všech krajích, z pohledu kvalifikací pak hlavně pro řemeslníky, opraváře či montéry i obsluhu strojů a zařízení. Ve srovnání s koncem konjunkturního roku 2007 se nejvíce </w:t>
            </w:r>
            <w:proofErr w:type="gramStart"/>
            <w:r w:rsidRPr="00EA0840">
              <w:t>zlepšily</w:t>
            </w:r>
            <w:proofErr w:type="gramEnd"/>
            <w:r w:rsidRPr="00EA0840">
              <w:t xml:space="preserve"> vyhlídky uchazečům o práci v kategorii pomocní a nekvalifikovaní pracovníci a dále lidem ve službách a prodeji či kvalifikovaným pracovníkům v zemědělství, lesnictví a rybářství. Z regionálního pohledu to platilo hlavně pro Ústecký a Karlovarský kraj.</w:t>
            </w:r>
          </w:p>
        </w:tc>
      </w:tr>
      <w:tr w:rsidR="00EA0840" w:rsidRPr="00360DE3" w:rsidTr="00EA0840">
        <w:trPr>
          <w:trHeight w:val="145"/>
        </w:trPr>
        <w:tc>
          <w:tcPr>
            <w:tcW w:w="1976" w:type="dxa"/>
          </w:tcPr>
          <w:p w:rsidR="00EA0840" w:rsidRPr="00360DE3" w:rsidRDefault="00EA0840" w:rsidP="00DF7AD4">
            <w:pPr>
              <w:pStyle w:val="Marginlie"/>
              <w:rPr>
                <w:spacing w:val="0"/>
              </w:rPr>
            </w:pPr>
            <w:r w:rsidRPr="00360DE3">
              <w:rPr>
                <w:spacing w:val="0"/>
              </w:rPr>
              <w:t>Pokles nezaměstnanosti z pohledu regionů měl během roku 2017 plošný charakter.</w:t>
            </w: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r w:rsidRPr="00360DE3">
              <w:rPr>
                <w:spacing w:val="0"/>
              </w:rPr>
              <w:t xml:space="preserve">Vyšší nezaměstnanost přetrvává v některých </w:t>
            </w:r>
            <w:proofErr w:type="spellStart"/>
            <w:r w:rsidRPr="00360DE3">
              <w:rPr>
                <w:spacing w:val="0"/>
              </w:rPr>
              <w:t>mikro</w:t>
            </w:r>
            <w:proofErr w:type="spellEnd"/>
            <w:r w:rsidRPr="00360DE3">
              <w:rPr>
                <w:spacing w:val="0"/>
              </w:rPr>
              <w:t>-regionech znevýhodněným polohou, dopravní obslužností či vzdělanostní skladbou populace v produktivním věku.</w:t>
            </w:r>
          </w:p>
        </w:tc>
        <w:tc>
          <w:tcPr>
            <w:tcW w:w="277" w:type="dxa"/>
          </w:tcPr>
          <w:p w:rsidR="00EA0840" w:rsidRPr="00360DE3" w:rsidRDefault="00EA0840" w:rsidP="00DF7AD4">
            <w:pPr>
              <w:pStyle w:val="Textpoznpodarou"/>
              <w:jc w:val="both"/>
            </w:pPr>
          </w:p>
        </w:tc>
        <w:tc>
          <w:tcPr>
            <w:tcW w:w="7391" w:type="dxa"/>
          </w:tcPr>
          <w:p w:rsidR="00EA0840" w:rsidRPr="00360DE3" w:rsidRDefault="00EA0840" w:rsidP="00EA0840">
            <w:pPr>
              <w:spacing w:after="0"/>
            </w:pPr>
            <w:r w:rsidRPr="00360DE3">
              <w:t>Údaje z evidence úřadů práce dokumentují na příkladu malých území (téměř 400 obvodů pověřených obecních úřadů), že pokles nezaměstnanosti měl během roku 2017 plošný charakter</w:t>
            </w:r>
            <w:r w:rsidRPr="0000437D">
              <w:rPr>
                <w:rStyle w:val="Znakapoznpodarou"/>
              </w:rPr>
              <w:footnoteReference w:id="13"/>
            </w:r>
            <w:r w:rsidRPr="00360DE3">
              <w:t xml:space="preserve">. Relativně vysoká nezaměstnanost přetrvávala na konci roku hlavně ve strukturálně postižených </w:t>
            </w:r>
            <w:proofErr w:type="spellStart"/>
            <w:r w:rsidRPr="00360DE3">
              <w:t>mikroregionech</w:t>
            </w:r>
            <w:proofErr w:type="spellEnd"/>
            <w:r w:rsidRPr="00360DE3">
              <w:t xml:space="preserve"> Ústeckého a Moravskoslezského kraje a dále v periferních územích se zhoršenou dopravní obslužností (často při hranicích krajů), kde je mnohdy navíc nezaměstnanost na sklonku roku výrazněji ovlivněna omezením sezónních prací. Sílu současné konjunktury dokládá i fakt, že ve třech čtvrtinách hodnocených </w:t>
            </w:r>
            <w:proofErr w:type="spellStart"/>
            <w:r w:rsidRPr="00360DE3">
              <w:t>mikroregionů</w:t>
            </w:r>
            <w:proofErr w:type="spellEnd"/>
            <w:r w:rsidRPr="00360DE3">
              <w:t xml:space="preserve"> představovala loňská nezaměstnanosti zároveň i celoroční minimum v období 2000 až 2017. Ve více než čtvrtině všech území pak na konci roku 2017 převažovala nabídka volných pracovních míst nad poptávkou ze strany uchazečů o práci. Zatímco ve středních a jihozápadních Čechách nejsou oblasti s vysokým tlakem na pracovní místa rozsáhlé a umožňují případné dojíždění do sousedních území s výrazně lepšími vyhlídkami na uplatnění, v severních Čechách či v moravských krajích je situace pro nezaměstnané obtížnější (dále umocněná i jejich horší vzdělanostní skladbou). </w:t>
            </w:r>
          </w:p>
        </w:tc>
      </w:tr>
    </w:tbl>
    <w:p w:rsidR="005D3386" w:rsidRPr="00360DE3" w:rsidRDefault="005D3386" w:rsidP="005D3386">
      <w:pPr>
        <w:spacing w:after="0"/>
      </w:pPr>
    </w:p>
    <w:p w:rsidR="005D3386" w:rsidRDefault="005D3386" w:rsidP="005D3386">
      <w:pPr>
        <w:spacing w:after="0"/>
      </w:pPr>
    </w:p>
    <w:p w:rsidR="00EA0840" w:rsidRDefault="00EA0840" w:rsidP="005D3386">
      <w:pPr>
        <w:spacing w:after="0"/>
      </w:pPr>
    </w:p>
    <w:p w:rsidR="00EA0840" w:rsidRPr="00360DE3" w:rsidRDefault="00EA0840" w:rsidP="005D3386">
      <w:pPr>
        <w:spacing w:after="0"/>
      </w:pPr>
    </w:p>
    <w:p w:rsidR="005D3386" w:rsidRPr="00360DE3" w:rsidRDefault="005D3386" w:rsidP="005D3386">
      <w:pPr>
        <w:spacing w:after="0"/>
        <w:rPr>
          <w:b/>
          <w:szCs w:val="20"/>
        </w:rPr>
      </w:pPr>
      <w:r w:rsidRPr="00360DE3">
        <w:rPr>
          <w:b/>
          <w:szCs w:val="20"/>
        </w:rPr>
        <w:lastRenderedPageBreak/>
        <w:t>Kartogramy 5.1 a 5.2</w:t>
      </w:r>
    </w:p>
    <w:p w:rsidR="005D3386" w:rsidRPr="00360DE3" w:rsidRDefault="005D3386" w:rsidP="005D3386">
      <w:pPr>
        <w:spacing w:after="0"/>
      </w:pPr>
      <w:r w:rsidRPr="00360DE3">
        <w:rPr>
          <w:noProof/>
        </w:rPr>
        <w:drawing>
          <wp:inline distT="0" distB="0" distL="0" distR="0">
            <wp:extent cx="6120130" cy="4330700"/>
            <wp:effectExtent l="19050" t="0" r="0" b="0"/>
            <wp:docPr id="8" name="Obrázek 1" descr="Nezaměstnanost-mí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městnanost-míry.emf"/>
                    <pic:cNvPicPr/>
                  </pic:nvPicPr>
                  <pic:blipFill>
                    <a:blip r:embed="rId12" cstate="print"/>
                    <a:stretch>
                      <a:fillRect/>
                    </a:stretch>
                  </pic:blipFill>
                  <pic:spPr>
                    <a:xfrm>
                      <a:off x="0" y="0"/>
                      <a:ext cx="6120130" cy="4330700"/>
                    </a:xfrm>
                    <a:prstGeom prst="rect">
                      <a:avLst/>
                    </a:prstGeom>
                  </pic:spPr>
                </pic:pic>
              </a:graphicData>
            </a:graphic>
          </wp:inline>
        </w:drawing>
      </w:r>
    </w:p>
    <w:p w:rsidR="005D3386" w:rsidRPr="00360DE3" w:rsidRDefault="005D3386" w:rsidP="005D3386">
      <w:pPr>
        <w:spacing w:after="0"/>
      </w:pPr>
    </w:p>
    <w:p w:rsidR="005D3386" w:rsidRPr="00360DE3" w:rsidRDefault="005D3386" w:rsidP="005D3386">
      <w:pPr>
        <w:spacing w:after="0"/>
      </w:pPr>
      <w:r w:rsidRPr="00360DE3">
        <w:rPr>
          <w:noProof/>
        </w:rPr>
        <w:drawing>
          <wp:inline distT="0" distB="0" distL="0" distR="0">
            <wp:extent cx="6120130" cy="4330700"/>
            <wp:effectExtent l="19050" t="0" r="0" b="0"/>
            <wp:docPr id="19" name="Obrázek 7" descr="UV-podíl-se sraf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podíl-se srafy.emf"/>
                    <pic:cNvPicPr/>
                  </pic:nvPicPr>
                  <pic:blipFill>
                    <a:blip r:embed="rId13" cstate="print"/>
                    <a:stretch>
                      <a:fillRect/>
                    </a:stretch>
                  </pic:blipFill>
                  <pic:spPr>
                    <a:xfrm>
                      <a:off x="0" y="0"/>
                      <a:ext cx="6120130" cy="4330700"/>
                    </a:xfrm>
                    <a:prstGeom prst="rect">
                      <a:avLst/>
                    </a:prstGeom>
                  </pic:spPr>
                </pic:pic>
              </a:graphicData>
            </a:graphic>
          </wp:inline>
        </w:drawing>
      </w:r>
    </w:p>
    <w:p w:rsidR="005D3386" w:rsidRPr="00360DE3" w:rsidRDefault="005D3386" w:rsidP="005D3386">
      <w:pPr>
        <w:pStyle w:val="Nadpis2"/>
      </w:pPr>
      <w:bookmarkStart w:id="3" w:name="_Toc527639473"/>
      <w:r w:rsidRPr="00360DE3">
        <w:lastRenderedPageBreak/>
        <w:t>5.3 Mzdy a jejich diferenciace</w:t>
      </w:r>
      <w:bookmarkEnd w:id="3"/>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Tempo růstu mezd v roce 2017 akcelerovalo. Výše průměrné měsíční mzdy poprvé v historii překonala 30 tis. hranici.</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rPr>
                <w:rFonts w:cs="Arial"/>
                <w:color w:val="0D0D0D" w:themeColor="text1" w:themeTint="F2"/>
              </w:rPr>
              <w:t>Dobré hospodářské výsledky podniků, pokračující pozitivní očekávání v klíčových odvětvích i stupňující se obtíže při náboru nových pracovníků vedly v průběhu roku 2017 k akceleraci růstu mezd. K uvedeným vlivům přistupovala ještě zvýšená aktivita státu – jak v podobě navýšení mzdových prostředků (skrze státní rozpočet i nepřímo prostřednictvím územních rozpočtů), tak i v pokračování navyšování minimální mzdy. Objem vyplacených prostředků byl loni o 8,2 % vyšší, v roce 2016 činilo meziroční tempo 5,7 %</w:t>
            </w:r>
            <w:r w:rsidRPr="00360DE3">
              <w:rPr>
                <w:rStyle w:val="Znakapoznpodarou"/>
                <w:rFonts w:cs="Arial"/>
                <w:color w:val="0D0D0D" w:themeColor="text1" w:themeTint="F2"/>
              </w:rPr>
              <w:footnoteReference w:id="14"/>
            </w:r>
            <w:r w:rsidRPr="00360DE3">
              <w:rPr>
                <w:rFonts w:cs="Arial"/>
                <w:color w:val="0D0D0D" w:themeColor="text1" w:themeTint="F2"/>
              </w:rPr>
              <w:t xml:space="preserve">. V relaci na jednoho zaměstnance (po přepočtu na celé úvazky) dosáhl loni růst výdělků 6,8 %, v samotném 4. čtvrtletí dokonce 7,7 %, když průměrná hrubá měsíční mzda poprvé v historii přesáhla 30tis. hranici. </w:t>
            </w:r>
          </w:p>
        </w:tc>
      </w:tr>
      <w:tr w:rsidR="005D3386" w:rsidRPr="00360DE3" w:rsidTr="00360DE3">
        <w:trPr>
          <w:trHeight w:val="429"/>
        </w:trPr>
        <w:tc>
          <w:tcPr>
            <w:tcW w:w="1976" w:type="dxa"/>
          </w:tcPr>
          <w:p w:rsidR="005D3386" w:rsidRPr="00360DE3" w:rsidRDefault="005D3386" w:rsidP="00360DE3">
            <w:pPr>
              <w:spacing w:after="0"/>
              <w:jc w:val="left"/>
            </w:pPr>
            <w:r w:rsidRPr="00360DE3">
              <w:rPr>
                <w:sz w:val="16"/>
                <w:szCs w:val="16"/>
              </w:rPr>
              <w:t>Nejrychleji rostly loni průměrné výdělky v odvětvích s nízkou úrovní mezd.</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360DE3">
            <w:pPr>
              <w:rPr>
                <w:rFonts w:cs="Arial"/>
                <w:color w:val="0D0D0D" w:themeColor="text1" w:themeTint="F2"/>
              </w:rPr>
            </w:pPr>
            <w:r w:rsidRPr="00360DE3">
              <w:rPr>
                <w:rFonts w:cs="Arial"/>
                <w:color w:val="0D0D0D" w:themeColor="text1" w:themeTint="F2"/>
              </w:rPr>
              <w:t>V úhrnu za celý rok 2017 průměrné výdělky (v pojetí národních účtů) vzrostly ve všech hlavních odvětvích (19 odvětvových sekcích). Nejvyššího tempa dosáhly v ubytování, stravování a pohostinství (+10,1 %) a také zábavních, kulturních a rekreačních činnostech (+7,8 %). V obou případech šlo odvětví s nízkou úrovní mezd, kde k jejich vysoké dynamice zásadně přispělo navýšení hranici minimální mzdy (z 9,9 na 11,0 tis, korun na počátku roku).</w:t>
            </w:r>
          </w:p>
        </w:tc>
      </w:tr>
      <w:tr w:rsidR="00360DE3" w:rsidRPr="00360DE3" w:rsidTr="00360DE3">
        <w:trPr>
          <w:trHeight w:val="429"/>
        </w:trPr>
        <w:tc>
          <w:tcPr>
            <w:tcW w:w="1976" w:type="dxa"/>
          </w:tcPr>
          <w:p w:rsidR="00360DE3" w:rsidRPr="00360DE3" w:rsidRDefault="00360DE3" w:rsidP="00360DE3">
            <w:pPr>
              <w:spacing w:after="0"/>
              <w:jc w:val="left"/>
              <w:rPr>
                <w:sz w:val="16"/>
                <w:szCs w:val="16"/>
              </w:rPr>
            </w:pPr>
            <w:r w:rsidRPr="00360DE3">
              <w:rPr>
                <w:sz w:val="16"/>
                <w:szCs w:val="16"/>
              </w:rPr>
              <w:t>V odvětvích s domina</w:t>
            </w:r>
            <w:r w:rsidR="0026207F">
              <w:rPr>
                <w:sz w:val="16"/>
                <w:szCs w:val="16"/>
              </w:rPr>
              <w:t>n</w:t>
            </w:r>
            <w:r w:rsidRPr="00360DE3">
              <w:rPr>
                <w:sz w:val="16"/>
                <w:szCs w:val="16"/>
              </w:rPr>
              <w:t>cí státu se projevila preference aktivit souvisejících s bezpečností a také v oblasti vzdělávání.</w:t>
            </w:r>
          </w:p>
          <w:p w:rsidR="00360DE3" w:rsidRPr="00360DE3" w:rsidRDefault="00360DE3" w:rsidP="005D3386">
            <w:pPr>
              <w:spacing w:after="0"/>
              <w:jc w:val="left"/>
              <w:rPr>
                <w:sz w:val="16"/>
                <w:szCs w:val="16"/>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360DE3">
            <w:pPr>
              <w:rPr>
                <w:rFonts w:cs="Arial"/>
                <w:color w:val="0D0D0D" w:themeColor="text1" w:themeTint="F2"/>
              </w:rPr>
            </w:pPr>
            <w:r w:rsidRPr="00360DE3">
              <w:rPr>
                <w:rFonts w:cs="Arial"/>
                <w:color w:val="0D0D0D" w:themeColor="text1" w:themeTint="F2"/>
              </w:rPr>
              <w:t>Jen nepatrně slabším tempem vzrostly platy v odvětvích s domina</w:t>
            </w:r>
            <w:r w:rsidR="0026207F">
              <w:rPr>
                <w:rFonts w:cs="Arial"/>
                <w:color w:val="0D0D0D" w:themeColor="text1" w:themeTint="F2"/>
              </w:rPr>
              <w:t>n</w:t>
            </w:r>
            <w:r w:rsidRPr="00360DE3">
              <w:rPr>
                <w:rFonts w:cs="Arial"/>
                <w:color w:val="0D0D0D" w:themeColor="text1" w:themeTint="F2"/>
              </w:rPr>
              <w:t>cí státu, kde se projevila preference aktivit souvisejících s bezpečností státu (policejní a hasičské sbory, armáda) i podstatné zrychlení růstu ve vzdělávání (+6,2 %, dvakrát více než v roce 2016),</w:t>
            </w:r>
            <w:r w:rsidR="0026207F">
              <w:rPr>
                <w:rFonts w:cs="Arial"/>
                <w:color w:val="0D0D0D" w:themeColor="text1" w:themeTint="F2"/>
              </w:rPr>
              <w:t xml:space="preserve"> kde patřila dynamika výdělků </w:t>
            </w:r>
            <w:r w:rsidRPr="00360DE3">
              <w:rPr>
                <w:rFonts w:cs="Arial"/>
                <w:color w:val="0D0D0D" w:themeColor="text1" w:themeTint="F2"/>
              </w:rPr>
              <w:t>po roce 2009 vůbec k nejnižším. I</w:t>
            </w:r>
            <w:r w:rsidR="00DF7AD4" w:rsidRPr="00360DE3">
              <w:t> </w:t>
            </w:r>
            <w:r w:rsidRPr="00360DE3">
              <w:rPr>
                <w:rFonts w:cs="Arial"/>
                <w:color w:val="0D0D0D" w:themeColor="text1" w:themeTint="F2"/>
              </w:rPr>
              <w:t>přes dílčí zlepšení v loňském roce tak zůstaly průměrné výdělky zaměstnanců ve vzdělávání těsně pod úrovní národního hospodářství. Nepatrně nad touto úrovní se naopak nacházely průměrné měsíční výdělky v průmyslu (29,9 tis. korun), jejichž loňský růst (+7,3 %) patřil rovněž k nadprůměrným.</w:t>
            </w:r>
          </w:p>
        </w:tc>
      </w:tr>
      <w:tr w:rsidR="00360DE3" w:rsidRPr="00360DE3" w:rsidTr="00360DE3">
        <w:trPr>
          <w:trHeight w:val="429"/>
        </w:trPr>
        <w:tc>
          <w:tcPr>
            <w:tcW w:w="1976" w:type="dxa"/>
          </w:tcPr>
          <w:p w:rsidR="00360DE3" w:rsidRPr="00360DE3" w:rsidRDefault="00360DE3" w:rsidP="005D3386">
            <w:pPr>
              <w:spacing w:after="0"/>
              <w:jc w:val="left"/>
              <w:rPr>
                <w:sz w:val="16"/>
                <w:szCs w:val="16"/>
              </w:rPr>
            </w:pPr>
            <w:r w:rsidRPr="00360DE3">
              <w:rPr>
                <w:sz w:val="16"/>
                <w:szCs w:val="16"/>
              </w:rPr>
              <w:t xml:space="preserve">V peněžnictví a poštovnictví se průměrné výdělky navyšovaly relativně pomaleji než v celé ekonomice. Přesto zůstávaly nejvyšší ze všech odvětví, mj. i vlivem zaměstnaneckých </w:t>
            </w:r>
            <w:proofErr w:type="spellStart"/>
            <w:r w:rsidRPr="00360DE3">
              <w:rPr>
                <w:sz w:val="16"/>
                <w:szCs w:val="16"/>
              </w:rPr>
              <w:t>benefitů</w:t>
            </w:r>
            <w:proofErr w:type="spellEnd"/>
            <w:r>
              <w:rPr>
                <w:sz w:val="16"/>
                <w:szCs w:val="16"/>
              </w:rPr>
              <w:t>.</w:t>
            </w:r>
          </w:p>
        </w:tc>
        <w:tc>
          <w:tcPr>
            <w:tcW w:w="277" w:type="dxa"/>
          </w:tcPr>
          <w:p w:rsidR="00360DE3" w:rsidRPr="00360DE3" w:rsidRDefault="00360DE3" w:rsidP="005D3386">
            <w:pPr>
              <w:pStyle w:val="Textpoznpodarou"/>
              <w:jc w:val="both"/>
            </w:pPr>
          </w:p>
        </w:tc>
        <w:tc>
          <w:tcPr>
            <w:tcW w:w="7391" w:type="dxa"/>
          </w:tcPr>
          <w:p w:rsidR="00EA0840" w:rsidRDefault="00360DE3" w:rsidP="005D3386">
            <w:pPr>
              <w:rPr>
                <w:rFonts w:cs="Arial"/>
                <w:color w:val="0D0D0D" w:themeColor="text1" w:themeTint="F2"/>
              </w:rPr>
            </w:pPr>
            <w:r w:rsidRPr="00360DE3">
              <w:rPr>
                <w:rFonts w:cs="Arial"/>
                <w:color w:val="0D0D0D" w:themeColor="text1" w:themeTint="F2"/>
              </w:rPr>
              <w:t xml:space="preserve">V peněžnictví a pojišťovnictví se v posledních třech výdělky navyšovaly relativně slabším tempem než v celé ekonomice. I přesto si tento obor i v roce 2017 stále držel pozici odvětví s nejvyšším průměrným měsíčním výdělkem (53,8 tis. korun), mj. i vlivem tradičně vyššího zastoupení zaměstnaneckých </w:t>
            </w:r>
            <w:proofErr w:type="spellStart"/>
            <w:r w:rsidRPr="00360DE3">
              <w:rPr>
                <w:rFonts w:cs="Arial"/>
                <w:color w:val="0D0D0D" w:themeColor="text1" w:themeTint="F2"/>
              </w:rPr>
              <w:t>benefitů</w:t>
            </w:r>
            <w:proofErr w:type="spellEnd"/>
            <w:r w:rsidRPr="00360DE3">
              <w:rPr>
                <w:rStyle w:val="Znakapoznpodarou"/>
                <w:rFonts w:cs="Arial"/>
                <w:color w:val="0D0D0D" w:themeColor="text1" w:themeTint="F2"/>
              </w:rPr>
              <w:footnoteReference w:id="15"/>
            </w:r>
            <w:r w:rsidRPr="00360DE3">
              <w:rPr>
                <w:rFonts w:cs="Arial"/>
                <w:color w:val="0D0D0D" w:themeColor="text1" w:themeTint="F2"/>
              </w:rPr>
              <w:t>. Ty se projevily i ve výdělcích zaměstnanců v odvětví výroby a rozvodu elektřiny, plynu, tepla a klimatizovaného vzduchu (48,4 tis. korun). V absolutním vyjádření si loni nejvíce polepšili zaměstnanci v informačních a komunikačních činnostech (o</w:t>
            </w:r>
            <w:r w:rsidR="00DF7AD4" w:rsidRPr="00360DE3">
              <w:t> </w:t>
            </w:r>
            <w:r w:rsidRPr="00360DE3">
              <w:rPr>
                <w:rFonts w:cs="Arial"/>
                <w:color w:val="0D0D0D" w:themeColor="text1" w:themeTint="F2"/>
              </w:rPr>
              <w:t>2,8</w:t>
            </w:r>
            <w:r w:rsidR="00DF7AD4" w:rsidRPr="00360DE3">
              <w:t> </w:t>
            </w:r>
            <w:r w:rsidRPr="00360DE3">
              <w:rPr>
                <w:rFonts w:cs="Arial"/>
                <w:color w:val="0D0D0D" w:themeColor="text1" w:themeTint="F2"/>
              </w:rPr>
              <w:t xml:space="preserve">tis., na 51,1 tis. korun). Po čtyřech letech se loni zastavila redukce průměrných výdělků v těžbě a dobývání (+6,6 %), současně se ale prohloubilo tempo meziročního poklesu počtu zaměstnanců (na osmileté maximum). Objem vyplacených mezd tak zde jako v jediném z hlavních odvětví ekonomiky loni poklesl (o 1,7 %). Jen slabý </w:t>
            </w:r>
            <w:r w:rsidR="00336E03">
              <w:rPr>
                <w:rFonts w:cs="Arial"/>
                <w:color w:val="0D0D0D" w:themeColor="text1" w:themeTint="F2"/>
              </w:rPr>
              <w:t xml:space="preserve">meziroční </w:t>
            </w:r>
            <w:r w:rsidRPr="00360DE3">
              <w:rPr>
                <w:rFonts w:cs="Arial"/>
                <w:color w:val="0D0D0D" w:themeColor="text1" w:themeTint="F2"/>
              </w:rPr>
              <w:t xml:space="preserve">růst </w:t>
            </w:r>
            <w:r w:rsidR="00336E03">
              <w:rPr>
                <w:rFonts w:cs="Arial"/>
                <w:color w:val="0D0D0D" w:themeColor="text1" w:themeTint="F2"/>
              </w:rPr>
              <w:t xml:space="preserve">objemu vyplacených mezd a platů </w:t>
            </w:r>
            <w:r w:rsidRPr="00360DE3">
              <w:rPr>
                <w:rFonts w:cs="Arial"/>
                <w:color w:val="0D0D0D" w:themeColor="text1" w:themeTint="F2"/>
              </w:rPr>
              <w:t>si pak připsalo stavebnictví a také finanční sektor, v obou případech stál v pozadí klesající počet zaměstnanců.</w:t>
            </w:r>
          </w:p>
          <w:p w:rsidR="00EA0840" w:rsidRPr="00360DE3" w:rsidRDefault="00EA0840" w:rsidP="005D3386">
            <w:pPr>
              <w:rPr>
                <w:rFonts w:cs="Arial"/>
                <w:color w:val="0D0D0D" w:themeColor="text1" w:themeTint="F2"/>
              </w:rPr>
            </w:pP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b/>
              </w:rPr>
              <w:t xml:space="preserve">Graf </w:t>
            </w:r>
            <w:proofErr w:type="gramStart"/>
            <w:r w:rsidRPr="00360DE3">
              <w:rPr>
                <w:b/>
              </w:rPr>
              <w:t>5.3.1  Objem</w:t>
            </w:r>
            <w:proofErr w:type="gramEnd"/>
            <w:r w:rsidRPr="00360DE3">
              <w:rPr>
                <w:b/>
              </w:rPr>
              <w:t xml:space="preserve"> vyplacených mezd a platů a národohospodářská produktivita práce </w:t>
            </w:r>
            <w:r w:rsidRPr="00360DE3">
              <w:t>(meziročně, v %)*</w:t>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709899" cy="3705367"/>
                  <wp:effectExtent l="19050" t="0" r="0" b="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rPr>
                <w:rFonts w:cs="Arial"/>
                <w:color w:val="0D0D0D" w:themeColor="text1" w:themeTint="F2"/>
                <w:sz w:val="14"/>
                <w:szCs w:val="14"/>
              </w:rPr>
            </w:pPr>
            <w:r w:rsidRPr="00360DE3">
              <w:rPr>
                <w:rFonts w:cs="Arial"/>
                <w:color w:val="0D0D0D" w:themeColor="text1" w:themeTint="F2"/>
                <w:sz w:val="14"/>
                <w:szCs w:val="14"/>
              </w:rPr>
              <w:t>*Produktivita práce vyjadřuje podíl sezónně neočištěného HDP a celkového (fyzického počtu) zaměstnaných.</w:t>
            </w:r>
          </w:p>
          <w:p w:rsidR="005D3386" w:rsidRPr="00360DE3" w:rsidRDefault="005D3386" w:rsidP="005D3386">
            <w:pPr>
              <w:spacing w:after="0"/>
              <w:rPr>
                <w:rFonts w:cs="Arial"/>
                <w:color w:val="0D0D0D" w:themeColor="text1" w:themeTint="F2"/>
                <w:sz w:val="14"/>
                <w:szCs w:val="14"/>
              </w:rPr>
            </w:pPr>
            <w:r w:rsidRPr="00360DE3">
              <w:rPr>
                <w:rFonts w:cs="Arial"/>
                <w:color w:val="0D0D0D" w:themeColor="text1" w:themeTint="F2"/>
                <w:sz w:val="14"/>
                <w:szCs w:val="14"/>
              </w:rPr>
              <w:t xml:space="preserve">Pozn.: </w:t>
            </w:r>
            <w:r w:rsidRPr="00360DE3">
              <w:rPr>
                <w:iCs/>
                <w:color w:val="0D0D0D" w:themeColor="text1" w:themeTint="F2"/>
                <w:sz w:val="14"/>
                <w:szCs w:val="14"/>
              </w:rPr>
              <w:t xml:space="preserve">Objem mezd a platů zahrnuje veškeré příjmy ze zaměstnání, a to v peněžní i naturální podobě (zaměstnanecké </w:t>
            </w:r>
            <w:proofErr w:type="spellStart"/>
            <w:r w:rsidRPr="00360DE3">
              <w:rPr>
                <w:iCs/>
                <w:color w:val="0D0D0D" w:themeColor="text1" w:themeTint="F2"/>
                <w:sz w:val="14"/>
                <w:szCs w:val="14"/>
              </w:rPr>
              <w:t>benefity</w:t>
            </w:r>
            <w:proofErr w:type="spellEnd"/>
            <w:r w:rsidRPr="00360DE3">
              <w:rPr>
                <w:iCs/>
                <w:color w:val="0D0D0D" w:themeColor="text1" w:themeTint="F2"/>
                <w:sz w:val="14"/>
                <w:szCs w:val="14"/>
              </w:rPr>
              <w:t>) bez ohledu na to, jestli byly oficiálně přiznány nebo ne. Ukazatel počtu zaměstnanců (ve fyzických osobách) zahrnuje veškeré formy zaměstnání, formální i neformální. Jsou zde zahrnuty i různé formy dohod.</w:t>
            </w:r>
          </w:p>
          <w:p w:rsidR="005D3386" w:rsidRPr="00360DE3" w:rsidRDefault="005D3386" w:rsidP="005D3386">
            <w:r w:rsidRPr="00360DE3">
              <w:rPr>
                <w:rFonts w:cs="Arial"/>
                <w:color w:val="0D0D0D" w:themeColor="text1" w:themeTint="F2"/>
                <w:sz w:val="14"/>
                <w:szCs w:val="14"/>
              </w:rPr>
              <w:t>Zdroj: ČSÚ (národní účty)</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Reálný růst průměrných výdělků byl loni nejvyšší za posledních jedenáct let.</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rPr>
                <w:rFonts w:cs="Arial"/>
                <w:color w:val="0D0D0D" w:themeColor="text1" w:themeTint="F2"/>
              </w:rPr>
            </w:pPr>
            <w:r w:rsidRPr="00360DE3">
              <w:rPr>
                <w:rFonts w:cs="Arial"/>
                <w:color w:val="0D0D0D" w:themeColor="text1" w:themeTint="F2"/>
              </w:rPr>
              <w:t>Z pohledu vývoje koupěschopnosti bylo pozitivní, že reálný růst průměrných výdělků zaměstnanců loni vystoupal na 3,9 %, nejvíce za posledních jedenáct let. Nominální růst průměrných výdělků zaměstnanců již druhý rok v řadě převyšoval růstové tempo produktivity práce. Lze to chápat i jako určitou kompenzaci za období let 2014 až 2015, kdy byla vazba mezi mzdovým růstem a produktivitou opačná.</w:t>
            </w:r>
          </w:p>
        </w:tc>
      </w:tr>
      <w:tr w:rsidR="005D3386" w:rsidRPr="00360DE3" w:rsidTr="00360DE3">
        <w:trPr>
          <w:trHeight w:val="429"/>
        </w:trPr>
        <w:tc>
          <w:tcPr>
            <w:tcW w:w="1976" w:type="dxa"/>
          </w:tcPr>
          <w:p w:rsidR="005D3386" w:rsidRPr="00360DE3" w:rsidRDefault="005D3386" w:rsidP="005D3386">
            <w:pPr>
              <w:pStyle w:val="Marginlie"/>
              <w:rPr>
                <w:spacing w:val="0"/>
              </w:rPr>
            </w:pPr>
            <w:r w:rsidRPr="00360DE3">
              <w:rPr>
                <w:spacing w:val="0"/>
              </w:rPr>
              <w:t>Prohlubování mzdové diferenciace se zastavilo. Přispělo k tomu především opakované navyšování hranice minimální mzdy a také silná poptávka po manuálních pracovních ve výrobních odvětvích.</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rPr>
                <w:rFonts w:cs="Arial"/>
                <w:color w:val="0D0D0D" w:themeColor="text1" w:themeTint="F2"/>
              </w:rPr>
            </w:pPr>
            <w:r w:rsidRPr="00360DE3">
              <w:rPr>
                <w:rFonts w:cs="Arial"/>
                <w:color w:val="000000" w:themeColor="text1"/>
              </w:rPr>
              <w:t xml:space="preserve">Podrobnější pohled na diferenciaci mezd </w:t>
            </w:r>
            <w:proofErr w:type="gramStart"/>
            <w:r w:rsidRPr="00360DE3">
              <w:rPr>
                <w:rFonts w:cs="Arial"/>
                <w:color w:val="000000" w:themeColor="text1"/>
              </w:rPr>
              <w:t>umožňuje</w:t>
            </w:r>
            <w:proofErr w:type="gramEnd"/>
            <w:r w:rsidRPr="00360DE3">
              <w:rPr>
                <w:rFonts w:cs="Arial"/>
                <w:color w:val="000000" w:themeColor="text1"/>
              </w:rPr>
              <w:t xml:space="preserve"> </w:t>
            </w:r>
            <w:r w:rsidRPr="00360DE3">
              <w:rPr>
                <w:rFonts w:cs="Arial"/>
                <w:color w:val="0D0D0D" w:themeColor="text1" w:themeTint="F2"/>
              </w:rPr>
              <w:t>strukturální mzdová statistika</w:t>
            </w:r>
            <w:r w:rsidRPr="00360DE3">
              <w:rPr>
                <w:rStyle w:val="Znakapoznpodarou"/>
                <w:color w:val="0D0D0D" w:themeColor="text1" w:themeTint="F2"/>
              </w:rPr>
              <w:footnoteReference w:id="16"/>
            </w:r>
            <w:r w:rsidRPr="00360DE3">
              <w:rPr>
                <w:rFonts w:cs="Arial"/>
                <w:color w:val="0D0D0D" w:themeColor="text1" w:themeTint="F2"/>
              </w:rPr>
              <w:t xml:space="preserve"> Údaje z posledních let </w:t>
            </w:r>
            <w:proofErr w:type="gramStart"/>
            <w:r w:rsidRPr="00360DE3">
              <w:rPr>
                <w:rFonts w:cs="Arial"/>
                <w:color w:val="0D0D0D" w:themeColor="text1" w:themeTint="F2"/>
              </w:rPr>
              <w:t>naznačují</w:t>
            </w:r>
            <w:proofErr w:type="gramEnd"/>
            <w:r w:rsidRPr="00360DE3">
              <w:rPr>
                <w:rFonts w:cs="Arial"/>
                <w:color w:val="0D0D0D" w:themeColor="text1" w:themeTint="F2"/>
              </w:rPr>
              <w:t>, že prohlubování mzdové diferenciace, jež bylo typické pro dvě předchozí deká</w:t>
            </w:r>
            <w:r w:rsidR="0026207F">
              <w:rPr>
                <w:rFonts w:cs="Arial"/>
                <w:color w:val="0D0D0D" w:themeColor="text1" w:themeTint="F2"/>
              </w:rPr>
              <w:t>dy, se zastavilo. Předstih tempa</w:t>
            </w:r>
            <w:r w:rsidRPr="00360DE3">
              <w:rPr>
                <w:rFonts w:cs="Arial"/>
                <w:color w:val="0D0D0D" w:themeColor="text1" w:themeTint="F2"/>
              </w:rPr>
              <w:t xml:space="preserve"> růstu mediánové mzdy nad tempem průměrné mzdy se v letech 2016 i 2017 zvýraznil. Loni vzrostla hodnota mzdové</w:t>
            </w:r>
            <w:r w:rsidR="0026207F">
              <w:rPr>
                <w:rFonts w:cs="Arial"/>
                <w:color w:val="0D0D0D" w:themeColor="text1" w:themeTint="F2"/>
              </w:rPr>
              <w:t>ho</w:t>
            </w:r>
            <w:r w:rsidRPr="00360DE3">
              <w:rPr>
                <w:rFonts w:cs="Arial"/>
                <w:color w:val="0D0D0D" w:themeColor="text1" w:themeTint="F2"/>
              </w:rPr>
              <w:t xml:space="preserve"> mediánu meziročně o 7,4 % (o rok dříve o 5,3 %). Průměrná hrubá měsíční mediánová mzda činila 26 843 korun. Snížila se také hodnota variačního koeficientu vyjadřující celkovou úroveň rozrůzněnosti (z 0,80 v roce 2014 na loňských 0,74). Diference klesly v tomto období svižněji u mužů nežli u</w:t>
            </w:r>
            <w:r w:rsidR="00DF7AD4" w:rsidRPr="00360DE3">
              <w:t> </w:t>
            </w:r>
            <w:r w:rsidRPr="00360DE3">
              <w:rPr>
                <w:rFonts w:cs="Arial"/>
                <w:color w:val="0D0D0D" w:themeColor="text1" w:themeTint="F2"/>
              </w:rPr>
              <w:t xml:space="preserve">žen, přesto zůstávají mužské výdělky stále znatelně rozrůzněnější (0,80) než ženské (0,59). Tyto rozdíly jsou odrazem především výraznějšího předstihu mužských výdělků v profesích s vysokými kvalifikačními nároky (manažeři, specialisté). Za snížením mzdové diferenciace stálo primárně opakované </w:t>
            </w:r>
            <w:r w:rsidRPr="00360DE3">
              <w:rPr>
                <w:rFonts w:cs="Arial"/>
                <w:color w:val="0D0D0D" w:themeColor="text1" w:themeTint="F2"/>
              </w:rPr>
              <w:lastRenderedPageBreak/>
              <w:t>navyšování hranice minimální mzdy (s výraznějším sekundárním dopadem na pásma zaručené mzdy).</w:t>
            </w:r>
          </w:p>
          <w:p w:rsidR="005D3386" w:rsidRPr="00360DE3" w:rsidRDefault="005D3386" w:rsidP="005D3386">
            <w:pPr>
              <w:spacing w:after="0"/>
              <w:rPr>
                <w:b/>
              </w:rPr>
            </w:pP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6836CB" w:rsidRDefault="005D3386" w:rsidP="005D3386">
            <w:pPr>
              <w:spacing w:after="0"/>
              <w:rPr>
                <w:b/>
              </w:rPr>
            </w:pPr>
            <w:r w:rsidRPr="00360DE3">
              <w:rPr>
                <w:b/>
              </w:rPr>
              <w:t xml:space="preserve">Graf </w:t>
            </w:r>
            <w:proofErr w:type="gramStart"/>
            <w:r w:rsidRPr="00360DE3">
              <w:rPr>
                <w:b/>
              </w:rPr>
              <w:t>5.3.2  Průměrná</w:t>
            </w:r>
            <w:proofErr w:type="gramEnd"/>
            <w:r w:rsidRPr="00360DE3">
              <w:rPr>
                <w:b/>
              </w:rPr>
              <w:t xml:space="preserve"> hrubá měsíční mzda dle věku a pohlaví v roce 2017</w:t>
            </w:r>
          </w:p>
          <w:p w:rsidR="005D3386" w:rsidRPr="00360DE3" w:rsidRDefault="005D3386" w:rsidP="005D3386">
            <w:pPr>
              <w:spacing w:after="0"/>
            </w:pPr>
            <w:r w:rsidRPr="00360DE3">
              <w:t xml:space="preserve">(v korunách) </w:t>
            </w:r>
            <w:r w:rsidRPr="00360DE3">
              <w:rPr>
                <w:b/>
              </w:rPr>
              <w:t>a její růst mezi roky 2012 a 2017</w:t>
            </w:r>
            <w:r w:rsidRPr="00360DE3">
              <w:t xml:space="preserve"> (úroveň 2012 = 1)</w:t>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701170" cy="3616657"/>
                  <wp:effectExtent l="19050" t="0" r="4180" b="0"/>
                  <wp:docPr id="2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rFonts w:cs="Arial"/>
                <w:sz w:val="14"/>
                <w:szCs w:val="14"/>
              </w:rPr>
              <w:t>Zdroj: MPSV a ČSÚ (Strukturální mzdová statistika)</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Relativně vysoké rozdíly mužských a ženských výdělků přetrvaly. Větších diferencí dosahovaly v rámci EU již jen v Estonsku.</w:t>
            </w:r>
          </w:p>
        </w:tc>
        <w:tc>
          <w:tcPr>
            <w:tcW w:w="277" w:type="dxa"/>
          </w:tcPr>
          <w:p w:rsidR="005D3386" w:rsidRPr="00360DE3" w:rsidRDefault="005D3386" w:rsidP="005D3386">
            <w:pPr>
              <w:pStyle w:val="Textpoznpodarou"/>
              <w:jc w:val="both"/>
            </w:pPr>
          </w:p>
        </w:tc>
        <w:tc>
          <w:tcPr>
            <w:tcW w:w="7391" w:type="dxa"/>
          </w:tcPr>
          <w:p w:rsidR="005D3386" w:rsidRPr="0026207F" w:rsidRDefault="005D3386" w:rsidP="005D3386">
            <w:pPr>
              <w:rPr>
                <w:spacing w:val="-2"/>
              </w:rPr>
            </w:pPr>
            <w:r w:rsidRPr="0026207F">
              <w:rPr>
                <w:spacing w:val="-2"/>
              </w:rPr>
              <w:t xml:space="preserve">Ženy dosahovaly v roce 2017 jen 79,3 % průměrné mzdy mužů, o pět let dříve 77,9 %. Obdobné proporce v případě mzdového mediánu, jenž rozděluje zaměstnance dle výše příjmů na dvě stejně početné skupiny, činily 84,4 % a 84,7 %. Na postavení Česka jako země ve skupině evropských států s nejvyššími rozdíly mezd mezi muži a ženami se ani v období silného ekonomického růstu prakticky nic nezměnilo. V roce 2016 činila hodnota </w:t>
            </w:r>
            <w:proofErr w:type="spellStart"/>
            <w:r w:rsidRPr="0026207F">
              <w:rPr>
                <w:spacing w:val="-2"/>
              </w:rPr>
              <w:t>tzv</w:t>
            </w:r>
            <w:proofErr w:type="spellEnd"/>
            <w:r w:rsidRPr="0026207F">
              <w:rPr>
                <w:spacing w:val="-2"/>
              </w:rPr>
              <w:t xml:space="preserve"> </w:t>
            </w:r>
            <w:proofErr w:type="spellStart"/>
            <w:r w:rsidRPr="0026207F">
              <w:rPr>
                <w:spacing w:val="-2"/>
              </w:rPr>
              <w:t>gender</w:t>
            </w:r>
            <w:proofErr w:type="spellEnd"/>
            <w:r w:rsidRPr="0026207F">
              <w:rPr>
                <w:spacing w:val="-2"/>
              </w:rPr>
              <w:t xml:space="preserve"> </w:t>
            </w:r>
            <w:proofErr w:type="spellStart"/>
            <w:r w:rsidRPr="0026207F">
              <w:rPr>
                <w:spacing w:val="-2"/>
              </w:rPr>
              <w:t>pay</w:t>
            </w:r>
            <w:proofErr w:type="spellEnd"/>
            <w:r w:rsidRPr="0026207F">
              <w:rPr>
                <w:spacing w:val="-2"/>
              </w:rPr>
              <w:t xml:space="preserve"> gap</w:t>
            </w:r>
            <w:r w:rsidRPr="0026207F">
              <w:rPr>
                <w:rStyle w:val="Znakapoznpodarou"/>
                <w:spacing w:val="-2"/>
              </w:rPr>
              <w:footnoteReference w:id="17"/>
            </w:r>
            <w:r w:rsidRPr="0026207F">
              <w:rPr>
                <w:spacing w:val="-2"/>
              </w:rPr>
              <w:t xml:space="preserve"> v Česku 21, 8 %</w:t>
            </w:r>
            <w:r w:rsidR="0026207F" w:rsidRPr="0026207F">
              <w:rPr>
                <w:spacing w:val="-2"/>
              </w:rPr>
              <w:t xml:space="preserve">. </w:t>
            </w:r>
            <w:r w:rsidRPr="0026207F">
              <w:rPr>
                <w:spacing w:val="-2"/>
              </w:rPr>
              <w:t xml:space="preserve">V letech 2013 až 2016 docílilo </w:t>
            </w:r>
            <w:r w:rsidR="0026207F" w:rsidRPr="0026207F">
              <w:rPr>
                <w:spacing w:val="-2"/>
              </w:rPr>
              <w:t xml:space="preserve">ze </w:t>
            </w:r>
            <w:r w:rsidRPr="0026207F">
              <w:rPr>
                <w:spacing w:val="-2"/>
              </w:rPr>
              <w:t>zemí států EU vyšších rozdílů jen Estonsko.</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Největší rozdíly mužských a žen ženských výdělků v ČR z pohledu věku stále přetrvávají ve skupině 35 až 49 let.</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200"/>
            </w:pPr>
            <w:r w:rsidRPr="00360DE3">
              <w:t>Nicméně značné rozdíly ve výdělcích dle pohlaví panovaly v roce 2016 i v nejvyspělejších ekonomikách Unie (Německo, Rakousko, Velká Británie). K nepříznivému postavení ČR přispívají značné výdělkové diference mezi pohlavími v kvartérním sektoru služeb (finančnictví, informační a komunikační činnosti) a rovně ž ve veřejných službách (zejména ve školství a zdravotnictví). Z pohledu věku působí obdobně skupina 35-49 let (kde značné rozdíly ve výdělcích dle pohlaví souvisí s obtížnější situací žen s malými dětmi na pracovním trhu). V letech 2016 i 2017 se vlivem celkové ekonomické situace a sílícího nedostatku potenciálních pracovníků postavení této věkové kategorie mírně zlepšilo, což bylo více patrné na růstu průměrné mzdy (méně pak na mzdě mediánové).</w:t>
            </w:r>
          </w:p>
        </w:tc>
      </w:tr>
      <w:tr w:rsidR="00360DE3" w:rsidRPr="00360DE3" w:rsidTr="00360DE3">
        <w:trPr>
          <w:trHeight w:val="145"/>
        </w:trPr>
        <w:tc>
          <w:tcPr>
            <w:tcW w:w="1976" w:type="dxa"/>
          </w:tcPr>
          <w:p w:rsidR="00360DE3" w:rsidRPr="00360DE3" w:rsidRDefault="00360DE3" w:rsidP="00360DE3">
            <w:pPr>
              <w:pStyle w:val="Marginlie"/>
              <w:rPr>
                <w:spacing w:val="0"/>
              </w:rPr>
            </w:pPr>
            <w:r w:rsidRPr="00360DE3">
              <w:rPr>
                <w:spacing w:val="0"/>
              </w:rPr>
              <w:t xml:space="preserve">Nejvyšším tepem rostly mzdy pracovníkům </w:t>
            </w:r>
            <w:r w:rsidRPr="00360DE3">
              <w:rPr>
                <w:spacing w:val="0"/>
              </w:rPr>
              <w:lastRenderedPageBreak/>
              <w:t xml:space="preserve">s nejnižším vzděláním. </w:t>
            </w:r>
          </w:p>
        </w:tc>
        <w:tc>
          <w:tcPr>
            <w:tcW w:w="277" w:type="dxa"/>
          </w:tcPr>
          <w:p w:rsidR="00360DE3" w:rsidRPr="00360DE3" w:rsidRDefault="00360DE3" w:rsidP="00F162B3">
            <w:pPr>
              <w:pStyle w:val="Textpoznpodarou"/>
              <w:jc w:val="both"/>
            </w:pPr>
          </w:p>
        </w:tc>
        <w:tc>
          <w:tcPr>
            <w:tcW w:w="7391" w:type="dxa"/>
          </w:tcPr>
          <w:p w:rsidR="00360DE3" w:rsidRPr="00360DE3" w:rsidRDefault="00360DE3" w:rsidP="00360DE3">
            <w:r w:rsidRPr="00360DE3">
              <w:t xml:space="preserve">S rostoucím vzděláním zaměstnanců se zvyšuje nejen úroveň jejich výdělků, ale i mzdová variabilita. Přestože v letech 2016 i 2017 rostly meziročně relativně </w:t>
            </w:r>
            <w:r w:rsidRPr="00360DE3">
              <w:lastRenderedPageBreak/>
              <w:t>nejvíce (průměrné i mediánové) výdělky osob se základním vzděláním, citelné rozdíly mezi hlavními vzdělanostními skupinami přetrvaly. Loni převyšovaly průměrné výdělky vysokoškoláků výdělky osob se základním (či neukončeným) vzděláním 2,39krát (u mužů), resp. 2,07 (u žen).</w:t>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pPr>
            <w:r w:rsidRPr="00360DE3">
              <w:rPr>
                <w:b/>
              </w:rPr>
              <w:t xml:space="preserve">Graf </w:t>
            </w:r>
            <w:proofErr w:type="gramStart"/>
            <w:r w:rsidRPr="00360DE3">
              <w:rPr>
                <w:b/>
              </w:rPr>
              <w:t>5.3.3  Průměrné</w:t>
            </w:r>
            <w:proofErr w:type="gramEnd"/>
            <w:r w:rsidRPr="00360DE3">
              <w:rPr>
                <w:b/>
              </w:rPr>
              <w:t xml:space="preserve"> hrubé měsíční mzdy v odvětvích dle vzdělání </w:t>
            </w:r>
            <w:r w:rsidRPr="00360DE3">
              <w:t>(v tis. korun)</w:t>
            </w:r>
            <w:r w:rsidRPr="00360DE3">
              <w:rPr>
                <w:b/>
              </w:rPr>
              <w:t xml:space="preserve"> a poměr mezd zaměstnanců s vysokoškolským a základním vzděláním</w:t>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pPr>
            <w:r w:rsidRPr="00360DE3">
              <w:rPr>
                <w:noProof/>
              </w:rPr>
              <w:drawing>
                <wp:inline distT="0" distB="0" distL="0" distR="0">
                  <wp:extent cx="4714875" cy="3724275"/>
                  <wp:effectExtent l="38100" t="0" r="0" b="0"/>
                  <wp:docPr id="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rPr>
                <w:rFonts w:cs="Arial"/>
                <w:sz w:val="14"/>
                <w:szCs w:val="14"/>
              </w:rPr>
            </w:pPr>
            <w:r w:rsidRPr="00360DE3">
              <w:rPr>
                <w:rFonts w:cs="Arial"/>
                <w:sz w:val="14"/>
                <w:szCs w:val="14"/>
              </w:rPr>
              <w:t xml:space="preserve">Pozn.. </w:t>
            </w:r>
            <w:proofErr w:type="gramStart"/>
            <w:r w:rsidRPr="00360DE3">
              <w:rPr>
                <w:rFonts w:cs="Arial"/>
                <w:sz w:val="14"/>
                <w:szCs w:val="14"/>
              </w:rPr>
              <w:t>za</w:t>
            </w:r>
            <w:proofErr w:type="gramEnd"/>
            <w:r w:rsidRPr="00360DE3">
              <w:rPr>
                <w:rFonts w:cs="Arial"/>
                <w:sz w:val="14"/>
                <w:szCs w:val="14"/>
              </w:rPr>
              <w:t xml:space="preserve"> odvětvové sekce I,J a M není z důvodu snížené vypovídací schopnosti uvedena mzda za zaměstnance se základním (popř. neukončeným) vzděláním. Ze stejného důvodu absentují údaje za osoby s vyšším odborným a bakalářským vzděláním u sekcí A i L. </w:t>
            </w:r>
          </w:p>
          <w:p w:rsidR="00360DE3" w:rsidRPr="00360DE3" w:rsidRDefault="00360DE3" w:rsidP="005D3386">
            <w:pPr>
              <w:spacing w:after="200"/>
            </w:pPr>
            <w:r w:rsidRPr="00360DE3">
              <w:rPr>
                <w:rFonts w:cs="Arial"/>
                <w:sz w:val="14"/>
                <w:szCs w:val="14"/>
              </w:rPr>
              <w:t>Zdroj: MPSV a ČSÚ (Strukturální mzdová statistika)</w:t>
            </w:r>
          </w:p>
        </w:tc>
      </w:tr>
      <w:tr w:rsidR="00360DE3" w:rsidRPr="00360DE3" w:rsidTr="00360DE3">
        <w:trPr>
          <w:trHeight w:val="145"/>
        </w:trPr>
        <w:tc>
          <w:tcPr>
            <w:tcW w:w="1976" w:type="dxa"/>
          </w:tcPr>
          <w:p w:rsidR="00360DE3" w:rsidRPr="00360DE3" w:rsidRDefault="00360DE3" w:rsidP="00360DE3">
            <w:pPr>
              <w:pStyle w:val="Marginlie"/>
              <w:rPr>
                <w:spacing w:val="0"/>
              </w:rPr>
            </w:pPr>
            <w:r w:rsidRPr="00360DE3">
              <w:rPr>
                <w:spacing w:val="0"/>
              </w:rPr>
              <w:t xml:space="preserve">Energetika a veřejné služby se vyznačovaly největšími </w:t>
            </w:r>
            <w:r w:rsidR="00336E03">
              <w:rPr>
                <w:spacing w:val="0"/>
              </w:rPr>
              <w:t>relativními mzdovými rozdíly po</w:t>
            </w:r>
            <w:r w:rsidRPr="00360DE3">
              <w:rPr>
                <w:spacing w:val="0"/>
              </w:rPr>
              <w:t xml:space="preserve">dle vzdělání. </w:t>
            </w:r>
          </w:p>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r w:rsidRPr="00360DE3">
              <w:t>Na úrovni hlavních odvětví lze registroval největší „převis“ v energetice a veřejných službách (především v odvětví veřejné správy, ob</w:t>
            </w:r>
            <w:r w:rsidR="00DF7AD4">
              <w:t>rany a sociálního zabezpečení a</w:t>
            </w:r>
            <w:r w:rsidR="00DF7AD4" w:rsidRPr="00360DE3">
              <w:t> </w:t>
            </w:r>
            <w:r w:rsidRPr="00360DE3">
              <w:t>také ve zdravotnictví). Poměrně značnou rozrůzněnost mezd dle vzdělání lze nalézt i v odvětvích s nižší hladinou celkových průměrných výdělků (obchod, doprava a skladování). Zatímco v těžbě a dobývání je výraznější mzdová diferenciace z velké části odrazem excentrického postavení vysokoškoláků, v energetice či informačních a komunikačních činnostech k ní rovnoměrněji přispívají i další vzdělanostní skupiny. Nejméně kvalifikovaní pracovníci v těžebním průmyslu pobírali loni v průměru podobnou mzdu jako vysokoškoláci pracující v činnostech v oblasti nemovitostí, administrativních a podpůrných činnostech či v ubytování, stravování a pohostinství.</w:t>
            </w:r>
          </w:p>
        </w:tc>
      </w:tr>
      <w:tr w:rsidR="00A51F19" w:rsidRPr="00360DE3" w:rsidTr="00360DE3">
        <w:trPr>
          <w:trHeight w:val="145"/>
        </w:trPr>
        <w:tc>
          <w:tcPr>
            <w:tcW w:w="1976" w:type="dxa"/>
          </w:tcPr>
          <w:p w:rsidR="00A51F19" w:rsidRPr="00360DE3" w:rsidRDefault="00A51F19" w:rsidP="00A51F19">
            <w:pPr>
              <w:pStyle w:val="Marginlie"/>
              <w:rPr>
                <w:spacing w:val="0"/>
              </w:rPr>
            </w:pPr>
            <w:r w:rsidRPr="00360DE3">
              <w:rPr>
                <w:spacing w:val="0"/>
              </w:rPr>
              <w:t xml:space="preserve">Z pohledu hlavních kvalifikačních tříd rostla loni mediánová mzda nejvyšším tempem pracovníkům ve službách a prodeji. Pokračoval i svižný růst výdělků zaměstnanců </w:t>
            </w:r>
            <w:r w:rsidRPr="00360DE3">
              <w:rPr>
                <w:spacing w:val="0"/>
              </w:rPr>
              <w:lastRenderedPageBreak/>
              <w:t>v ozbrojených silách.</w:t>
            </w:r>
          </w:p>
        </w:tc>
        <w:tc>
          <w:tcPr>
            <w:tcW w:w="277" w:type="dxa"/>
          </w:tcPr>
          <w:p w:rsidR="00A51F19" w:rsidRPr="00360DE3" w:rsidRDefault="00A51F19" w:rsidP="00F162B3">
            <w:pPr>
              <w:pStyle w:val="Textpoznpodarou"/>
              <w:jc w:val="both"/>
            </w:pPr>
          </w:p>
        </w:tc>
        <w:tc>
          <w:tcPr>
            <w:tcW w:w="7391" w:type="dxa"/>
          </w:tcPr>
          <w:p w:rsidR="00A51F19" w:rsidRPr="00360DE3" w:rsidRDefault="00A51F19" w:rsidP="0061249B">
            <w:pPr>
              <w:spacing w:after="220"/>
            </w:pPr>
            <w:r w:rsidRPr="00360DE3">
              <w:t xml:space="preserve">Jestliže v letech 2014 až 2016 docílily nejvyššího tempa růstu výdělků (v rámci hlavních kvalifikačních tříd) zaměstnanci v ozbrojených silách, vloni převzala tuto štafetu váhově mnohem významnější kategorie pracovníků ve službách a prodeji (mzdový medián zde meziročně posílil o více než desetinu). Svižný (zhruba 8%) nárůst si připsali i početné kategorie řemeslníků a opravářů, resp. obsluhy strojů a zařízení (obě skupiny soustřeďují více než 30 % všech zaměstnanců v celé </w:t>
            </w:r>
            <w:r w:rsidRPr="00360DE3">
              <w:lastRenderedPageBreak/>
              <w:t>ekonomice, u mužů dokonce 44 %)</w:t>
            </w:r>
            <w:r w:rsidRPr="00360DE3">
              <w:rPr>
                <w:rStyle w:val="Znakapoznpodarou"/>
              </w:rPr>
              <w:footnoteReference w:id="18"/>
            </w:r>
            <w:r w:rsidRPr="00360DE3">
              <w:t>. Dynamický růst poptávky po manuálních pracovnících spolu s efektem navýšením minimální mzdy se promítl také ve výdělcích pomocných a nekvalifikovaných pracovníků (+8,1 %)</w:t>
            </w:r>
            <w:r w:rsidRPr="00360DE3">
              <w:rPr>
                <w:rStyle w:val="Znakapoznpodarou"/>
              </w:rPr>
              <w:footnoteReference w:id="19"/>
            </w:r>
            <w:r w:rsidRPr="00360DE3">
              <w:t>. Ve skupinách zaměstnání s nejvyššími kvalifikačními nároky</w:t>
            </w:r>
            <w:r w:rsidRPr="00360DE3">
              <w:rPr>
                <w:rStyle w:val="Znakapoznpodarou"/>
              </w:rPr>
              <w:footnoteReference w:id="20"/>
            </w:r>
            <w:r w:rsidRPr="00360DE3">
              <w:t xml:space="preserve"> (zákonodárci a řídící pracovníci, specialisté, techničtí a odborní pracovníci) osciloval růst mzdového mediánu kolem 7,5 % (relativně nejvíce si polepšili specialisté a odborní pracovníci ve zdravotnictví a dále odborní pracovníci v oblasti práva, kultury a sportu).</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b/>
              </w:rPr>
              <w:t xml:space="preserve">Graf 5.3.4.  Mediány hrubých měsíčních mezd dle hlavních tříd CZ-ISCO </w:t>
            </w:r>
            <w:r w:rsidRPr="00360DE3">
              <w:t>(meziročně, v %)</w:t>
            </w:r>
            <w:r w:rsidRPr="00360DE3">
              <w:rPr>
                <w:b/>
              </w:rPr>
              <w:t xml:space="preserve"> a poměr mediánových mezd mužů a žen</w:t>
            </w:r>
            <w:r w:rsidRPr="00360DE3">
              <w:t xml:space="preserve"> (mzda mužů = 1)</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noProof/>
              </w:rPr>
              <w:drawing>
                <wp:inline distT="0" distB="0" distL="0" distR="0">
                  <wp:extent cx="4672149" cy="3699164"/>
                  <wp:effectExtent l="19050" t="0" r="14151" b="0"/>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51F19" w:rsidRPr="00360DE3" w:rsidTr="00360DE3">
        <w:trPr>
          <w:trHeight w:val="429"/>
        </w:trPr>
        <w:tc>
          <w:tcPr>
            <w:tcW w:w="1976" w:type="dxa"/>
          </w:tcPr>
          <w:p w:rsidR="00A51F19" w:rsidRPr="00360DE3" w:rsidRDefault="00A51F19" w:rsidP="0061249B">
            <w:pPr>
              <w:pStyle w:val="Marginlie"/>
              <w:spacing w:after="200"/>
              <w:rPr>
                <w:spacing w:val="0"/>
              </w:rPr>
            </w:pPr>
          </w:p>
        </w:tc>
        <w:tc>
          <w:tcPr>
            <w:tcW w:w="277" w:type="dxa"/>
          </w:tcPr>
          <w:p w:rsidR="00A51F19" w:rsidRPr="00360DE3" w:rsidRDefault="00A51F19" w:rsidP="0061249B">
            <w:pPr>
              <w:pStyle w:val="Textpoznpodarou"/>
              <w:spacing w:after="200"/>
              <w:jc w:val="both"/>
            </w:pPr>
          </w:p>
        </w:tc>
        <w:tc>
          <w:tcPr>
            <w:tcW w:w="7391" w:type="dxa"/>
          </w:tcPr>
          <w:p w:rsidR="00A51F19" w:rsidRPr="00360DE3" w:rsidRDefault="00A51F19" w:rsidP="0061249B">
            <w:pPr>
              <w:spacing w:after="200"/>
            </w:pPr>
            <w:r w:rsidRPr="00360DE3">
              <w:rPr>
                <w:rFonts w:cs="Arial"/>
                <w:sz w:val="14"/>
                <w:szCs w:val="14"/>
              </w:rPr>
              <w:t>Zdroj: MPSV a ČSÚ (Strukturální mzdová statistika)</w:t>
            </w:r>
          </w:p>
        </w:tc>
      </w:tr>
      <w:tr w:rsidR="00A51F19" w:rsidRPr="00360DE3" w:rsidTr="00360DE3">
        <w:trPr>
          <w:trHeight w:val="429"/>
        </w:trPr>
        <w:tc>
          <w:tcPr>
            <w:tcW w:w="1976" w:type="dxa"/>
          </w:tcPr>
          <w:p w:rsidR="0026743D" w:rsidRPr="00360DE3" w:rsidRDefault="00A51F19" w:rsidP="005D3386">
            <w:pPr>
              <w:pStyle w:val="Marginlie"/>
              <w:rPr>
                <w:spacing w:val="0"/>
              </w:rPr>
            </w:pPr>
            <w:r w:rsidRPr="00360DE3">
              <w:rPr>
                <w:spacing w:val="0"/>
              </w:rPr>
              <w:t>Poměr výdělků vedoucích a řídících pracovníků a pomocných či nekvalifikovaných zaměstnanců se postupně snižoval.</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61249B">
            <w:pPr>
              <w:spacing w:after="0"/>
            </w:pPr>
            <w:r w:rsidRPr="00360DE3">
              <w:t xml:space="preserve">Navzdory relativně slabší dynamice v posledních letech (patrné spíše než na tempech mediánové mzdy na tempech průměrné mzdy) si stále s výrazným odstupem udržují nejvyšší úroveň mezd v ekonomice zákonodárci a řídící pracovníci. Loni pobírali 2,89krát více než pomocní a nekvalifikovaní pracovníci (při vyjádření ve formě mediánové mzdy), resp. 3,56krát více (na průměrné mzdě). V roce 2015 činily obdobné relace 3,03, resp. 3,98. Variabilita mezd uvnitř jednotlivých kvalifikačních tříd klesla úměrně s náročností zaměstnání, resp. výši mzdy. Určitou anomálii </w:t>
            </w:r>
            <w:proofErr w:type="gramStart"/>
            <w:r w:rsidRPr="00360DE3">
              <w:t>představovaly</w:t>
            </w:r>
            <w:proofErr w:type="gramEnd"/>
            <w:r w:rsidRPr="00360DE3">
              <w:t xml:space="preserve"> jen výdělky v kategorii pracovníci ve službách a prodeji (zvýšená variabilita doprovázená výrazně podprůměrnou mzdovou úrovní) a také u zaměstnanců v ozbrojených silách (nízká variabilita při výrazněji nadprůměrné mzdové úrovni). Dlouhodobým specifikem posledně zmíněné kategorii je také vyšší mzdová úroveň žen než mužů (jež patrně odráží odlišnou vzdělanostní i věkovou skladbu a též velmi nízkou absolutní četnost žen). </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b/>
              </w:rPr>
              <w:t xml:space="preserve">Graf </w:t>
            </w:r>
            <w:proofErr w:type="gramStart"/>
            <w:r w:rsidRPr="00360DE3">
              <w:rPr>
                <w:b/>
              </w:rPr>
              <w:t>5.3.5  Průměrné</w:t>
            </w:r>
            <w:proofErr w:type="gramEnd"/>
            <w:r w:rsidRPr="00360DE3">
              <w:rPr>
                <w:b/>
              </w:rPr>
              <w:t xml:space="preserve"> mzdy v krajích dle hlavních tříd zaměstnání</w:t>
            </w:r>
            <w:r w:rsidRPr="00360DE3">
              <w:t xml:space="preserve"> </w:t>
            </w:r>
          </w:p>
          <w:p w:rsidR="00A51F19" w:rsidRPr="00360DE3" w:rsidRDefault="00A51F19" w:rsidP="005D3386">
            <w:pPr>
              <w:spacing w:after="0"/>
            </w:pPr>
            <w:r w:rsidRPr="00360DE3">
              <w:t xml:space="preserve">(mzda v dané třídě zaměstnání v ČR = 100, srovnání let 2012 a 2017 </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noProof/>
              </w:rPr>
              <w:drawing>
                <wp:inline distT="0" distB="0" distL="0" distR="0">
                  <wp:extent cx="4633912" cy="3661480"/>
                  <wp:effectExtent l="19050" t="0" r="0" b="0"/>
                  <wp:docPr id="4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rPr>
                <w:rFonts w:cs="Arial"/>
                <w:sz w:val="14"/>
                <w:szCs w:val="14"/>
              </w:rPr>
            </w:pPr>
            <w:r w:rsidRPr="00360DE3">
              <w:rPr>
                <w:rFonts w:cs="Arial"/>
                <w:sz w:val="14"/>
                <w:szCs w:val="14"/>
              </w:rPr>
              <w:t>Pozn.:Vzhledem k nízké spolehlivosti údajů v regionálním členění nejsou uvedeny třídy: Kvalifikovaní pracovníci v zemědělství, lesnictví a rybářství a dále také Zaměstnanci v ozbrojených složkách.</w:t>
            </w:r>
          </w:p>
          <w:p w:rsidR="00A51F19" w:rsidRPr="00360DE3" w:rsidRDefault="00A51F19" w:rsidP="005D3386">
            <w:r w:rsidRPr="00360DE3">
              <w:rPr>
                <w:rFonts w:cs="Arial"/>
                <w:sz w:val="14"/>
                <w:szCs w:val="14"/>
              </w:rPr>
              <w:t>Zdroj: MPSV a ČSÚ (Strukturální mzdová statistika)</w:t>
            </w:r>
          </w:p>
        </w:tc>
      </w:tr>
      <w:tr w:rsidR="00A51F19" w:rsidRPr="00360DE3" w:rsidTr="00360DE3">
        <w:trPr>
          <w:trHeight w:val="145"/>
        </w:trPr>
        <w:tc>
          <w:tcPr>
            <w:tcW w:w="1976" w:type="dxa"/>
          </w:tcPr>
          <w:p w:rsidR="00A51F19" w:rsidRPr="00360DE3" w:rsidRDefault="00A51F19" w:rsidP="005D3386">
            <w:pPr>
              <w:pStyle w:val="Marginlie"/>
              <w:rPr>
                <w:spacing w:val="0"/>
              </w:rPr>
            </w:pPr>
            <w:r w:rsidRPr="00360DE3">
              <w:rPr>
                <w:spacing w:val="0"/>
              </w:rPr>
              <w:t>Převis Prahy nad ostatními regiony z pohledu výše mezd se zmenšoval. Rozdíly mezi ostatními kraji se výrazněji neměnily.</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rPr>
                <w:rFonts w:cs="Arial"/>
                <w:color w:val="0D0D0D" w:themeColor="text1" w:themeTint="F2"/>
              </w:rPr>
            </w:pPr>
            <w:r w:rsidRPr="00360DE3">
              <w:rPr>
                <w:rFonts w:cs="Arial"/>
                <w:color w:val="0D0D0D" w:themeColor="text1" w:themeTint="F2"/>
              </w:rPr>
              <w:t>V roce 2017 převyšovala mzda v Praze průměrno</w:t>
            </w:r>
            <w:r w:rsidR="006836CB">
              <w:rPr>
                <w:rFonts w:cs="Arial"/>
                <w:color w:val="0D0D0D" w:themeColor="text1" w:themeTint="F2"/>
              </w:rPr>
              <w:t>u mzdu na v celé ekonomice o</w:t>
            </w:r>
            <w:r w:rsidR="006836CB" w:rsidRPr="00360DE3">
              <w:rPr>
                <w:rFonts w:cs="Arial"/>
                <w:color w:val="0D0D0D" w:themeColor="text1" w:themeTint="F2"/>
              </w:rPr>
              <w:t> </w:t>
            </w:r>
            <w:r w:rsidR="006836CB">
              <w:rPr>
                <w:rFonts w:cs="Arial"/>
                <w:color w:val="0D0D0D" w:themeColor="text1" w:themeTint="F2"/>
              </w:rPr>
              <w:t>28</w:t>
            </w:r>
            <w:r w:rsidR="006836CB" w:rsidRPr="00360DE3">
              <w:rPr>
                <w:rFonts w:cs="Arial"/>
                <w:color w:val="0D0D0D" w:themeColor="text1" w:themeTint="F2"/>
              </w:rPr>
              <w:t> </w:t>
            </w:r>
            <w:r w:rsidRPr="00360DE3">
              <w:rPr>
                <w:rFonts w:cs="Arial"/>
                <w:color w:val="0D0D0D" w:themeColor="text1" w:themeTint="F2"/>
              </w:rPr>
              <w:t>%, v případě mediánu o 19 %. Z ostatních regionů platilo totéž jen pro Středočeský kraj (u průměrné mzdy), popř. ještě doplněný krajem Plzeňským (u mediánové mzdy).  Převis Prahy nad národní úrovní se v posledních letech snížil – v roce 2012 dosahoval u průměrné mzdy 36 % (resp. 24 % u mediánové mzdy). Rozdíly mezi mimopražským i kraji se za posledních pět let výrazněji nezměnily. Nejnižší mzdová úroveň přetrvává na Karlovarsku (87 % národní úrovně v roce 2017, resp. 83 % před pěti lety). V pořadí regionů si mírně polepšil Plzeňský kraj, slabší mzdovou dynamiku naopak vedle Prahy vykázal také kraj Moravskoslezský.</w:t>
            </w:r>
          </w:p>
        </w:tc>
      </w:tr>
      <w:tr w:rsidR="00A51F19" w:rsidRPr="00360DE3" w:rsidTr="00360DE3">
        <w:trPr>
          <w:trHeight w:val="145"/>
        </w:trPr>
        <w:tc>
          <w:tcPr>
            <w:tcW w:w="1976" w:type="dxa"/>
          </w:tcPr>
          <w:p w:rsidR="00A51F19" w:rsidRPr="00360DE3" w:rsidRDefault="00A51F19" w:rsidP="005D3386">
            <w:pPr>
              <w:pStyle w:val="Marginlie"/>
              <w:rPr>
                <w:spacing w:val="0"/>
              </w:rPr>
            </w:pPr>
            <w:r w:rsidRPr="00360DE3">
              <w:rPr>
                <w:spacing w:val="0"/>
              </w:rPr>
              <w:t xml:space="preserve">Mzdová dominace Prahy nad ostatními regiony se snižovala úměrně s kvalifikačními nároky v zaměstnání. Vedoucí postavení ztrácela </w:t>
            </w:r>
            <w:r w:rsidR="0026743D">
              <w:rPr>
                <w:spacing w:val="0"/>
              </w:rPr>
              <w:t>u</w:t>
            </w:r>
            <w:r w:rsidR="0026743D" w:rsidRPr="00360DE3">
              <w:rPr>
                <w:spacing w:val="0"/>
              </w:rPr>
              <w:t> </w:t>
            </w:r>
            <w:r w:rsidRPr="00360DE3">
              <w:rPr>
                <w:spacing w:val="0"/>
              </w:rPr>
              <w:t>manuálních činností.</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rPr>
                <w:rFonts w:cs="Arial"/>
                <w:color w:val="0D0D0D" w:themeColor="text1" w:themeTint="F2"/>
              </w:rPr>
            </w:pPr>
            <w:r w:rsidRPr="00360DE3">
              <w:rPr>
                <w:rFonts w:cs="Arial"/>
                <w:color w:val="0D0D0D" w:themeColor="text1" w:themeTint="F2"/>
              </w:rPr>
              <w:t xml:space="preserve">V rámci hlavních tříd zaměstnání dosahovala </w:t>
            </w:r>
            <w:r w:rsidR="006836CB">
              <w:rPr>
                <w:rFonts w:cs="Arial"/>
                <w:color w:val="0D0D0D" w:themeColor="text1" w:themeTint="F2"/>
              </w:rPr>
              <w:t>loni Praha největší dominance u</w:t>
            </w:r>
            <w:r w:rsidR="006836CB" w:rsidRPr="00360DE3">
              <w:rPr>
                <w:rFonts w:cs="Arial"/>
                <w:color w:val="0D0D0D" w:themeColor="text1" w:themeTint="F2"/>
              </w:rPr>
              <w:t> </w:t>
            </w:r>
            <w:r w:rsidRPr="00360DE3">
              <w:rPr>
                <w:rFonts w:cs="Arial"/>
                <w:color w:val="0D0D0D" w:themeColor="text1" w:themeTint="F2"/>
              </w:rPr>
              <w:t xml:space="preserve">řídících pracovníků, u nichž průměrná hrubá měsíční mzda v metropoli (85 tis. korun) byla oproti Karlovarskému kraji vyšší o 78 %. Výsostné postavení Prahy panovalo také u specialistů, naopak v kvalifikovaných manuálních profesích ji pokořil Středočeský kraj (kde lze předpokládat dobré uplatnění těchto pracovníků v automobilovém průmyslu a na něj navázaných oborech). Průměrné mzdy pomocných a nekvalifikovaných pracovníků v Praze se dokonce nacházely pod celorepublikovým průměrem této třídy. Nejméně kvalifikovaní pracovníci na Plzeňsku si tak vydělali o osminu více než v Praze (absolutně šlo ale jen o 2,3 tis. korun měsíčně). Nejnižší </w:t>
            </w:r>
            <w:proofErr w:type="spellStart"/>
            <w:r w:rsidRPr="00360DE3">
              <w:rPr>
                <w:rFonts w:cs="Arial"/>
                <w:color w:val="0D0D0D" w:themeColor="text1" w:themeTint="F2"/>
              </w:rPr>
              <w:t>mezikrajské</w:t>
            </w:r>
            <w:proofErr w:type="spellEnd"/>
            <w:r w:rsidRPr="00360DE3">
              <w:rPr>
                <w:rFonts w:cs="Arial"/>
                <w:color w:val="0D0D0D" w:themeColor="text1" w:themeTint="F2"/>
              </w:rPr>
              <w:t xml:space="preserve"> disparity dlouhodobě přetrvávají </w:t>
            </w:r>
            <w:r w:rsidR="0026207F">
              <w:rPr>
                <w:rFonts w:cs="Arial"/>
                <w:color w:val="0D0D0D" w:themeColor="text1" w:themeTint="F2"/>
              </w:rPr>
              <w:t xml:space="preserve">v </w:t>
            </w:r>
            <w:r w:rsidRPr="00360DE3">
              <w:rPr>
                <w:rFonts w:cs="Arial"/>
                <w:color w:val="0D0D0D" w:themeColor="text1" w:themeTint="F2"/>
              </w:rPr>
              <w:t>kategorii obsluha strojů a zařízení (od 24,0 tis. na Pardubicku po 27,6 tis. ve Středočeském kraji).</w:t>
            </w:r>
          </w:p>
        </w:tc>
      </w:tr>
    </w:tbl>
    <w:p w:rsidR="005D3386" w:rsidRPr="00360DE3" w:rsidRDefault="005D3386" w:rsidP="005D3386">
      <w:pPr>
        <w:rPr>
          <w:sz w:val="2"/>
          <w:szCs w:val="2"/>
        </w:rPr>
      </w:pPr>
    </w:p>
    <w:p w:rsidR="00C466D2" w:rsidRPr="00360DE3" w:rsidRDefault="00C466D2" w:rsidP="00C466D2">
      <w:pPr>
        <w:rPr>
          <w:rFonts w:eastAsia="MS Gothic"/>
          <w:color w:val="71818C"/>
          <w:sz w:val="32"/>
          <w:szCs w:val="28"/>
        </w:rPr>
      </w:pPr>
    </w:p>
    <w:sectPr w:rsidR="00C466D2" w:rsidRPr="00360DE3" w:rsidSect="00B0723C">
      <w:headerReference w:type="even" r:id="rId19"/>
      <w:headerReference w:type="default" r:id="rId20"/>
      <w:footerReference w:type="even" r:id="rId21"/>
      <w:footerReference w:type="default" r:id="rId22"/>
      <w:pgSz w:w="11906" w:h="16838" w:code="9"/>
      <w:pgMar w:top="1134" w:right="1134" w:bottom="1418" w:left="1134" w:header="680" w:footer="680"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EF7" w:rsidRDefault="007E6EF7" w:rsidP="00E71A58">
      <w:r>
        <w:separator/>
      </w:r>
    </w:p>
  </w:endnote>
  <w:endnote w:type="continuationSeparator" w:id="0">
    <w:p w:rsidR="007E6EF7" w:rsidRDefault="007E6EF7"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Times New Roman CE obyèejné">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932443" w:rsidRDefault="00C805DC" w:rsidP="00A418BC">
    <w:pPr>
      <w:pStyle w:val="Zpat"/>
      <w:rPr>
        <w:szCs w:val="16"/>
      </w:rPr>
    </w:pPr>
    <w:r>
      <w:rPr>
        <w:szCs w:val="16"/>
        <w:lang w:eastAsia="cs-CZ"/>
      </w:rPr>
      <w:drawing>
        <wp:anchor distT="0" distB="0" distL="114300" distR="114300" simplePos="0" relativeHeight="251658240" behindDoc="0" locked="0" layoutInCell="1" allowOverlap="1">
          <wp:simplePos x="0" y="0"/>
          <wp:positionH relativeFrom="column">
            <wp:align>right</wp:align>
          </wp:positionH>
          <wp:positionV relativeFrom="paragraph">
            <wp:posOffset>-64770</wp:posOffset>
          </wp:positionV>
          <wp:extent cx="428625" cy="201295"/>
          <wp:effectExtent l="0" t="0" r="3175" b="1905"/>
          <wp:wrapNone/>
          <wp:docPr id="15" name="Picture 15"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01295"/>
                  </a:xfrm>
                  <a:prstGeom prst="rect">
                    <a:avLst/>
                  </a:prstGeom>
                  <a:noFill/>
                  <a:ln>
                    <a:noFill/>
                  </a:ln>
                </pic:spPr>
              </pic:pic>
            </a:graphicData>
          </a:graphic>
        </wp:anchor>
      </w:drawing>
    </w:r>
    <w:r w:rsidR="00571C34" w:rsidRPr="00932443">
      <w:rPr>
        <w:szCs w:val="16"/>
      </w:rPr>
      <w:fldChar w:fldCharType="begin"/>
    </w:r>
    <w:r w:rsidRPr="00932443">
      <w:rPr>
        <w:szCs w:val="16"/>
      </w:rPr>
      <w:instrText>PAGE   \* MERGEFORMAT</w:instrText>
    </w:r>
    <w:r w:rsidR="00571C34" w:rsidRPr="00932443">
      <w:rPr>
        <w:szCs w:val="16"/>
      </w:rPr>
      <w:fldChar w:fldCharType="separate"/>
    </w:r>
    <w:r w:rsidR="00B0723C">
      <w:rPr>
        <w:szCs w:val="16"/>
      </w:rPr>
      <w:t>22</w:t>
    </w:r>
    <w:r w:rsidR="00571C34" w:rsidRPr="00932443">
      <w:rPr>
        <w:szCs w:val="16"/>
      </w:rPr>
      <w:fldChar w:fldCharType="end"/>
    </w:r>
    <w:r w:rsidRPr="00932443">
      <w:rPr>
        <w:szCs w:val="16"/>
      </w:rPr>
      <w:tab/>
    </w:r>
    <w:r>
      <w:rPr>
        <w:szCs w:val="16"/>
      </w:rPr>
      <w:t>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932443" w:rsidRDefault="00C805DC" w:rsidP="00A418BC">
    <w:pPr>
      <w:pStyle w:val="Zpat"/>
      <w:rPr>
        <w:szCs w:val="16"/>
      </w:rPr>
    </w:pPr>
    <w:r>
      <w:rPr>
        <w:szCs w:val="16"/>
        <w:lang w:eastAsia="cs-CZ"/>
      </w:rPr>
      <w:drawing>
        <wp:anchor distT="0" distB="0" distL="114300" distR="114300" simplePos="0" relativeHeight="251657216" behindDoc="0" locked="0" layoutInCell="1" allowOverlap="1">
          <wp:simplePos x="0" y="0"/>
          <wp:positionH relativeFrom="column">
            <wp:align>left</wp:align>
          </wp:positionH>
          <wp:positionV relativeFrom="paragraph">
            <wp:posOffset>-122555</wp:posOffset>
          </wp:positionV>
          <wp:extent cx="510540" cy="272415"/>
          <wp:effectExtent l="0" t="0" r="0" b="6985"/>
          <wp:wrapNone/>
          <wp:docPr id="16" name="Picture 16"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2017</w:t>
    </w:r>
    <w:r w:rsidRPr="00932443">
      <w:rPr>
        <w:szCs w:val="16"/>
      </w:rPr>
      <w:tab/>
    </w:r>
    <w:r w:rsidR="00571C34" w:rsidRPr="00932443">
      <w:rPr>
        <w:rStyle w:val="ZpatChar"/>
        <w:szCs w:val="16"/>
      </w:rPr>
      <w:fldChar w:fldCharType="begin"/>
    </w:r>
    <w:r w:rsidRPr="00932443">
      <w:rPr>
        <w:rStyle w:val="ZpatChar"/>
        <w:szCs w:val="16"/>
      </w:rPr>
      <w:instrText>PAGE   \* MERGEFORMAT</w:instrText>
    </w:r>
    <w:r w:rsidR="00571C34" w:rsidRPr="00932443">
      <w:rPr>
        <w:rStyle w:val="ZpatChar"/>
        <w:szCs w:val="16"/>
      </w:rPr>
      <w:fldChar w:fldCharType="separate"/>
    </w:r>
    <w:r w:rsidR="00B0723C">
      <w:rPr>
        <w:rStyle w:val="ZpatChar"/>
        <w:szCs w:val="16"/>
      </w:rPr>
      <w:t>21</w:t>
    </w:r>
    <w:r w:rsidR="00571C34" w:rsidRPr="00932443">
      <w:rPr>
        <w:rStyle w:val="ZpatChar"/>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EF7" w:rsidRDefault="007E6EF7" w:rsidP="00E71A58">
      <w:r>
        <w:separator/>
      </w:r>
    </w:p>
  </w:footnote>
  <w:footnote w:type="continuationSeparator" w:id="0">
    <w:p w:rsidR="007E6EF7" w:rsidRDefault="007E6EF7" w:rsidP="00E71A58">
      <w:r>
        <w:continuationSeparator/>
      </w:r>
    </w:p>
  </w:footnote>
  <w:footnote w:id="1">
    <w:p w:rsidR="00C805DC" w:rsidRPr="0089525B" w:rsidRDefault="00C805DC" w:rsidP="005D3386">
      <w:pPr>
        <w:pStyle w:val="Textpoznpodarou"/>
        <w:rPr>
          <w:sz w:val="16"/>
          <w:szCs w:val="16"/>
        </w:rPr>
      </w:pPr>
      <w:r w:rsidRPr="0089525B">
        <w:rPr>
          <w:rStyle w:val="Znakapoznpodarou"/>
          <w:sz w:val="16"/>
          <w:szCs w:val="16"/>
        </w:rPr>
        <w:footnoteRef/>
      </w:r>
      <w:r w:rsidRPr="0089525B">
        <w:rPr>
          <w:sz w:val="16"/>
          <w:szCs w:val="16"/>
        </w:rPr>
        <w:t xml:space="preserve"> Pokud není uvedeno jinak, vychází všechny údaje o zaměstnanosti v této kapitole z údajů národních účtů.</w:t>
      </w:r>
    </w:p>
  </w:footnote>
  <w:footnote w:id="2">
    <w:p w:rsidR="00C805DC" w:rsidRPr="00783594" w:rsidRDefault="00C805DC" w:rsidP="005D3386">
      <w:pPr>
        <w:pStyle w:val="Textpoznpodarou"/>
        <w:jc w:val="both"/>
        <w:rPr>
          <w:spacing w:val="-2"/>
          <w:sz w:val="16"/>
          <w:szCs w:val="16"/>
        </w:rPr>
      </w:pPr>
      <w:r w:rsidRPr="00783594">
        <w:rPr>
          <w:rStyle w:val="Znakapoznpodarou"/>
          <w:spacing w:val="-2"/>
          <w:sz w:val="16"/>
          <w:szCs w:val="16"/>
        </w:rPr>
        <w:footnoteRef/>
      </w:r>
      <w:r w:rsidRPr="00783594">
        <w:rPr>
          <w:spacing w:val="-2"/>
          <w:sz w:val="16"/>
          <w:szCs w:val="16"/>
        </w:rPr>
        <w:t xml:space="preserve"> Ze 13 zemí střední a východní Evropy, jež vstoupily do EU po roce 2000, zaznamenaly loni slabší tempo zaměstnanosti jen </w:t>
      </w:r>
      <w:r>
        <w:rPr>
          <w:spacing w:val="-2"/>
          <w:sz w:val="16"/>
          <w:szCs w:val="16"/>
        </w:rPr>
        <w:t>Polsko (+1,4</w:t>
      </w:r>
      <w:r w:rsidRPr="0089525B">
        <w:rPr>
          <w:sz w:val="16"/>
          <w:szCs w:val="16"/>
        </w:rPr>
        <w:t> </w:t>
      </w:r>
      <w:r w:rsidRPr="00783594">
        <w:rPr>
          <w:spacing w:val="-2"/>
          <w:sz w:val="16"/>
          <w:szCs w:val="16"/>
        </w:rPr>
        <w:t>%), Lotyško (+0,6 %) a Litva (-0,5 %).  Na Slovensku a Maďarsku zaměstnanost posílila mírně přes 2 %, ve Slovinsku téměř o 3 %.</w:t>
      </w:r>
    </w:p>
  </w:footnote>
  <w:footnote w:id="3">
    <w:p w:rsidR="00C805DC" w:rsidRPr="0063116B" w:rsidRDefault="00C805DC" w:rsidP="005D3386">
      <w:pPr>
        <w:pStyle w:val="Textpoznpodarou"/>
        <w:rPr>
          <w:sz w:val="16"/>
          <w:szCs w:val="16"/>
        </w:rPr>
      </w:pPr>
      <w:r w:rsidRPr="0063116B">
        <w:rPr>
          <w:rStyle w:val="Znakapoznpodarou"/>
          <w:sz w:val="16"/>
          <w:szCs w:val="16"/>
        </w:rPr>
        <w:footnoteRef/>
      </w:r>
      <w:r w:rsidRPr="0063116B">
        <w:rPr>
          <w:sz w:val="16"/>
          <w:szCs w:val="16"/>
        </w:rPr>
        <w:t xml:space="preserve"> Dle sezónně očištěných údajů. Dosavadní rekord z konce konjunkturního roku 2008 byl překonán o více než 130 tis. osob.</w:t>
      </w:r>
    </w:p>
  </w:footnote>
  <w:footnote w:id="4">
    <w:p w:rsidR="00C805DC" w:rsidRPr="001D0752" w:rsidRDefault="00C805DC" w:rsidP="00360DE3">
      <w:pPr>
        <w:pStyle w:val="Textpoznpodarou"/>
        <w:rPr>
          <w:sz w:val="16"/>
          <w:szCs w:val="16"/>
        </w:rPr>
      </w:pPr>
      <w:r w:rsidRPr="001D0752">
        <w:rPr>
          <w:rStyle w:val="Znakapoznpodarou"/>
          <w:sz w:val="16"/>
          <w:szCs w:val="16"/>
        </w:rPr>
        <w:footnoteRef/>
      </w:r>
      <w:r w:rsidRPr="001D0752">
        <w:rPr>
          <w:sz w:val="16"/>
          <w:szCs w:val="16"/>
        </w:rPr>
        <w:t xml:space="preserve"> Naopak pokles počtu drobných podnikatelů (</w:t>
      </w:r>
      <w:proofErr w:type="spellStart"/>
      <w:r w:rsidRPr="001D0752">
        <w:rPr>
          <w:sz w:val="16"/>
          <w:szCs w:val="16"/>
        </w:rPr>
        <w:t>sebezaměstnaných</w:t>
      </w:r>
      <w:proofErr w:type="spellEnd"/>
      <w:r w:rsidRPr="001D0752">
        <w:rPr>
          <w:sz w:val="16"/>
          <w:szCs w:val="16"/>
        </w:rPr>
        <w:t xml:space="preserve">) </w:t>
      </w:r>
      <w:r>
        <w:rPr>
          <w:sz w:val="16"/>
          <w:szCs w:val="16"/>
        </w:rPr>
        <w:t xml:space="preserve">se loni ve stavebnictví </w:t>
      </w:r>
      <w:r w:rsidRPr="001D0752">
        <w:rPr>
          <w:sz w:val="16"/>
          <w:szCs w:val="16"/>
        </w:rPr>
        <w:t xml:space="preserve">po pěti letech zastavil. </w:t>
      </w:r>
    </w:p>
  </w:footnote>
  <w:footnote w:id="5">
    <w:p w:rsidR="00C805DC" w:rsidRPr="008754A3" w:rsidRDefault="00C805DC" w:rsidP="005D3386">
      <w:pPr>
        <w:pStyle w:val="Textpoznpodarou"/>
        <w:rPr>
          <w:sz w:val="16"/>
          <w:szCs w:val="16"/>
        </w:rPr>
      </w:pPr>
      <w:r w:rsidRPr="008754A3">
        <w:rPr>
          <w:rStyle w:val="Znakapoznpodarou"/>
          <w:sz w:val="16"/>
          <w:szCs w:val="16"/>
        </w:rPr>
        <w:footnoteRef/>
      </w:r>
      <w:r w:rsidRPr="008754A3">
        <w:rPr>
          <w:sz w:val="16"/>
          <w:szCs w:val="16"/>
        </w:rPr>
        <w:t xml:space="preserve"> Ve srovnání se státy Evropského sdružení volného obchodu, však již bylo </w:t>
      </w:r>
      <w:r>
        <w:rPr>
          <w:sz w:val="16"/>
          <w:szCs w:val="16"/>
        </w:rPr>
        <w:t xml:space="preserve">loni </w:t>
      </w:r>
      <w:r w:rsidRPr="008754A3">
        <w:rPr>
          <w:sz w:val="16"/>
          <w:szCs w:val="16"/>
        </w:rPr>
        <w:t>postavení Če</w:t>
      </w:r>
      <w:r>
        <w:rPr>
          <w:sz w:val="16"/>
          <w:szCs w:val="16"/>
        </w:rPr>
        <w:t>ska méně impozantní. Vyšší parti</w:t>
      </w:r>
      <w:r w:rsidRPr="008754A3">
        <w:rPr>
          <w:sz w:val="16"/>
          <w:szCs w:val="16"/>
        </w:rPr>
        <w:t>cipace dosahovali muži na Islandu (90,5 %) i ve Švýcarsku (86,8 %).</w:t>
      </w:r>
    </w:p>
  </w:footnote>
  <w:footnote w:id="6">
    <w:p w:rsidR="00C805DC" w:rsidRPr="00BA302E" w:rsidRDefault="00C805DC" w:rsidP="005D3386">
      <w:pPr>
        <w:pStyle w:val="Textpoznpodarou"/>
        <w:jc w:val="both"/>
        <w:rPr>
          <w:sz w:val="16"/>
          <w:szCs w:val="16"/>
        </w:rPr>
      </w:pPr>
      <w:r w:rsidRPr="00BA302E">
        <w:rPr>
          <w:rStyle w:val="Znakapoznpodarou"/>
          <w:sz w:val="16"/>
          <w:szCs w:val="16"/>
        </w:rPr>
        <w:footnoteRef/>
      </w:r>
      <w:r>
        <w:rPr>
          <w:sz w:val="16"/>
          <w:szCs w:val="16"/>
        </w:rPr>
        <w:t xml:space="preserve"> N</w:t>
      </w:r>
      <w:r w:rsidRPr="00BA302E">
        <w:rPr>
          <w:sz w:val="16"/>
          <w:szCs w:val="16"/>
        </w:rPr>
        <w:t>ecelých 44 % žen ve věku 20-49 let s nejmladším dítětem do 6 let byla loni v ČR zaměstnána. Nižší</w:t>
      </w:r>
      <w:r>
        <w:rPr>
          <w:sz w:val="16"/>
          <w:szCs w:val="16"/>
        </w:rPr>
        <w:t xml:space="preserve">ch hodnot </w:t>
      </w:r>
      <w:r w:rsidRPr="00BA302E">
        <w:rPr>
          <w:sz w:val="16"/>
          <w:szCs w:val="16"/>
        </w:rPr>
        <w:t xml:space="preserve">dosahovaly </w:t>
      </w:r>
      <w:r>
        <w:rPr>
          <w:sz w:val="16"/>
          <w:szCs w:val="16"/>
        </w:rPr>
        <w:t xml:space="preserve">v EU </w:t>
      </w:r>
      <w:r w:rsidRPr="00BA302E">
        <w:rPr>
          <w:sz w:val="16"/>
          <w:szCs w:val="16"/>
        </w:rPr>
        <w:t xml:space="preserve">jen Polsko a Maďarsko (shodně 42 %). V některých severských státech či zemích Beneluxu, ale také např. ve Slovinsku </w:t>
      </w:r>
      <w:r>
        <w:rPr>
          <w:sz w:val="16"/>
          <w:szCs w:val="16"/>
        </w:rPr>
        <w:t>i</w:t>
      </w:r>
      <w:r w:rsidRPr="00BA302E">
        <w:rPr>
          <w:sz w:val="16"/>
          <w:szCs w:val="16"/>
        </w:rPr>
        <w:t xml:space="preserve"> Portugalsku </w:t>
      </w:r>
      <w:r>
        <w:rPr>
          <w:sz w:val="16"/>
          <w:szCs w:val="16"/>
        </w:rPr>
        <w:t>takto pracovaly</w:t>
      </w:r>
      <w:r w:rsidRPr="00BA302E">
        <w:rPr>
          <w:sz w:val="16"/>
          <w:szCs w:val="16"/>
        </w:rPr>
        <w:t xml:space="preserve"> až o tři čtvrtiny žen.</w:t>
      </w:r>
    </w:p>
  </w:footnote>
  <w:footnote w:id="7">
    <w:p w:rsidR="00C805DC" w:rsidRPr="00F673C3" w:rsidRDefault="00C805DC" w:rsidP="005D3386">
      <w:pPr>
        <w:pStyle w:val="Textpoznpodarou"/>
        <w:rPr>
          <w:sz w:val="16"/>
          <w:szCs w:val="16"/>
        </w:rPr>
      </w:pPr>
      <w:r w:rsidRPr="00F673C3">
        <w:rPr>
          <w:rStyle w:val="Znakapoznpodarou"/>
          <w:sz w:val="16"/>
          <w:szCs w:val="16"/>
        </w:rPr>
        <w:footnoteRef/>
      </w:r>
      <w:r w:rsidRPr="00F673C3">
        <w:rPr>
          <w:sz w:val="16"/>
          <w:szCs w:val="16"/>
        </w:rPr>
        <w:t xml:space="preserve"> Podíl 20-49letých žen (s nejmladším dítětem ve věku do 6 let) pracujících na zkrácené úvazky se mezi roky 2014 a 2017 zvýšil z 19 na 23 %, obdobně u žen pracujících z domova ze 7 na 13 %.</w:t>
      </w:r>
    </w:p>
  </w:footnote>
  <w:footnote w:id="8">
    <w:p w:rsidR="00C805DC" w:rsidRPr="004634A9" w:rsidRDefault="00C805DC" w:rsidP="005D3386">
      <w:pPr>
        <w:pStyle w:val="Textpoznpodarou"/>
        <w:rPr>
          <w:sz w:val="16"/>
          <w:szCs w:val="16"/>
        </w:rPr>
      </w:pPr>
      <w:r w:rsidRPr="004634A9">
        <w:rPr>
          <w:rStyle w:val="Znakapoznpodarou"/>
          <w:sz w:val="16"/>
          <w:szCs w:val="16"/>
        </w:rPr>
        <w:footnoteRef/>
      </w:r>
      <w:r w:rsidRPr="004634A9">
        <w:rPr>
          <w:sz w:val="16"/>
          <w:szCs w:val="16"/>
        </w:rPr>
        <w:t xml:space="preserve"> Ze 129 tis. nezaměstnaných (dle metodiky ILO) jich ve 4. čtvrtletí 2017</w:t>
      </w:r>
      <w:r>
        <w:rPr>
          <w:sz w:val="16"/>
          <w:szCs w:val="16"/>
        </w:rPr>
        <w:t xml:space="preserve"> bylo bez práce méně než dva měsíce 38 tis. méně než půl rok pak v kumulaci 62 tis.</w:t>
      </w:r>
    </w:p>
  </w:footnote>
  <w:footnote w:id="9">
    <w:p w:rsidR="00C805DC" w:rsidRPr="003F10B3" w:rsidRDefault="00C805DC" w:rsidP="005D3386">
      <w:pPr>
        <w:pStyle w:val="Textpoznpodarou"/>
        <w:jc w:val="both"/>
        <w:rPr>
          <w:sz w:val="16"/>
          <w:szCs w:val="16"/>
        </w:rPr>
      </w:pPr>
      <w:r w:rsidRPr="003F10B3">
        <w:rPr>
          <w:rStyle w:val="Znakapoznpodarou"/>
          <w:sz w:val="16"/>
          <w:szCs w:val="16"/>
        </w:rPr>
        <w:footnoteRef/>
      </w:r>
      <w:r w:rsidRPr="003F10B3">
        <w:rPr>
          <w:sz w:val="16"/>
          <w:szCs w:val="16"/>
        </w:rPr>
        <w:t xml:space="preserve"> Česko se ve všech pětiletých skupinách pohybovalo v první dvojici zemí s nejnižší mírou nezaměstnanosti. O primát se „přetahovalo“ s Německem, Velkou Británií, Rumunskem či Maltou.</w:t>
      </w:r>
    </w:p>
  </w:footnote>
  <w:footnote w:id="10">
    <w:p w:rsidR="00C805DC" w:rsidRPr="001F3A0A" w:rsidRDefault="00C805DC" w:rsidP="005D3386">
      <w:pPr>
        <w:pStyle w:val="Textpoznpodarou"/>
        <w:jc w:val="both"/>
        <w:rPr>
          <w:sz w:val="16"/>
          <w:szCs w:val="16"/>
        </w:rPr>
      </w:pPr>
      <w:r w:rsidRPr="001F3A0A">
        <w:rPr>
          <w:rStyle w:val="Znakapoznpodarou"/>
          <w:sz w:val="16"/>
          <w:szCs w:val="16"/>
        </w:rPr>
        <w:footnoteRef/>
      </w:r>
      <w:r w:rsidRPr="001F3A0A">
        <w:rPr>
          <w:sz w:val="16"/>
          <w:szCs w:val="16"/>
        </w:rPr>
        <w:t xml:space="preserve"> Česko se tak přiblížilo zemím (severské státy, Velká Británie) s flexibilnějším trhem práce, kde významnou část nezaměstnanosti tvoří obvykle její frikční složka. Naopak v Řecku (73 %) či Itálii (59 %) zůstával podíl nezaměstnaných déle než rok na celkové nezaměstnanosti vysoký. To platilo i pro Slovensko (62 %), třebaže jeho pokles celkové míry nezaměstnanosti byl v posledních třech letech dynamický (z 13,2 % na 8,2 %).</w:t>
      </w:r>
    </w:p>
  </w:footnote>
  <w:footnote w:id="11">
    <w:p w:rsidR="00C805DC" w:rsidRPr="00AA5EA1" w:rsidRDefault="00C805DC" w:rsidP="005D3386">
      <w:pPr>
        <w:pStyle w:val="Textpoznpodarou"/>
        <w:rPr>
          <w:sz w:val="16"/>
          <w:szCs w:val="16"/>
        </w:rPr>
      </w:pPr>
      <w:r w:rsidRPr="00AA5EA1">
        <w:rPr>
          <w:rStyle w:val="Znakapoznpodarou"/>
          <w:sz w:val="16"/>
          <w:szCs w:val="16"/>
        </w:rPr>
        <w:footnoteRef/>
      </w:r>
      <w:r w:rsidRPr="00AA5EA1">
        <w:rPr>
          <w:sz w:val="16"/>
          <w:szCs w:val="16"/>
        </w:rPr>
        <w:t xml:space="preserve"> Cekem šlo o 103 tis. míst, v drtivé většině byly určeny pro </w:t>
      </w:r>
      <w:proofErr w:type="spellStart"/>
      <w:r w:rsidRPr="00AA5EA1">
        <w:rPr>
          <w:sz w:val="16"/>
          <w:szCs w:val="16"/>
        </w:rPr>
        <w:t>nízkokvalifikované</w:t>
      </w:r>
      <w:proofErr w:type="spellEnd"/>
      <w:r w:rsidRPr="00AA5EA1">
        <w:rPr>
          <w:sz w:val="16"/>
          <w:szCs w:val="16"/>
        </w:rPr>
        <w:t xml:space="preserve"> zaměstnance (55 % spadalo do kategorie </w:t>
      </w:r>
      <w:r w:rsidRPr="00AA5EA1">
        <w:rPr>
          <w:rFonts w:eastAsia="Times New Roman" w:cs="Arial"/>
          <w:color w:val="000000"/>
          <w:sz w:val="16"/>
          <w:szCs w:val="16"/>
        </w:rPr>
        <w:t>obsluhy strojů a zařízen</w:t>
      </w:r>
      <w:r>
        <w:rPr>
          <w:rFonts w:eastAsia="Times New Roman" w:cs="Arial"/>
          <w:color w:val="000000"/>
          <w:sz w:val="16"/>
          <w:szCs w:val="16"/>
        </w:rPr>
        <w:t>í</w:t>
      </w:r>
      <w:r w:rsidRPr="00AA5EA1">
        <w:rPr>
          <w:rFonts w:eastAsia="Times New Roman" w:cs="Arial"/>
          <w:color w:val="000000"/>
          <w:sz w:val="16"/>
          <w:szCs w:val="16"/>
        </w:rPr>
        <w:t xml:space="preserve"> či pomocné a nekvalifikované pracovníky, dalších 22 % do skupiny řemeslníci a opraváři</w:t>
      </w:r>
      <w:r>
        <w:rPr>
          <w:rFonts w:eastAsia="Times New Roman" w:cs="Arial"/>
          <w:color w:val="000000"/>
          <w:sz w:val="16"/>
          <w:szCs w:val="16"/>
        </w:rPr>
        <w:t>)</w:t>
      </w:r>
      <w:r w:rsidRPr="00AA5EA1">
        <w:rPr>
          <w:rFonts w:eastAsia="Times New Roman" w:cs="Arial"/>
          <w:color w:val="000000"/>
          <w:sz w:val="16"/>
          <w:szCs w:val="16"/>
        </w:rPr>
        <w:t xml:space="preserve">. </w:t>
      </w:r>
    </w:p>
  </w:footnote>
  <w:footnote w:id="12">
    <w:p w:rsidR="00C805DC" w:rsidRDefault="00C805DC" w:rsidP="005D3386">
      <w:pPr>
        <w:pStyle w:val="Textpoznpodarou"/>
        <w:jc w:val="both"/>
      </w:pPr>
      <w:r>
        <w:rPr>
          <w:rStyle w:val="Znakapoznpodarou"/>
        </w:rPr>
        <w:footnoteRef/>
      </w:r>
      <w:r>
        <w:t xml:space="preserve"> </w:t>
      </w:r>
      <w:r>
        <w:rPr>
          <w:sz w:val="16"/>
          <w:szCs w:val="16"/>
        </w:rPr>
        <w:t>Dle kvalifikovaných odhadů MPSV</w:t>
      </w:r>
      <w:r w:rsidRPr="00577979">
        <w:rPr>
          <w:sz w:val="16"/>
          <w:szCs w:val="16"/>
        </w:rPr>
        <w:t xml:space="preserve"> vzrostl během roku 2017 poče</w:t>
      </w:r>
      <w:r>
        <w:rPr>
          <w:sz w:val="16"/>
          <w:szCs w:val="16"/>
        </w:rPr>
        <w:t xml:space="preserve">t cizinců v pozici zaměstnanců </w:t>
      </w:r>
      <w:r w:rsidRPr="00577979">
        <w:rPr>
          <w:sz w:val="16"/>
          <w:szCs w:val="16"/>
        </w:rPr>
        <w:t>o 87 tis.</w:t>
      </w:r>
      <w:r>
        <w:rPr>
          <w:sz w:val="16"/>
          <w:szCs w:val="16"/>
        </w:rPr>
        <w:t xml:space="preserve"> Téměř třetinu z tohoto nárůstu tvořili občané Ukrajiny.</w:t>
      </w:r>
      <w:r w:rsidRPr="00577979">
        <w:rPr>
          <w:sz w:val="16"/>
          <w:szCs w:val="16"/>
        </w:rPr>
        <w:t xml:space="preserve"> Na konci roku 2017 tak v zaměs</w:t>
      </w:r>
      <w:r>
        <w:rPr>
          <w:sz w:val="16"/>
          <w:szCs w:val="16"/>
        </w:rPr>
        <w:t>tnaneckých pozicích v ČR</w:t>
      </w:r>
      <w:r w:rsidRPr="00577979">
        <w:rPr>
          <w:sz w:val="16"/>
          <w:szCs w:val="16"/>
        </w:rPr>
        <w:t xml:space="preserve"> pracovalo </w:t>
      </w:r>
      <w:r>
        <w:rPr>
          <w:sz w:val="16"/>
          <w:szCs w:val="16"/>
        </w:rPr>
        <w:t xml:space="preserve">celkem </w:t>
      </w:r>
      <w:r w:rsidRPr="00577979">
        <w:rPr>
          <w:sz w:val="16"/>
          <w:szCs w:val="16"/>
        </w:rPr>
        <w:t>472 ti</w:t>
      </w:r>
      <w:r>
        <w:rPr>
          <w:sz w:val="16"/>
          <w:szCs w:val="16"/>
        </w:rPr>
        <w:t xml:space="preserve">s. cizích státních příslušníků (70 % z nich byli občany EU). Bezmála třetina cizinců působila ve zpracovatelském průmyslu a spolu s odvětvím administrativních a podpůrných činností (kam patří z velké části agenturní pracovníci) to byla skoro polovina. Z pohledu kvalifikací byla třetina cizinců řazena jako pomocní a nekvalifikovaní pracovníci, pětina pak v kategorii </w:t>
      </w:r>
      <w:r w:rsidRPr="005C57CC">
        <w:rPr>
          <w:sz w:val="16"/>
          <w:szCs w:val="16"/>
        </w:rPr>
        <w:t>obsluha strojů a zařízení, montéři.</w:t>
      </w:r>
      <w:r>
        <w:rPr>
          <w:sz w:val="16"/>
          <w:szCs w:val="16"/>
        </w:rPr>
        <w:t xml:space="preserve"> Do celkového počtu pracujících cizinců v ČR je třeba ještě připočítat osoby s</w:t>
      </w:r>
      <w:r w:rsidRPr="00DE086E">
        <w:rPr>
          <w:sz w:val="16"/>
          <w:szCs w:val="16"/>
        </w:rPr>
        <w:t xml:space="preserve"> platným živnostenským oprávněním</w:t>
      </w:r>
      <w:r>
        <w:rPr>
          <w:sz w:val="16"/>
          <w:szCs w:val="16"/>
        </w:rPr>
        <w:t xml:space="preserve"> (87 tis.), jejichž četnost však v posledních dvou letech rostla jen velmi pozvolna. Polovinu podnikajících cizinců tvořili v součtu občané Ukrajiny a Vietnamu. </w:t>
      </w:r>
    </w:p>
  </w:footnote>
  <w:footnote w:id="13">
    <w:p w:rsidR="00C805DC" w:rsidRPr="00E93575" w:rsidRDefault="00C805DC" w:rsidP="00EA0840">
      <w:pPr>
        <w:pStyle w:val="Textpoznpodarou"/>
        <w:jc w:val="both"/>
        <w:rPr>
          <w:spacing w:val="-2"/>
          <w:sz w:val="16"/>
          <w:szCs w:val="16"/>
        </w:rPr>
      </w:pPr>
      <w:r w:rsidRPr="00E93575">
        <w:rPr>
          <w:rStyle w:val="Znakapoznpodarou"/>
          <w:spacing w:val="-2"/>
          <w:sz w:val="16"/>
          <w:szCs w:val="16"/>
        </w:rPr>
        <w:footnoteRef/>
      </w:r>
      <w:r w:rsidRPr="00E93575">
        <w:rPr>
          <w:spacing w:val="-2"/>
          <w:sz w:val="16"/>
          <w:szCs w:val="16"/>
        </w:rPr>
        <w:t xml:space="preserve"> Míra nezaměstnanosti je zde z důvodu datové dosažitelnosti nahrazena ukazatelem „podíl registrovaných uchazečů o práci na bydlícím obyvatelstvu ve věku 15-64 let“. Z hodnocených území obvodů pověřených obecních úřadů jich mez</w:t>
      </w:r>
      <w:r>
        <w:rPr>
          <w:spacing w:val="-2"/>
          <w:sz w:val="16"/>
          <w:szCs w:val="16"/>
        </w:rPr>
        <w:t>iroční pokles nezaměstnanosti o</w:t>
      </w:r>
      <w:r w:rsidRPr="00E93575">
        <w:rPr>
          <w:spacing w:val="-2"/>
          <w:sz w:val="16"/>
          <w:szCs w:val="16"/>
        </w:rPr>
        <w:t xml:space="preserve"> alespoň 0,5 p. </w:t>
      </w:r>
      <w:proofErr w:type="spellStart"/>
      <w:r w:rsidRPr="00E93575">
        <w:rPr>
          <w:spacing w:val="-2"/>
          <w:sz w:val="16"/>
          <w:szCs w:val="16"/>
        </w:rPr>
        <w:t>b</w:t>
      </w:r>
      <w:proofErr w:type="spellEnd"/>
      <w:r w:rsidRPr="00E93575">
        <w:rPr>
          <w:spacing w:val="-2"/>
          <w:sz w:val="16"/>
          <w:szCs w:val="16"/>
        </w:rPr>
        <w:t xml:space="preserve">. </w:t>
      </w:r>
      <w:proofErr w:type="gramStart"/>
      <w:r w:rsidRPr="00E93575">
        <w:rPr>
          <w:spacing w:val="-2"/>
          <w:sz w:val="16"/>
          <w:szCs w:val="16"/>
        </w:rPr>
        <w:t>loni</w:t>
      </w:r>
      <w:proofErr w:type="gramEnd"/>
      <w:r w:rsidRPr="00E93575">
        <w:rPr>
          <w:spacing w:val="-2"/>
          <w:sz w:val="16"/>
          <w:szCs w:val="16"/>
        </w:rPr>
        <w:t xml:space="preserve"> zaznamenalo 95 %.</w:t>
      </w:r>
    </w:p>
  </w:footnote>
  <w:footnote w:id="14">
    <w:p w:rsidR="00C805DC" w:rsidRPr="00E93575" w:rsidRDefault="00C805DC" w:rsidP="005D3386">
      <w:pPr>
        <w:pStyle w:val="Textpoznpodarou"/>
        <w:jc w:val="both"/>
        <w:rPr>
          <w:spacing w:val="-4"/>
          <w:sz w:val="16"/>
          <w:szCs w:val="16"/>
        </w:rPr>
      </w:pPr>
      <w:r w:rsidRPr="00E93575">
        <w:rPr>
          <w:rStyle w:val="Znakapoznpodarou"/>
          <w:spacing w:val="-4"/>
          <w:sz w:val="16"/>
          <w:szCs w:val="16"/>
        </w:rPr>
        <w:footnoteRef/>
      </w:r>
      <w:r w:rsidRPr="00E93575">
        <w:rPr>
          <w:spacing w:val="-4"/>
          <w:sz w:val="16"/>
          <w:szCs w:val="16"/>
        </w:rPr>
        <w:t xml:space="preserve"> Není-li uvedeno jinak, pochází údaje o mzdách v této kapitole z údajů národních účtů. </w:t>
      </w:r>
      <w:r w:rsidRPr="00E93575">
        <w:rPr>
          <w:iCs/>
          <w:color w:val="0D0D0D" w:themeColor="text1" w:themeTint="F2"/>
          <w:spacing w:val="-4"/>
          <w:sz w:val="16"/>
          <w:szCs w:val="16"/>
        </w:rPr>
        <w:t>Zahrnují veškeré příjmy ze zaměst</w:t>
      </w:r>
      <w:r>
        <w:rPr>
          <w:iCs/>
          <w:color w:val="0D0D0D" w:themeColor="text1" w:themeTint="F2"/>
          <w:spacing w:val="-4"/>
          <w:sz w:val="16"/>
          <w:szCs w:val="16"/>
        </w:rPr>
        <w:t>nání, a to v peněžní i</w:t>
      </w:r>
      <w:r w:rsidRPr="00E93575">
        <w:rPr>
          <w:spacing w:val="-2"/>
          <w:sz w:val="16"/>
          <w:szCs w:val="16"/>
        </w:rPr>
        <w:t> </w:t>
      </w:r>
      <w:r w:rsidRPr="00E93575">
        <w:rPr>
          <w:iCs/>
          <w:color w:val="0D0D0D" w:themeColor="text1" w:themeTint="F2"/>
          <w:spacing w:val="-4"/>
          <w:sz w:val="16"/>
          <w:szCs w:val="16"/>
        </w:rPr>
        <w:t xml:space="preserve">naturální podobě (zaměstnanecké </w:t>
      </w:r>
      <w:proofErr w:type="spellStart"/>
      <w:r w:rsidRPr="00E93575">
        <w:rPr>
          <w:iCs/>
          <w:color w:val="0D0D0D" w:themeColor="text1" w:themeTint="F2"/>
          <w:spacing w:val="-4"/>
          <w:sz w:val="16"/>
          <w:szCs w:val="16"/>
        </w:rPr>
        <w:t>benefity</w:t>
      </w:r>
      <w:proofErr w:type="spellEnd"/>
      <w:r w:rsidRPr="00E93575">
        <w:rPr>
          <w:iCs/>
          <w:color w:val="0D0D0D" w:themeColor="text1" w:themeTint="F2"/>
          <w:spacing w:val="-4"/>
          <w:sz w:val="16"/>
          <w:szCs w:val="16"/>
        </w:rPr>
        <w:t>). Na rozdíl od podnikových statistik je v údajích promítnut i odhad vlivu šedé ekonomiky.</w:t>
      </w:r>
    </w:p>
  </w:footnote>
  <w:footnote w:id="15">
    <w:p w:rsidR="00C805DC" w:rsidRPr="0010367D" w:rsidRDefault="00C805DC" w:rsidP="00360DE3">
      <w:pPr>
        <w:pStyle w:val="Textpoznpodarou"/>
        <w:jc w:val="both"/>
        <w:rPr>
          <w:sz w:val="16"/>
          <w:szCs w:val="16"/>
        </w:rPr>
      </w:pPr>
      <w:r w:rsidRPr="0010367D">
        <w:rPr>
          <w:rStyle w:val="Znakapoznpodarou"/>
          <w:sz w:val="16"/>
          <w:szCs w:val="16"/>
        </w:rPr>
        <w:footnoteRef/>
      </w:r>
      <w:r w:rsidRPr="0010367D">
        <w:rPr>
          <w:sz w:val="16"/>
          <w:szCs w:val="16"/>
        </w:rPr>
        <w:t xml:space="preserve"> Z definitivních údajů o úplných nákladech práce za rok 2016 vyplývá, že sociální požitky (tvoří</w:t>
      </w:r>
      <w:r>
        <w:rPr>
          <w:sz w:val="16"/>
          <w:szCs w:val="16"/>
        </w:rPr>
        <w:t>cí</w:t>
      </w:r>
      <w:r w:rsidRPr="0010367D">
        <w:rPr>
          <w:sz w:val="16"/>
          <w:szCs w:val="16"/>
        </w:rPr>
        <w:t xml:space="preserve"> významnou část </w:t>
      </w:r>
      <w:proofErr w:type="spellStart"/>
      <w:r w:rsidRPr="0010367D">
        <w:rPr>
          <w:sz w:val="16"/>
          <w:szCs w:val="16"/>
        </w:rPr>
        <w:t>benefitů</w:t>
      </w:r>
      <w:proofErr w:type="spellEnd"/>
      <w:r w:rsidRPr="0010367D">
        <w:rPr>
          <w:sz w:val="16"/>
          <w:szCs w:val="16"/>
        </w:rPr>
        <w:t xml:space="preserve"> zachycenou v nepřímých nákladech práce) dále navýšily přímé náklady práce (obsahují</w:t>
      </w:r>
      <w:r>
        <w:rPr>
          <w:sz w:val="16"/>
          <w:szCs w:val="16"/>
        </w:rPr>
        <w:t>cí</w:t>
      </w:r>
      <w:r w:rsidRPr="0010367D">
        <w:rPr>
          <w:sz w:val="16"/>
          <w:szCs w:val="16"/>
        </w:rPr>
        <w:t xml:space="preserve"> mzdy a platy za vykonanou práci a také náhrady mezd placené zaměstnavatelem) v celé ekonomice o 1,5 %, v peněžnictví a pojišťovnictví </w:t>
      </w:r>
      <w:r>
        <w:rPr>
          <w:sz w:val="16"/>
          <w:szCs w:val="16"/>
        </w:rPr>
        <w:t xml:space="preserve">pak </w:t>
      </w:r>
      <w:r w:rsidRPr="0010367D">
        <w:rPr>
          <w:sz w:val="16"/>
          <w:szCs w:val="16"/>
        </w:rPr>
        <w:t xml:space="preserve">o 2,6 %. Významnou roli měly též v odvětví </w:t>
      </w:r>
      <w:r>
        <w:rPr>
          <w:sz w:val="16"/>
          <w:szCs w:val="16"/>
        </w:rPr>
        <w:t>v</w:t>
      </w:r>
      <w:r w:rsidRPr="0010367D">
        <w:rPr>
          <w:sz w:val="16"/>
          <w:szCs w:val="16"/>
        </w:rPr>
        <w:t xml:space="preserve">ýroba a rozvod elektřiny, plynu, tepla a klimatizovaného vzduchu (4,7 %), </w:t>
      </w:r>
      <w:r>
        <w:rPr>
          <w:sz w:val="16"/>
          <w:szCs w:val="16"/>
        </w:rPr>
        <w:t>z</w:t>
      </w:r>
      <w:r w:rsidRPr="0010367D">
        <w:rPr>
          <w:sz w:val="16"/>
          <w:szCs w:val="16"/>
        </w:rPr>
        <w:t xml:space="preserve">ásobování vodou; činnosti související s odpadními vodami, odpady a sanacemi (2,6 %), </w:t>
      </w:r>
      <w:r>
        <w:rPr>
          <w:sz w:val="16"/>
          <w:szCs w:val="16"/>
        </w:rPr>
        <w:t>v</w:t>
      </w:r>
      <w:r w:rsidRPr="0010367D">
        <w:rPr>
          <w:sz w:val="16"/>
          <w:szCs w:val="16"/>
        </w:rPr>
        <w:t>eřejná správa a obrana; povinné sociální zabezpečení</w:t>
      </w:r>
      <w:r>
        <w:rPr>
          <w:sz w:val="16"/>
          <w:szCs w:val="16"/>
        </w:rPr>
        <w:t xml:space="preserve"> (2,5 %) a t</w:t>
      </w:r>
      <w:r w:rsidRPr="0010367D">
        <w:rPr>
          <w:sz w:val="16"/>
          <w:szCs w:val="16"/>
        </w:rPr>
        <w:t xml:space="preserve">ěžba a dobývání (2,3 %). </w:t>
      </w:r>
      <w:r>
        <w:rPr>
          <w:sz w:val="16"/>
          <w:szCs w:val="16"/>
        </w:rPr>
        <w:t xml:space="preserve">V rozšířeném pojetí </w:t>
      </w:r>
      <w:proofErr w:type="spellStart"/>
      <w:r>
        <w:rPr>
          <w:sz w:val="16"/>
          <w:szCs w:val="16"/>
        </w:rPr>
        <w:t>benefitů</w:t>
      </w:r>
      <w:proofErr w:type="spellEnd"/>
      <w:r>
        <w:rPr>
          <w:sz w:val="16"/>
          <w:szCs w:val="16"/>
        </w:rPr>
        <w:t xml:space="preserve"> (zahrnujících vedle sociálních požitků i náklady na školení, ošatné, </w:t>
      </w:r>
      <w:r w:rsidRPr="0010367D">
        <w:rPr>
          <w:sz w:val="16"/>
          <w:szCs w:val="16"/>
        </w:rPr>
        <w:t>nadstandardní programy sociálního zabezpečení</w:t>
      </w:r>
      <w:r>
        <w:rPr>
          <w:sz w:val="16"/>
          <w:szCs w:val="16"/>
        </w:rPr>
        <w:t xml:space="preserve"> či odstupné) jejich poměr (vztažený k přímým nákladům práce) v peněžnictví a pojišťovnictví přesáhl 6 %.</w:t>
      </w:r>
      <w:r w:rsidR="00336E03">
        <w:rPr>
          <w:sz w:val="16"/>
          <w:szCs w:val="16"/>
        </w:rPr>
        <w:t xml:space="preserve"> </w:t>
      </w:r>
      <w:r>
        <w:rPr>
          <w:sz w:val="16"/>
          <w:szCs w:val="16"/>
        </w:rPr>
        <w:t>Ve výrobě</w:t>
      </w:r>
      <w:r w:rsidRPr="0010367D">
        <w:rPr>
          <w:sz w:val="16"/>
          <w:szCs w:val="16"/>
        </w:rPr>
        <w:t xml:space="preserve"> a rozvod</w:t>
      </w:r>
      <w:r>
        <w:rPr>
          <w:sz w:val="16"/>
          <w:szCs w:val="16"/>
        </w:rPr>
        <w:t>u</w:t>
      </w:r>
      <w:r w:rsidRPr="0010367D">
        <w:rPr>
          <w:sz w:val="16"/>
          <w:szCs w:val="16"/>
        </w:rPr>
        <w:t xml:space="preserve"> elektřiny, plynu, tepla a klimatizovaného vzduchu</w:t>
      </w:r>
      <w:r>
        <w:rPr>
          <w:sz w:val="16"/>
          <w:szCs w:val="16"/>
        </w:rPr>
        <w:t xml:space="preserve"> se </w:t>
      </w:r>
      <w:r w:rsidR="00336E03">
        <w:rPr>
          <w:sz w:val="16"/>
          <w:szCs w:val="16"/>
        </w:rPr>
        <w:t xml:space="preserve">pak </w:t>
      </w:r>
      <w:r>
        <w:rPr>
          <w:sz w:val="16"/>
          <w:szCs w:val="16"/>
        </w:rPr>
        <w:t>dokonce blížil 10 %.</w:t>
      </w:r>
    </w:p>
  </w:footnote>
  <w:footnote w:id="16">
    <w:p w:rsidR="00C805DC" w:rsidRPr="00960B76" w:rsidRDefault="00C805DC" w:rsidP="005D3386">
      <w:pPr>
        <w:pStyle w:val="Normlnweb"/>
        <w:spacing w:before="12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Ta vychází z</w:t>
      </w:r>
      <w:r w:rsidRPr="003B03BB">
        <w:rPr>
          <w:rFonts w:ascii="Arial" w:hAnsi="Arial" w:cs="Arial"/>
          <w:color w:val="0D0D0D" w:themeColor="text1" w:themeTint="F2"/>
          <w:spacing w:val="-2"/>
          <w:sz w:val="16"/>
          <w:szCs w:val="16"/>
        </w:rPr>
        <w:t xml:space="preserve"> </w:t>
      </w:r>
      <w:r>
        <w:rPr>
          <w:rFonts w:ascii="Arial" w:hAnsi="Arial" w:cs="Arial"/>
          <w:sz w:val="16"/>
          <w:szCs w:val="16"/>
        </w:rPr>
        <w:t>údajů</w:t>
      </w:r>
      <w:r w:rsidRPr="003B03BB">
        <w:rPr>
          <w:rFonts w:ascii="Arial" w:hAnsi="Arial" w:cs="Arial"/>
          <w:sz w:val="16"/>
          <w:szCs w:val="16"/>
        </w:rPr>
        <w:t xml:space="preserve"> o</w:t>
      </w:r>
      <w:r>
        <w:rPr>
          <w:rFonts w:ascii="Arial" w:hAnsi="Arial" w:cs="Arial"/>
          <w:sz w:val="16"/>
          <w:szCs w:val="16"/>
        </w:rPr>
        <w:t xml:space="preserve"> výdělcích (doplněných dalšími </w:t>
      </w:r>
      <w:proofErr w:type="spellStart"/>
      <w:r>
        <w:rPr>
          <w:rFonts w:ascii="Arial" w:hAnsi="Arial" w:cs="Arial"/>
          <w:sz w:val="16"/>
          <w:szCs w:val="16"/>
        </w:rPr>
        <w:t>sociodemografickými</w:t>
      </w:r>
      <w:proofErr w:type="spellEnd"/>
      <w:r>
        <w:rPr>
          <w:rFonts w:ascii="Arial" w:hAnsi="Arial" w:cs="Arial"/>
          <w:sz w:val="16"/>
          <w:szCs w:val="16"/>
        </w:rPr>
        <w:t xml:space="preserve"> charakteristikami) jednotlivých zaměstnanců</w:t>
      </w:r>
      <w:r w:rsidRPr="003B03BB">
        <w:rPr>
          <w:rFonts w:ascii="Arial" w:hAnsi="Arial" w:cs="Arial"/>
          <w:sz w:val="16"/>
          <w:szCs w:val="16"/>
        </w:rPr>
        <w:t xml:space="preserve">. </w:t>
      </w:r>
      <w:r>
        <w:rPr>
          <w:rFonts w:ascii="Arial" w:hAnsi="Arial" w:cs="Arial"/>
          <w:sz w:val="16"/>
          <w:szCs w:val="16"/>
        </w:rPr>
        <w:t>Průměrná mzda ze strukturálního šetření</w:t>
      </w:r>
      <w:r w:rsidRPr="003B03BB">
        <w:rPr>
          <w:rFonts w:ascii="Arial" w:hAnsi="Arial" w:cs="Arial"/>
          <w:sz w:val="16"/>
          <w:szCs w:val="16"/>
        </w:rPr>
        <w:t xml:space="preserve"> je vypočtena poměřením s placenou dobou zaměstnance (nezahrnuje se neplacená nepřítomnos</w:t>
      </w:r>
      <w:r>
        <w:rPr>
          <w:rFonts w:ascii="Arial" w:hAnsi="Arial" w:cs="Arial"/>
          <w:sz w:val="16"/>
          <w:szCs w:val="16"/>
        </w:rPr>
        <w:t>t v práci, např. pro nemoc), nezapočítávají</w:t>
      </w:r>
      <w:r w:rsidRPr="003B03BB">
        <w:rPr>
          <w:rFonts w:ascii="Arial" w:hAnsi="Arial" w:cs="Arial"/>
          <w:sz w:val="16"/>
          <w:szCs w:val="16"/>
        </w:rPr>
        <w:t xml:space="preserve"> se ale zaměstnanci s týdenním úvazkem kratším než 30 hodin</w:t>
      </w:r>
      <w:r>
        <w:rPr>
          <w:rFonts w:ascii="Arial" w:hAnsi="Arial" w:cs="Arial"/>
          <w:sz w:val="16"/>
          <w:szCs w:val="16"/>
        </w:rPr>
        <w:t>. Oproti tomu v podnikových zjišťováních</w:t>
      </w:r>
      <w:r w:rsidRPr="003B03BB">
        <w:rPr>
          <w:rFonts w:ascii="Arial" w:hAnsi="Arial" w:cs="Arial"/>
          <w:sz w:val="16"/>
          <w:szCs w:val="16"/>
        </w:rPr>
        <w:t xml:space="preserve"> je </w:t>
      </w:r>
      <w:r>
        <w:rPr>
          <w:rFonts w:ascii="Arial" w:hAnsi="Arial" w:cs="Arial"/>
          <w:sz w:val="16"/>
          <w:szCs w:val="16"/>
        </w:rPr>
        <w:t xml:space="preserve">mzda </w:t>
      </w:r>
      <w:r w:rsidRPr="003B03BB">
        <w:rPr>
          <w:rFonts w:ascii="Arial" w:hAnsi="Arial" w:cs="Arial"/>
          <w:sz w:val="16"/>
          <w:szCs w:val="16"/>
        </w:rPr>
        <w:t xml:space="preserve">vypočtena poměřením s evidenčním počtem zaměstnanců </w:t>
      </w:r>
      <w:r>
        <w:rPr>
          <w:rFonts w:ascii="Arial" w:hAnsi="Arial" w:cs="Arial"/>
          <w:sz w:val="16"/>
          <w:szCs w:val="16"/>
        </w:rPr>
        <w:t xml:space="preserve">za celý ekonomický subjekt </w:t>
      </w:r>
      <w:r w:rsidRPr="003B03BB">
        <w:rPr>
          <w:rFonts w:ascii="Arial" w:hAnsi="Arial" w:cs="Arial"/>
          <w:sz w:val="16"/>
          <w:szCs w:val="16"/>
        </w:rPr>
        <w:t>(zaměstnanci s krátkodobou neplacenou nepřítomností jsou zahrnuti) bez ohledu na délku jejich týdenního úvazku.</w:t>
      </w:r>
    </w:p>
  </w:footnote>
  <w:footnote w:id="17">
    <w:p w:rsidR="00C805DC" w:rsidRPr="00735B7D" w:rsidRDefault="00C805DC" w:rsidP="005D3386">
      <w:pPr>
        <w:pStyle w:val="Textpoznpodarou"/>
        <w:jc w:val="both"/>
        <w:rPr>
          <w:sz w:val="16"/>
          <w:szCs w:val="16"/>
        </w:rPr>
      </w:pPr>
      <w:r w:rsidRPr="00735B7D">
        <w:rPr>
          <w:rStyle w:val="Znakapoznpodarou"/>
          <w:sz w:val="16"/>
          <w:szCs w:val="16"/>
        </w:rPr>
        <w:footnoteRef/>
      </w:r>
      <w:r w:rsidRPr="00735B7D">
        <w:rPr>
          <w:sz w:val="16"/>
          <w:szCs w:val="16"/>
        </w:rPr>
        <w:t xml:space="preserve"> </w:t>
      </w:r>
      <w:r w:rsidRPr="00735B7D">
        <w:rPr>
          <w:rFonts w:cs="Arial"/>
          <w:color w:val="000000"/>
          <w:sz w:val="16"/>
          <w:szCs w:val="16"/>
        </w:rPr>
        <w:t>Představuje rozdíl mezi průměrnými hrubými hodinovými výdělky mužských a ženských zaměstnanců vyjádřený jako procento průměrných hrubých hodinových výdělků mužských zaměstnanců. Populace zahrnuje všechny výdělečně činné zaměstnance v podnicích s 10 a více zaměstnanci a zařazen</w:t>
      </w:r>
      <w:r>
        <w:rPr>
          <w:rFonts w:cs="Arial"/>
          <w:color w:val="000000"/>
          <w:sz w:val="16"/>
          <w:szCs w:val="16"/>
        </w:rPr>
        <w:t xml:space="preserve">é </w:t>
      </w:r>
      <w:r w:rsidRPr="00735B7D">
        <w:rPr>
          <w:rFonts w:cs="Arial"/>
          <w:color w:val="000000"/>
          <w:sz w:val="16"/>
          <w:szCs w:val="16"/>
        </w:rPr>
        <w:t xml:space="preserve">dle </w:t>
      </w:r>
      <w:r>
        <w:rPr>
          <w:rFonts w:cs="Arial"/>
          <w:color w:val="000000"/>
          <w:sz w:val="16"/>
          <w:szCs w:val="16"/>
        </w:rPr>
        <w:t xml:space="preserve">klasifikace </w:t>
      </w:r>
      <w:r w:rsidRPr="00735B7D">
        <w:rPr>
          <w:rFonts w:cs="Arial"/>
          <w:color w:val="000000"/>
          <w:sz w:val="16"/>
          <w:szCs w:val="16"/>
        </w:rPr>
        <w:t>NACE</w:t>
      </w:r>
      <w:r>
        <w:rPr>
          <w:rFonts w:cs="Arial"/>
          <w:color w:val="000000"/>
          <w:sz w:val="16"/>
          <w:szCs w:val="16"/>
        </w:rPr>
        <w:t xml:space="preserve"> do sekcí B až S (s výjimkou sekce</w:t>
      </w:r>
      <w:r w:rsidRPr="00735B7D">
        <w:rPr>
          <w:rFonts w:cs="Arial"/>
          <w:color w:val="000000"/>
          <w:sz w:val="16"/>
          <w:szCs w:val="16"/>
        </w:rPr>
        <w:t xml:space="preserve"> O). Ukazatel vychází z metodiky šetření o struktuře výdělků.</w:t>
      </w:r>
    </w:p>
  </w:footnote>
  <w:footnote w:id="18">
    <w:p w:rsidR="00C805DC" w:rsidRPr="005332F0" w:rsidRDefault="00C805DC" w:rsidP="005D3386">
      <w:pPr>
        <w:pStyle w:val="Textpoznpodarou"/>
        <w:jc w:val="both"/>
        <w:rPr>
          <w:sz w:val="16"/>
          <w:szCs w:val="16"/>
        </w:rPr>
      </w:pPr>
      <w:r w:rsidRPr="005332F0">
        <w:rPr>
          <w:rStyle w:val="Znakapoznpodarou"/>
          <w:sz w:val="16"/>
          <w:szCs w:val="16"/>
        </w:rPr>
        <w:footnoteRef/>
      </w:r>
      <w:r w:rsidRPr="005332F0">
        <w:rPr>
          <w:sz w:val="16"/>
          <w:szCs w:val="16"/>
        </w:rPr>
        <w:t xml:space="preserve"> Z podrobnějšího členění je patrné, že v rámci těchto dvou skupin si loni relativně nejvíce </w:t>
      </w:r>
      <w:r>
        <w:rPr>
          <w:sz w:val="16"/>
          <w:szCs w:val="16"/>
        </w:rPr>
        <w:t xml:space="preserve">v průměru </w:t>
      </w:r>
      <w:r w:rsidRPr="005332F0">
        <w:rPr>
          <w:sz w:val="16"/>
          <w:szCs w:val="16"/>
        </w:rPr>
        <w:t>polepši</w:t>
      </w:r>
      <w:r>
        <w:rPr>
          <w:sz w:val="16"/>
          <w:szCs w:val="16"/>
        </w:rPr>
        <w:t>li montážní dělníci (+9,0</w:t>
      </w:r>
      <w:r w:rsidRPr="005332F0">
        <w:rPr>
          <w:sz w:val="16"/>
          <w:szCs w:val="16"/>
        </w:rPr>
        <w:t> </w:t>
      </w:r>
      <w:r>
        <w:rPr>
          <w:sz w:val="16"/>
          <w:szCs w:val="16"/>
        </w:rPr>
        <w:t>%) a</w:t>
      </w:r>
      <w:r>
        <w:rPr>
          <w:rFonts w:cs="Arial"/>
          <w:sz w:val="16"/>
          <w:szCs w:val="16"/>
        </w:rPr>
        <w:t> </w:t>
      </w:r>
      <w:r w:rsidRPr="005332F0">
        <w:rPr>
          <w:sz w:val="16"/>
          <w:szCs w:val="16"/>
        </w:rPr>
        <w:t xml:space="preserve">zpracovatelé potravin, dřeva a textilu (+8,7 %). </w:t>
      </w:r>
    </w:p>
  </w:footnote>
  <w:footnote w:id="19">
    <w:p w:rsidR="00C805DC" w:rsidRPr="00F2433F" w:rsidRDefault="00C805DC" w:rsidP="005D3386">
      <w:pPr>
        <w:pStyle w:val="Textpoznpodarou"/>
        <w:rPr>
          <w:sz w:val="16"/>
          <w:szCs w:val="16"/>
        </w:rPr>
      </w:pPr>
      <w:r w:rsidRPr="00F2433F">
        <w:rPr>
          <w:rStyle w:val="Znakapoznpodarou"/>
          <w:sz w:val="16"/>
          <w:szCs w:val="16"/>
        </w:rPr>
        <w:footnoteRef/>
      </w:r>
      <w:r w:rsidRPr="00F2433F">
        <w:rPr>
          <w:sz w:val="16"/>
          <w:szCs w:val="16"/>
        </w:rPr>
        <w:t xml:space="preserve"> Z pohledu průměrné mzdy si polepšili především pomocní pracovníci při přípravě jídla (+11,1 %)</w:t>
      </w:r>
      <w:r>
        <w:rPr>
          <w:sz w:val="16"/>
          <w:szCs w:val="16"/>
        </w:rPr>
        <w:t>. Uklízečům a pomocníkům vzrostly výdělky o necelých 8 %, jejich hrubá měsíční výše ale ani poté nepřesáhla 15 tis. korun a patřila vůbec k nejnižším v celé ekonomice.</w:t>
      </w:r>
    </w:p>
  </w:footnote>
  <w:footnote w:id="20">
    <w:p w:rsidR="00C805DC" w:rsidRPr="0026743D" w:rsidRDefault="00C805DC" w:rsidP="005D3386">
      <w:pPr>
        <w:pStyle w:val="Textpoznpodarou"/>
        <w:jc w:val="both"/>
        <w:rPr>
          <w:spacing w:val="-2"/>
          <w:sz w:val="16"/>
          <w:szCs w:val="16"/>
        </w:rPr>
      </w:pPr>
      <w:r w:rsidRPr="0026743D">
        <w:rPr>
          <w:rStyle w:val="Znakapoznpodarou"/>
          <w:spacing w:val="-2"/>
          <w:sz w:val="16"/>
          <w:szCs w:val="16"/>
        </w:rPr>
        <w:footnoteRef/>
      </w:r>
      <w:r w:rsidRPr="0026743D">
        <w:rPr>
          <w:spacing w:val="-2"/>
          <w:sz w:val="16"/>
          <w:szCs w:val="16"/>
        </w:rPr>
        <w:t xml:space="preserve"> V roce 2017 disponovalo vysokoško</w:t>
      </w:r>
      <w:r w:rsidR="0026743D" w:rsidRPr="0026743D">
        <w:rPr>
          <w:spacing w:val="-2"/>
          <w:sz w:val="16"/>
          <w:szCs w:val="16"/>
        </w:rPr>
        <w:t>lským vzděláním (magisterského či</w:t>
      </w:r>
      <w:r w:rsidRPr="0026743D">
        <w:rPr>
          <w:spacing w:val="-2"/>
          <w:sz w:val="16"/>
          <w:szCs w:val="16"/>
        </w:rPr>
        <w:t xml:space="preserve"> doktorského stupně) 61 % zaměstnanců v kategorii specialistů, 51 % u zákonodárců, vedoucích a řídících pracovníků a pětina u technických a odborných pracovníků (více než dvě třetiny zaměstnanců v této kategorii mělo středoškolské vzdělání s maturitou, popř. vyšší odborné vzdělání či vysokoškolské vzdělání v bakalářském stupni).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601A2E" w:rsidRDefault="00C805DC" w:rsidP="00601A2E">
    <w:pPr>
      <w:pStyle w:val="Zhlav"/>
    </w:pPr>
    <w:r>
      <w:t>Analýza ekonomického vývoje v roce 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Default="00C805DC" w:rsidP="00937AE2">
    <w:pPr>
      <w:pStyle w:val="Zhlav"/>
    </w:pPr>
    <w:r>
      <w:t>Analýza ekonomického vývoje v roce 2017</w:t>
    </w:r>
  </w:p>
  <w:p w:rsidR="00C805DC" w:rsidRPr="006F5416" w:rsidRDefault="00C805DC" w:rsidP="00937AE2">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18B35353"/>
    <w:multiLevelType w:val="multilevel"/>
    <w:tmpl w:val="1C0E9EAE"/>
    <w:name w:val="Analyz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Nadpis5"/>
      <w:suff w:val="space"/>
      <w:lvlText w:val="%1.%2.%3.%4.%5"/>
      <w:lvlJc w:val="left"/>
      <w:pPr>
        <w:ind w:left="1008" w:hanging="1008"/>
      </w:pPr>
      <w:rPr>
        <w:rFonts w:hint="default"/>
      </w:rPr>
    </w:lvl>
    <w:lvl w:ilvl="5">
      <w:start w:val="1"/>
      <w:numFmt w:val="decimal"/>
      <w:pStyle w:val="Nadpis6"/>
      <w:suff w:val="space"/>
      <w:lvlText w:val="%1.%2.%3.%4.%5.%6"/>
      <w:lvlJc w:val="left"/>
      <w:pPr>
        <w:ind w:left="1152" w:hanging="1152"/>
      </w:pPr>
      <w:rPr>
        <w:rFonts w:hint="default"/>
      </w:rPr>
    </w:lvl>
    <w:lvl w:ilvl="6">
      <w:start w:val="1"/>
      <w:numFmt w:val="decimal"/>
      <w:pStyle w:val="Nadpis7"/>
      <w:suff w:val="space"/>
      <w:lvlText w:val="%1.%2.%3.%4.%5.%6.%7"/>
      <w:lvlJc w:val="left"/>
      <w:pPr>
        <w:ind w:left="1296" w:hanging="1296"/>
      </w:pPr>
      <w:rPr>
        <w:rFonts w:hint="default"/>
      </w:rPr>
    </w:lvl>
    <w:lvl w:ilvl="7">
      <w:start w:val="1"/>
      <w:numFmt w:val="decimal"/>
      <w:pStyle w:val="Nadpis8"/>
      <w:suff w:val="space"/>
      <w:lvlText w:val="%1.%2.%3.%4.%5.%6.%7.%8"/>
      <w:lvlJc w:val="left"/>
      <w:pPr>
        <w:ind w:left="1440" w:hanging="1440"/>
      </w:pPr>
      <w:rPr>
        <w:rFonts w:hint="default"/>
      </w:rPr>
    </w:lvl>
    <w:lvl w:ilvl="8">
      <w:start w:val="1"/>
      <w:numFmt w:val="decimal"/>
      <w:pStyle w:val="Nadpis9"/>
      <w:suff w:val="space"/>
      <w:lvlText w:val="%1.%2.%3.%4.%5.%6.%7.%8.%9"/>
      <w:lvlJc w:val="left"/>
      <w:pPr>
        <w:ind w:left="1584" w:hanging="1584"/>
      </w:pPr>
      <w:rPr>
        <w:rFonts w:hint="default"/>
      </w:rPr>
    </w:lvl>
  </w:abstractNum>
  <w:abstractNum w:abstractNumId="11">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8352333"/>
    <w:multiLevelType w:val="multilevel"/>
    <w:tmpl w:val="D0ACF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A5A7A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2420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106E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11355C0"/>
    <w:multiLevelType w:val="multilevel"/>
    <w:tmpl w:val="697E8B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9914012"/>
    <w:multiLevelType w:val="multilevel"/>
    <w:tmpl w:val="F380F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DA4287"/>
    <w:multiLevelType w:val="multilevel"/>
    <w:tmpl w:val="1C0E9EA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E490F3B"/>
    <w:multiLevelType w:val="hybridMultilevel"/>
    <w:tmpl w:val="D64CB604"/>
    <w:lvl w:ilvl="0" w:tplc="67AC8A1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CB210F"/>
    <w:multiLevelType w:val="multilevel"/>
    <w:tmpl w:val="D64CB60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7B651B2D"/>
    <w:multiLevelType w:val="hybridMultilevel"/>
    <w:tmpl w:val="4C1C2D78"/>
    <w:lvl w:ilvl="0" w:tplc="B01A5632">
      <w:start w:val="1"/>
      <w:numFmt w:val="bullet"/>
      <w:pStyle w:val="Normalodrk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20"/>
  </w:num>
  <w:num w:numId="14">
    <w:abstractNumId w:val="10"/>
  </w:num>
  <w:num w:numId="15">
    <w:abstractNumId w:val="16"/>
  </w:num>
  <w:num w:numId="16">
    <w:abstractNumId w:val="12"/>
  </w:num>
  <w:num w:numId="17">
    <w:abstractNumId w:val="21"/>
  </w:num>
  <w:num w:numId="18">
    <w:abstractNumId w:val="17"/>
  </w:num>
  <w:num w:numId="19">
    <w:abstractNumId w:val="22"/>
  </w:num>
  <w:num w:numId="20">
    <w:abstractNumId w:val="23"/>
  </w:num>
  <w:num w:numId="21">
    <w:abstractNumId w:val="19"/>
  </w:num>
  <w:num w:numId="22">
    <w:abstractNumId w:val="15"/>
  </w:num>
  <w:num w:numId="23">
    <w:abstractNumId w:val="1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attachedTemplate r:id="rId1"/>
  <w:stylePaneFormatFilter w:val="1001"/>
  <w:stylePaneSortMethod w:val="0004"/>
  <w:defaultTabStop w:val="708"/>
  <w:hyphenationZone w:val="425"/>
  <w:evenAndOddHeaders/>
  <w:drawingGridHorizontalSpacing w:val="110"/>
  <w:displayHorizontalDrawingGridEvery w:val="2"/>
  <w:characterSpacingControl w:val="doNotCompress"/>
  <w:hdrShapeDefaults>
    <o:shapedefaults v:ext="edit" spidmax="7170">
      <o:colormru v:ext="edit" colors="#ecf4dd,#eaecee,#fcec0a,#fcecdb,#f1daf5"/>
    </o:shapedefaults>
  </w:hdrShapeDefaults>
  <w:footnotePr>
    <w:footnote w:id="-1"/>
    <w:footnote w:id="0"/>
  </w:footnotePr>
  <w:endnotePr>
    <w:endnote w:id="-1"/>
    <w:endnote w:id="0"/>
  </w:endnotePr>
  <w:compat/>
  <w:rsids>
    <w:rsidRoot w:val="00F46502"/>
    <w:rsid w:val="0000209D"/>
    <w:rsid w:val="0000437D"/>
    <w:rsid w:val="00004D5A"/>
    <w:rsid w:val="000056D5"/>
    <w:rsid w:val="00006ABD"/>
    <w:rsid w:val="0000767A"/>
    <w:rsid w:val="00007BEF"/>
    <w:rsid w:val="00010256"/>
    <w:rsid w:val="00010702"/>
    <w:rsid w:val="00011912"/>
    <w:rsid w:val="0002195D"/>
    <w:rsid w:val="000234D6"/>
    <w:rsid w:val="00023D29"/>
    <w:rsid w:val="00026389"/>
    <w:rsid w:val="00031AE0"/>
    <w:rsid w:val="000322EF"/>
    <w:rsid w:val="00033FCD"/>
    <w:rsid w:val="00041CEC"/>
    <w:rsid w:val="0004694F"/>
    <w:rsid w:val="000522E4"/>
    <w:rsid w:val="000610E1"/>
    <w:rsid w:val="00062EC5"/>
    <w:rsid w:val="00062F22"/>
    <w:rsid w:val="00067A82"/>
    <w:rsid w:val="000712B3"/>
    <w:rsid w:val="0008263E"/>
    <w:rsid w:val="00082A55"/>
    <w:rsid w:val="00082C19"/>
    <w:rsid w:val="00085395"/>
    <w:rsid w:val="00087634"/>
    <w:rsid w:val="00087F2B"/>
    <w:rsid w:val="00093E3F"/>
    <w:rsid w:val="00093E53"/>
    <w:rsid w:val="00095135"/>
    <w:rsid w:val="00096085"/>
    <w:rsid w:val="000974D1"/>
    <w:rsid w:val="0009799E"/>
    <w:rsid w:val="000A1183"/>
    <w:rsid w:val="000A256D"/>
    <w:rsid w:val="000A3A2C"/>
    <w:rsid w:val="000B525B"/>
    <w:rsid w:val="000C1D78"/>
    <w:rsid w:val="000C3408"/>
    <w:rsid w:val="000C6AFD"/>
    <w:rsid w:val="000D514E"/>
    <w:rsid w:val="000D5637"/>
    <w:rsid w:val="000E6FBD"/>
    <w:rsid w:val="000F030B"/>
    <w:rsid w:val="00100F5C"/>
    <w:rsid w:val="0010106F"/>
    <w:rsid w:val="00101CDA"/>
    <w:rsid w:val="00104C4C"/>
    <w:rsid w:val="00117623"/>
    <w:rsid w:val="0012192F"/>
    <w:rsid w:val="00125D69"/>
    <w:rsid w:val="001405FA"/>
    <w:rsid w:val="00141782"/>
    <w:rsid w:val="001425C3"/>
    <w:rsid w:val="001528B9"/>
    <w:rsid w:val="001612F4"/>
    <w:rsid w:val="00162312"/>
    <w:rsid w:val="0016256B"/>
    <w:rsid w:val="00162A7A"/>
    <w:rsid w:val="00163793"/>
    <w:rsid w:val="001706D6"/>
    <w:rsid w:val="001714F2"/>
    <w:rsid w:val="001730A6"/>
    <w:rsid w:val="00175B9F"/>
    <w:rsid w:val="00181BBC"/>
    <w:rsid w:val="00182799"/>
    <w:rsid w:val="00184B08"/>
    <w:rsid w:val="00185010"/>
    <w:rsid w:val="00186919"/>
    <w:rsid w:val="001916DB"/>
    <w:rsid w:val="00193818"/>
    <w:rsid w:val="001A0487"/>
    <w:rsid w:val="001A0D6B"/>
    <w:rsid w:val="001A552F"/>
    <w:rsid w:val="001B2CA9"/>
    <w:rsid w:val="001B3110"/>
    <w:rsid w:val="001B4729"/>
    <w:rsid w:val="001B6310"/>
    <w:rsid w:val="001B6C09"/>
    <w:rsid w:val="001C05CD"/>
    <w:rsid w:val="001C1B66"/>
    <w:rsid w:val="001D198A"/>
    <w:rsid w:val="001D463E"/>
    <w:rsid w:val="001D68B2"/>
    <w:rsid w:val="001D70E9"/>
    <w:rsid w:val="001E504C"/>
    <w:rsid w:val="001F4597"/>
    <w:rsid w:val="00203DA4"/>
    <w:rsid w:val="002052C6"/>
    <w:rsid w:val="002118B9"/>
    <w:rsid w:val="00217C5B"/>
    <w:rsid w:val="0022139E"/>
    <w:rsid w:val="00222729"/>
    <w:rsid w:val="00222FFB"/>
    <w:rsid w:val="002252E0"/>
    <w:rsid w:val="002255F6"/>
    <w:rsid w:val="00227850"/>
    <w:rsid w:val="00227A53"/>
    <w:rsid w:val="00230C6E"/>
    <w:rsid w:val="00236443"/>
    <w:rsid w:val="00241B06"/>
    <w:rsid w:val="002436BA"/>
    <w:rsid w:val="00244A15"/>
    <w:rsid w:val="00247319"/>
    <w:rsid w:val="0024799E"/>
    <w:rsid w:val="00253C0F"/>
    <w:rsid w:val="002558C1"/>
    <w:rsid w:val="0026207F"/>
    <w:rsid w:val="0026743D"/>
    <w:rsid w:val="00271465"/>
    <w:rsid w:val="00274037"/>
    <w:rsid w:val="00285412"/>
    <w:rsid w:val="00291640"/>
    <w:rsid w:val="002A16D4"/>
    <w:rsid w:val="002A230C"/>
    <w:rsid w:val="002A5D97"/>
    <w:rsid w:val="002B2127"/>
    <w:rsid w:val="002B213A"/>
    <w:rsid w:val="002B38B8"/>
    <w:rsid w:val="002B4845"/>
    <w:rsid w:val="002B6B06"/>
    <w:rsid w:val="002C43BD"/>
    <w:rsid w:val="002D0E59"/>
    <w:rsid w:val="002E02A1"/>
    <w:rsid w:val="002E4E4C"/>
    <w:rsid w:val="00303533"/>
    <w:rsid w:val="00304771"/>
    <w:rsid w:val="003052D4"/>
    <w:rsid w:val="00306C5B"/>
    <w:rsid w:val="003209D6"/>
    <w:rsid w:val="00321924"/>
    <w:rsid w:val="0032656E"/>
    <w:rsid w:val="00330060"/>
    <w:rsid w:val="00332190"/>
    <w:rsid w:val="00336E03"/>
    <w:rsid w:val="0034335E"/>
    <w:rsid w:val="00344668"/>
    <w:rsid w:val="003462D9"/>
    <w:rsid w:val="00347378"/>
    <w:rsid w:val="00360C86"/>
    <w:rsid w:val="00360DE3"/>
    <w:rsid w:val="00360FBC"/>
    <w:rsid w:val="00362E90"/>
    <w:rsid w:val="00364FA0"/>
    <w:rsid w:val="003657F3"/>
    <w:rsid w:val="003818DC"/>
    <w:rsid w:val="00384327"/>
    <w:rsid w:val="00385D3E"/>
    <w:rsid w:val="00385D98"/>
    <w:rsid w:val="003870EE"/>
    <w:rsid w:val="00392244"/>
    <w:rsid w:val="003A2B4D"/>
    <w:rsid w:val="003A2D12"/>
    <w:rsid w:val="003A478C"/>
    <w:rsid w:val="003A5525"/>
    <w:rsid w:val="003A6B38"/>
    <w:rsid w:val="003B4331"/>
    <w:rsid w:val="003B461F"/>
    <w:rsid w:val="003B5A32"/>
    <w:rsid w:val="003C3490"/>
    <w:rsid w:val="003C4BE8"/>
    <w:rsid w:val="003C7E62"/>
    <w:rsid w:val="003D6920"/>
    <w:rsid w:val="003E38BA"/>
    <w:rsid w:val="003E4C91"/>
    <w:rsid w:val="003F313C"/>
    <w:rsid w:val="003F37FC"/>
    <w:rsid w:val="003F3890"/>
    <w:rsid w:val="003F4B2C"/>
    <w:rsid w:val="003F551C"/>
    <w:rsid w:val="003F72ED"/>
    <w:rsid w:val="003F7D23"/>
    <w:rsid w:val="00407C13"/>
    <w:rsid w:val="00410638"/>
    <w:rsid w:val="0041501E"/>
    <w:rsid w:val="004159C3"/>
    <w:rsid w:val="004225C6"/>
    <w:rsid w:val="00432A58"/>
    <w:rsid w:val="00433C0C"/>
    <w:rsid w:val="00434617"/>
    <w:rsid w:val="00436778"/>
    <w:rsid w:val="00440900"/>
    <w:rsid w:val="00441BF6"/>
    <w:rsid w:val="004441A0"/>
    <w:rsid w:val="0045078A"/>
    <w:rsid w:val="0045086D"/>
    <w:rsid w:val="00460FB3"/>
    <w:rsid w:val="00461976"/>
    <w:rsid w:val="00476240"/>
    <w:rsid w:val="00476439"/>
    <w:rsid w:val="0047735C"/>
    <w:rsid w:val="004776BC"/>
    <w:rsid w:val="0048139F"/>
    <w:rsid w:val="00481E40"/>
    <w:rsid w:val="00484ECE"/>
    <w:rsid w:val="004915CB"/>
    <w:rsid w:val="004924DC"/>
    <w:rsid w:val="00493F18"/>
    <w:rsid w:val="004A14E4"/>
    <w:rsid w:val="004A3212"/>
    <w:rsid w:val="004A5494"/>
    <w:rsid w:val="004A61C5"/>
    <w:rsid w:val="004A77DF"/>
    <w:rsid w:val="004B1417"/>
    <w:rsid w:val="004B48DF"/>
    <w:rsid w:val="004B55B7"/>
    <w:rsid w:val="004B6468"/>
    <w:rsid w:val="004B7125"/>
    <w:rsid w:val="004C26B0"/>
    <w:rsid w:val="004C384C"/>
    <w:rsid w:val="004C3867"/>
    <w:rsid w:val="004C4CD0"/>
    <w:rsid w:val="004C5FBF"/>
    <w:rsid w:val="004C70DC"/>
    <w:rsid w:val="004D0211"/>
    <w:rsid w:val="004D0794"/>
    <w:rsid w:val="004E02EB"/>
    <w:rsid w:val="004E326C"/>
    <w:rsid w:val="004F06F5"/>
    <w:rsid w:val="004F16F7"/>
    <w:rsid w:val="004F33A0"/>
    <w:rsid w:val="0050689D"/>
    <w:rsid w:val="005108C0"/>
    <w:rsid w:val="00511873"/>
    <w:rsid w:val="00512A2F"/>
    <w:rsid w:val="00513B7E"/>
    <w:rsid w:val="00515C74"/>
    <w:rsid w:val="00515FFA"/>
    <w:rsid w:val="005173AF"/>
    <w:rsid w:val="0052007E"/>
    <w:rsid w:val="0052337A"/>
    <w:rsid w:val="00525137"/>
    <w:rsid w:val="005251DD"/>
    <w:rsid w:val="00532CE7"/>
    <w:rsid w:val="0053324C"/>
    <w:rsid w:val="00534A28"/>
    <w:rsid w:val="00541508"/>
    <w:rsid w:val="00543498"/>
    <w:rsid w:val="00551238"/>
    <w:rsid w:val="0055599F"/>
    <w:rsid w:val="00556D68"/>
    <w:rsid w:val="00563EB8"/>
    <w:rsid w:val="005647BF"/>
    <w:rsid w:val="00564AF1"/>
    <w:rsid w:val="00571C34"/>
    <w:rsid w:val="0057364B"/>
    <w:rsid w:val="00574773"/>
    <w:rsid w:val="00583FFD"/>
    <w:rsid w:val="005911BE"/>
    <w:rsid w:val="00593152"/>
    <w:rsid w:val="005A10F2"/>
    <w:rsid w:val="005A21E0"/>
    <w:rsid w:val="005A28FF"/>
    <w:rsid w:val="005A2C7B"/>
    <w:rsid w:val="005A3DF8"/>
    <w:rsid w:val="005A5549"/>
    <w:rsid w:val="005A7666"/>
    <w:rsid w:val="005B08EB"/>
    <w:rsid w:val="005B121D"/>
    <w:rsid w:val="005C06ED"/>
    <w:rsid w:val="005C2609"/>
    <w:rsid w:val="005D3386"/>
    <w:rsid w:val="005D5802"/>
    <w:rsid w:val="005D7119"/>
    <w:rsid w:val="005D7890"/>
    <w:rsid w:val="005E2A7C"/>
    <w:rsid w:val="005E7C78"/>
    <w:rsid w:val="005F18C5"/>
    <w:rsid w:val="005F3EB1"/>
    <w:rsid w:val="005F46D8"/>
    <w:rsid w:val="005F5469"/>
    <w:rsid w:val="00600079"/>
    <w:rsid w:val="006003D1"/>
    <w:rsid w:val="00601A2E"/>
    <w:rsid w:val="0060404F"/>
    <w:rsid w:val="00604307"/>
    <w:rsid w:val="0060487F"/>
    <w:rsid w:val="00604EAD"/>
    <w:rsid w:val="006104FB"/>
    <w:rsid w:val="0061249B"/>
    <w:rsid w:val="00612A2F"/>
    <w:rsid w:val="00616E05"/>
    <w:rsid w:val="00624093"/>
    <w:rsid w:val="0063201A"/>
    <w:rsid w:val="006350D5"/>
    <w:rsid w:val="006404A7"/>
    <w:rsid w:val="006451E4"/>
    <w:rsid w:val="00645B33"/>
    <w:rsid w:val="00650330"/>
    <w:rsid w:val="006516CB"/>
    <w:rsid w:val="006558BD"/>
    <w:rsid w:val="00657E87"/>
    <w:rsid w:val="00664803"/>
    <w:rsid w:val="00665BA4"/>
    <w:rsid w:val="00666D91"/>
    <w:rsid w:val="00667AF2"/>
    <w:rsid w:val="006710C9"/>
    <w:rsid w:val="00674D89"/>
    <w:rsid w:val="00675E37"/>
    <w:rsid w:val="00680001"/>
    <w:rsid w:val="0068174E"/>
    <w:rsid w:val="00681DCE"/>
    <w:rsid w:val="0068260E"/>
    <w:rsid w:val="006836CB"/>
    <w:rsid w:val="00695BEF"/>
    <w:rsid w:val="006977F6"/>
    <w:rsid w:val="00697A13"/>
    <w:rsid w:val="006A109C"/>
    <w:rsid w:val="006A3E08"/>
    <w:rsid w:val="006A73A6"/>
    <w:rsid w:val="006B0F92"/>
    <w:rsid w:val="006B344A"/>
    <w:rsid w:val="006B4B7B"/>
    <w:rsid w:val="006B78D8"/>
    <w:rsid w:val="006C113F"/>
    <w:rsid w:val="006C123E"/>
    <w:rsid w:val="006C1752"/>
    <w:rsid w:val="006C33B2"/>
    <w:rsid w:val="006C56D4"/>
    <w:rsid w:val="006C6924"/>
    <w:rsid w:val="006C7CA6"/>
    <w:rsid w:val="006D3E8A"/>
    <w:rsid w:val="006D61F6"/>
    <w:rsid w:val="006D64C2"/>
    <w:rsid w:val="006E279A"/>
    <w:rsid w:val="006E313B"/>
    <w:rsid w:val="006E7227"/>
    <w:rsid w:val="006F2595"/>
    <w:rsid w:val="006F438E"/>
    <w:rsid w:val="006F5416"/>
    <w:rsid w:val="00705242"/>
    <w:rsid w:val="00706AD4"/>
    <w:rsid w:val="00707150"/>
    <w:rsid w:val="007140BE"/>
    <w:rsid w:val="00716E3F"/>
    <w:rsid w:val="007211F5"/>
    <w:rsid w:val="007240E2"/>
    <w:rsid w:val="00725BB5"/>
    <w:rsid w:val="00730AE8"/>
    <w:rsid w:val="00730F1B"/>
    <w:rsid w:val="00741493"/>
    <w:rsid w:val="0074369B"/>
    <w:rsid w:val="00750EF8"/>
    <w:rsid w:val="00752180"/>
    <w:rsid w:val="00753CAB"/>
    <w:rsid w:val="00755202"/>
    <w:rsid w:val="00755D3A"/>
    <w:rsid w:val="007578D3"/>
    <w:rsid w:val="007609C6"/>
    <w:rsid w:val="0076175D"/>
    <w:rsid w:val="00763B85"/>
    <w:rsid w:val="0076521E"/>
    <w:rsid w:val="007661E9"/>
    <w:rsid w:val="00775F45"/>
    <w:rsid w:val="00776169"/>
    <w:rsid w:val="00776527"/>
    <w:rsid w:val="00780EF1"/>
    <w:rsid w:val="00783C17"/>
    <w:rsid w:val="00785232"/>
    <w:rsid w:val="00790764"/>
    <w:rsid w:val="0079453C"/>
    <w:rsid w:val="00794677"/>
    <w:rsid w:val="007A516D"/>
    <w:rsid w:val="007B6689"/>
    <w:rsid w:val="007C13A4"/>
    <w:rsid w:val="007C6BBD"/>
    <w:rsid w:val="007C7BAE"/>
    <w:rsid w:val="007D0C24"/>
    <w:rsid w:val="007D40DF"/>
    <w:rsid w:val="007E29B4"/>
    <w:rsid w:val="007E435A"/>
    <w:rsid w:val="007E6EF7"/>
    <w:rsid w:val="007E7E61"/>
    <w:rsid w:val="007F0845"/>
    <w:rsid w:val="007F708D"/>
    <w:rsid w:val="00801E13"/>
    <w:rsid w:val="00807C82"/>
    <w:rsid w:val="00816905"/>
    <w:rsid w:val="00821FF6"/>
    <w:rsid w:val="00822574"/>
    <w:rsid w:val="00825C4D"/>
    <w:rsid w:val="0083143E"/>
    <w:rsid w:val="00831CDE"/>
    <w:rsid w:val="00833BF2"/>
    <w:rsid w:val="00834304"/>
    <w:rsid w:val="00834FAA"/>
    <w:rsid w:val="00836086"/>
    <w:rsid w:val="00846121"/>
    <w:rsid w:val="0084708F"/>
    <w:rsid w:val="008477C8"/>
    <w:rsid w:val="00847931"/>
    <w:rsid w:val="0085114D"/>
    <w:rsid w:val="00852217"/>
    <w:rsid w:val="00855408"/>
    <w:rsid w:val="00856D65"/>
    <w:rsid w:val="00861B41"/>
    <w:rsid w:val="00861BE3"/>
    <w:rsid w:val="00863434"/>
    <w:rsid w:val="00865E4C"/>
    <w:rsid w:val="008701E4"/>
    <w:rsid w:val="00875A32"/>
    <w:rsid w:val="00876086"/>
    <w:rsid w:val="008873D4"/>
    <w:rsid w:val="0089296D"/>
    <w:rsid w:val="00893E85"/>
    <w:rsid w:val="00894031"/>
    <w:rsid w:val="00895508"/>
    <w:rsid w:val="008B7C02"/>
    <w:rsid w:val="008B7D2B"/>
    <w:rsid w:val="008C0049"/>
    <w:rsid w:val="008C0E88"/>
    <w:rsid w:val="008D0A60"/>
    <w:rsid w:val="008D0DBD"/>
    <w:rsid w:val="008D1E6A"/>
    <w:rsid w:val="008D2A16"/>
    <w:rsid w:val="008E0DC9"/>
    <w:rsid w:val="008E2C57"/>
    <w:rsid w:val="008E31FF"/>
    <w:rsid w:val="008E6F06"/>
    <w:rsid w:val="008E7FC9"/>
    <w:rsid w:val="008F029B"/>
    <w:rsid w:val="008F3FC9"/>
    <w:rsid w:val="008F585B"/>
    <w:rsid w:val="009003A8"/>
    <w:rsid w:val="00902500"/>
    <w:rsid w:val="00902EFF"/>
    <w:rsid w:val="00906401"/>
    <w:rsid w:val="0091155E"/>
    <w:rsid w:val="00912A92"/>
    <w:rsid w:val="0091728D"/>
    <w:rsid w:val="0092180B"/>
    <w:rsid w:val="00921F14"/>
    <w:rsid w:val="00924AC8"/>
    <w:rsid w:val="0092597A"/>
    <w:rsid w:val="00930FB1"/>
    <w:rsid w:val="0093139F"/>
    <w:rsid w:val="00932443"/>
    <w:rsid w:val="00937AE2"/>
    <w:rsid w:val="00942C19"/>
    <w:rsid w:val="0094427A"/>
    <w:rsid w:val="00945245"/>
    <w:rsid w:val="009540B7"/>
    <w:rsid w:val="0095759C"/>
    <w:rsid w:val="00974923"/>
    <w:rsid w:val="00980D3D"/>
    <w:rsid w:val="00987A30"/>
    <w:rsid w:val="00992CF3"/>
    <w:rsid w:val="009942B6"/>
    <w:rsid w:val="00994868"/>
    <w:rsid w:val="009968D6"/>
    <w:rsid w:val="009A1CAB"/>
    <w:rsid w:val="009A60D1"/>
    <w:rsid w:val="009A7B2E"/>
    <w:rsid w:val="009B6FD3"/>
    <w:rsid w:val="009C03C8"/>
    <w:rsid w:val="009C1750"/>
    <w:rsid w:val="009C2E29"/>
    <w:rsid w:val="009C3ED8"/>
    <w:rsid w:val="009C554B"/>
    <w:rsid w:val="009C719E"/>
    <w:rsid w:val="009D3ACD"/>
    <w:rsid w:val="009E5273"/>
    <w:rsid w:val="009E5DDB"/>
    <w:rsid w:val="009F46EA"/>
    <w:rsid w:val="009F4CA7"/>
    <w:rsid w:val="00A10D66"/>
    <w:rsid w:val="00A14114"/>
    <w:rsid w:val="00A15F5A"/>
    <w:rsid w:val="00A16413"/>
    <w:rsid w:val="00A16E1D"/>
    <w:rsid w:val="00A17D5B"/>
    <w:rsid w:val="00A230A8"/>
    <w:rsid w:val="00A23E43"/>
    <w:rsid w:val="00A25216"/>
    <w:rsid w:val="00A27420"/>
    <w:rsid w:val="00A30F65"/>
    <w:rsid w:val="00A329DF"/>
    <w:rsid w:val="00A35142"/>
    <w:rsid w:val="00A35EA6"/>
    <w:rsid w:val="00A40EAC"/>
    <w:rsid w:val="00A418BC"/>
    <w:rsid w:val="00A46DE0"/>
    <w:rsid w:val="00A4750C"/>
    <w:rsid w:val="00A50D73"/>
    <w:rsid w:val="00A51F19"/>
    <w:rsid w:val="00A52CAD"/>
    <w:rsid w:val="00A537F0"/>
    <w:rsid w:val="00A53FC7"/>
    <w:rsid w:val="00A55161"/>
    <w:rsid w:val="00A62CE1"/>
    <w:rsid w:val="00A6741E"/>
    <w:rsid w:val="00A75E40"/>
    <w:rsid w:val="00A77D1D"/>
    <w:rsid w:val="00A84923"/>
    <w:rsid w:val="00A857C0"/>
    <w:rsid w:val="00A90FED"/>
    <w:rsid w:val="00AA2996"/>
    <w:rsid w:val="00AA52BF"/>
    <w:rsid w:val="00AA559A"/>
    <w:rsid w:val="00AB2AF1"/>
    <w:rsid w:val="00AB5421"/>
    <w:rsid w:val="00AC45BD"/>
    <w:rsid w:val="00AD168E"/>
    <w:rsid w:val="00AD306C"/>
    <w:rsid w:val="00AD68C4"/>
    <w:rsid w:val="00AE09B3"/>
    <w:rsid w:val="00AE1A83"/>
    <w:rsid w:val="00AE7FB2"/>
    <w:rsid w:val="00B00913"/>
    <w:rsid w:val="00B01593"/>
    <w:rsid w:val="00B023F2"/>
    <w:rsid w:val="00B0723C"/>
    <w:rsid w:val="00B10A4D"/>
    <w:rsid w:val="00B120A1"/>
    <w:rsid w:val="00B121D2"/>
    <w:rsid w:val="00B14BC1"/>
    <w:rsid w:val="00B17E71"/>
    <w:rsid w:val="00B17FDE"/>
    <w:rsid w:val="00B20632"/>
    <w:rsid w:val="00B2379C"/>
    <w:rsid w:val="00B2687D"/>
    <w:rsid w:val="00B30358"/>
    <w:rsid w:val="00B32DDB"/>
    <w:rsid w:val="00B34528"/>
    <w:rsid w:val="00B34CC9"/>
    <w:rsid w:val="00B402FC"/>
    <w:rsid w:val="00B40FF9"/>
    <w:rsid w:val="00B42470"/>
    <w:rsid w:val="00B439DA"/>
    <w:rsid w:val="00B46604"/>
    <w:rsid w:val="00B530CD"/>
    <w:rsid w:val="00B55F5E"/>
    <w:rsid w:val="00B57338"/>
    <w:rsid w:val="00B5752E"/>
    <w:rsid w:val="00B63A11"/>
    <w:rsid w:val="00B64C24"/>
    <w:rsid w:val="00B6608F"/>
    <w:rsid w:val="00B679FB"/>
    <w:rsid w:val="00B76D1E"/>
    <w:rsid w:val="00B80EC6"/>
    <w:rsid w:val="00B84CF6"/>
    <w:rsid w:val="00B86F03"/>
    <w:rsid w:val="00B92D1D"/>
    <w:rsid w:val="00B938C5"/>
    <w:rsid w:val="00B95940"/>
    <w:rsid w:val="00BA0DD3"/>
    <w:rsid w:val="00BA6C2B"/>
    <w:rsid w:val="00BB2F03"/>
    <w:rsid w:val="00BB46F3"/>
    <w:rsid w:val="00BB4CB1"/>
    <w:rsid w:val="00BB4F98"/>
    <w:rsid w:val="00BC0E31"/>
    <w:rsid w:val="00BC5C12"/>
    <w:rsid w:val="00BC7154"/>
    <w:rsid w:val="00BC731E"/>
    <w:rsid w:val="00BD163C"/>
    <w:rsid w:val="00BD2211"/>
    <w:rsid w:val="00BD366B"/>
    <w:rsid w:val="00BD6D50"/>
    <w:rsid w:val="00BE18B9"/>
    <w:rsid w:val="00BE2495"/>
    <w:rsid w:val="00BE468E"/>
    <w:rsid w:val="00BE6186"/>
    <w:rsid w:val="00BF1578"/>
    <w:rsid w:val="00C21405"/>
    <w:rsid w:val="00C21F94"/>
    <w:rsid w:val="00C27913"/>
    <w:rsid w:val="00C33B68"/>
    <w:rsid w:val="00C36A79"/>
    <w:rsid w:val="00C401D2"/>
    <w:rsid w:val="00C405D4"/>
    <w:rsid w:val="00C4513B"/>
    <w:rsid w:val="00C466D2"/>
    <w:rsid w:val="00C517C6"/>
    <w:rsid w:val="00C5390B"/>
    <w:rsid w:val="00C54697"/>
    <w:rsid w:val="00C60191"/>
    <w:rsid w:val="00C6152B"/>
    <w:rsid w:val="00C73885"/>
    <w:rsid w:val="00C747B1"/>
    <w:rsid w:val="00C805DC"/>
    <w:rsid w:val="00C82191"/>
    <w:rsid w:val="00C83134"/>
    <w:rsid w:val="00C85545"/>
    <w:rsid w:val="00C90CF4"/>
    <w:rsid w:val="00C92EB6"/>
    <w:rsid w:val="00C93389"/>
    <w:rsid w:val="00C96D08"/>
    <w:rsid w:val="00CA6AB4"/>
    <w:rsid w:val="00CB259D"/>
    <w:rsid w:val="00CB4930"/>
    <w:rsid w:val="00CC2E7D"/>
    <w:rsid w:val="00CC71EC"/>
    <w:rsid w:val="00CD10A5"/>
    <w:rsid w:val="00CD2076"/>
    <w:rsid w:val="00CD29B5"/>
    <w:rsid w:val="00CD6331"/>
    <w:rsid w:val="00CE153B"/>
    <w:rsid w:val="00CE670B"/>
    <w:rsid w:val="00CF1C4C"/>
    <w:rsid w:val="00CF4908"/>
    <w:rsid w:val="00CF51EC"/>
    <w:rsid w:val="00CF73AE"/>
    <w:rsid w:val="00D040DD"/>
    <w:rsid w:val="00D050F8"/>
    <w:rsid w:val="00D075BE"/>
    <w:rsid w:val="00D1005A"/>
    <w:rsid w:val="00D11854"/>
    <w:rsid w:val="00D13986"/>
    <w:rsid w:val="00D21D83"/>
    <w:rsid w:val="00D235B7"/>
    <w:rsid w:val="00D25F28"/>
    <w:rsid w:val="00D26071"/>
    <w:rsid w:val="00D27973"/>
    <w:rsid w:val="00D279B8"/>
    <w:rsid w:val="00D32F90"/>
    <w:rsid w:val="00D35E1A"/>
    <w:rsid w:val="00D50F46"/>
    <w:rsid w:val="00D52BE2"/>
    <w:rsid w:val="00D57677"/>
    <w:rsid w:val="00D66223"/>
    <w:rsid w:val="00D8084C"/>
    <w:rsid w:val="00D915EA"/>
    <w:rsid w:val="00D93CE2"/>
    <w:rsid w:val="00D943C6"/>
    <w:rsid w:val="00D965EC"/>
    <w:rsid w:val="00DA7C0C"/>
    <w:rsid w:val="00DB08A9"/>
    <w:rsid w:val="00DB2EC8"/>
    <w:rsid w:val="00DC37E3"/>
    <w:rsid w:val="00DC5B3B"/>
    <w:rsid w:val="00DD129F"/>
    <w:rsid w:val="00DE4C19"/>
    <w:rsid w:val="00DF42FF"/>
    <w:rsid w:val="00DF7AD4"/>
    <w:rsid w:val="00E01C0E"/>
    <w:rsid w:val="00E03F9A"/>
    <w:rsid w:val="00E04694"/>
    <w:rsid w:val="00E04F27"/>
    <w:rsid w:val="00E102BD"/>
    <w:rsid w:val="00E11DE1"/>
    <w:rsid w:val="00E12B1E"/>
    <w:rsid w:val="00E17262"/>
    <w:rsid w:val="00E212C9"/>
    <w:rsid w:val="00E253A2"/>
    <w:rsid w:val="00E3309D"/>
    <w:rsid w:val="00E453F9"/>
    <w:rsid w:val="00E47EBA"/>
    <w:rsid w:val="00E50156"/>
    <w:rsid w:val="00E53470"/>
    <w:rsid w:val="00E539F6"/>
    <w:rsid w:val="00E6519D"/>
    <w:rsid w:val="00E67696"/>
    <w:rsid w:val="00E711D1"/>
    <w:rsid w:val="00E71A58"/>
    <w:rsid w:val="00E72A7A"/>
    <w:rsid w:val="00E733C7"/>
    <w:rsid w:val="00E75C94"/>
    <w:rsid w:val="00E76E61"/>
    <w:rsid w:val="00E924B2"/>
    <w:rsid w:val="00E93820"/>
    <w:rsid w:val="00E94A86"/>
    <w:rsid w:val="00E96143"/>
    <w:rsid w:val="00E972A9"/>
    <w:rsid w:val="00EA0840"/>
    <w:rsid w:val="00EA0C68"/>
    <w:rsid w:val="00EA17B0"/>
    <w:rsid w:val="00EA32BC"/>
    <w:rsid w:val="00EA405F"/>
    <w:rsid w:val="00EB4511"/>
    <w:rsid w:val="00EC03D7"/>
    <w:rsid w:val="00EC25F0"/>
    <w:rsid w:val="00ED62C6"/>
    <w:rsid w:val="00ED64C1"/>
    <w:rsid w:val="00EE3446"/>
    <w:rsid w:val="00EE3E78"/>
    <w:rsid w:val="00EE4B1B"/>
    <w:rsid w:val="00EF150D"/>
    <w:rsid w:val="00EF1F5A"/>
    <w:rsid w:val="00EF47BF"/>
    <w:rsid w:val="00F04811"/>
    <w:rsid w:val="00F0488C"/>
    <w:rsid w:val="00F10F11"/>
    <w:rsid w:val="00F15AAA"/>
    <w:rsid w:val="00F15BEF"/>
    <w:rsid w:val="00F160CE"/>
    <w:rsid w:val="00F162B3"/>
    <w:rsid w:val="00F24407"/>
    <w:rsid w:val="00F24FAA"/>
    <w:rsid w:val="00F3364D"/>
    <w:rsid w:val="00F33E56"/>
    <w:rsid w:val="00F433FE"/>
    <w:rsid w:val="00F437CC"/>
    <w:rsid w:val="00F44537"/>
    <w:rsid w:val="00F46502"/>
    <w:rsid w:val="00F47067"/>
    <w:rsid w:val="00F525EB"/>
    <w:rsid w:val="00F55E08"/>
    <w:rsid w:val="00F63DDE"/>
    <w:rsid w:val="00F63FB7"/>
    <w:rsid w:val="00F6421B"/>
    <w:rsid w:val="00F649D2"/>
    <w:rsid w:val="00F6602B"/>
    <w:rsid w:val="00F73A0C"/>
    <w:rsid w:val="00F756DB"/>
    <w:rsid w:val="00F84E7D"/>
    <w:rsid w:val="00F85066"/>
    <w:rsid w:val="00F859D0"/>
    <w:rsid w:val="00F87A4D"/>
    <w:rsid w:val="00FA5D4D"/>
    <w:rsid w:val="00FB0EE2"/>
    <w:rsid w:val="00FB542E"/>
    <w:rsid w:val="00FC0359"/>
    <w:rsid w:val="00FC0E5F"/>
    <w:rsid w:val="00FC1A95"/>
    <w:rsid w:val="00FC56DE"/>
    <w:rsid w:val="00FC684B"/>
    <w:rsid w:val="00FD3265"/>
    <w:rsid w:val="00FD4916"/>
    <w:rsid w:val="00FE2F78"/>
    <w:rsid w:val="00FE6609"/>
    <w:rsid w:val="00FF3EEC"/>
    <w:rsid w:val="00FF7B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4FA0"/>
    <w:pPr>
      <w:spacing w:after="240" w:line="276" w:lineRule="auto"/>
      <w:jc w:val="both"/>
    </w:pPr>
    <w:rPr>
      <w:rFonts w:ascii="Arial" w:eastAsia="Times New Roman" w:hAnsi="Arial"/>
      <w:szCs w:val="24"/>
      <w:lang w:eastAsia="cs-CZ"/>
    </w:rPr>
  </w:style>
  <w:style w:type="paragraph" w:styleId="Nadpis1">
    <w:name w:val="heading 1"/>
    <w:next w:val="Normln"/>
    <w:link w:val="Nadpis1Char"/>
    <w:uiPriority w:val="9"/>
    <w:qFormat/>
    <w:rsid w:val="00A25216"/>
    <w:pPr>
      <w:keepNext/>
      <w:keepLines/>
      <w:spacing w:after="100" w:line="276" w:lineRule="auto"/>
      <w:contextualSpacing/>
      <w:outlineLvl w:val="0"/>
    </w:pPr>
    <w:rPr>
      <w:rFonts w:ascii="Arial" w:eastAsia="MS Gothic" w:hAnsi="Arial"/>
      <w:b/>
      <w:bCs/>
      <w:color w:val="71818C"/>
      <w:sz w:val="32"/>
      <w:szCs w:val="28"/>
      <w:lang w:eastAsia="cs-CZ"/>
    </w:rPr>
  </w:style>
  <w:style w:type="paragraph" w:styleId="Nadpis2">
    <w:name w:val="heading 2"/>
    <w:next w:val="Normln"/>
    <w:link w:val="Nadpis2Char"/>
    <w:uiPriority w:val="9"/>
    <w:qFormat/>
    <w:rsid w:val="00A25216"/>
    <w:pPr>
      <w:keepNext/>
      <w:keepLines/>
      <w:spacing w:line="276" w:lineRule="auto"/>
      <w:outlineLvl w:val="1"/>
    </w:pPr>
    <w:rPr>
      <w:rFonts w:ascii="Arial" w:eastAsia="MS Gothic" w:hAnsi="Arial"/>
      <w:b/>
      <w:bCs/>
      <w:color w:val="71818C"/>
      <w:sz w:val="28"/>
      <w:szCs w:val="26"/>
      <w:lang w:eastAsia="cs-CZ"/>
    </w:rPr>
  </w:style>
  <w:style w:type="paragraph" w:styleId="Nadpis3">
    <w:name w:val="heading 3"/>
    <w:next w:val="Normln"/>
    <w:link w:val="Nadpis3Char"/>
    <w:uiPriority w:val="9"/>
    <w:qFormat/>
    <w:rsid w:val="00A25216"/>
    <w:pPr>
      <w:keepNext/>
      <w:keepLines/>
      <w:spacing w:line="276" w:lineRule="auto"/>
      <w:outlineLvl w:val="2"/>
    </w:pPr>
    <w:rPr>
      <w:rFonts w:ascii="Arial" w:eastAsia="MS Gothic" w:hAnsi="Arial"/>
      <w:b/>
      <w:bCs/>
      <w:color w:val="71818C"/>
      <w:sz w:val="24"/>
      <w:szCs w:val="24"/>
      <w:lang w:eastAsia="cs-CZ"/>
    </w:rPr>
  </w:style>
  <w:style w:type="paragraph" w:styleId="Nadpis4">
    <w:name w:val="heading 4"/>
    <w:next w:val="Normln"/>
    <w:link w:val="Nadpis4Char"/>
    <w:uiPriority w:val="9"/>
    <w:qFormat/>
    <w:rsid w:val="00A25216"/>
    <w:pPr>
      <w:keepNext/>
      <w:keepLines/>
      <w:spacing w:line="276" w:lineRule="auto"/>
      <w:outlineLvl w:val="3"/>
    </w:pPr>
    <w:rPr>
      <w:rFonts w:ascii="Arial" w:eastAsia="MS Gothic" w:hAnsi="Arial"/>
      <w:b/>
      <w:bCs/>
      <w:iCs/>
      <w:color w:val="71818C"/>
      <w:szCs w:val="24"/>
      <w:lang w:eastAsia="cs-CZ"/>
    </w:rPr>
  </w:style>
  <w:style w:type="paragraph" w:styleId="Nadpis5">
    <w:name w:val="heading 5"/>
    <w:basedOn w:val="Normln"/>
    <w:next w:val="Normln"/>
    <w:link w:val="Nadpis5Char"/>
    <w:uiPriority w:val="9"/>
    <w:semiHidden/>
    <w:unhideWhenUsed/>
    <w:rsid w:val="007A516D"/>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A516D"/>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A516D"/>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A516D"/>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7A516D"/>
    <w:pPr>
      <w:numPr>
        <w:ilvl w:val="8"/>
        <w:numId w:val="1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364FA0"/>
    <w:rPr>
      <w:rFonts w:ascii="Arial" w:eastAsia="MS Gothic" w:hAnsi="Arial"/>
      <w:b/>
      <w:bCs/>
      <w:color w:val="71818C"/>
      <w:sz w:val="32"/>
      <w:szCs w:val="28"/>
      <w:lang w:eastAsia="cs-CZ"/>
    </w:rPr>
  </w:style>
  <w:style w:type="character" w:customStyle="1" w:styleId="Nadpis2Char">
    <w:name w:val="Nadpis 2 Char"/>
    <w:link w:val="Nadpis2"/>
    <w:uiPriority w:val="9"/>
    <w:qFormat/>
    <w:rsid w:val="00364FA0"/>
    <w:rPr>
      <w:rFonts w:ascii="Arial" w:eastAsia="MS Gothic" w:hAnsi="Arial"/>
      <w:b/>
      <w:bCs/>
      <w:color w:val="71818C"/>
      <w:sz w:val="28"/>
      <w:szCs w:val="26"/>
      <w:lang w:eastAsia="cs-CZ"/>
    </w:rPr>
  </w:style>
  <w:style w:type="character" w:customStyle="1" w:styleId="Nadpis3Char">
    <w:name w:val="Nadpis 3 Char"/>
    <w:link w:val="Nadpis3"/>
    <w:uiPriority w:val="9"/>
    <w:rsid w:val="00364FA0"/>
    <w:rPr>
      <w:rFonts w:ascii="Arial" w:eastAsia="MS Gothic" w:hAnsi="Arial"/>
      <w:b/>
      <w:bCs/>
      <w:color w:val="71818C"/>
      <w:sz w:val="24"/>
      <w:szCs w:val="24"/>
      <w:lang w:eastAsia="cs-CZ"/>
    </w:rPr>
  </w:style>
  <w:style w:type="character" w:customStyle="1" w:styleId="Nadpis4Char">
    <w:name w:val="Nadpis 4 Char"/>
    <w:link w:val="Nadpis4"/>
    <w:uiPriority w:val="9"/>
    <w:rsid w:val="00364FA0"/>
    <w:rPr>
      <w:rFonts w:ascii="Arial" w:eastAsia="MS Gothic" w:hAnsi="Arial"/>
      <w:b/>
      <w:bCs/>
      <w:iCs/>
      <w:color w:val="71818C"/>
      <w:szCs w:val="24"/>
      <w:lang w:eastAsia="cs-CZ"/>
    </w:rPr>
  </w:style>
  <w:style w:type="character" w:customStyle="1" w:styleId="Nadpis9Char">
    <w:name w:val="Nadpis 9 Char"/>
    <w:link w:val="Nadpis9"/>
    <w:uiPriority w:val="9"/>
    <w:semiHidden/>
    <w:rsid w:val="007A516D"/>
    <w:rPr>
      <w:rFonts w:ascii="Cambria" w:eastAsia="Times New Roman" w:hAnsi="Cambria"/>
      <w:sz w:val="22"/>
      <w:szCs w:val="22"/>
      <w:lang w:eastAsia="cs-CZ"/>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EA0840"/>
    <w:rPr>
      <w:noProof/>
      <w:lang w:eastAsia="en-US"/>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46121"/>
    <w:pPr>
      <w:spacing w:after="80" w:line="288" w:lineRule="auto"/>
    </w:pPr>
    <w:rPr>
      <w:rFonts w:ascii="Arial" w:eastAsia="Times New Roman" w:hAnsi="Arial"/>
      <w:b/>
      <w:color w:val="71818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A-Box1">
    <w:name w:val="A-Box 1"/>
    <w:next w:val="Normln"/>
    <w:qFormat/>
    <w:rsid w:val="00F84E7D"/>
    <w:pPr>
      <w:shd w:val="clear" w:color="auto" w:fill="EAECEE"/>
      <w:spacing w:before="240" w:after="240" w:line="276" w:lineRule="auto"/>
      <w:contextualSpacing/>
      <w:jc w:val="both"/>
    </w:pPr>
    <w:rPr>
      <w:rFonts w:ascii="Arial" w:hAnsi="Arial" w:cs="Arial"/>
      <w:lang w:eastAsia="cs-CZ"/>
    </w:rPr>
  </w:style>
  <w:style w:type="paragraph" w:customStyle="1" w:styleId="A-Box2">
    <w:name w:val="A-Box 2"/>
    <w:next w:val="Normln"/>
    <w:qFormat/>
    <w:rsid w:val="00D075BE"/>
    <w:pPr>
      <w:spacing w:before="240" w:after="240" w:line="276" w:lineRule="auto"/>
      <w:contextualSpacing/>
      <w:jc w:val="both"/>
    </w:pPr>
    <w:rPr>
      <w:rFonts w:ascii="Arial" w:hAnsi="Arial" w:cs="Arial"/>
      <w:color w:val="71818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46121"/>
    <w:pPr>
      <w:spacing w:line="288" w:lineRule="auto"/>
    </w:pPr>
    <w:rPr>
      <w:rFonts w:ascii="Arial" w:eastAsia="Times New Roman" w:hAnsi="Arial"/>
      <w:b/>
      <w:bCs/>
      <w:caps/>
      <w:color w:val="71818C"/>
      <w:kern w:val="28"/>
      <w:sz w:val="56"/>
      <w:szCs w:val="32"/>
      <w:lang w:eastAsia="cs-CZ"/>
    </w:rPr>
  </w:style>
  <w:style w:type="character" w:customStyle="1" w:styleId="NzevChar">
    <w:name w:val="Název Char"/>
    <w:link w:val="Nzev"/>
    <w:uiPriority w:val="10"/>
    <w:rsid w:val="00846121"/>
    <w:rPr>
      <w:rFonts w:ascii="Arial" w:eastAsia="Times New Roman" w:hAnsi="Arial"/>
      <w:b/>
      <w:bCs/>
      <w:caps/>
      <w:color w:val="71818C"/>
      <w:kern w:val="28"/>
      <w:sz w:val="56"/>
      <w:szCs w:val="32"/>
    </w:rPr>
  </w:style>
  <w:style w:type="paragraph" w:styleId="Podtitul">
    <w:name w:val="Subtitle"/>
    <w:link w:val="PodtitulChar"/>
    <w:uiPriority w:val="11"/>
    <w:qFormat/>
    <w:rsid w:val="00846121"/>
    <w:pPr>
      <w:spacing w:line="288" w:lineRule="auto"/>
    </w:pPr>
    <w:rPr>
      <w:rFonts w:ascii="Arial" w:eastAsia="Times New Roman" w:hAnsi="Arial" w:cs="Arial"/>
      <w:b/>
      <w:color w:val="71818C"/>
      <w:sz w:val="28"/>
      <w:szCs w:val="24"/>
      <w:lang w:eastAsia="cs-CZ"/>
    </w:rPr>
  </w:style>
  <w:style w:type="character" w:customStyle="1" w:styleId="PodtitulChar">
    <w:name w:val="Podtitul Char"/>
    <w:link w:val="Podtitul"/>
    <w:uiPriority w:val="11"/>
    <w:rsid w:val="00846121"/>
    <w:rPr>
      <w:rFonts w:ascii="Arial" w:eastAsia="Times New Roman" w:hAnsi="Arial" w:cs="Arial"/>
      <w:b/>
      <w:color w:val="71818C"/>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adpis5Char">
    <w:name w:val="Nadpis 5 Char"/>
    <w:basedOn w:val="Standardnpsmoodstavce"/>
    <w:link w:val="Nadpis5"/>
    <w:uiPriority w:val="9"/>
    <w:semiHidden/>
    <w:rsid w:val="007A516D"/>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uiPriority w:val="9"/>
    <w:semiHidden/>
    <w:rsid w:val="007A516D"/>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uiPriority w:val="9"/>
    <w:semiHidden/>
    <w:rsid w:val="007A516D"/>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uiPriority w:val="9"/>
    <w:semiHidden/>
    <w:rsid w:val="007A516D"/>
    <w:rPr>
      <w:rFonts w:asciiTheme="majorHAnsi" w:eastAsiaTheme="majorEastAsia" w:hAnsiTheme="majorHAnsi" w:cstheme="majorBidi"/>
      <w:color w:val="404040" w:themeColor="text1" w:themeTint="BF"/>
      <w:lang w:eastAsia="cs-CZ"/>
    </w:rPr>
  </w:style>
  <w:style w:type="paragraph" w:styleId="Textpoznpodarou">
    <w:name w:val="footnote text"/>
    <w:aliases w:val="Text pozn. pod čarou_martin_ang"/>
    <w:basedOn w:val="Normln"/>
    <w:link w:val="TextpoznpodarouChar"/>
    <w:qFormat/>
    <w:rsid w:val="008E7FC9"/>
    <w:pPr>
      <w:spacing w:after="0" w:line="240" w:lineRule="auto"/>
      <w:jc w:val="left"/>
    </w:pPr>
    <w:rPr>
      <w:rFonts w:eastAsia="Calibri"/>
      <w:szCs w:val="20"/>
    </w:rPr>
  </w:style>
  <w:style w:type="character" w:customStyle="1" w:styleId="TextpoznpodarouChar">
    <w:name w:val="Text pozn. pod čarou Char"/>
    <w:aliases w:val="Text pozn. pod čarou_martin_ang Char"/>
    <w:basedOn w:val="Standardnpsmoodstavce"/>
    <w:link w:val="Textpoznpodarou"/>
    <w:qFormat/>
    <w:rsid w:val="008E7FC9"/>
    <w:rPr>
      <w:rFonts w:ascii="Arial" w:hAnsi="Arial"/>
      <w:lang w:eastAsia="cs-CZ"/>
    </w:rPr>
  </w:style>
  <w:style w:type="paragraph" w:styleId="Bezmezer">
    <w:name w:val="No Spacing"/>
    <w:uiPriority w:val="1"/>
    <w:qFormat/>
    <w:rsid w:val="00AD68C4"/>
    <w:pPr>
      <w:jc w:val="both"/>
    </w:pPr>
    <w:rPr>
      <w:rFonts w:ascii="Arial" w:eastAsia="Times New Roman" w:hAnsi="Arial"/>
      <w:szCs w:val="24"/>
      <w:lang w:eastAsia="cs-CZ"/>
    </w:rPr>
  </w:style>
  <w:style w:type="paragraph" w:customStyle="1" w:styleId="Marginlie">
    <w:name w:val="Marginálie"/>
    <w:basedOn w:val="Normln"/>
    <w:qFormat/>
    <w:rsid w:val="0089296D"/>
    <w:pPr>
      <w:spacing w:after="0"/>
      <w:jc w:val="left"/>
    </w:pPr>
    <w:rPr>
      <w:spacing w:val="-2"/>
      <w:sz w:val="16"/>
      <w:szCs w:val="16"/>
    </w:rPr>
  </w:style>
  <w:style w:type="paragraph" w:styleId="Odstavecseseznamem">
    <w:name w:val="List Paragraph"/>
    <w:basedOn w:val="Normln"/>
    <w:uiPriority w:val="34"/>
    <w:rsid w:val="006B0F92"/>
    <w:pPr>
      <w:ind w:left="720"/>
      <w:contextualSpacing/>
    </w:pPr>
  </w:style>
  <w:style w:type="paragraph" w:customStyle="1" w:styleId="Normalodrka">
    <w:name w:val="Normal odrážka"/>
    <w:qFormat/>
    <w:rsid w:val="006B0F92"/>
    <w:pPr>
      <w:numPr>
        <w:numId w:val="20"/>
      </w:numPr>
      <w:spacing w:after="240" w:line="276" w:lineRule="auto"/>
      <w:ind w:left="357" w:hanging="357"/>
      <w:jc w:val="both"/>
    </w:pPr>
    <w:rPr>
      <w:rFonts w:ascii="Arial" w:eastAsia="Times New Roman" w:hAnsi="Arial"/>
      <w:szCs w:val="24"/>
      <w:lang w:eastAsia="cs-CZ"/>
    </w:rPr>
  </w:style>
  <w:style w:type="paragraph" w:customStyle="1" w:styleId="Box1">
    <w:name w:val="Box 1"/>
    <w:next w:val="Normln"/>
    <w:qFormat/>
    <w:rsid w:val="00A17D5B"/>
    <w:pPr>
      <w:shd w:val="clear" w:color="auto" w:fill="EBEBEB"/>
      <w:spacing w:before="240" w:after="240" w:line="276" w:lineRule="auto"/>
      <w:ind w:left="709"/>
      <w:contextualSpacing/>
    </w:pPr>
    <w:rPr>
      <w:rFonts w:ascii="Arial" w:hAnsi="Arial" w:cs="Arial"/>
      <w:lang w:eastAsia="cs-CZ"/>
    </w:rPr>
  </w:style>
  <w:style w:type="paragraph" w:customStyle="1" w:styleId="Box2">
    <w:name w:val="Box 2"/>
    <w:next w:val="Normln"/>
    <w:qFormat/>
    <w:rsid w:val="00A17D5B"/>
    <w:pPr>
      <w:spacing w:before="240" w:after="240" w:line="276" w:lineRule="auto"/>
      <w:ind w:left="709"/>
      <w:contextualSpacing/>
    </w:pPr>
    <w:rPr>
      <w:rFonts w:ascii="Arial" w:hAnsi="Arial" w:cs="Arial"/>
      <w:b/>
      <w:color w:val="71818C"/>
      <w:lang w:eastAsia="cs-CZ"/>
    </w:rPr>
  </w:style>
  <w:style w:type="character" w:styleId="Odkaznakoment">
    <w:name w:val="annotation reference"/>
    <w:basedOn w:val="Standardnpsmoodstavce"/>
    <w:uiPriority w:val="99"/>
    <w:semiHidden/>
    <w:unhideWhenUsed/>
    <w:rsid w:val="00E76E61"/>
    <w:rPr>
      <w:sz w:val="16"/>
      <w:szCs w:val="16"/>
    </w:rPr>
  </w:style>
  <w:style w:type="paragraph" w:styleId="Textkomente">
    <w:name w:val="annotation text"/>
    <w:basedOn w:val="Normln"/>
    <w:link w:val="TextkomenteChar"/>
    <w:uiPriority w:val="99"/>
    <w:semiHidden/>
    <w:unhideWhenUsed/>
    <w:rsid w:val="00E76E61"/>
    <w:pPr>
      <w:spacing w:line="240" w:lineRule="auto"/>
    </w:pPr>
    <w:rPr>
      <w:szCs w:val="20"/>
    </w:rPr>
  </w:style>
  <w:style w:type="character" w:customStyle="1" w:styleId="TextkomenteChar">
    <w:name w:val="Text komentáře Char"/>
    <w:basedOn w:val="Standardnpsmoodstavce"/>
    <w:link w:val="Textkomente"/>
    <w:uiPriority w:val="99"/>
    <w:semiHidden/>
    <w:rsid w:val="00E76E61"/>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E76E61"/>
    <w:rPr>
      <w:b/>
      <w:bCs/>
    </w:rPr>
  </w:style>
  <w:style w:type="character" w:customStyle="1" w:styleId="PedmtkomenteChar">
    <w:name w:val="Předmět komentáře Char"/>
    <w:basedOn w:val="TextkomenteChar"/>
    <w:link w:val="Pedmtkomente"/>
    <w:uiPriority w:val="99"/>
    <w:semiHidden/>
    <w:rsid w:val="00E76E61"/>
    <w:rPr>
      <w:rFonts w:ascii="Arial" w:eastAsia="Times New Roman" w:hAnsi="Arial"/>
      <w:b/>
      <w:bCs/>
      <w:lang w:eastAsia="cs-CZ"/>
    </w:rPr>
  </w:style>
  <w:style w:type="paragraph" w:customStyle="1" w:styleId="Nadpis11">
    <w:name w:val="Nadpis 11"/>
    <w:basedOn w:val="Normln"/>
    <w:uiPriority w:val="9"/>
    <w:qFormat/>
    <w:rsid w:val="00F46502"/>
    <w:pPr>
      <w:keepNext/>
      <w:keepLines/>
      <w:spacing w:after="100"/>
      <w:contextualSpacing/>
      <w:jc w:val="left"/>
      <w:outlineLvl w:val="0"/>
    </w:pPr>
    <w:rPr>
      <w:rFonts w:eastAsia="MS Gothic"/>
      <w:b/>
      <w:bCs/>
      <w:color w:val="71818C"/>
      <w:sz w:val="32"/>
      <w:szCs w:val="28"/>
    </w:rPr>
  </w:style>
  <w:style w:type="paragraph" w:customStyle="1" w:styleId="Nadpis21">
    <w:name w:val="Nadpis 21"/>
    <w:basedOn w:val="Normln"/>
    <w:uiPriority w:val="9"/>
    <w:qFormat/>
    <w:rsid w:val="00F46502"/>
    <w:pPr>
      <w:keepNext/>
      <w:keepLines/>
      <w:spacing w:after="0"/>
      <w:jc w:val="left"/>
      <w:outlineLvl w:val="1"/>
    </w:pPr>
    <w:rPr>
      <w:rFonts w:eastAsia="MS Gothic"/>
      <w:b/>
      <w:bCs/>
      <w:color w:val="71818C"/>
      <w:sz w:val="28"/>
      <w:szCs w:val="26"/>
    </w:rPr>
  </w:style>
  <w:style w:type="paragraph" w:customStyle="1" w:styleId="Textpoznpodarou1">
    <w:name w:val="Text pozn. pod čarou1"/>
    <w:basedOn w:val="Normln"/>
    <w:rsid w:val="00F46502"/>
    <w:pPr>
      <w:spacing w:after="0" w:line="240" w:lineRule="auto"/>
      <w:jc w:val="left"/>
    </w:pPr>
    <w:rPr>
      <w:rFonts w:eastAsia="Calibri"/>
      <w:color w:val="00000A"/>
      <w:szCs w:val="20"/>
    </w:rPr>
  </w:style>
  <w:style w:type="character" w:customStyle="1" w:styleId="TextpoznpodarouChar1">
    <w:name w:val="Text pozn. pod čarou Char1"/>
    <w:aliases w:val="Text pozn. pod čarou_martin_ang Char1"/>
    <w:basedOn w:val="Standardnpsmoodstavce"/>
    <w:semiHidden/>
    <w:rsid w:val="00F46502"/>
    <w:rPr>
      <w:rFonts w:ascii="Arial" w:eastAsia="Times New Roman" w:hAnsi="Arial" w:cs="Times New Roman"/>
      <w:color w:val="00000A"/>
      <w:szCs w:val="20"/>
      <w:lang w:eastAsia="cs-CZ"/>
    </w:rPr>
  </w:style>
  <w:style w:type="character" w:styleId="Znakapoznpodarou">
    <w:name w:val="footnote reference"/>
    <w:basedOn w:val="Standardnpsmoodstavce"/>
    <w:rsid w:val="00F46502"/>
    <w:rPr>
      <w:rFonts w:cs="Times New Roman"/>
      <w:vertAlign w:val="superscript"/>
    </w:rPr>
  </w:style>
  <w:style w:type="character" w:customStyle="1" w:styleId="odkaz-style-wrapper">
    <w:name w:val="odkaz-style-wrapper"/>
    <w:basedOn w:val="Standardnpsmoodstavce"/>
    <w:rsid w:val="00BE6186"/>
  </w:style>
  <w:style w:type="paragraph" w:customStyle="1" w:styleId="Nadpis110">
    <w:name w:val="Nadpis 11"/>
    <w:basedOn w:val="Normln"/>
    <w:uiPriority w:val="9"/>
    <w:qFormat/>
    <w:rsid w:val="00BE6186"/>
    <w:pPr>
      <w:keepNext/>
      <w:keepLines/>
      <w:spacing w:after="100"/>
      <w:contextualSpacing/>
      <w:jc w:val="left"/>
      <w:outlineLvl w:val="0"/>
    </w:pPr>
    <w:rPr>
      <w:rFonts w:eastAsia="MS Gothic"/>
      <w:b/>
      <w:bCs/>
      <w:color w:val="71818C"/>
      <w:sz w:val="32"/>
      <w:szCs w:val="28"/>
    </w:rPr>
  </w:style>
  <w:style w:type="paragraph" w:customStyle="1" w:styleId="Nadpis210">
    <w:name w:val="Nadpis 21"/>
    <w:basedOn w:val="Normln"/>
    <w:uiPriority w:val="9"/>
    <w:qFormat/>
    <w:rsid w:val="00BE6186"/>
    <w:pPr>
      <w:keepNext/>
      <w:keepLines/>
      <w:spacing w:after="0"/>
      <w:jc w:val="left"/>
      <w:outlineLvl w:val="1"/>
    </w:pPr>
    <w:rPr>
      <w:rFonts w:eastAsia="MS Gothic"/>
      <w:b/>
      <w:bCs/>
      <w:color w:val="71818C"/>
      <w:sz w:val="28"/>
      <w:szCs w:val="26"/>
    </w:rPr>
  </w:style>
  <w:style w:type="paragraph" w:customStyle="1" w:styleId="Textpoznpodarou10">
    <w:name w:val="Text pozn. pod čarou1"/>
    <w:basedOn w:val="Normln"/>
    <w:rsid w:val="00BE6186"/>
    <w:pPr>
      <w:spacing w:after="0" w:line="240" w:lineRule="auto"/>
      <w:jc w:val="left"/>
    </w:pPr>
    <w:rPr>
      <w:rFonts w:eastAsia="Calibri"/>
      <w:color w:val="00000A"/>
      <w:szCs w:val="20"/>
    </w:rPr>
  </w:style>
  <w:style w:type="paragraph" w:styleId="Normlnweb">
    <w:name w:val="Normal (Web)"/>
    <w:basedOn w:val="Normln"/>
    <w:uiPriority w:val="99"/>
    <w:unhideWhenUsed/>
    <w:rsid w:val="00C96D08"/>
    <w:pPr>
      <w:spacing w:before="100" w:beforeAutospacing="1" w:after="100" w:afterAutospacing="1" w:line="240" w:lineRule="auto"/>
      <w:jc w:val="left"/>
    </w:pPr>
    <w:rPr>
      <w:rFonts w:ascii="Times New Roman" w:hAnsi="Times New Roman"/>
      <w:sz w:val="24"/>
    </w:rPr>
  </w:style>
  <w:style w:type="paragraph" w:styleId="Zkladntext">
    <w:name w:val="Body Text"/>
    <w:basedOn w:val="Normln"/>
    <w:link w:val="ZkladntextChar"/>
    <w:semiHidden/>
    <w:rsid w:val="004C5FBF"/>
    <w:pPr>
      <w:widowControl w:val="0"/>
      <w:suppressAutoHyphens/>
      <w:autoSpaceDE w:val="0"/>
      <w:autoSpaceDN w:val="0"/>
      <w:adjustRightInd w:val="0"/>
      <w:spacing w:before="120" w:after="0" w:line="215" w:lineRule="exact"/>
    </w:pPr>
    <w:rPr>
      <w:rFonts w:ascii="Times New Roman CE obyèejné" w:hAnsi="Times New Roman CE obyèejné"/>
      <w:szCs w:val="20"/>
    </w:rPr>
  </w:style>
  <w:style w:type="character" w:customStyle="1" w:styleId="ZkladntextChar">
    <w:name w:val="Základní text Char"/>
    <w:basedOn w:val="Standardnpsmoodstavce"/>
    <w:link w:val="Zkladntext"/>
    <w:semiHidden/>
    <w:rsid w:val="004C5FBF"/>
    <w:rPr>
      <w:rFonts w:ascii="Times New Roman CE obyèejné" w:eastAsia="Times New Roman" w:hAnsi="Times New Roman CE obyèejné"/>
      <w:lang w:eastAsia="cs-CZ"/>
    </w:rPr>
  </w:style>
  <w:style w:type="character" w:customStyle="1" w:styleId="content">
    <w:name w:val="content"/>
    <w:basedOn w:val="Standardnpsmoodstavce"/>
    <w:rsid w:val="003C4BE8"/>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615720">
      <w:bodyDiv w:val="1"/>
      <w:marLeft w:val="60"/>
      <w:marRight w:val="60"/>
      <w:marTop w:val="60"/>
      <w:marBottom w:val="15"/>
      <w:divBdr>
        <w:top w:val="none" w:sz="0" w:space="0" w:color="auto"/>
        <w:left w:val="none" w:sz="0" w:space="0" w:color="auto"/>
        <w:bottom w:val="none" w:sz="0" w:space="0" w:color="auto"/>
        <w:right w:val="none" w:sz="0" w:space="0" w:color="auto"/>
      </w:divBdr>
      <w:divsChild>
        <w:div w:id="658968227">
          <w:marLeft w:val="0"/>
          <w:marRight w:val="0"/>
          <w:marTop w:val="0"/>
          <w:marBottom w:val="0"/>
          <w:divBdr>
            <w:top w:val="none" w:sz="0" w:space="0" w:color="auto"/>
            <w:left w:val="none" w:sz="0" w:space="0" w:color="auto"/>
            <w:bottom w:val="none" w:sz="0" w:space="0" w:color="auto"/>
            <w:right w:val="none" w:sz="0" w:space="0" w:color="auto"/>
          </w:divBdr>
        </w:div>
      </w:divsChild>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4515303">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323196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2266825">
      <w:bodyDiv w:val="1"/>
      <w:marLeft w:val="60"/>
      <w:marRight w:val="60"/>
      <w:marTop w:val="60"/>
      <w:marBottom w:val="15"/>
      <w:divBdr>
        <w:top w:val="none" w:sz="0" w:space="0" w:color="auto"/>
        <w:left w:val="none" w:sz="0" w:space="0" w:color="auto"/>
        <w:bottom w:val="none" w:sz="0" w:space="0" w:color="auto"/>
        <w:right w:val="none" w:sz="0" w:space="0" w:color="auto"/>
      </w:divBdr>
      <w:divsChild>
        <w:div w:id="1418138374">
          <w:marLeft w:val="0"/>
          <w:marRight w:val="0"/>
          <w:marTop w:val="0"/>
          <w:marBottom w:val="0"/>
          <w:divBdr>
            <w:top w:val="none" w:sz="0" w:space="0" w:color="auto"/>
            <w:left w:val="none" w:sz="0" w:space="0" w:color="auto"/>
            <w:bottom w:val="none" w:sz="0" w:space="0" w:color="auto"/>
            <w:right w:val="none" w:sz="0" w:space="0" w:color="auto"/>
          </w:divBdr>
        </w:div>
      </w:divsChild>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4047975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Anal&#253;za\Ro&#269;n&#237;%20anal&#253;za%202018\Ana&#253;za%20ekonomick&#233;ho%20v&#253;voje%20v%20roce%20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EU-trh%20pr&#225;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JKAM%20CSU\PUBLIKACE\PUBLIKACE\2018\Velk&#225;%20makro\Trh%20pr&#225;ce\Grafy-Trh%20pr&#225;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JKAM%20CSU\PUBLIKACE\PUBLIKACE\2018\Velk&#225;%20makro\0-Trh%20pr&#225;ce\Grafy-Trh%20pr&#225;c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KAM%20CSU\PUBLIKACE\PUBLIKACE\2018\Velk&#225;%20makro\0-Trh%20pr&#225;ce\Grafy-Trh%20pr&#225;c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JKAM%20CSU\PUBLIKACE\PUBLIKACE\2018\Velk&#225;%20makro\0-Trh%20pr&#225;ce\Grafy-Trh%20pr&#225;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9011887316812934E-2"/>
          <c:y val="1.6233377178020283E-2"/>
          <c:w val="0.90155164654132913"/>
          <c:h val="0.77179151035441074"/>
        </c:manualLayout>
      </c:layout>
      <c:barChart>
        <c:barDir val="col"/>
        <c:grouping val="clustered"/>
        <c:ser>
          <c:idx val="0"/>
          <c:order val="0"/>
          <c:tx>
            <c:strRef>
              <c:f>'GRŘAF-zaměstnanost, VM'!$A$104</c:f>
              <c:strCache>
                <c:ptCount val="1"/>
                <c:pt idx="0">
                  <c:v>Míra volných míst v NH* (pravá osa)</c:v>
                </c:pt>
              </c:strCache>
            </c:strRef>
          </c:tx>
          <c:spPr>
            <a:solidFill>
              <a:schemeClr val="bg1">
                <a:lumMod val="65000"/>
              </a:schemeClr>
            </a:solidFill>
            <a:ln>
              <a:solidFill>
                <a:prstClr val="white">
                  <a:lumMod val="50000"/>
                </a:prstClr>
              </a:solidFill>
            </a:ln>
          </c:spP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VM'!$N$104:$AO$104</c:f>
              <c:numCache>
                <c:formatCode>General</c:formatCode>
                <c:ptCount val="28"/>
                <c:pt idx="0">
                  <c:v>0.9</c:v>
                </c:pt>
                <c:pt idx="1">
                  <c:v>0.9</c:v>
                </c:pt>
                <c:pt idx="2">
                  <c:v>0.9</c:v>
                </c:pt>
                <c:pt idx="3">
                  <c:v>0.9</c:v>
                </c:pt>
                <c:pt idx="4">
                  <c:v>0.9</c:v>
                </c:pt>
                <c:pt idx="5">
                  <c:v>1</c:v>
                </c:pt>
                <c:pt idx="6">
                  <c:v>1</c:v>
                </c:pt>
                <c:pt idx="7">
                  <c:v>1</c:v>
                </c:pt>
                <c:pt idx="8">
                  <c:v>0.9</c:v>
                </c:pt>
                <c:pt idx="9">
                  <c:v>0.9</c:v>
                </c:pt>
                <c:pt idx="10">
                  <c:v>0.9</c:v>
                </c:pt>
                <c:pt idx="11">
                  <c:v>0.9</c:v>
                </c:pt>
                <c:pt idx="12">
                  <c:v>1.1000000000000001</c:v>
                </c:pt>
                <c:pt idx="13">
                  <c:v>1.2</c:v>
                </c:pt>
                <c:pt idx="14">
                  <c:v>1.3</c:v>
                </c:pt>
                <c:pt idx="15">
                  <c:v>1.6</c:v>
                </c:pt>
                <c:pt idx="16">
                  <c:v>1.8</c:v>
                </c:pt>
                <c:pt idx="17">
                  <c:v>2.2000000000000002</c:v>
                </c:pt>
                <c:pt idx="18">
                  <c:v>2.2000000000000002</c:v>
                </c:pt>
                <c:pt idx="19">
                  <c:v>2.5</c:v>
                </c:pt>
                <c:pt idx="20">
                  <c:v>2.6</c:v>
                </c:pt>
                <c:pt idx="21">
                  <c:v>2.8</c:v>
                </c:pt>
                <c:pt idx="22">
                  <c:v>2.9</c:v>
                </c:pt>
                <c:pt idx="23">
                  <c:v>3.1</c:v>
                </c:pt>
                <c:pt idx="24">
                  <c:v>3.3</c:v>
                </c:pt>
                <c:pt idx="25">
                  <c:v>3.5</c:v>
                </c:pt>
                <c:pt idx="26">
                  <c:v>3.9</c:v>
                </c:pt>
                <c:pt idx="27">
                  <c:v>4.5</c:v>
                </c:pt>
              </c:numCache>
            </c:numRef>
          </c:val>
          <c:extLst xmlns:c16r2="http://schemas.microsoft.com/office/drawing/2015/06/chart">
            <c:ext xmlns:c16="http://schemas.microsoft.com/office/drawing/2014/chart" uri="{C3380CC4-5D6E-409C-BE32-E72D297353CC}">
              <c16:uniqueId val="{00000000-F2DD-40A5-B972-CA8F48531D2B}"/>
            </c:ext>
          </c:extLst>
        </c:ser>
        <c:ser>
          <c:idx val="1"/>
          <c:order val="1"/>
          <c:tx>
            <c:strRef>
              <c:f>'GRŘAF-zaměstnanost, VM'!$A$105</c:f>
              <c:strCache>
                <c:ptCount val="1"/>
                <c:pt idx="0">
                  <c:v>Míra VM v průmyslu a stavebn.  (pr. osa)</c:v>
                </c:pt>
              </c:strCache>
            </c:strRef>
          </c:tx>
          <c:spPr>
            <a:solidFill>
              <a:schemeClr val="bg1">
                <a:lumMod val="85000"/>
              </a:schemeClr>
            </a:solidFill>
            <a:ln>
              <a:solidFill>
                <a:prstClr val="white">
                  <a:lumMod val="50000"/>
                </a:prstClr>
              </a:solidFill>
            </a:ln>
          </c:spP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VM'!$N$105:$AO$105</c:f>
              <c:numCache>
                <c:formatCode>General</c:formatCode>
                <c:ptCount val="28"/>
                <c:pt idx="0">
                  <c:v>0.8</c:v>
                </c:pt>
                <c:pt idx="1">
                  <c:v>0.8</c:v>
                </c:pt>
                <c:pt idx="2">
                  <c:v>0.9</c:v>
                </c:pt>
                <c:pt idx="3">
                  <c:v>0.9</c:v>
                </c:pt>
                <c:pt idx="4">
                  <c:v>0.9</c:v>
                </c:pt>
                <c:pt idx="5">
                  <c:v>0.9</c:v>
                </c:pt>
                <c:pt idx="6">
                  <c:v>0.8</c:v>
                </c:pt>
                <c:pt idx="7">
                  <c:v>0.8</c:v>
                </c:pt>
                <c:pt idx="8">
                  <c:v>0.70000000000000062</c:v>
                </c:pt>
                <c:pt idx="9">
                  <c:v>0.60000000000000064</c:v>
                </c:pt>
                <c:pt idx="10">
                  <c:v>0.70000000000000062</c:v>
                </c:pt>
                <c:pt idx="11">
                  <c:v>0.70000000000000062</c:v>
                </c:pt>
                <c:pt idx="12">
                  <c:v>0.8</c:v>
                </c:pt>
                <c:pt idx="13">
                  <c:v>1</c:v>
                </c:pt>
                <c:pt idx="14">
                  <c:v>1.1000000000000001</c:v>
                </c:pt>
                <c:pt idx="15">
                  <c:v>1.3</c:v>
                </c:pt>
                <c:pt idx="16">
                  <c:v>1.5</c:v>
                </c:pt>
                <c:pt idx="17">
                  <c:v>1.9000000000000001</c:v>
                </c:pt>
                <c:pt idx="18">
                  <c:v>2.1</c:v>
                </c:pt>
                <c:pt idx="19">
                  <c:v>2.2999999999999998</c:v>
                </c:pt>
                <c:pt idx="20">
                  <c:v>2.5</c:v>
                </c:pt>
                <c:pt idx="21">
                  <c:v>2.7</c:v>
                </c:pt>
                <c:pt idx="22">
                  <c:v>2.9</c:v>
                </c:pt>
                <c:pt idx="23">
                  <c:v>3.1</c:v>
                </c:pt>
                <c:pt idx="24">
                  <c:v>3.4</c:v>
                </c:pt>
                <c:pt idx="25">
                  <c:v>3.8</c:v>
                </c:pt>
                <c:pt idx="26">
                  <c:v>4.3</c:v>
                </c:pt>
                <c:pt idx="27">
                  <c:v>5</c:v>
                </c:pt>
              </c:numCache>
            </c:numRef>
          </c:val>
          <c:extLst xmlns:c16r2="http://schemas.microsoft.com/office/drawing/2015/06/chart">
            <c:ext xmlns:c16="http://schemas.microsoft.com/office/drawing/2014/chart" uri="{C3380CC4-5D6E-409C-BE32-E72D297353CC}">
              <c16:uniqueId val="{00000001-F2DD-40A5-B972-CA8F48531D2B}"/>
            </c:ext>
          </c:extLst>
        </c:ser>
        <c:gapWidth val="89"/>
        <c:axId val="150778240"/>
        <c:axId val="150772352"/>
      </c:barChart>
      <c:lineChart>
        <c:grouping val="standard"/>
        <c:ser>
          <c:idx val="2"/>
          <c:order val="2"/>
          <c:tx>
            <c:strRef>
              <c:f>'GRŘAF-zaměstnanost, VM'!$A$106</c:f>
              <c:strCache>
                <c:ptCount val="1"/>
                <c:pt idx="0">
                  <c:v>Nezaměstnaní celkem</c:v>
                </c:pt>
              </c:strCache>
            </c:strRef>
          </c:tx>
          <c:spPr>
            <a:ln w="22225">
              <a:solidFill>
                <a:srgbClr val="BD1B21"/>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VM'!$N$106:$AO$106</c:f>
              <c:numCache>
                <c:formatCode>0.0</c:formatCode>
                <c:ptCount val="28"/>
                <c:pt idx="0">
                  <c:v>-11.786982248520722</c:v>
                </c:pt>
                <c:pt idx="1">
                  <c:v>-6.1682242990653844</c:v>
                </c:pt>
                <c:pt idx="2">
                  <c:v>-8.3934776797648247</c:v>
                </c:pt>
                <c:pt idx="3">
                  <c:v>-7.6054009368971673</c:v>
                </c:pt>
                <c:pt idx="4">
                  <c:v>-0.93909310437348925</c:v>
                </c:pt>
                <c:pt idx="5">
                  <c:v>-0.14228799089356531</c:v>
                </c:pt>
                <c:pt idx="6">
                  <c:v>7.3533702947184025</c:v>
                </c:pt>
                <c:pt idx="7">
                  <c:v>13.122576796898302</c:v>
                </c:pt>
                <c:pt idx="8">
                  <c:v>6.3651137594799208</c:v>
                </c:pt>
                <c:pt idx="9">
                  <c:v>2.0233684810487347</c:v>
                </c:pt>
                <c:pt idx="10">
                  <c:v>0.46208208752378288</c:v>
                </c:pt>
                <c:pt idx="11">
                  <c:v>-6.3010809385710616</c:v>
                </c:pt>
                <c:pt idx="12">
                  <c:v>-8.8871912401324007</c:v>
                </c:pt>
                <c:pt idx="13">
                  <c:v>-11.005586592178885</c:v>
                </c:pt>
                <c:pt idx="14">
                  <c:v>-15.395021645021657</c:v>
                </c:pt>
                <c:pt idx="15">
                  <c:v>-14.096792346651654</c:v>
                </c:pt>
                <c:pt idx="16">
                  <c:v>-11.626607043040821</c:v>
                </c:pt>
                <c:pt idx="17">
                  <c:v>-17.827997489014713</c:v>
                </c:pt>
                <c:pt idx="18">
                  <c:v>-17.812599936040922</c:v>
                </c:pt>
                <c:pt idx="19">
                  <c:v>-22.469701932525016</c:v>
                </c:pt>
                <c:pt idx="20">
                  <c:v>-26.881720430107489</c:v>
                </c:pt>
                <c:pt idx="21">
                  <c:v>-19.900687547746173</c:v>
                </c:pt>
                <c:pt idx="22">
                  <c:v>-17.120622568093289</c:v>
                </c:pt>
                <c:pt idx="23">
                  <c:v>-19.053654414871147</c:v>
                </c:pt>
                <c:pt idx="24">
                  <c:v>-20.242214532871657</c:v>
                </c:pt>
                <c:pt idx="25">
                  <c:v>-24.320457796852818</c:v>
                </c:pt>
                <c:pt idx="26">
                  <c:v>-29.718309859154889</c:v>
                </c:pt>
                <c:pt idx="27">
                  <c:v>-32.828810020877128</c:v>
                </c:pt>
              </c:numCache>
            </c:numRef>
          </c:val>
          <c:extLst xmlns:c16r2="http://schemas.microsoft.com/office/drawing/2015/06/chart">
            <c:ext xmlns:c16="http://schemas.microsoft.com/office/drawing/2014/chart" uri="{C3380CC4-5D6E-409C-BE32-E72D297353CC}">
              <c16:uniqueId val="{00000002-F2DD-40A5-B972-CA8F48531D2B}"/>
            </c:ext>
          </c:extLst>
        </c:ser>
        <c:ser>
          <c:idx val="3"/>
          <c:order val="3"/>
          <c:tx>
            <c:strRef>
              <c:f>'GRŘAF-zaměstnanost, VM'!$A$107</c:f>
              <c:strCache>
                <c:ptCount val="1"/>
                <c:pt idx="0">
                  <c:v>Nezaměstnaní nad 1 rok</c:v>
                </c:pt>
              </c:strCache>
            </c:strRef>
          </c:tx>
          <c:spPr>
            <a:ln w="22225">
              <a:solidFill>
                <a:srgbClr val="F8A124"/>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VM'!$N$107:$AO$107</c:f>
              <c:numCache>
                <c:formatCode>0.0</c:formatCode>
                <c:ptCount val="28"/>
                <c:pt idx="0">
                  <c:v>-1.3227513227513301</c:v>
                </c:pt>
                <c:pt idx="1">
                  <c:v>-11.69665809768637</c:v>
                </c:pt>
                <c:pt idx="2">
                  <c:v>-13.966480446927491</c:v>
                </c:pt>
                <c:pt idx="3">
                  <c:v>-10.256410256410346</c:v>
                </c:pt>
                <c:pt idx="4">
                  <c:v>6.6353887399463654</c:v>
                </c:pt>
                <c:pt idx="5">
                  <c:v>13.245997088791848</c:v>
                </c:pt>
                <c:pt idx="6">
                  <c:v>14.86291486291487</c:v>
                </c:pt>
                <c:pt idx="7">
                  <c:v>12.891986062717777</c:v>
                </c:pt>
                <c:pt idx="8">
                  <c:v>6.7881835323695867</c:v>
                </c:pt>
                <c:pt idx="9">
                  <c:v>2.1850899742930467</c:v>
                </c:pt>
                <c:pt idx="10">
                  <c:v>1.4447236180904306</c:v>
                </c:pt>
                <c:pt idx="11">
                  <c:v>-7.2222222222222294</c:v>
                </c:pt>
                <c:pt idx="12">
                  <c:v>-13.360800470865305</c:v>
                </c:pt>
                <c:pt idx="13">
                  <c:v>-13.459119496855354</c:v>
                </c:pt>
                <c:pt idx="14">
                  <c:v>-15.170278637770812</c:v>
                </c:pt>
                <c:pt idx="15">
                  <c:v>-6.0545575515634678</c:v>
                </c:pt>
                <c:pt idx="16">
                  <c:v>-1.6983695652174049</c:v>
                </c:pt>
                <c:pt idx="17">
                  <c:v>-11.11918604651162</c:v>
                </c:pt>
                <c:pt idx="18">
                  <c:v>-8.9781021897810405</c:v>
                </c:pt>
                <c:pt idx="19">
                  <c:v>-18.62606232294619</c:v>
                </c:pt>
                <c:pt idx="20">
                  <c:v>-26.744989633724789</c:v>
                </c:pt>
                <c:pt idx="21">
                  <c:v>-25.429272281275384</c:v>
                </c:pt>
                <c:pt idx="22">
                  <c:v>-32.878909382518053</c:v>
                </c:pt>
                <c:pt idx="23">
                  <c:v>-34.638816362054271</c:v>
                </c:pt>
                <c:pt idx="24">
                  <c:v>-35.47169811320709</c:v>
                </c:pt>
                <c:pt idx="25">
                  <c:v>-34.978070175438575</c:v>
                </c:pt>
                <c:pt idx="26">
                  <c:v>-41.338112305854594</c:v>
                </c:pt>
                <c:pt idx="27">
                  <c:v>-45.938748335552603</c:v>
                </c:pt>
              </c:numCache>
            </c:numRef>
          </c:val>
          <c:extLst xmlns:c16r2="http://schemas.microsoft.com/office/drawing/2015/06/chart">
            <c:ext xmlns:c16="http://schemas.microsoft.com/office/drawing/2014/chart" uri="{C3380CC4-5D6E-409C-BE32-E72D297353CC}">
              <c16:uniqueId val="{00000003-F2DD-40A5-B972-CA8F48531D2B}"/>
            </c:ext>
          </c:extLst>
        </c:ser>
        <c:ser>
          <c:idx val="4"/>
          <c:order val="4"/>
          <c:tx>
            <c:strRef>
              <c:f>'GRŘAF-zaměstnanost, VM'!$A$108</c:f>
              <c:strCache>
                <c:ptCount val="1"/>
                <c:pt idx="0">
                  <c:v>Zaměstnaní (fyz. osoby)</c:v>
                </c:pt>
              </c:strCache>
            </c:strRef>
          </c:tx>
          <c:spPr>
            <a:ln w="22225">
              <a:solidFill>
                <a:srgbClr val="0071BC"/>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VM'!$N$108:$AO$108</c:f>
              <c:numCache>
                <c:formatCode>0.0</c:formatCode>
                <c:ptCount val="28"/>
                <c:pt idx="0">
                  <c:v>0.13178268176454822</c:v>
                </c:pt>
                <c:pt idx="1">
                  <c:v>-2.5904437184507856E-2</c:v>
                </c:pt>
                <c:pt idx="2">
                  <c:v>-0.47317989959568074</c:v>
                </c:pt>
                <c:pt idx="3">
                  <c:v>-0.71438463737113045</c:v>
                </c:pt>
                <c:pt idx="4">
                  <c:v>-4.7090463500993433E-2</c:v>
                </c:pt>
                <c:pt idx="5">
                  <c:v>0.14863253315159874</c:v>
                </c:pt>
                <c:pt idx="6">
                  <c:v>0.64790260604069394</c:v>
                </c:pt>
                <c:pt idx="7">
                  <c:v>0.92448432175498307</c:v>
                </c:pt>
                <c:pt idx="8">
                  <c:v>0.48683737830315038</c:v>
                </c:pt>
                <c:pt idx="9">
                  <c:v>0.67963294796599882</c:v>
                </c:pt>
                <c:pt idx="10">
                  <c:v>8.1323393285174544E-2</c:v>
                </c:pt>
                <c:pt idx="11">
                  <c:v>4.6834927367626934E-2</c:v>
                </c:pt>
                <c:pt idx="12">
                  <c:v>0.63885469819912044</c:v>
                </c:pt>
                <c:pt idx="13">
                  <c:v>8.2909584151451554E-3</c:v>
                </c:pt>
                <c:pt idx="14">
                  <c:v>0.5928339348696553</c:v>
                </c:pt>
                <c:pt idx="15">
                  <c:v>0.96720091752699922</c:v>
                </c:pt>
                <c:pt idx="16">
                  <c:v>1.3359559669863343</c:v>
                </c:pt>
                <c:pt idx="17">
                  <c:v>1.69553724099778</c:v>
                </c:pt>
                <c:pt idx="18">
                  <c:v>1.323505550404235</c:v>
                </c:pt>
                <c:pt idx="19">
                  <c:v>1.3573813201072369</c:v>
                </c:pt>
                <c:pt idx="20">
                  <c:v>1.6422999503363087</c:v>
                </c:pt>
                <c:pt idx="21">
                  <c:v>1.3591708244697536</c:v>
                </c:pt>
                <c:pt idx="22">
                  <c:v>1.5096733610931068</c:v>
                </c:pt>
                <c:pt idx="23">
                  <c:v>1.8473425889066861</c:v>
                </c:pt>
                <c:pt idx="24">
                  <c:v>1.5023054897902461</c:v>
                </c:pt>
                <c:pt idx="25">
                  <c:v>1.3213337752391014</c:v>
                </c:pt>
                <c:pt idx="26">
                  <c:v>1.9737307528905996</c:v>
                </c:pt>
                <c:pt idx="27">
                  <c:v>1.4157007382128528</c:v>
                </c:pt>
              </c:numCache>
            </c:numRef>
          </c:val>
          <c:extLst xmlns:c16r2="http://schemas.microsoft.com/office/drawing/2015/06/chart">
            <c:ext xmlns:c16="http://schemas.microsoft.com/office/drawing/2014/chart" uri="{C3380CC4-5D6E-409C-BE32-E72D297353CC}">
              <c16:uniqueId val="{00000004-F2DD-40A5-B972-CA8F48531D2B}"/>
            </c:ext>
          </c:extLst>
        </c:ser>
        <c:ser>
          <c:idx val="5"/>
          <c:order val="5"/>
          <c:tx>
            <c:strRef>
              <c:f>'GRŘAF-zaměstnanost, VM'!$A$109</c:f>
              <c:strCache>
                <c:ptCount val="1"/>
                <c:pt idx="0">
                  <c:v>Sebezaměstnaní  (fyz. osoby)</c:v>
                </c:pt>
              </c:strCache>
            </c:strRef>
          </c:tx>
          <c:spPr>
            <a:ln w="22225">
              <a:solidFill>
                <a:srgbClr val="7DBB2D"/>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VM'!$N$109:$AO$109</c:f>
              <c:numCache>
                <c:formatCode>0.0</c:formatCode>
                <c:ptCount val="28"/>
                <c:pt idx="0">
                  <c:v>1.345434433596296</c:v>
                </c:pt>
                <c:pt idx="1">
                  <c:v>0.95831892963799659</c:v>
                </c:pt>
                <c:pt idx="2">
                  <c:v>0.62927352520523527</c:v>
                </c:pt>
                <c:pt idx="3">
                  <c:v>0.78283085612804915</c:v>
                </c:pt>
                <c:pt idx="4">
                  <c:v>1.2836109374110691</c:v>
                </c:pt>
                <c:pt idx="5">
                  <c:v>0.60013992963968465</c:v>
                </c:pt>
                <c:pt idx="6">
                  <c:v>-1.8913475988536845</c:v>
                </c:pt>
                <c:pt idx="7">
                  <c:v>-1.8639357029450558</c:v>
                </c:pt>
                <c:pt idx="8">
                  <c:v>-4.3044267832107863</c:v>
                </c:pt>
                <c:pt idx="9">
                  <c:v>-4.2393218264682284</c:v>
                </c:pt>
                <c:pt idx="10">
                  <c:v>-1.182632725252134</c:v>
                </c:pt>
                <c:pt idx="11">
                  <c:v>-2.2433900334116612</c:v>
                </c:pt>
                <c:pt idx="12">
                  <c:v>0.30107723087142801</c:v>
                </c:pt>
                <c:pt idx="13">
                  <c:v>-0.46860644757293812</c:v>
                </c:pt>
                <c:pt idx="14">
                  <c:v>-2.9778453327844527</c:v>
                </c:pt>
                <c:pt idx="15">
                  <c:v>-1.8622473945852362</c:v>
                </c:pt>
                <c:pt idx="16">
                  <c:v>-1.6714854688748015</c:v>
                </c:pt>
                <c:pt idx="17">
                  <c:v>-0.58632425742571703</c:v>
                </c:pt>
                <c:pt idx="18">
                  <c:v>-1.1958726610365698</c:v>
                </c:pt>
                <c:pt idx="19">
                  <c:v>-2.500920537184669</c:v>
                </c:pt>
                <c:pt idx="20">
                  <c:v>-2.9947455503692377</c:v>
                </c:pt>
                <c:pt idx="21">
                  <c:v>-0.84901158297169843</c:v>
                </c:pt>
                <c:pt idx="22">
                  <c:v>0.72746508010490629</c:v>
                </c:pt>
                <c:pt idx="23">
                  <c:v>3.7710909255421114</c:v>
                </c:pt>
                <c:pt idx="24">
                  <c:v>3.3775140286990002</c:v>
                </c:pt>
                <c:pt idx="25">
                  <c:v>0.3335142593696141</c:v>
                </c:pt>
                <c:pt idx="26">
                  <c:v>0.13479716730971347</c:v>
                </c:pt>
                <c:pt idx="27">
                  <c:v>-3.5266361617946558</c:v>
                </c:pt>
              </c:numCache>
            </c:numRef>
          </c:val>
          <c:extLst xmlns:c16r2="http://schemas.microsoft.com/office/drawing/2015/06/chart">
            <c:ext xmlns:c16="http://schemas.microsoft.com/office/drawing/2014/chart" uri="{C3380CC4-5D6E-409C-BE32-E72D297353CC}">
              <c16:uniqueId val="{00000005-F2DD-40A5-B972-CA8F48531D2B}"/>
            </c:ext>
          </c:extLst>
        </c:ser>
        <c:marker val="1"/>
        <c:axId val="150764928"/>
        <c:axId val="150770816"/>
      </c:lineChart>
      <c:catAx>
        <c:axId val="150764928"/>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50770816"/>
        <c:crossesAt val="-50"/>
        <c:auto val="1"/>
        <c:lblAlgn val="ctr"/>
        <c:lblOffset val="0"/>
      </c:catAx>
      <c:valAx>
        <c:axId val="150770816"/>
        <c:scaling>
          <c:orientation val="minMax"/>
          <c:max val="20"/>
          <c:min val="-5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50764928"/>
        <c:crosses val="autoZero"/>
        <c:crossBetween val="between"/>
        <c:majorUnit val="5"/>
      </c:valAx>
      <c:valAx>
        <c:axId val="150772352"/>
        <c:scaling>
          <c:orientation val="minMax"/>
          <c:max val="7"/>
          <c:min val="0"/>
        </c:scaling>
        <c:axPos val="r"/>
        <c:numFmt formatCode="General" sourceLinked="1"/>
        <c:tickLblPos val="nextTo"/>
        <c:txPr>
          <a:bodyPr/>
          <a:lstStyle/>
          <a:p>
            <a:pPr>
              <a:defRPr sz="800">
                <a:latin typeface="Arial" pitchFamily="34" charset="0"/>
                <a:cs typeface="Arial" pitchFamily="34" charset="0"/>
              </a:defRPr>
            </a:pPr>
            <a:endParaRPr lang="cs-CZ"/>
          </a:p>
        </c:txPr>
        <c:crossAx val="150778240"/>
        <c:crosses val="max"/>
        <c:crossBetween val="between"/>
        <c:majorUnit val="1"/>
      </c:valAx>
      <c:catAx>
        <c:axId val="150778240"/>
        <c:scaling>
          <c:orientation val="minMax"/>
        </c:scaling>
        <c:delete val="1"/>
        <c:axPos val="b"/>
        <c:numFmt formatCode="General" sourceLinked="1"/>
        <c:tickLblPos val="none"/>
        <c:crossAx val="150772352"/>
        <c:crosses val="autoZero"/>
        <c:auto val="1"/>
        <c:lblAlgn val="ctr"/>
        <c:lblOffset val="100"/>
      </c:catAx>
      <c:spPr>
        <a:ln>
          <a:solidFill>
            <a:sysClr val="windowText" lastClr="000000"/>
          </a:solidFill>
        </a:ln>
      </c:spPr>
    </c:plotArea>
    <c:legend>
      <c:legendPos val="r"/>
      <c:layout>
        <c:manualLayout>
          <c:xMode val="edge"/>
          <c:yMode val="edge"/>
          <c:x val="1.0164599870360341E-2"/>
          <c:y val="0.87755460637508731"/>
          <c:w val="0.96727554804637272"/>
          <c:h val="0.11185260622883711"/>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9011887316812913E-2"/>
          <c:y val="1.6233377178020272E-2"/>
          <c:w val="0.90123915184864356"/>
          <c:h val="0.77179151035441229"/>
        </c:manualLayout>
      </c:layout>
      <c:lineChart>
        <c:grouping val="standard"/>
        <c:ser>
          <c:idx val="0"/>
          <c:order val="0"/>
          <c:tx>
            <c:strRef>
              <c:f>List1!$A$27</c:f>
              <c:strCache>
                <c:ptCount val="1"/>
                <c:pt idx="0">
                  <c:v>Zemědělství, lesnictví a rybářství</c:v>
                </c:pt>
              </c:strCache>
            </c:strRef>
          </c:tx>
          <c:spPr>
            <a:ln w="22225">
              <a:solidFill>
                <a:schemeClr val="tx1">
                  <a:lumMod val="95000"/>
                  <a:lumOff val="5000"/>
                </a:schemeClr>
              </a:solidFill>
              <a:prstDash val="sysDot"/>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List1!$B$27:$L$27</c:f>
              <c:numCache>
                <c:formatCode>0.0</c:formatCode>
                <c:ptCount val="11"/>
                <c:pt idx="0" formatCode="General">
                  <c:v>100</c:v>
                </c:pt>
                <c:pt idx="1">
                  <c:v>99.191789381845624</c:v>
                </c:pt>
                <c:pt idx="2">
                  <c:v>98.698963651154841</c:v>
                </c:pt>
                <c:pt idx="3">
                  <c:v>93.557305728804351</c:v>
                </c:pt>
                <c:pt idx="4">
                  <c:v>96.271973778841499</c:v>
                </c:pt>
                <c:pt idx="5">
                  <c:v>97.395569284459484</c:v>
                </c:pt>
                <c:pt idx="6">
                  <c:v>98.424254571607847</c:v>
                </c:pt>
                <c:pt idx="7">
                  <c:v>97.61250692667744</c:v>
                </c:pt>
                <c:pt idx="8">
                  <c:v>96.316776117993953</c:v>
                </c:pt>
                <c:pt idx="9">
                  <c:v>94.417392739663043</c:v>
                </c:pt>
                <c:pt idx="10">
                  <c:v>94.998644139736129</c:v>
                </c:pt>
              </c:numCache>
            </c:numRef>
          </c:val>
          <c:extLst xmlns:c16r2="http://schemas.microsoft.com/office/drawing/2015/06/chart">
            <c:ext xmlns:c16="http://schemas.microsoft.com/office/drawing/2014/chart" uri="{C3380CC4-5D6E-409C-BE32-E72D297353CC}">
              <c16:uniqueId val="{00000000-8EBA-40BD-83DA-F08A383258BD}"/>
            </c:ext>
          </c:extLst>
        </c:ser>
        <c:ser>
          <c:idx val="1"/>
          <c:order val="1"/>
          <c:tx>
            <c:strRef>
              <c:f>List1!$A$28</c:f>
              <c:strCache>
                <c:ptCount val="1"/>
                <c:pt idx="0">
                  <c:v>Těžba a dobývání</c:v>
                </c:pt>
              </c:strCache>
            </c:strRef>
          </c:tx>
          <c:spPr>
            <a:ln w="22225">
              <a:solidFill>
                <a:schemeClr val="bg2">
                  <a:lumMod val="75000"/>
                </a:schemeClr>
              </a:solidFill>
              <a:prstDash val="sysDash"/>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List1!$B$28:$L$28</c:f>
              <c:numCache>
                <c:formatCode>0.0</c:formatCode>
                <c:ptCount val="11"/>
                <c:pt idx="0" formatCode="General">
                  <c:v>100</c:v>
                </c:pt>
                <c:pt idx="1">
                  <c:v>105.54307116104869</c:v>
                </c:pt>
                <c:pt idx="2">
                  <c:v>91.985018726590795</c:v>
                </c:pt>
                <c:pt idx="3">
                  <c:v>86.509604929322961</c:v>
                </c:pt>
                <c:pt idx="4">
                  <c:v>84.214087229672927</c:v>
                </c:pt>
                <c:pt idx="5">
                  <c:v>83.155732753411613</c:v>
                </c:pt>
                <c:pt idx="6">
                  <c:v>79.859852603600288</c:v>
                </c:pt>
                <c:pt idx="7">
                  <c:v>84.2430832427208</c:v>
                </c:pt>
                <c:pt idx="8">
                  <c:v>80.763561676936092</c:v>
                </c:pt>
                <c:pt idx="9">
                  <c:v>75.150416817686335</c:v>
                </c:pt>
                <c:pt idx="10">
                  <c:v>69.646007007369818</c:v>
                </c:pt>
              </c:numCache>
            </c:numRef>
          </c:val>
          <c:extLst xmlns:c16r2="http://schemas.microsoft.com/office/drawing/2015/06/chart">
            <c:ext xmlns:c16="http://schemas.microsoft.com/office/drawing/2014/chart" uri="{C3380CC4-5D6E-409C-BE32-E72D297353CC}">
              <c16:uniqueId val="{00000001-8EBA-40BD-83DA-F08A383258BD}"/>
            </c:ext>
          </c:extLst>
        </c:ser>
        <c:ser>
          <c:idx val="2"/>
          <c:order val="2"/>
          <c:tx>
            <c:strRef>
              <c:f>List1!$A$29</c:f>
              <c:strCache>
                <c:ptCount val="1"/>
                <c:pt idx="0">
                  <c:v>Zpracovatelský průmysl</c:v>
                </c:pt>
              </c:strCache>
            </c:strRef>
          </c:tx>
          <c:spPr>
            <a:ln w="22225">
              <a:solidFill>
                <a:srgbClr val="0071BC"/>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List1!$B$29:$L$29</c:f>
              <c:numCache>
                <c:formatCode>0.0</c:formatCode>
                <c:ptCount val="11"/>
                <c:pt idx="0" formatCode="General">
                  <c:v>100</c:v>
                </c:pt>
                <c:pt idx="1">
                  <c:v>100.5582109772967</c:v>
                </c:pt>
                <c:pt idx="2">
                  <c:v>92.96079808312733</c:v>
                </c:pt>
                <c:pt idx="3">
                  <c:v>90.13167173190088</c:v>
                </c:pt>
                <c:pt idx="4">
                  <c:v>93.520908979969718</c:v>
                </c:pt>
                <c:pt idx="5">
                  <c:v>94.176965813869856</c:v>
                </c:pt>
                <c:pt idx="6">
                  <c:v>93.84111849725133</c:v>
                </c:pt>
                <c:pt idx="7">
                  <c:v>95.110630122932108</c:v>
                </c:pt>
                <c:pt idx="8">
                  <c:v>98.320982638388458</c:v>
                </c:pt>
                <c:pt idx="9">
                  <c:v>100.74118784431479</c:v>
                </c:pt>
                <c:pt idx="10">
                  <c:v>101.71482353766481</c:v>
                </c:pt>
              </c:numCache>
            </c:numRef>
          </c:val>
          <c:extLst xmlns:c16r2="http://schemas.microsoft.com/office/drawing/2015/06/chart">
            <c:ext xmlns:c16="http://schemas.microsoft.com/office/drawing/2014/chart" uri="{C3380CC4-5D6E-409C-BE32-E72D297353CC}">
              <c16:uniqueId val="{00000002-8EBA-40BD-83DA-F08A383258BD}"/>
            </c:ext>
          </c:extLst>
        </c:ser>
        <c:ser>
          <c:idx val="3"/>
          <c:order val="3"/>
          <c:tx>
            <c:strRef>
              <c:f>List1!$A$30</c:f>
              <c:strCache>
                <c:ptCount val="1"/>
                <c:pt idx="0">
                  <c:v>Energetika; Zásob. vodou, odpady</c:v>
                </c:pt>
              </c:strCache>
            </c:strRef>
          </c:tx>
          <c:spPr>
            <a:ln w="22225">
              <a:solidFill>
                <a:srgbClr val="48AEE7"/>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List1!$B$30:$L$30</c:f>
              <c:numCache>
                <c:formatCode>0.0</c:formatCode>
                <c:ptCount val="11"/>
                <c:pt idx="0" formatCode="General">
                  <c:v>100</c:v>
                </c:pt>
                <c:pt idx="1">
                  <c:v>102.62372185781562</c:v>
                </c:pt>
                <c:pt idx="2">
                  <c:v>103.45256896492099</c:v>
                </c:pt>
                <c:pt idx="3">
                  <c:v>102.22716635733799</c:v>
                </c:pt>
                <c:pt idx="4">
                  <c:v>103.45602729777399</c:v>
                </c:pt>
                <c:pt idx="5">
                  <c:v>103.44565229921596</c:v>
                </c:pt>
                <c:pt idx="6">
                  <c:v>104.13270775934615</c:v>
                </c:pt>
                <c:pt idx="7">
                  <c:v>105.37079092072278</c:v>
                </c:pt>
                <c:pt idx="8">
                  <c:v>106.97891569737322</c:v>
                </c:pt>
                <c:pt idx="9">
                  <c:v>107.64406838276828</c:v>
                </c:pt>
                <c:pt idx="10">
                  <c:v>109.75365142310396</c:v>
                </c:pt>
              </c:numCache>
            </c:numRef>
          </c:val>
          <c:extLst xmlns:c16r2="http://schemas.microsoft.com/office/drawing/2015/06/chart">
            <c:ext xmlns:c16="http://schemas.microsoft.com/office/drawing/2014/chart" uri="{C3380CC4-5D6E-409C-BE32-E72D297353CC}">
              <c16:uniqueId val="{00000003-8EBA-40BD-83DA-F08A383258BD}"/>
            </c:ext>
          </c:extLst>
        </c:ser>
        <c:ser>
          <c:idx val="4"/>
          <c:order val="4"/>
          <c:tx>
            <c:strRef>
              <c:f>List1!$A$31</c:f>
              <c:strCache>
                <c:ptCount val="1"/>
                <c:pt idx="0">
                  <c:v>Stavebnictví</c:v>
                </c:pt>
              </c:strCache>
            </c:strRef>
          </c:tx>
          <c:spPr>
            <a:ln w="22225">
              <a:solidFill>
                <a:srgbClr val="7030A0"/>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List1!$B$31:$L$31</c:f>
              <c:numCache>
                <c:formatCode>0.0</c:formatCode>
                <c:ptCount val="11"/>
                <c:pt idx="0" formatCode="General">
                  <c:v>100</c:v>
                </c:pt>
                <c:pt idx="1">
                  <c:v>103.47072079278441</c:v>
                </c:pt>
                <c:pt idx="2">
                  <c:v>106.09718749571473</c:v>
                </c:pt>
                <c:pt idx="3">
                  <c:v>107.97790403751834</c:v>
                </c:pt>
                <c:pt idx="4">
                  <c:v>102.63103765089841</c:v>
                </c:pt>
                <c:pt idx="5">
                  <c:v>100.91350395158452</c:v>
                </c:pt>
                <c:pt idx="6">
                  <c:v>98.148080430399958</c:v>
                </c:pt>
                <c:pt idx="7">
                  <c:v>94.026913741640897</c:v>
                </c:pt>
                <c:pt idx="8">
                  <c:v>93.377839130056188</c:v>
                </c:pt>
                <c:pt idx="9">
                  <c:v>91.264689884035775</c:v>
                </c:pt>
                <c:pt idx="10">
                  <c:v>90.775598451362811</c:v>
                </c:pt>
              </c:numCache>
            </c:numRef>
          </c:val>
          <c:extLst xmlns:c16r2="http://schemas.microsoft.com/office/drawing/2015/06/chart">
            <c:ext xmlns:c16="http://schemas.microsoft.com/office/drawing/2014/chart" uri="{C3380CC4-5D6E-409C-BE32-E72D297353CC}">
              <c16:uniqueId val="{00000004-8EBA-40BD-83DA-F08A383258BD}"/>
            </c:ext>
          </c:extLst>
        </c:ser>
        <c:ser>
          <c:idx val="5"/>
          <c:order val="5"/>
          <c:tx>
            <c:strRef>
              <c:f>List1!$A$32</c:f>
              <c:strCache>
                <c:ptCount val="1"/>
                <c:pt idx="0">
                  <c:v>Obchod; Doprava a skladování</c:v>
                </c:pt>
              </c:strCache>
            </c:strRef>
          </c:tx>
          <c:spPr>
            <a:ln w="22225">
              <a:solidFill>
                <a:srgbClr val="BD1B21"/>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List1!$B$32:$L$32</c:f>
              <c:numCache>
                <c:formatCode>0.0</c:formatCode>
                <c:ptCount val="11"/>
                <c:pt idx="0" formatCode="General">
                  <c:v>100</c:v>
                </c:pt>
                <c:pt idx="1">
                  <c:v>104.07023296031029</c:v>
                </c:pt>
                <c:pt idx="2">
                  <c:v>102.70915697456478</c:v>
                </c:pt>
                <c:pt idx="3">
                  <c:v>103.29273229806518</c:v>
                </c:pt>
                <c:pt idx="4">
                  <c:v>102.95776126191471</c:v>
                </c:pt>
                <c:pt idx="5">
                  <c:v>102.24483573824079</c:v>
                </c:pt>
                <c:pt idx="6">
                  <c:v>102.66197513957071</c:v>
                </c:pt>
                <c:pt idx="7">
                  <c:v>103.31162502436658</c:v>
                </c:pt>
                <c:pt idx="8">
                  <c:v>103.79733802486041</c:v>
                </c:pt>
                <c:pt idx="9">
                  <c:v>103.44027549393486</c:v>
                </c:pt>
                <c:pt idx="10">
                  <c:v>103.91859134233322</c:v>
                </c:pt>
              </c:numCache>
            </c:numRef>
          </c:val>
          <c:extLst xmlns:c16r2="http://schemas.microsoft.com/office/drawing/2015/06/chart">
            <c:ext xmlns:c16="http://schemas.microsoft.com/office/drawing/2014/chart" uri="{C3380CC4-5D6E-409C-BE32-E72D297353CC}">
              <c16:uniqueId val="{00000005-8EBA-40BD-83DA-F08A383258BD}"/>
            </c:ext>
          </c:extLst>
        </c:ser>
        <c:ser>
          <c:idx val="6"/>
          <c:order val="6"/>
          <c:tx>
            <c:strRef>
              <c:f>List1!$A$33</c:f>
              <c:strCache>
                <c:ptCount val="1"/>
                <c:pt idx="0">
                  <c:v>Informační a komunikační činnosti</c:v>
                </c:pt>
              </c:strCache>
            </c:strRef>
          </c:tx>
          <c:spPr>
            <a:ln w="22225">
              <a:solidFill>
                <a:srgbClr val="F8A124"/>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List1!$B$33:$L$33</c:f>
              <c:numCache>
                <c:formatCode>0.0</c:formatCode>
                <c:ptCount val="11"/>
                <c:pt idx="0" formatCode="General">
                  <c:v>100</c:v>
                </c:pt>
                <c:pt idx="1">
                  <c:v>108.59119755050375</c:v>
                </c:pt>
                <c:pt idx="2">
                  <c:v>113.17801611330526</c:v>
                </c:pt>
                <c:pt idx="3">
                  <c:v>110.1246985169589</c:v>
                </c:pt>
                <c:pt idx="4">
                  <c:v>105.65334154393445</c:v>
                </c:pt>
                <c:pt idx="5">
                  <c:v>107.17743452900224</c:v>
                </c:pt>
                <c:pt idx="6">
                  <c:v>108.78021244932589</c:v>
                </c:pt>
                <c:pt idx="7">
                  <c:v>112.36037700347151</c:v>
                </c:pt>
                <c:pt idx="8">
                  <c:v>114.7585569867091</c:v>
                </c:pt>
                <c:pt idx="9">
                  <c:v>120.63341372881069</c:v>
                </c:pt>
                <c:pt idx="10">
                  <c:v>123.32324113511571</c:v>
                </c:pt>
              </c:numCache>
            </c:numRef>
          </c:val>
          <c:extLst xmlns:c16r2="http://schemas.microsoft.com/office/drawing/2015/06/chart">
            <c:ext xmlns:c16="http://schemas.microsoft.com/office/drawing/2014/chart" uri="{C3380CC4-5D6E-409C-BE32-E72D297353CC}">
              <c16:uniqueId val="{00000006-8EBA-40BD-83DA-F08A383258BD}"/>
            </c:ext>
          </c:extLst>
        </c:ser>
        <c:ser>
          <c:idx val="7"/>
          <c:order val="7"/>
          <c:tx>
            <c:strRef>
              <c:f>List1!$A$34</c:f>
              <c:strCache>
                <c:ptCount val="1"/>
                <c:pt idx="0">
                  <c:v>Peněžnictví a pojišť.; nemovitostí</c:v>
                </c:pt>
              </c:strCache>
            </c:strRef>
          </c:tx>
          <c:spPr>
            <a:ln w="22225"/>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List1!$B$34:$L$34</c:f>
              <c:numCache>
                <c:formatCode>0.0</c:formatCode>
                <c:ptCount val="11"/>
                <c:pt idx="0" formatCode="General">
                  <c:v>100</c:v>
                </c:pt>
                <c:pt idx="1">
                  <c:v>104.85070752009875</c:v>
                </c:pt>
                <c:pt idx="2">
                  <c:v>107.36214425867526</c:v>
                </c:pt>
                <c:pt idx="3">
                  <c:v>107.12329815317794</c:v>
                </c:pt>
                <c:pt idx="4">
                  <c:v>100.66133589851501</c:v>
                </c:pt>
                <c:pt idx="5">
                  <c:v>105.93781256319583</c:v>
                </c:pt>
                <c:pt idx="6">
                  <c:v>105.95584899679069</c:v>
                </c:pt>
                <c:pt idx="7">
                  <c:v>107.28999852429178</c:v>
                </c:pt>
                <c:pt idx="8">
                  <c:v>106.11325787181013</c:v>
                </c:pt>
                <c:pt idx="9">
                  <c:v>107.0489661844198</c:v>
                </c:pt>
                <c:pt idx="10">
                  <c:v>106.58165858670878</c:v>
                </c:pt>
              </c:numCache>
            </c:numRef>
          </c:val>
          <c:extLst xmlns:c16r2="http://schemas.microsoft.com/office/drawing/2015/06/chart">
            <c:ext xmlns:c16="http://schemas.microsoft.com/office/drawing/2014/chart" uri="{C3380CC4-5D6E-409C-BE32-E72D297353CC}">
              <c16:uniqueId val="{00000007-8EBA-40BD-83DA-F08A383258BD}"/>
            </c:ext>
          </c:extLst>
        </c:ser>
        <c:ser>
          <c:idx val="8"/>
          <c:order val="8"/>
          <c:tx>
            <c:strRef>
              <c:f>List1!$A$35</c:f>
              <c:strCache>
                <c:ptCount val="1"/>
                <c:pt idx="0">
                  <c:v>Profesní, vědecké a technické činnosti</c:v>
                </c:pt>
              </c:strCache>
            </c:strRef>
          </c:tx>
          <c:spPr>
            <a:ln w="22225">
              <a:solidFill>
                <a:srgbClr val="808080"/>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List1!$B$35:$L$35</c:f>
              <c:numCache>
                <c:formatCode>0.0</c:formatCode>
                <c:ptCount val="11"/>
                <c:pt idx="0" formatCode="General">
                  <c:v>100</c:v>
                </c:pt>
                <c:pt idx="1">
                  <c:v>100.90394365341994</c:v>
                </c:pt>
                <c:pt idx="2">
                  <c:v>101.95626764625572</c:v>
                </c:pt>
                <c:pt idx="3">
                  <c:v>102.65338959895509</c:v>
                </c:pt>
                <c:pt idx="4">
                  <c:v>97.916603418440829</c:v>
                </c:pt>
                <c:pt idx="5">
                  <c:v>100.69560399526399</c:v>
                </c:pt>
                <c:pt idx="6">
                  <c:v>101.45989556452837</c:v>
                </c:pt>
                <c:pt idx="7">
                  <c:v>104.74171954218403</c:v>
                </c:pt>
                <c:pt idx="8">
                  <c:v>107.00727101612016</c:v>
                </c:pt>
                <c:pt idx="9">
                  <c:v>111.6044051124794</c:v>
                </c:pt>
                <c:pt idx="10">
                  <c:v>113.36675369622635</c:v>
                </c:pt>
              </c:numCache>
            </c:numRef>
          </c:val>
          <c:extLst xmlns:c16r2="http://schemas.microsoft.com/office/drawing/2015/06/chart">
            <c:ext xmlns:c16="http://schemas.microsoft.com/office/drawing/2014/chart" uri="{C3380CC4-5D6E-409C-BE32-E72D297353CC}">
              <c16:uniqueId val="{00000008-8EBA-40BD-83DA-F08A383258BD}"/>
            </c:ext>
          </c:extLst>
        </c:ser>
        <c:ser>
          <c:idx val="9"/>
          <c:order val="9"/>
          <c:tx>
            <c:strRef>
              <c:f>List1!$A$36</c:f>
              <c:strCache>
                <c:ptCount val="1"/>
                <c:pt idx="0">
                  <c:v>Veřejné služby*</c:v>
                </c:pt>
              </c:strCache>
            </c:strRef>
          </c:tx>
          <c:spPr>
            <a:ln w="22225">
              <a:solidFill>
                <a:srgbClr val="7DBB2D"/>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List1!$B$36:$L$36</c:f>
              <c:numCache>
                <c:formatCode>0.0</c:formatCode>
                <c:ptCount val="11"/>
                <c:pt idx="0" formatCode="General">
                  <c:v>100</c:v>
                </c:pt>
                <c:pt idx="1">
                  <c:v>101.00162811132512</c:v>
                </c:pt>
                <c:pt idx="2">
                  <c:v>100.51856331775338</c:v>
                </c:pt>
                <c:pt idx="3">
                  <c:v>100.24859923261833</c:v>
                </c:pt>
                <c:pt idx="4">
                  <c:v>99.693222630528282</c:v>
                </c:pt>
                <c:pt idx="5">
                  <c:v>98.46205930883059</c:v>
                </c:pt>
                <c:pt idx="6">
                  <c:v>99.539395692407481</c:v>
                </c:pt>
                <c:pt idx="7">
                  <c:v>101.12499643919124</c:v>
                </c:pt>
                <c:pt idx="8">
                  <c:v>101.98879386094659</c:v>
                </c:pt>
                <c:pt idx="9">
                  <c:v>104.36861930462335</c:v>
                </c:pt>
                <c:pt idx="10">
                  <c:v>107.55296839973911</c:v>
                </c:pt>
              </c:numCache>
            </c:numRef>
          </c:val>
          <c:extLst xmlns:c16r2="http://schemas.microsoft.com/office/drawing/2015/06/chart">
            <c:ext xmlns:c16="http://schemas.microsoft.com/office/drawing/2014/chart" uri="{C3380CC4-5D6E-409C-BE32-E72D297353CC}">
              <c16:uniqueId val="{00000009-8EBA-40BD-83DA-F08A383258BD}"/>
            </c:ext>
          </c:extLst>
        </c:ser>
        <c:marker val="1"/>
        <c:axId val="151145088"/>
        <c:axId val="151159168"/>
      </c:lineChart>
      <c:catAx>
        <c:axId val="151145088"/>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51159168"/>
        <c:crossesAt val="-50"/>
        <c:auto val="1"/>
        <c:lblAlgn val="ctr"/>
        <c:lblOffset val="0"/>
      </c:catAx>
      <c:valAx>
        <c:axId val="151159168"/>
        <c:scaling>
          <c:orientation val="minMax"/>
          <c:max val="125"/>
          <c:min val="7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51145088"/>
        <c:crosses val="autoZero"/>
        <c:crossBetween val="midCat"/>
        <c:majorUnit val="5"/>
      </c:valAx>
      <c:spPr>
        <a:ln>
          <a:solidFill>
            <a:sysClr val="windowText" lastClr="000000"/>
          </a:solidFill>
        </a:ln>
      </c:spPr>
    </c:plotArea>
    <c:legend>
      <c:legendPos val="r"/>
      <c:layout>
        <c:manualLayout>
          <c:xMode val="edge"/>
          <c:yMode val="edge"/>
          <c:x val="3.7085809539466483E-2"/>
          <c:y val="0.83188986898196926"/>
          <c:w val="0.93193119802522451"/>
          <c:h val="0.15404331085319006"/>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9011887316812913E-2"/>
          <c:y val="1.6233377178020279E-2"/>
          <c:w val="0.89885548988082087"/>
          <c:h val="0.76132031171153591"/>
        </c:manualLayout>
      </c:layout>
      <c:barChart>
        <c:barDir val="col"/>
        <c:grouping val="clustered"/>
        <c:ser>
          <c:idx val="0"/>
          <c:order val="0"/>
          <c:tx>
            <c:strRef>
              <c:f>GRAF!$A$110</c:f>
              <c:strCache>
                <c:ptCount val="1"/>
                <c:pt idx="0">
                  <c:v>Ženy bez dětí</c:v>
                </c:pt>
              </c:strCache>
            </c:strRef>
          </c:tx>
          <c:spPr>
            <a:solidFill>
              <a:srgbClr val="DBDBDB"/>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GRAF!$B$110:$N$110</c:f>
              <c:numCache>
                <c:formatCode>#,##0.0</c:formatCode>
                <c:ptCount val="13"/>
                <c:pt idx="0">
                  <c:v>82</c:v>
                </c:pt>
                <c:pt idx="1">
                  <c:v>82.7</c:v>
                </c:pt>
                <c:pt idx="2">
                  <c:v>86.1</c:v>
                </c:pt>
                <c:pt idx="3">
                  <c:v>85.9</c:v>
                </c:pt>
                <c:pt idx="4">
                  <c:v>82.9</c:v>
                </c:pt>
                <c:pt idx="5">
                  <c:v>81</c:v>
                </c:pt>
                <c:pt idx="6">
                  <c:v>82.6</c:v>
                </c:pt>
                <c:pt idx="7">
                  <c:v>82.9</c:v>
                </c:pt>
                <c:pt idx="8">
                  <c:v>82.9</c:v>
                </c:pt>
                <c:pt idx="9">
                  <c:v>82</c:v>
                </c:pt>
                <c:pt idx="10">
                  <c:v>85.5</c:v>
                </c:pt>
                <c:pt idx="11">
                  <c:v>85.4</c:v>
                </c:pt>
                <c:pt idx="12">
                  <c:v>86.5</c:v>
                </c:pt>
              </c:numCache>
            </c:numRef>
          </c:val>
          <c:extLst xmlns:c16r2="http://schemas.microsoft.com/office/drawing/2015/06/chart">
            <c:ext xmlns:c16="http://schemas.microsoft.com/office/drawing/2014/chart" uri="{C3380CC4-5D6E-409C-BE32-E72D297353CC}">
              <c16:uniqueId val="{00000000-4C51-4E0E-9859-E6ACB608A6D1}"/>
            </c:ext>
          </c:extLst>
        </c:ser>
        <c:ser>
          <c:idx val="1"/>
          <c:order val="1"/>
          <c:tx>
            <c:strRef>
              <c:f>GRAF!$A$111</c:f>
              <c:strCache>
                <c:ptCount val="1"/>
                <c:pt idx="0">
                  <c:v>Ženy s 1 dítětem (&lt;6 let)</c:v>
                </c:pt>
              </c:strCache>
            </c:strRef>
          </c:tx>
          <c:spPr>
            <a:solidFill>
              <a:srgbClr val="FDDEB3"/>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GRAF!$B$111:$N$111</c:f>
              <c:numCache>
                <c:formatCode>#,##0.0</c:formatCode>
                <c:ptCount val="13"/>
                <c:pt idx="0">
                  <c:v>35.1</c:v>
                </c:pt>
                <c:pt idx="1">
                  <c:v>33.4</c:v>
                </c:pt>
                <c:pt idx="2">
                  <c:v>31.1</c:v>
                </c:pt>
                <c:pt idx="3">
                  <c:v>30.4</c:v>
                </c:pt>
                <c:pt idx="4">
                  <c:v>31.2</c:v>
                </c:pt>
                <c:pt idx="5">
                  <c:v>32.1</c:v>
                </c:pt>
                <c:pt idx="6">
                  <c:v>37.6</c:v>
                </c:pt>
                <c:pt idx="7">
                  <c:v>36.300000000000004</c:v>
                </c:pt>
                <c:pt idx="8">
                  <c:v>40.5</c:v>
                </c:pt>
                <c:pt idx="9">
                  <c:v>41.1</c:v>
                </c:pt>
                <c:pt idx="10">
                  <c:v>40.200000000000003</c:v>
                </c:pt>
                <c:pt idx="11">
                  <c:v>40.4</c:v>
                </c:pt>
                <c:pt idx="12">
                  <c:v>38.200000000000003</c:v>
                </c:pt>
              </c:numCache>
            </c:numRef>
          </c:val>
          <c:extLst xmlns:c16r2="http://schemas.microsoft.com/office/drawing/2015/06/chart">
            <c:ext xmlns:c16="http://schemas.microsoft.com/office/drawing/2014/chart" uri="{C3380CC4-5D6E-409C-BE32-E72D297353CC}">
              <c16:uniqueId val="{00000001-4C51-4E0E-9859-E6ACB608A6D1}"/>
            </c:ext>
          </c:extLst>
        </c:ser>
        <c:ser>
          <c:idx val="2"/>
          <c:order val="2"/>
          <c:tx>
            <c:strRef>
              <c:f>GRAF!$A$112</c:f>
              <c:strCache>
                <c:ptCount val="1"/>
                <c:pt idx="0">
                  <c:v>Ženy s 2 dětmi (nejmladší &lt;6 let)</c:v>
                </c:pt>
              </c:strCache>
            </c:strRef>
          </c:tx>
          <c:spPr>
            <a:solidFill>
              <a:srgbClr val="BFE3F7"/>
            </a:solidFill>
            <a:ln>
              <a:solidFill>
                <a:schemeClr val="bg1">
                  <a:lumMod val="50000"/>
                </a:scheme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GRAF!$B$112:$N$112</c:f>
              <c:numCache>
                <c:formatCode>#,##0.0</c:formatCode>
                <c:ptCount val="13"/>
                <c:pt idx="0">
                  <c:v>37.300000000000004</c:v>
                </c:pt>
                <c:pt idx="1">
                  <c:v>36.700000000000003</c:v>
                </c:pt>
                <c:pt idx="2">
                  <c:v>35.6</c:v>
                </c:pt>
                <c:pt idx="3">
                  <c:v>36.200000000000003</c:v>
                </c:pt>
                <c:pt idx="4">
                  <c:v>35.800000000000004</c:v>
                </c:pt>
                <c:pt idx="5">
                  <c:v>39.700000000000003</c:v>
                </c:pt>
                <c:pt idx="6">
                  <c:v>42.6</c:v>
                </c:pt>
                <c:pt idx="7">
                  <c:v>43.3</c:v>
                </c:pt>
                <c:pt idx="8">
                  <c:v>45</c:v>
                </c:pt>
                <c:pt idx="9">
                  <c:v>48.3</c:v>
                </c:pt>
                <c:pt idx="10">
                  <c:v>46.1</c:v>
                </c:pt>
                <c:pt idx="11">
                  <c:v>48.1</c:v>
                </c:pt>
                <c:pt idx="12">
                  <c:v>49.5</c:v>
                </c:pt>
              </c:numCache>
            </c:numRef>
          </c:val>
          <c:extLst xmlns:c16r2="http://schemas.microsoft.com/office/drawing/2015/06/chart">
            <c:ext xmlns:c16="http://schemas.microsoft.com/office/drawing/2014/chart" uri="{C3380CC4-5D6E-409C-BE32-E72D297353CC}">
              <c16:uniqueId val="{00000002-4C51-4E0E-9859-E6ACB608A6D1}"/>
            </c:ext>
          </c:extLst>
        </c:ser>
        <c:ser>
          <c:idx val="3"/>
          <c:order val="3"/>
          <c:tx>
            <c:strRef>
              <c:f>GRAF!$A$113</c:f>
              <c:strCache>
                <c:ptCount val="1"/>
                <c:pt idx="0">
                  <c:v>Ženy s 3+ dětmi (nejmladší &lt;6 let)</c:v>
                </c:pt>
              </c:strCache>
            </c:strRef>
          </c:tx>
          <c:spPr>
            <a:solidFill>
              <a:srgbClr val="BCA6E8"/>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GRAF!$B$113:$N$113</c:f>
              <c:numCache>
                <c:formatCode>#,##0.0</c:formatCode>
                <c:ptCount val="13"/>
                <c:pt idx="0">
                  <c:v>29.1</c:v>
                </c:pt>
                <c:pt idx="1">
                  <c:v>30.1</c:v>
                </c:pt>
                <c:pt idx="2">
                  <c:v>30.9</c:v>
                </c:pt>
                <c:pt idx="3">
                  <c:v>30.4</c:v>
                </c:pt>
                <c:pt idx="4">
                  <c:v>33.5</c:v>
                </c:pt>
                <c:pt idx="5">
                  <c:v>33.800000000000004</c:v>
                </c:pt>
                <c:pt idx="6">
                  <c:v>36.5</c:v>
                </c:pt>
                <c:pt idx="7">
                  <c:v>34.9</c:v>
                </c:pt>
                <c:pt idx="8">
                  <c:v>38.1</c:v>
                </c:pt>
                <c:pt idx="9">
                  <c:v>38</c:v>
                </c:pt>
                <c:pt idx="10">
                  <c:v>38.4</c:v>
                </c:pt>
                <c:pt idx="11">
                  <c:v>46.6</c:v>
                </c:pt>
                <c:pt idx="12">
                  <c:v>40.700000000000003</c:v>
                </c:pt>
              </c:numCache>
            </c:numRef>
          </c:val>
          <c:extLst xmlns:c16r2="http://schemas.microsoft.com/office/drawing/2015/06/chart">
            <c:ext xmlns:c16="http://schemas.microsoft.com/office/drawing/2014/chart" uri="{C3380CC4-5D6E-409C-BE32-E72D297353CC}">
              <c16:uniqueId val="{00000003-4C51-4E0E-9859-E6ACB608A6D1}"/>
            </c:ext>
          </c:extLst>
        </c:ser>
        <c:axId val="156864896"/>
        <c:axId val="156866432"/>
      </c:barChart>
      <c:lineChart>
        <c:grouping val="standard"/>
        <c:ser>
          <c:idx val="4"/>
          <c:order val="4"/>
          <c:tx>
            <c:strRef>
              <c:f>GRAF!$A$114</c:f>
              <c:strCache>
                <c:ptCount val="1"/>
                <c:pt idx="0">
                  <c:v>Pracující ženy s nejmlad. dítětem &lt;6 let</c:v>
                </c:pt>
              </c:strCache>
            </c:strRef>
          </c:tx>
          <c:spPr>
            <a:ln w="22225">
              <a:no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GRAF!$B$114:$N$114</c:f>
              <c:numCache>
                <c:formatCode>General</c:formatCode>
                <c:ptCount val="13"/>
              </c:numCache>
            </c:numRef>
          </c:val>
          <c:extLst xmlns:c16r2="http://schemas.microsoft.com/office/drawing/2015/06/chart">
            <c:ext xmlns:c16="http://schemas.microsoft.com/office/drawing/2014/chart" uri="{C3380CC4-5D6E-409C-BE32-E72D297353CC}">
              <c16:uniqueId val="{00000004-4C51-4E0E-9859-E6ACB608A6D1}"/>
            </c:ext>
          </c:extLst>
        </c:ser>
        <c:ser>
          <c:idx val="5"/>
          <c:order val="5"/>
          <c:tx>
            <c:strRef>
              <c:f>GRAF!$A$115</c:f>
              <c:strCache>
                <c:ptCount val="1"/>
              </c:strCache>
            </c:strRef>
          </c:tx>
          <c:spPr>
            <a:ln w="22225">
              <a:no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GRAF!$B$115:$N$115</c:f>
              <c:numCache>
                <c:formatCode>General</c:formatCode>
                <c:ptCount val="13"/>
              </c:numCache>
            </c:numRef>
          </c:val>
          <c:extLst xmlns:c16r2="http://schemas.microsoft.com/office/drawing/2015/06/chart">
            <c:ext xmlns:c16="http://schemas.microsoft.com/office/drawing/2014/chart" uri="{C3380CC4-5D6E-409C-BE32-E72D297353CC}">
              <c16:uniqueId val="{00000005-4C51-4E0E-9859-E6ACB608A6D1}"/>
            </c:ext>
          </c:extLst>
        </c:ser>
        <c:marker val="1"/>
        <c:axId val="156864896"/>
        <c:axId val="156866432"/>
      </c:lineChart>
      <c:lineChart>
        <c:grouping val="standard"/>
        <c:ser>
          <c:idx val="6"/>
          <c:order val="6"/>
          <c:tx>
            <c:strRef>
              <c:f>GRAF!$A$116</c:f>
              <c:strCache>
                <c:ptCount val="1"/>
                <c:pt idx="0">
                  <c:v>% z domova pracujících žen</c:v>
                </c:pt>
              </c:strCache>
            </c:strRef>
          </c:tx>
          <c:spPr>
            <a:ln w="22225">
              <a:solidFill>
                <a:srgbClr val="BD1B21"/>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GRAF!$B$116:$N$116</c:f>
              <c:numCache>
                <c:formatCode>#,##0.0</c:formatCode>
                <c:ptCount val="13"/>
                <c:pt idx="0">
                  <c:v>13.1</c:v>
                </c:pt>
                <c:pt idx="1">
                  <c:v>9.1</c:v>
                </c:pt>
                <c:pt idx="2">
                  <c:v>8.4</c:v>
                </c:pt>
                <c:pt idx="3">
                  <c:v>9.9</c:v>
                </c:pt>
                <c:pt idx="4">
                  <c:v>7.7</c:v>
                </c:pt>
                <c:pt idx="5">
                  <c:v>10.8</c:v>
                </c:pt>
                <c:pt idx="6">
                  <c:v>8.9</c:v>
                </c:pt>
                <c:pt idx="7">
                  <c:v>8.5</c:v>
                </c:pt>
                <c:pt idx="8">
                  <c:v>8.7000000000000011</c:v>
                </c:pt>
                <c:pt idx="9">
                  <c:v>7.3</c:v>
                </c:pt>
                <c:pt idx="10">
                  <c:v>10.7</c:v>
                </c:pt>
                <c:pt idx="11">
                  <c:v>12.1</c:v>
                </c:pt>
                <c:pt idx="12">
                  <c:v>13.4</c:v>
                </c:pt>
              </c:numCache>
            </c:numRef>
          </c:val>
          <c:extLst xmlns:c16r2="http://schemas.microsoft.com/office/drawing/2015/06/chart">
            <c:ext xmlns:c16="http://schemas.microsoft.com/office/drawing/2014/chart" uri="{C3380CC4-5D6E-409C-BE32-E72D297353CC}">
              <c16:uniqueId val="{00000006-4C51-4E0E-9859-E6ACB608A6D1}"/>
            </c:ext>
          </c:extLst>
        </c:ser>
        <c:ser>
          <c:idx val="7"/>
          <c:order val="7"/>
          <c:tx>
            <c:strRef>
              <c:f>GRAF!$A$117</c:f>
              <c:strCache>
                <c:ptCount val="1"/>
                <c:pt idx="0">
                  <c:v>% podnikajících žen</c:v>
                </c:pt>
              </c:strCache>
            </c:strRef>
          </c:tx>
          <c:spPr>
            <a:ln w="22225">
              <a:solidFill>
                <a:srgbClr val="7DBB2D"/>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GRAF!$B$117:$N$117</c:f>
              <c:numCache>
                <c:formatCode>#,##0.0</c:formatCode>
                <c:ptCount val="13"/>
                <c:pt idx="0">
                  <c:v>9.6</c:v>
                </c:pt>
                <c:pt idx="1">
                  <c:v>9.1</c:v>
                </c:pt>
                <c:pt idx="2">
                  <c:v>9.4</c:v>
                </c:pt>
                <c:pt idx="3">
                  <c:v>11.3</c:v>
                </c:pt>
                <c:pt idx="4">
                  <c:v>11.8</c:v>
                </c:pt>
                <c:pt idx="5">
                  <c:v>13.7</c:v>
                </c:pt>
                <c:pt idx="6">
                  <c:v>13</c:v>
                </c:pt>
                <c:pt idx="7">
                  <c:v>11.7</c:v>
                </c:pt>
                <c:pt idx="8">
                  <c:v>12.8</c:v>
                </c:pt>
                <c:pt idx="9">
                  <c:v>10.3</c:v>
                </c:pt>
                <c:pt idx="10">
                  <c:v>12</c:v>
                </c:pt>
                <c:pt idx="11">
                  <c:v>12.4</c:v>
                </c:pt>
                <c:pt idx="12">
                  <c:v>14.4</c:v>
                </c:pt>
              </c:numCache>
            </c:numRef>
          </c:val>
          <c:extLst xmlns:c16r2="http://schemas.microsoft.com/office/drawing/2015/06/chart">
            <c:ext xmlns:c16="http://schemas.microsoft.com/office/drawing/2014/chart" uri="{C3380CC4-5D6E-409C-BE32-E72D297353CC}">
              <c16:uniqueId val="{00000007-4C51-4E0E-9859-E6ACB608A6D1}"/>
            </c:ext>
          </c:extLst>
        </c:ser>
        <c:ser>
          <c:idx val="8"/>
          <c:order val="8"/>
          <c:tx>
            <c:strRef>
              <c:f>GRAF!$A$118</c:f>
              <c:strCache>
                <c:ptCount val="1"/>
                <c:pt idx="0">
                  <c:v>% žen na zkrácené úvazky</c:v>
                </c:pt>
              </c:strCache>
            </c:strRef>
          </c:tx>
          <c:spPr>
            <a:ln w="22225">
              <a:solidFill>
                <a:srgbClr val="0071BC"/>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GRAF!$B$118:$N$118</c:f>
              <c:numCache>
                <c:formatCode>#,##0.0</c:formatCode>
                <c:ptCount val="13"/>
                <c:pt idx="0">
                  <c:v>18.399999999999999</c:v>
                </c:pt>
                <c:pt idx="1">
                  <c:v>20.2</c:v>
                </c:pt>
                <c:pt idx="2">
                  <c:v>21</c:v>
                </c:pt>
                <c:pt idx="3">
                  <c:v>19.3</c:v>
                </c:pt>
                <c:pt idx="4">
                  <c:v>19.100000000000001</c:v>
                </c:pt>
                <c:pt idx="5">
                  <c:v>22.2</c:v>
                </c:pt>
                <c:pt idx="6">
                  <c:v>15.1</c:v>
                </c:pt>
                <c:pt idx="7">
                  <c:v>17.3</c:v>
                </c:pt>
                <c:pt idx="8">
                  <c:v>18</c:v>
                </c:pt>
                <c:pt idx="9">
                  <c:v>18.899999999999999</c:v>
                </c:pt>
                <c:pt idx="10">
                  <c:v>18.2</c:v>
                </c:pt>
                <c:pt idx="11">
                  <c:v>20.399999999999999</c:v>
                </c:pt>
                <c:pt idx="12">
                  <c:v>22.9</c:v>
                </c:pt>
              </c:numCache>
            </c:numRef>
          </c:val>
          <c:extLst xmlns:c16r2="http://schemas.microsoft.com/office/drawing/2015/06/chart">
            <c:ext xmlns:c16="http://schemas.microsoft.com/office/drawing/2014/chart" uri="{C3380CC4-5D6E-409C-BE32-E72D297353CC}">
              <c16:uniqueId val="{00000008-4C51-4E0E-9859-E6ACB608A6D1}"/>
            </c:ext>
          </c:extLst>
        </c:ser>
        <c:ser>
          <c:idx val="9"/>
          <c:order val="9"/>
          <c:tx>
            <c:strRef>
              <c:f>GRAF!$A$119</c:f>
              <c:strCache>
                <c:ptCount val="1"/>
                <c:pt idx="0">
                  <c:v>% žen pracujících na dobu určitou</c:v>
                </c:pt>
              </c:strCache>
            </c:strRef>
          </c:tx>
          <c:spPr>
            <a:ln w="22225">
              <a:solidFill>
                <a:srgbClr val="F8A124"/>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GRAF!$B$119:$N$119</c:f>
              <c:numCache>
                <c:formatCode>#,##0.0</c:formatCode>
                <c:ptCount val="13"/>
                <c:pt idx="0">
                  <c:v>12</c:v>
                </c:pt>
                <c:pt idx="1">
                  <c:v>12.5</c:v>
                </c:pt>
                <c:pt idx="2">
                  <c:v>11.3</c:v>
                </c:pt>
                <c:pt idx="3">
                  <c:v>11.7</c:v>
                </c:pt>
                <c:pt idx="4">
                  <c:v>10.200000000000001</c:v>
                </c:pt>
                <c:pt idx="5">
                  <c:v>12.3</c:v>
                </c:pt>
                <c:pt idx="6">
                  <c:v>10.1</c:v>
                </c:pt>
                <c:pt idx="7">
                  <c:v>12.3</c:v>
                </c:pt>
                <c:pt idx="8">
                  <c:v>11.3</c:v>
                </c:pt>
                <c:pt idx="9">
                  <c:v>12.8</c:v>
                </c:pt>
                <c:pt idx="10">
                  <c:v>15.1</c:v>
                </c:pt>
                <c:pt idx="11">
                  <c:v>13.5</c:v>
                </c:pt>
                <c:pt idx="12">
                  <c:v>16.600000000000001</c:v>
                </c:pt>
              </c:numCache>
            </c:numRef>
          </c:val>
          <c:extLst xmlns:c16r2="http://schemas.microsoft.com/office/drawing/2015/06/chart">
            <c:ext xmlns:c16="http://schemas.microsoft.com/office/drawing/2014/chart" uri="{C3380CC4-5D6E-409C-BE32-E72D297353CC}">
              <c16:uniqueId val="{00000009-4C51-4E0E-9859-E6ACB608A6D1}"/>
            </c:ext>
          </c:extLst>
        </c:ser>
        <c:marker val="1"/>
        <c:axId val="157615232"/>
        <c:axId val="156867968"/>
      </c:lineChart>
      <c:catAx>
        <c:axId val="156864896"/>
        <c:scaling>
          <c:orientation val="minMax"/>
        </c:scaling>
        <c:axPos val="b"/>
        <c:numFmt formatCode="General" sourceLinked="0"/>
        <c:tickLblPos val="nextTo"/>
        <c:txPr>
          <a:bodyPr/>
          <a:lstStyle/>
          <a:p>
            <a:pPr>
              <a:defRPr sz="800">
                <a:latin typeface="Arial" pitchFamily="34" charset="0"/>
                <a:cs typeface="Arial" pitchFamily="34" charset="0"/>
              </a:defRPr>
            </a:pPr>
            <a:endParaRPr lang="cs-CZ"/>
          </a:p>
        </c:txPr>
        <c:crossAx val="156866432"/>
        <c:crosses val="autoZero"/>
        <c:auto val="1"/>
        <c:lblAlgn val="ctr"/>
        <c:lblOffset val="0"/>
      </c:catAx>
      <c:valAx>
        <c:axId val="156866432"/>
        <c:scaling>
          <c:orientation val="minMax"/>
          <c:max val="90"/>
          <c:min val="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56864896"/>
        <c:crosses val="autoZero"/>
        <c:crossBetween val="between"/>
        <c:majorUnit val="5"/>
      </c:valAx>
      <c:valAx>
        <c:axId val="156867968"/>
        <c:scaling>
          <c:orientation val="minMax"/>
          <c:max val="45"/>
          <c:min val="0"/>
        </c:scaling>
        <c:axPos val="r"/>
        <c:numFmt formatCode="#,##0" sourceLinked="0"/>
        <c:tickLblPos val="nextTo"/>
        <c:txPr>
          <a:bodyPr/>
          <a:lstStyle/>
          <a:p>
            <a:pPr>
              <a:defRPr sz="800">
                <a:latin typeface="Arial" pitchFamily="34" charset="0"/>
                <a:cs typeface="Arial" pitchFamily="34" charset="0"/>
              </a:defRPr>
            </a:pPr>
            <a:endParaRPr lang="cs-CZ"/>
          </a:p>
        </c:txPr>
        <c:crossAx val="157615232"/>
        <c:crosses val="max"/>
        <c:crossBetween val="between"/>
      </c:valAx>
      <c:catAx>
        <c:axId val="157615232"/>
        <c:scaling>
          <c:orientation val="minMax"/>
        </c:scaling>
        <c:delete val="1"/>
        <c:axPos val="b"/>
        <c:numFmt formatCode="General" sourceLinked="1"/>
        <c:tickLblPos val="none"/>
        <c:crossAx val="156867968"/>
        <c:crosses val="autoZero"/>
        <c:auto val="1"/>
        <c:lblAlgn val="ctr"/>
        <c:lblOffset val="100"/>
      </c:catAx>
      <c:spPr>
        <a:ln>
          <a:solidFill>
            <a:sysClr val="windowText" lastClr="000000"/>
          </a:solidFill>
        </a:ln>
      </c:spPr>
    </c:plotArea>
    <c:legend>
      <c:legendPos val="r"/>
      <c:layout>
        <c:manualLayout>
          <c:xMode val="edge"/>
          <c:yMode val="edge"/>
          <c:x val="4.2534456265990943E-2"/>
          <c:y val="0.82812159852668565"/>
          <c:w val="0.90361023513779004"/>
          <c:h val="0.16017934895783378"/>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0539794922592513E-2"/>
          <c:y val="1.5600235547846463E-2"/>
          <c:w val="0.95230792888272353"/>
          <c:h val="0.78608883701991361"/>
        </c:manualLayout>
      </c:layout>
      <c:areaChart>
        <c:grouping val="standard"/>
        <c:ser>
          <c:idx val="5"/>
          <c:order val="5"/>
          <c:tx>
            <c:strRef>
              <c:f>'Graf-UV'!$H$57</c:f>
              <c:strCache>
                <c:ptCount val="1"/>
                <c:pt idx="0">
                  <c:v>Celkem (všechny kvalifikační třídy)</c:v>
                </c:pt>
              </c:strCache>
            </c:strRef>
          </c:tx>
          <c:spPr>
            <a:solidFill>
              <a:schemeClr val="bg2">
                <a:lumMod val="90000"/>
              </a:schemeClr>
            </a:solidFill>
          </c:spPr>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'Graf-UV'!$H$66:$H$109</c:f>
              <c:numCache>
                <c:formatCode>0.0</c:formatCode>
                <c:ptCount val="44"/>
                <c:pt idx="0">
                  <c:v>3.9966390923692527</c:v>
                </c:pt>
                <c:pt idx="1">
                  <c:v>3.0079825422450424</c:v>
                </c:pt>
                <c:pt idx="2">
                  <c:v>2.6557567907792388</c:v>
                </c:pt>
                <c:pt idx="3">
                  <c:v>2.5156876922858777</c:v>
                </c:pt>
                <c:pt idx="4">
                  <c:v>2.222554870432448</c:v>
                </c:pt>
                <c:pt idx="5">
                  <c:v>1.961272311875758</c:v>
                </c:pt>
                <c:pt idx="6">
                  <c:v>2.2539750782834256</c:v>
                </c:pt>
                <c:pt idx="7">
                  <c:v>3.8628562655583427</c:v>
                </c:pt>
                <c:pt idx="8">
                  <c:v>8.1013498881108639</c:v>
                </c:pt>
                <c:pt idx="9">
                  <c:v>10.680498594534814</c:v>
                </c:pt>
                <c:pt idx="10">
                  <c:v>12.892904953146074</c:v>
                </c:pt>
                <c:pt idx="11">
                  <c:v>17.432534678436099</c:v>
                </c:pt>
                <c:pt idx="12">
                  <c:v>17.286537707094787</c:v>
                </c:pt>
                <c:pt idx="13">
                  <c:v>15.200291554043794</c:v>
                </c:pt>
                <c:pt idx="14">
                  <c:v>14.258717948717949</c:v>
                </c:pt>
                <c:pt idx="15">
                  <c:v>18.230399636398989</c:v>
                </c:pt>
                <c:pt idx="16">
                  <c:v>16.143408682325685</c:v>
                </c:pt>
                <c:pt idx="17">
                  <c:v>12.462906080799726</c:v>
                </c:pt>
                <c:pt idx="18">
                  <c:v>11.939037567533624</c:v>
                </c:pt>
                <c:pt idx="19">
                  <c:v>14.208892242342946</c:v>
                </c:pt>
                <c:pt idx="20">
                  <c:v>13.160427003458127</c:v>
                </c:pt>
                <c:pt idx="21">
                  <c:v>11.09390121321209</c:v>
                </c:pt>
                <c:pt idx="22">
                  <c:v>12.085201793721973</c:v>
                </c:pt>
                <c:pt idx="23">
                  <c:v>15.628091594302568</c:v>
                </c:pt>
                <c:pt idx="24">
                  <c:v>15.124102616884954</c:v>
                </c:pt>
                <c:pt idx="25">
                  <c:v>12.274550327034881</c:v>
                </c:pt>
                <c:pt idx="26">
                  <c:v>13.448360774467668</c:v>
                </c:pt>
                <c:pt idx="27">
                  <c:v>16.966086758769492</c:v>
                </c:pt>
                <c:pt idx="28">
                  <c:v>14.906758478729676</c:v>
                </c:pt>
                <c:pt idx="29">
                  <c:v>10.856706885749695</c:v>
                </c:pt>
                <c:pt idx="30">
                  <c:v>9.3552938680247379</c:v>
                </c:pt>
                <c:pt idx="31">
                  <c:v>9.2257954680876448</c:v>
                </c:pt>
                <c:pt idx="32">
                  <c:v>6.9074950690335308</c:v>
                </c:pt>
                <c:pt idx="33">
                  <c:v>4.6543724157842092</c:v>
                </c:pt>
                <c:pt idx="34">
                  <c:v>4.0699989868567688</c:v>
                </c:pt>
                <c:pt idx="35">
                  <c:v>4.4187234872495553</c:v>
                </c:pt>
                <c:pt idx="36">
                  <c:v>3.7764435164273236</c:v>
                </c:pt>
                <c:pt idx="37">
                  <c:v>2.8694256340572633</c:v>
                </c:pt>
                <c:pt idx="38">
                  <c:v>2.6828140404133602</c:v>
                </c:pt>
                <c:pt idx="39">
                  <c:v>2.8783736867528078</c:v>
                </c:pt>
                <c:pt idx="40">
                  <c:v>2.3596546446059747</c:v>
                </c:pt>
                <c:pt idx="41">
                  <c:v>1.6209209809264304</c:v>
                </c:pt>
                <c:pt idx="42">
                  <c:v>1.3825389046054721</c:v>
                </c:pt>
                <c:pt idx="43">
                  <c:v>1.2953944301086178</c:v>
                </c:pt>
              </c:numCache>
            </c:numRef>
          </c:val>
          <c:extLst xmlns:c16r2="http://schemas.microsoft.com/office/drawing/2015/06/chart">
            <c:ext xmlns:c16="http://schemas.microsoft.com/office/drawing/2014/chart" uri="{C3380CC4-5D6E-409C-BE32-E72D297353CC}">
              <c16:uniqueId val="{00000000-E59E-4FD0-B9A4-C384A13D52D8}"/>
            </c:ext>
          </c:extLst>
        </c:ser>
        <c:axId val="157653248"/>
        <c:axId val="157655040"/>
      </c:areaChart>
      <c:lineChart>
        <c:grouping val="standard"/>
        <c:ser>
          <c:idx val="0"/>
          <c:order val="0"/>
          <c:tx>
            <c:strRef>
              <c:f>'Graf-UV'!$C$57</c:f>
              <c:strCache>
                <c:ptCount val="1"/>
                <c:pt idx="0">
                  <c:v>Zákonodárci a řídící prac., Specialisté</c:v>
                </c:pt>
              </c:strCache>
            </c:strRef>
          </c:tx>
          <c:spPr>
            <a:ln w="22225">
              <a:solidFill>
                <a:srgbClr val="F8A124"/>
              </a:solidFill>
            </a:ln>
          </c:spPr>
          <c:marker>
            <c:symbol val="none"/>
          </c:marker>
          <c:dPt>
            <c:idx val="16"/>
            <c:spPr>
              <a:ln w="22225">
                <a:solidFill>
                  <a:srgbClr val="F8A124"/>
                </a:solidFill>
                <a:prstDash val="sysDot"/>
              </a:ln>
            </c:spPr>
            <c:extLst xmlns:c16r2="http://schemas.microsoft.com/office/drawing/2015/06/chart">
              <c:ext xmlns:c16="http://schemas.microsoft.com/office/drawing/2014/chart" uri="{C3380CC4-5D6E-409C-BE32-E72D297353CC}">
                <c16:uniqueId val="{00000001-E59E-4FD0-B9A4-C384A13D52D8}"/>
              </c:ext>
            </c:extLst>
          </c:dPt>
          <c:dPt>
            <c:idx val="24"/>
            <c:spPr>
              <a:ln w="22225">
                <a:solidFill>
                  <a:srgbClr val="F8A124"/>
                </a:solidFill>
                <a:prstDash val="solid"/>
              </a:ln>
            </c:spPr>
            <c:extLst xmlns:c16r2="http://schemas.microsoft.com/office/drawing/2015/06/chart">
              <c:ext xmlns:c16="http://schemas.microsoft.com/office/drawing/2014/chart" uri="{C3380CC4-5D6E-409C-BE32-E72D297353CC}">
                <c16:uniqueId val="{00000002-E59E-4FD0-B9A4-C384A13D52D8}"/>
              </c:ext>
            </c:extLst>
          </c:dPt>
          <c:dPt>
            <c:idx val="25"/>
            <c:spPr>
              <a:ln w="22225">
                <a:solidFill>
                  <a:srgbClr val="F8A124"/>
                </a:solidFill>
                <a:prstDash val="solid"/>
              </a:ln>
            </c:spPr>
            <c:extLst xmlns:c16r2="http://schemas.microsoft.com/office/drawing/2015/06/chart">
              <c:ext xmlns:c16="http://schemas.microsoft.com/office/drawing/2014/chart" uri="{C3380CC4-5D6E-409C-BE32-E72D297353CC}">
                <c16:uniqueId val="{00000003-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'Graf-UV'!$C$66:$C$109</c:f>
              <c:numCache>
                <c:formatCode>0.0</c:formatCode>
                <c:ptCount val="44"/>
                <c:pt idx="0">
                  <c:v>2.7407306434024434</c:v>
                </c:pt>
                <c:pt idx="1">
                  <c:v>2.3143930215653015</c:v>
                </c:pt>
                <c:pt idx="2">
                  <c:v>2.5831460674157412</c:v>
                </c:pt>
                <c:pt idx="3">
                  <c:v>2.3631249200869697</c:v>
                </c:pt>
                <c:pt idx="4">
                  <c:v>1.9922227231740341</c:v>
                </c:pt>
                <c:pt idx="5">
                  <c:v>1.9335414808206957</c:v>
                </c:pt>
                <c:pt idx="6">
                  <c:v>2.4957094888695437</c:v>
                </c:pt>
                <c:pt idx="7">
                  <c:v>3.4378780024192137</c:v>
                </c:pt>
                <c:pt idx="8">
                  <c:v>5.0625139043381475</c:v>
                </c:pt>
                <c:pt idx="9">
                  <c:v>6.3270658090053633</c:v>
                </c:pt>
                <c:pt idx="10">
                  <c:v>8.1983536909186689</c:v>
                </c:pt>
                <c:pt idx="11">
                  <c:v>8.7228474957794031</c:v>
                </c:pt>
                <c:pt idx="12">
                  <c:v>8.0429495472186296</c:v>
                </c:pt>
                <c:pt idx="13">
                  <c:v>7.1950640721404655</c:v>
                </c:pt>
                <c:pt idx="14">
                  <c:v>8.5209077001529483</c:v>
                </c:pt>
                <c:pt idx="15">
                  <c:v>8.3038130381303805</c:v>
                </c:pt>
                <c:pt idx="16">
                  <c:v>5.8094652735095273</c:v>
                </c:pt>
                <c:pt idx="17">
                  <c:v>4.8575322551335605</c:v>
                </c:pt>
                <c:pt idx="18">
                  <c:v>5.3561460523800415</c:v>
                </c:pt>
                <c:pt idx="19">
                  <c:v>5.1998420221169015</c:v>
                </c:pt>
                <c:pt idx="20">
                  <c:v>4.0882580146774821</c:v>
                </c:pt>
                <c:pt idx="21">
                  <c:v>3.6018820818129442</c:v>
                </c:pt>
                <c:pt idx="22">
                  <c:v>4.6146829810901</c:v>
                </c:pt>
                <c:pt idx="23">
                  <c:v>4.3694092827004223</c:v>
                </c:pt>
                <c:pt idx="24">
                  <c:v>5.0173436786855286</c:v>
                </c:pt>
                <c:pt idx="25">
                  <c:v>5.922198275862069</c:v>
                </c:pt>
                <c:pt idx="26">
                  <c:v>7.5583804143126194</c:v>
                </c:pt>
                <c:pt idx="27">
                  <c:v>8.3436203319502074</c:v>
                </c:pt>
                <c:pt idx="28">
                  <c:v>7.4655253283301946</c:v>
                </c:pt>
                <c:pt idx="29">
                  <c:v>6.8245729303547655</c:v>
                </c:pt>
                <c:pt idx="30">
                  <c:v>6.6010256410256405</c:v>
                </c:pt>
                <c:pt idx="31">
                  <c:v>5.5419496970809634</c:v>
                </c:pt>
                <c:pt idx="32">
                  <c:v>4.1792874657435934</c:v>
                </c:pt>
                <c:pt idx="33">
                  <c:v>3.3535180191223342</c:v>
                </c:pt>
                <c:pt idx="34">
                  <c:v>3.441485550513494</c:v>
                </c:pt>
                <c:pt idx="35">
                  <c:v>3.1929698708751793</c:v>
                </c:pt>
                <c:pt idx="36">
                  <c:v>2.4794507301034567</c:v>
                </c:pt>
                <c:pt idx="37">
                  <c:v>2.1267287118378801</c:v>
                </c:pt>
                <c:pt idx="38">
                  <c:v>2.1648237733241191</c:v>
                </c:pt>
                <c:pt idx="39">
                  <c:v>1.9994654312188307</c:v>
                </c:pt>
                <c:pt idx="40">
                  <c:v>1.6083227445997461</c:v>
                </c:pt>
                <c:pt idx="41">
                  <c:v>1.2712776428899426</c:v>
                </c:pt>
                <c:pt idx="42">
                  <c:v>1.2369542753810379</c:v>
                </c:pt>
                <c:pt idx="43">
                  <c:v>1.0531748514232093</c:v>
                </c:pt>
              </c:numCache>
            </c:numRef>
          </c:val>
          <c:extLst xmlns:c16r2="http://schemas.microsoft.com/office/drawing/2015/06/chart">
            <c:ext xmlns:c16="http://schemas.microsoft.com/office/drawing/2014/chart" uri="{C3380CC4-5D6E-409C-BE32-E72D297353CC}">
              <c16:uniqueId val="{00000004-E59E-4FD0-B9A4-C384A13D52D8}"/>
            </c:ext>
          </c:extLst>
        </c:ser>
        <c:ser>
          <c:idx val="1"/>
          <c:order val="1"/>
          <c:tx>
            <c:strRef>
              <c:f>'Graf-UV'!$D$57</c:f>
              <c:strCache>
                <c:ptCount val="1"/>
                <c:pt idx="0">
                  <c:v>Úředníci</c:v>
                </c:pt>
              </c:strCache>
            </c:strRef>
          </c:tx>
          <c:spPr>
            <a:ln w="22225">
              <a:solidFill>
                <a:srgbClr val="BD1B21"/>
              </a:solidFill>
            </a:ln>
          </c:spPr>
          <c:marker>
            <c:symbol val="none"/>
          </c:marker>
          <c:dPt>
            <c:idx val="16"/>
            <c:spPr>
              <a:ln w="22225">
                <a:solidFill>
                  <a:srgbClr val="BD1B21"/>
                </a:solidFill>
                <a:prstDash val="sysDot"/>
              </a:ln>
            </c:spPr>
            <c:extLst xmlns:c16r2="http://schemas.microsoft.com/office/drawing/2015/06/chart">
              <c:ext xmlns:c16="http://schemas.microsoft.com/office/drawing/2014/chart" uri="{C3380CC4-5D6E-409C-BE32-E72D297353CC}">
                <c16:uniqueId val="{00000005-E59E-4FD0-B9A4-C384A13D52D8}"/>
              </c:ext>
            </c:extLst>
          </c:dPt>
          <c:dPt>
            <c:idx val="24"/>
            <c:spPr>
              <a:ln w="22225">
                <a:solidFill>
                  <a:srgbClr val="BD1B21"/>
                </a:solidFill>
                <a:prstDash val="solid"/>
              </a:ln>
            </c:spPr>
            <c:extLst xmlns:c16r2="http://schemas.microsoft.com/office/drawing/2015/06/chart">
              <c:ext xmlns:c16="http://schemas.microsoft.com/office/drawing/2014/chart" uri="{C3380CC4-5D6E-409C-BE32-E72D297353CC}">
                <c16:uniqueId val="{00000006-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'Graf-UV'!$D$66:$D$109</c:f>
              <c:numCache>
                <c:formatCode>0.0</c:formatCode>
                <c:ptCount val="44"/>
                <c:pt idx="0">
                  <c:v>8.6432527693856986</c:v>
                </c:pt>
                <c:pt idx="1">
                  <c:v>6.193351691581432</c:v>
                </c:pt>
                <c:pt idx="2">
                  <c:v>5.9840396257567416</c:v>
                </c:pt>
                <c:pt idx="3">
                  <c:v>6.013738959764475</c:v>
                </c:pt>
                <c:pt idx="4">
                  <c:v>5.9302325581395374</c:v>
                </c:pt>
                <c:pt idx="5">
                  <c:v>5.3039123039123037</c:v>
                </c:pt>
                <c:pt idx="6">
                  <c:v>6.6026349341266455</c:v>
                </c:pt>
                <c:pt idx="7">
                  <c:v>10.673375123721437</c:v>
                </c:pt>
                <c:pt idx="8">
                  <c:v>22.054114994363022</c:v>
                </c:pt>
                <c:pt idx="9">
                  <c:v>26.879872204472843</c:v>
                </c:pt>
                <c:pt idx="10">
                  <c:v>30.31691919191919</c:v>
                </c:pt>
                <c:pt idx="11">
                  <c:v>37.847509578543693</c:v>
                </c:pt>
                <c:pt idx="12">
                  <c:v>34.796334012220321</c:v>
                </c:pt>
                <c:pt idx="13">
                  <c:v>31.818897637795274</c:v>
                </c:pt>
                <c:pt idx="14">
                  <c:v>33.498687664041995</c:v>
                </c:pt>
                <c:pt idx="15">
                  <c:v>36.506529209622002</c:v>
                </c:pt>
                <c:pt idx="16">
                  <c:v>32.015375153751535</c:v>
                </c:pt>
                <c:pt idx="17">
                  <c:v>24.829871414441335</c:v>
                </c:pt>
                <c:pt idx="18">
                  <c:v>24.415548357242017</c:v>
                </c:pt>
                <c:pt idx="19">
                  <c:v>25.710334788937409</c:v>
                </c:pt>
                <c:pt idx="20">
                  <c:v>22.555608140085187</c:v>
                </c:pt>
                <c:pt idx="21">
                  <c:v>21.053041362530415</c:v>
                </c:pt>
                <c:pt idx="22">
                  <c:v>24.698579694897425</c:v>
                </c:pt>
                <c:pt idx="23">
                  <c:v>27.114109050028105</c:v>
                </c:pt>
                <c:pt idx="24">
                  <c:v>25.639860139860335</c:v>
                </c:pt>
                <c:pt idx="25">
                  <c:v>24.317546583850927</c:v>
                </c:pt>
                <c:pt idx="26">
                  <c:v>25.327023014105418</c:v>
                </c:pt>
                <c:pt idx="27">
                  <c:v>32.419309039280265</c:v>
                </c:pt>
                <c:pt idx="28">
                  <c:v>35.723942208462333</c:v>
                </c:pt>
                <c:pt idx="29">
                  <c:v>28.37280701754386</c:v>
                </c:pt>
                <c:pt idx="30">
                  <c:v>26.841328413284131</c:v>
                </c:pt>
                <c:pt idx="31">
                  <c:v>22.058698727015631</c:v>
                </c:pt>
                <c:pt idx="32">
                  <c:v>17.164863325740331</c:v>
                </c:pt>
                <c:pt idx="33">
                  <c:v>12.795623836126676</c:v>
                </c:pt>
                <c:pt idx="34">
                  <c:v>10.784466019417476</c:v>
                </c:pt>
                <c:pt idx="35">
                  <c:v>10.656418446795767</c:v>
                </c:pt>
                <c:pt idx="36">
                  <c:v>9.3174024078803548</c:v>
                </c:pt>
                <c:pt idx="37">
                  <c:v>8.061917902725078</c:v>
                </c:pt>
                <c:pt idx="38">
                  <c:v>8.1831862999482663</c:v>
                </c:pt>
                <c:pt idx="39">
                  <c:v>9.2546768707483267</c:v>
                </c:pt>
                <c:pt idx="40">
                  <c:v>7.3874394334699955</c:v>
                </c:pt>
                <c:pt idx="41">
                  <c:v>6.0053908355795151</c:v>
                </c:pt>
                <c:pt idx="42">
                  <c:v>5.2486953928732012</c:v>
                </c:pt>
                <c:pt idx="43">
                  <c:v>4.7284728472847286</c:v>
                </c:pt>
              </c:numCache>
            </c:numRef>
          </c:val>
          <c:extLst xmlns:c16r2="http://schemas.microsoft.com/office/drawing/2015/06/chart">
            <c:ext xmlns:c16="http://schemas.microsoft.com/office/drawing/2014/chart" uri="{C3380CC4-5D6E-409C-BE32-E72D297353CC}">
              <c16:uniqueId val="{00000007-E59E-4FD0-B9A4-C384A13D52D8}"/>
            </c:ext>
          </c:extLst>
        </c:ser>
        <c:ser>
          <c:idx val="2"/>
          <c:order val="2"/>
          <c:tx>
            <c:strRef>
              <c:f>'Graf-UV'!$E$57</c:f>
              <c:strCache>
                <c:ptCount val="1"/>
                <c:pt idx="0">
                  <c:v>Pracovníci ve službách a prodeji</c:v>
                </c:pt>
              </c:strCache>
            </c:strRef>
          </c:tx>
          <c:spPr>
            <a:ln w="22225">
              <a:solidFill>
                <a:srgbClr val="7DBB2D"/>
              </a:solidFill>
            </a:ln>
          </c:spPr>
          <c:marker>
            <c:symbol val="none"/>
          </c:marker>
          <c:dPt>
            <c:idx val="16"/>
            <c:spPr>
              <a:ln w="22225">
                <a:solidFill>
                  <a:srgbClr val="7DBB2D"/>
                </a:solidFill>
                <a:prstDash val="sysDot"/>
              </a:ln>
            </c:spPr>
            <c:extLst xmlns:c16r2="http://schemas.microsoft.com/office/drawing/2015/06/chart">
              <c:ext xmlns:c16="http://schemas.microsoft.com/office/drawing/2014/chart" uri="{C3380CC4-5D6E-409C-BE32-E72D297353CC}">
                <c16:uniqueId val="{00000008-E59E-4FD0-B9A4-C384A13D52D8}"/>
              </c:ext>
            </c:extLst>
          </c:dPt>
          <c:dPt>
            <c:idx val="24"/>
            <c:spPr>
              <a:ln w="22225">
                <a:solidFill>
                  <a:srgbClr val="7DBB2D"/>
                </a:solidFill>
                <a:prstDash val="solid"/>
              </a:ln>
            </c:spPr>
            <c:extLst xmlns:c16r2="http://schemas.microsoft.com/office/drawing/2015/06/chart">
              <c:ext xmlns:c16="http://schemas.microsoft.com/office/drawing/2014/chart" uri="{C3380CC4-5D6E-409C-BE32-E72D297353CC}">
                <c16:uniqueId val="{00000009-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'Graf-UV'!$E$66:$E$109</c:f>
              <c:numCache>
                <c:formatCode>0.0</c:formatCode>
                <c:ptCount val="44"/>
                <c:pt idx="0">
                  <c:v>6.9105115116157645</c:v>
                </c:pt>
                <c:pt idx="1">
                  <c:v>4.8080614203454886</c:v>
                </c:pt>
                <c:pt idx="2">
                  <c:v>4.8679890560874437</c:v>
                </c:pt>
                <c:pt idx="3">
                  <c:v>4.6579155325313097</c:v>
                </c:pt>
                <c:pt idx="4">
                  <c:v>4.29326469326476</c:v>
                </c:pt>
                <c:pt idx="5">
                  <c:v>3.4677868979402202</c:v>
                </c:pt>
                <c:pt idx="6">
                  <c:v>3.8974338217437037</c:v>
                </c:pt>
                <c:pt idx="7">
                  <c:v>5.6240481872940107</c:v>
                </c:pt>
                <c:pt idx="8">
                  <c:v>11.635271687321248</c:v>
                </c:pt>
                <c:pt idx="9">
                  <c:v>14.842653384650214</c:v>
                </c:pt>
                <c:pt idx="10">
                  <c:v>19.224681933842227</c:v>
                </c:pt>
                <c:pt idx="11">
                  <c:v>31.565387627251372</c:v>
                </c:pt>
                <c:pt idx="12">
                  <c:v>30.230582524271789</c:v>
                </c:pt>
                <c:pt idx="13">
                  <c:v>22.392866866321789</c:v>
                </c:pt>
                <c:pt idx="14">
                  <c:v>23.38092628117267</c:v>
                </c:pt>
                <c:pt idx="15">
                  <c:v>29.831756756756835</c:v>
                </c:pt>
                <c:pt idx="16">
                  <c:v>27.968223266095489</c:v>
                </c:pt>
                <c:pt idx="17">
                  <c:v>20.67927848658163</c:v>
                </c:pt>
                <c:pt idx="18">
                  <c:v>20.096781024989411</c:v>
                </c:pt>
                <c:pt idx="19">
                  <c:v>22.679568379075768</c:v>
                </c:pt>
                <c:pt idx="20">
                  <c:v>18.822433862433609</c:v>
                </c:pt>
                <c:pt idx="21">
                  <c:v>14.45271846402297</c:v>
                </c:pt>
                <c:pt idx="22">
                  <c:v>16.409436537336379</c:v>
                </c:pt>
                <c:pt idx="23">
                  <c:v>15.738023687466717</c:v>
                </c:pt>
                <c:pt idx="24">
                  <c:v>16.372333103922706</c:v>
                </c:pt>
                <c:pt idx="25">
                  <c:v>16.732679155515889</c:v>
                </c:pt>
                <c:pt idx="26">
                  <c:v>16.029844753747323</c:v>
                </c:pt>
                <c:pt idx="27">
                  <c:v>18.602100525131092</c:v>
                </c:pt>
                <c:pt idx="28">
                  <c:v>16.106427542872087</c:v>
                </c:pt>
                <c:pt idx="29">
                  <c:v>12.070052910052922</c:v>
                </c:pt>
                <c:pt idx="30">
                  <c:v>11.597384017984876</c:v>
                </c:pt>
                <c:pt idx="31">
                  <c:v>11.175035289372859</c:v>
                </c:pt>
                <c:pt idx="32">
                  <c:v>8.677174877045875</c:v>
                </c:pt>
                <c:pt idx="33">
                  <c:v>5.9144872886510145</c:v>
                </c:pt>
                <c:pt idx="34">
                  <c:v>5.4584400068271037</c:v>
                </c:pt>
                <c:pt idx="35">
                  <c:v>5.5616947324264396</c:v>
                </c:pt>
                <c:pt idx="36">
                  <c:v>4.6642631114800022</c:v>
                </c:pt>
                <c:pt idx="37">
                  <c:v>3.6688151828476792</c:v>
                </c:pt>
                <c:pt idx="38">
                  <c:v>3.6427833894500572</c:v>
                </c:pt>
                <c:pt idx="39">
                  <c:v>3.9716235632183907</c:v>
                </c:pt>
                <c:pt idx="40">
                  <c:v>3.3611778846153846</c:v>
                </c:pt>
                <c:pt idx="41">
                  <c:v>2.5437591951966283</c:v>
                </c:pt>
                <c:pt idx="42">
                  <c:v>2.329897302268547</c:v>
                </c:pt>
                <c:pt idx="43">
                  <c:v>2.1788856304985327</c:v>
                </c:pt>
              </c:numCache>
            </c:numRef>
          </c:val>
          <c:extLst xmlns:c16r2="http://schemas.microsoft.com/office/drawing/2015/06/chart">
            <c:ext xmlns:c16="http://schemas.microsoft.com/office/drawing/2014/chart" uri="{C3380CC4-5D6E-409C-BE32-E72D297353CC}">
              <c16:uniqueId val="{0000000A-E59E-4FD0-B9A4-C384A13D52D8}"/>
            </c:ext>
          </c:extLst>
        </c:ser>
        <c:ser>
          <c:idx val="3"/>
          <c:order val="3"/>
          <c:tx>
            <c:strRef>
              <c:f>'Graf-UV'!$F$57</c:f>
              <c:strCache>
                <c:ptCount val="1"/>
                <c:pt idx="0">
                  <c:v>Řemeslníci a opraváři, Obsluha strojů</c:v>
                </c:pt>
              </c:strCache>
            </c:strRef>
          </c:tx>
          <c:spPr>
            <a:ln w="22225">
              <a:solidFill>
                <a:srgbClr val="7030A0"/>
              </a:solidFill>
            </a:ln>
          </c:spPr>
          <c:marker>
            <c:symbol val="none"/>
          </c:marker>
          <c:dPt>
            <c:idx val="16"/>
            <c:spPr>
              <a:ln w="22225">
                <a:solidFill>
                  <a:srgbClr val="7030A0"/>
                </a:solidFill>
                <a:prstDash val="sysDot"/>
              </a:ln>
            </c:spPr>
            <c:extLst xmlns:c16r2="http://schemas.microsoft.com/office/drawing/2015/06/chart">
              <c:ext xmlns:c16="http://schemas.microsoft.com/office/drawing/2014/chart" uri="{C3380CC4-5D6E-409C-BE32-E72D297353CC}">
                <c16:uniqueId val="{0000000B-E59E-4FD0-B9A4-C384A13D52D8}"/>
              </c:ext>
            </c:extLst>
          </c:dPt>
          <c:dPt>
            <c:idx val="24"/>
            <c:spPr>
              <a:ln w="22225">
                <a:solidFill>
                  <a:srgbClr val="7030A0"/>
                </a:solidFill>
                <a:prstDash val="solid"/>
              </a:ln>
            </c:spPr>
            <c:extLst xmlns:c16r2="http://schemas.microsoft.com/office/drawing/2015/06/chart">
              <c:ext xmlns:c16="http://schemas.microsoft.com/office/drawing/2014/chart" uri="{C3380CC4-5D6E-409C-BE32-E72D297353CC}">
                <c16:uniqueId val="{0000000C-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'Graf-UV'!$F$66:$F$109</c:f>
              <c:numCache>
                <c:formatCode>0.0</c:formatCode>
                <c:ptCount val="44"/>
                <c:pt idx="0">
                  <c:v>1.7440970824028996</c:v>
                </c:pt>
                <c:pt idx="1">
                  <c:v>1.188861638425277</c:v>
                </c:pt>
                <c:pt idx="2">
                  <c:v>0.9741706933058335</c:v>
                </c:pt>
                <c:pt idx="3">
                  <c:v>1.0057571998705641</c:v>
                </c:pt>
                <c:pt idx="4">
                  <c:v>0.92083906915765257</c:v>
                </c:pt>
                <c:pt idx="5">
                  <c:v>0.72796292769631177</c:v>
                </c:pt>
                <c:pt idx="6">
                  <c:v>0.85209392739924783</c:v>
                </c:pt>
                <c:pt idx="7">
                  <c:v>1.909758682738051</c:v>
                </c:pt>
                <c:pt idx="8">
                  <c:v>6.8567851180538995</c:v>
                </c:pt>
                <c:pt idx="9">
                  <c:v>8.7403991533110919</c:v>
                </c:pt>
                <c:pt idx="10">
                  <c:v>9.8954301512442502</c:v>
                </c:pt>
                <c:pt idx="11">
                  <c:v>15.835817550151306</c:v>
                </c:pt>
                <c:pt idx="12">
                  <c:v>17.853839245621721</c:v>
                </c:pt>
                <c:pt idx="13">
                  <c:v>11.782321515298689</c:v>
                </c:pt>
                <c:pt idx="14">
                  <c:v>8.4407691174303814</c:v>
                </c:pt>
                <c:pt idx="15">
                  <c:v>13.149793573864656</c:v>
                </c:pt>
                <c:pt idx="16">
                  <c:v>11.443751026441118</c:v>
                </c:pt>
                <c:pt idx="17">
                  <c:v>7.0296775934169702</c:v>
                </c:pt>
                <c:pt idx="18">
                  <c:v>6.3932893641544473</c:v>
                </c:pt>
                <c:pt idx="19">
                  <c:v>9.5637583892617446</c:v>
                </c:pt>
                <c:pt idx="20">
                  <c:v>8.2296737246627689</c:v>
                </c:pt>
                <c:pt idx="21">
                  <c:v>5.8171021377671845</c:v>
                </c:pt>
                <c:pt idx="22">
                  <c:v>6.3691581895916434</c:v>
                </c:pt>
                <c:pt idx="23">
                  <c:v>11.622408376963374</c:v>
                </c:pt>
                <c:pt idx="24">
                  <c:v>13.501312611571983</c:v>
                </c:pt>
                <c:pt idx="25">
                  <c:v>11.129851501856225</c:v>
                </c:pt>
                <c:pt idx="26">
                  <c:v>9.9671568261551098</c:v>
                </c:pt>
                <c:pt idx="27">
                  <c:v>15.077613915674046</c:v>
                </c:pt>
                <c:pt idx="28">
                  <c:v>12.446670318491275</c:v>
                </c:pt>
                <c:pt idx="29">
                  <c:v>6.5427334437971032</c:v>
                </c:pt>
                <c:pt idx="30">
                  <c:v>4.9897291051483883</c:v>
                </c:pt>
                <c:pt idx="31">
                  <c:v>5.7087995820089734</c:v>
                </c:pt>
                <c:pt idx="32">
                  <c:v>4.2699637476302925</c:v>
                </c:pt>
                <c:pt idx="33">
                  <c:v>2.4122973310052367</c:v>
                </c:pt>
                <c:pt idx="34">
                  <c:v>1.9648157625383935</c:v>
                </c:pt>
                <c:pt idx="35">
                  <c:v>2.4517351184250287</c:v>
                </c:pt>
                <c:pt idx="36">
                  <c:v>2.1824548239854935</c:v>
                </c:pt>
                <c:pt idx="37">
                  <c:v>1.4209829764861581</c:v>
                </c:pt>
                <c:pt idx="38">
                  <c:v>1.2373437448735201</c:v>
                </c:pt>
                <c:pt idx="39">
                  <c:v>1.460194838489135</c:v>
                </c:pt>
                <c:pt idx="40">
                  <c:v>1.2241929544617773</c:v>
                </c:pt>
                <c:pt idx="41">
                  <c:v>0.71510550237412895</c:v>
                </c:pt>
                <c:pt idx="42">
                  <c:v>0.5677463818056443</c:v>
                </c:pt>
                <c:pt idx="43">
                  <c:v>0.59415736476464331</c:v>
                </c:pt>
              </c:numCache>
            </c:numRef>
          </c:val>
          <c:extLst xmlns:c16r2="http://schemas.microsoft.com/office/drawing/2015/06/chart">
            <c:ext xmlns:c16="http://schemas.microsoft.com/office/drawing/2014/chart" uri="{C3380CC4-5D6E-409C-BE32-E72D297353CC}">
              <c16:uniqueId val="{0000000D-E59E-4FD0-B9A4-C384A13D52D8}"/>
            </c:ext>
          </c:extLst>
        </c:ser>
        <c:ser>
          <c:idx val="4"/>
          <c:order val="4"/>
          <c:tx>
            <c:strRef>
              <c:f>'Graf-UV'!$G$57</c:f>
              <c:strCache>
                <c:ptCount val="1"/>
                <c:pt idx="0">
                  <c:v>Pomocní a nekvalif. pracovníci</c:v>
                </c:pt>
              </c:strCache>
            </c:strRef>
          </c:tx>
          <c:spPr>
            <a:ln w="22225">
              <a:solidFill>
                <a:srgbClr val="48AEE7"/>
              </a:solidFill>
            </a:ln>
          </c:spPr>
          <c:marker>
            <c:symbol val="none"/>
          </c:marker>
          <c:dPt>
            <c:idx val="16"/>
            <c:spPr>
              <a:ln w="22225">
                <a:solidFill>
                  <a:srgbClr val="48AEE7"/>
                </a:solidFill>
                <a:prstDash val="sysDot"/>
              </a:ln>
            </c:spPr>
            <c:extLst xmlns:c16r2="http://schemas.microsoft.com/office/drawing/2015/06/chart">
              <c:ext xmlns:c16="http://schemas.microsoft.com/office/drawing/2014/chart" uri="{C3380CC4-5D6E-409C-BE32-E72D297353CC}">
                <c16:uniqueId val="{0000000E-E59E-4FD0-B9A4-C384A13D52D8}"/>
              </c:ext>
            </c:extLst>
          </c:dPt>
          <c:dPt>
            <c:idx val="24"/>
            <c:spPr>
              <a:ln w="22225">
                <a:solidFill>
                  <a:srgbClr val="48AEE7"/>
                </a:solidFill>
                <a:prstDash val="solid"/>
              </a:ln>
            </c:spPr>
            <c:extLst xmlns:c16r2="http://schemas.microsoft.com/office/drawing/2015/06/chart">
              <c:ext xmlns:c16="http://schemas.microsoft.com/office/drawing/2014/chart" uri="{C3380CC4-5D6E-409C-BE32-E72D297353CC}">
                <c16:uniqueId val="{0000000F-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'Graf-UV'!$G$66:$G$109</c:f>
              <c:numCache>
                <c:formatCode>0.0</c:formatCode>
                <c:ptCount val="44"/>
                <c:pt idx="0">
                  <c:v>6.7311523539897324</c:v>
                </c:pt>
                <c:pt idx="1">
                  <c:v>5.4495004498319064</c:v>
                </c:pt>
                <c:pt idx="2">
                  <c:v>4.6093489148580984</c:v>
                </c:pt>
                <c:pt idx="3">
                  <c:v>3.9074551048150528</c:v>
                </c:pt>
                <c:pt idx="4">
                  <c:v>3.1522865176853632</c:v>
                </c:pt>
                <c:pt idx="5">
                  <c:v>3.0553320243345028</c:v>
                </c:pt>
                <c:pt idx="6">
                  <c:v>3.140114642336306</c:v>
                </c:pt>
                <c:pt idx="7">
                  <c:v>4.6927515326361275</c:v>
                </c:pt>
                <c:pt idx="8">
                  <c:v>6.5818877417326132</c:v>
                </c:pt>
                <c:pt idx="9">
                  <c:v>9.8496676456948506</c:v>
                </c:pt>
                <c:pt idx="10">
                  <c:v>12.569192913385876</c:v>
                </c:pt>
                <c:pt idx="11">
                  <c:v>16.569405784823889</c:v>
                </c:pt>
                <c:pt idx="12">
                  <c:v>16.074562887760649</c:v>
                </c:pt>
                <c:pt idx="13">
                  <c:v>22.773836303858801</c:v>
                </c:pt>
                <c:pt idx="14">
                  <c:v>23.93719351188231</c:v>
                </c:pt>
                <c:pt idx="15">
                  <c:v>31.962388876224836</c:v>
                </c:pt>
                <c:pt idx="16">
                  <c:v>26.203313840155662</c:v>
                </c:pt>
                <c:pt idx="17">
                  <c:v>26.2236428421709</c:v>
                </c:pt>
                <c:pt idx="18">
                  <c:v>22.619002822201317</c:v>
                </c:pt>
                <c:pt idx="19">
                  <c:v>23.475054229934923</c:v>
                </c:pt>
                <c:pt idx="20">
                  <c:v>15.047801857585139</c:v>
                </c:pt>
                <c:pt idx="21">
                  <c:v>11.891856102405654</c:v>
                </c:pt>
                <c:pt idx="22">
                  <c:v>10.614633153556518</c:v>
                </c:pt>
                <c:pt idx="23">
                  <c:v>14.831763122476351</c:v>
                </c:pt>
                <c:pt idx="24">
                  <c:v>11.06402523893477</c:v>
                </c:pt>
                <c:pt idx="25">
                  <c:v>12.532026726057907</c:v>
                </c:pt>
                <c:pt idx="26">
                  <c:v>21.473835886546329</c:v>
                </c:pt>
                <c:pt idx="27">
                  <c:v>26.980451936872289</c:v>
                </c:pt>
                <c:pt idx="28">
                  <c:v>20.327046445984092</c:v>
                </c:pt>
                <c:pt idx="29">
                  <c:v>17.233562781865629</c:v>
                </c:pt>
                <c:pt idx="30">
                  <c:v>15.029040267731837</c:v>
                </c:pt>
                <c:pt idx="31">
                  <c:v>13.497801066716548</c:v>
                </c:pt>
                <c:pt idx="32">
                  <c:v>9.7578570937349571</c:v>
                </c:pt>
                <c:pt idx="33">
                  <c:v>7.033440550133097</c:v>
                </c:pt>
                <c:pt idx="34">
                  <c:v>6.1480065259508505</c:v>
                </c:pt>
                <c:pt idx="35">
                  <c:v>6.7799022503893873</c:v>
                </c:pt>
                <c:pt idx="36">
                  <c:v>5.7094511500797083</c:v>
                </c:pt>
                <c:pt idx="37">
                  <c:v>4.279070647443902</c:v>
                </c:pt>
                <c:pt idx="38">
                  <c:v>3.9636297109403835</c:v>
                </c:pt>
                <c:pt idx="39">
                  <c:v>4.2881330079316724</c:v>
                </c:pt>
                <c:pt idx="40">
                  <c:v>3.2636056473995416</c:v>
                </c:pt>
                <c:pt idx="41">
                  <c:v>2.0747722557950752</c:v>
                </c:pt>
                <c:pt idx="42">
                  <c:v>1.7502058290795341</c:v>
                </c:pt>
                <c:pt idx="43">
                  <c:v>1.672101801766765</c:v>
                </c:pt>
              </c:numCache>
            </c:numRef>
          </c:val>
          <c:extLst xmlns:c16r2="http://schemas.microsoft.com/office/drawing/2015/06/chart">
            <c:ext xmlns:c16="http://schemas.microsoft.com/office/drawing/2014/chart" uri="{C3380CC4-5D6E-409C-BE32-E72D297353CC}">
              <c16:uniqueId val="{00000010-E59E-4FD0-B9A4-C384A13D52D8}"/>
            </c:ext>
          </c:extLst>
        </c:ser>
        <c:marker val="1"/>
        <c:axId val="157653248"/>
        <c:axId val="157655040"/>
      </c:lineChart>
      <c:catAx>
        <c:axId val="157653248"/>
        <c:scaling>
          <c:orientation val="minMax"/>
        </c:scaling>
        <c:axPos val="b"/>
        <c:numFmt formatCode="General" sourceLinked="1"/>
        <c:tickLblPos val="nextTo"/>
        <c:txPr>
          <a:bodyPr rot="0" vert="horz"/>
          <a:lstStyle/>
          <a:p>
            <a:pPr>
              <a:defRPr sz="800">
                <a:latin typeface="Arial" pitchFamily="34" charset="0"/>
                <a:cs typeface="Arial" pitchFamily="34" charset="0"/>
              </a:defRPr>
            </a:pPr>
            <a:endParaRPr lang="cs-CZ"/>
          </a:p>
        </c:txPr>
        <c:crossAx val="157655040"/>
        <c:crosses val="autoZero"/>
        <c:auto val="1"/>
        <c:lblAlgn val="ctr"/>
        <c:lblOffset val="0"/>
        <c:tickMarkSkip val="4"/>
      </c:catAx>
      <c:valAx>
        <c:axId val="157655040"/>
        <c:scaling>
          <c:orientation val="minMax"/>
        </c:scaling>
        <c:axPos val="l"/>
        <c:numFmt formatCode="0" sourceLinked="0"/>
        <c:tickLblPos val="nextTo"/>
        <c:txPr>
          <a:bodyPr/>
          <a:lstStyle/>
          <a:p>
            <a:pPr>
              <a:defRPr sz="800">
                <a:latin typeface="Arial" pitchFamily="34" charset="0"/>
                <a:cs typeface="Arial" pitchFamily="34" charset="0"/>
              </a:defRPr>
            </a:pPr>
            <a:endParaRPr lang="cs-CZ"/>
          </a:p>
        </c:txPr>
        <c:crossAx val="157653248"/>
        <c:crosses val="autoZero"/>
        <c:crossBetween val="midCat"/>
      </c:valAx>
      <c:spPr>
        <a:ln w="9525">
          <a:solidFill>
            <a:schemeClr val="tx1">
              <a:lumMod val="95000"/>
              <a:lumOff val="5000"/>
            </a:schemeClr>
          </a:solidFill>
        </a:ln>
      </c:spPr>
    </c:plotArea>
    <c:legend>
      <c:legendPos val="r"/>
      <c:layout>
        <c:manualLayout>
          <c:xMode val="edge"/>
          <c:yMode val="edge"/>
          <c:x val="4.2687539606681334E-2"/>
          <c:y val="0.88431757920081999"/>
          <c:w val="0.94498714447540477"/>
          <c:h val="0.11264001684316705"/>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9011887316812913E-2"/>
          <c:y val="1.6233377178020272E-2"/>
          <c:w val="0.93080536961356963"/>
          <c:h val="0.77179151035441085"/>
        </c:manualLayout>
      </c:layout>
      <c:barChart>
        <c:barDir val="col"/>
        <c:grouping val="clustered"/>
        <c:ser>
          <c:idx val="2"/>
          <c:order val="2"/>
          <c:tx>
            <c:strRef>
              <c:f>'Mzdy a produktivita'!$E$90</c:f>
              <c:strCache>
                <c:ptCount val="1"/>
                <c:pt idx="0">
                  <c:v>Vyplacené mzdy a platy na 1 zaměstnance (nominálně)</c:v>
                </c:pt>
              </c:strCache>
            </c:strRef>
          </c:tx>
          <c:spPr>
            <a:solidFill>
              <a:sysClr val="window" lastClr="FFFFFF">
                <a:lumMod val="65000"/>
              </a:sysClr>
            </a:solidFill>
            <a:ln w="22225">
              <a:noFill/>
            </a:ln>
          </c:spP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produktivita'!$E$91:$E$134</c:f>
              <c:numCache>
                <c:formatCode>0.0</c:formatCode>
                <c:ptCount val="44"/>
                <c:pt idx="0">
                  <c:v>7.1145912959309205</c:v>
                </c:pt>
                <c:pt idx="1">
                  <c:v>5.5437905981515794</c:v>
                </c:pt>
                <c:pt idx="2">
                  <c:v>5.4624650955409324</c:v>
                </c:pt>
                <c:pt idx="3">
                  <c:v>5.4263632565805011</c:v>
                </c:pt>
                <c:pt idx="4">
                  <c:v>7.545730709816965</c:v>
                </c:pt>
                <c:pt idx="5">
                  <c:v>5.8316934962009439</c:v>
                </c:pt>
                <c:pt idx="6">
                  <c:v>3.9943327520595062</c:v>
                </c:pt>
                <c:pt idx="7">
                  <c:v>2.1514503433726588</c:v>
                </c:pt>
                <c:pt idx="8">
                  <c:v>-1.0382798579541457</c:v>
                </c:pt>
                <c:pt idx="9">
                  <c:v>-1.0536274040125875</c:v>
                </c:pt>
                <c:pt idx="10">
                  <c:v>1.1791782998793252</c:v>
                </c:pt>
                <c:pt idx="11">
                  <c:v>2.7509155694290972</c:v>
                </c:pt>
                <c:pt idx="12">
                  <c:v>2.1891775485762324</c:v>
                </c:pt>
                <c:pt idx="13">
                  <c:v>3.466288001965907</c:v>
                </c:pt>
                <c:pt idx="14">
                  <c:v>3.1320465347573627</c:v>
                </c:pt>
                <c:pt idx="15">
                  <c:v>2.2052273403621014</c:v>
                </c:pt>
                <c:pt idx="16">
                  <c:v>2.9444945170146894</c:v>
                </c:pt>
                <c:pt idx="17">
                  <c:v>2.9704833798524675</c:v>
                </c:pt>
                <c:pt idx="18">
                  <c:v>2.4267212566699357</c:v>
                </c:pt>
                <c:pt idx="19">
                  <c:v>2.3124255239017484</c:v>
                </c:pt>
                <c:pt idx="20">
                  <c:v>3.7316933373723082</c:v>
                </c:pt>
                <c:pt idx="21">
                  <c:v>1.9158959665629425</c:v>
                </c:pt>
                <c:pt idx="22">
                  <c:v>0.5183374905682856</c:v>
                </c:pt>
                <c:pt idx="23">
                  <c:v>1.7401874530554835</c:v>
                </c:pt>
                <c:pt idx="24">
                  <c:v>-1.2209868455968405</c:v>
                </c:pt>
                <c:pt idx="25">
                  <c:v>-0.41837106779134298</c:v>
                </c:pt>
                <c:pt idx="26">
                  <c:v>1.4028773472451737</c:v>
                </c:pt>
                <c:pt idx="27">
                  <c:v>-1.56675881882542</c:v>
                </c:pt>
                <c:pt idx="28">
                  <c:v>3.1256494200529787</c:v>
                </c:pt>
                <c:pt idx="29">
                  <c:v>3.3574572479724623</c:v>
                </c:pt>
                <c:pt idx="30">
                  <c:v>1.6711665278176184</c:v>
                </c:pt>
                <c:pt idx="31">
                  <c:v>2.6832339945580088</c:v>
                </c:pt>
                <c:pt idx="32">
                  <c:v>2.1198536831547523</c:v>
                </c:pt>
                <c:pt idx="33">
                  <c:v>2.6809651172683151</c:v>
                </c:pt>
                <c:pt idx="34">
                  <c:v>3.3331686574264152</c:v>
                </c:pt>
                <c:pt idx="35">
                  <c:v>3.0786274035115753</c:v>
                </c:pt>
                <c:pt idx="36">
                  <c:v>3.5198331057782499</c:v>
                </c:pt>
                <c:pt idx="37">
                  <c:v>3.624120806305668</c:v>
                </c:pt>
                <c:pt idx="38">
                  <c:v>3.9496571007880967</c:v>
                </c:pt>
                <c:pt idx="39">
                  <c:v>4.1654698021102465</c:v>
                </c:pt>
                <c:pt idx="40">
                  <c:v>5.4410578367084446</c:v>
                </c:pt>
                <c:pt idx="41">
                  <c:v>6.7790836699442893</c:v>
                </c:pt>
                <c:pt idx="42">
                  <c:v>5.7632737667049838</c:v>
                </c:pt>
                <c:pt idx="43">
                  <c:v>7.0851085183863445</c:v>
                </c:pt>
              </c:numCache>
            </c:numRef>
          </c:val>
          <c:extLst xmlns:c16r2="http://schemas.microsoft.com/office/drawing/2015/06/chart">
            <c:ext xmlns:c16="http://schemas.microsoft.com/office/drawing/2014/chart" uri="{C3380CC4-5D6E-409C-BE32-E72D297353CC}">
              <c16:uniqueId val="{00000000-7797-4C34-B774-8EAA862FA144}"/>
            </c:ext>
          </c:extLst>
        </c:ser>
        <c:gapWidth val="51"/>
        <c:axId val="162648448"/>
        <c:axId val="162650752"/>
      </c:barChart>
      <c:lineChart>
        <c:grouping val="standard"/>
        <c:ser>
          <c:idx val="0"/>
          <c:order val="0"/>
          <c:tx>
            <c:strRef>
              <c:f>'Mzdy a produktivita'!$C$90</c:f>
              <c:strCache>
                <c:ptCount val="1"/>
                <c:pt idx="0">
                  <c:v>Objem vyplacených mezd a platů (nominálně)</c:v>
                </c:pt>
              </c:strCache>
            </c:strRef>
          </c:tx>
          <c:spPr>
            <a:ln w="22225">
              <a:solidFill>
                <a:srgbClr val="0071BC"/>
              </a:solidFill>
              <a:prstDash val="sysDot"/>
            </a:ln>
          </c:spPr>
          <c:marker>
            <c:symbol val="none"/>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produktivita'!$C$91:$C$134</c:f>
              <c:numCache>
                <c:formatCode>0.0</c:formatCode>
                <c:ptCount val="44"/>
                <c:pt idx="0">
                  <c:v>8.8803530098498147</c:v>
                </c:pt>
                <c:pt idx="1">
                  <c:v>8.0611065809762721</c:v>
                </c:pt>
                <c:pt idx="2">
                  <c:v>8.1594400662353248</c:v>
                </c:pt>
                <c:pt idx="3">
                  <c:v>8.0049905560657777</c:v>
                </c:pt>
                <c:pt idx="4">
                  <c:v>10.395000262433754</c:v>
                </c:pt>
                <c:pt idx="5">
                  <c:v>8.5165581861097195</c:v>
                </c:pt>
                <c:pt idx="6">
                  <c:v>6.9336404713387134</c:v>
                </c:pt>
                <c:pt idx="7">
                  <c:v>4.8359821975786303</c:v>
                </c:pt>
                <c:pt idx="8">
                  <c:v>-1.3319251106258598</c:v>
                </c:pt>
                <c:pt idx="9">
                  <c:v>-3.0893044286401619</c:v>
                </c:pt>
                <c:pt idx="10">
                  <c:v>-2.2917080930602394</c:v>
                </c:pt>
                <c:pt idx="11">
                  <c:v>-1.3243999338871362</c:v>
                </c:pt>
                <c:pt idx="12">
                  <c:v>-1.6407435834776161</c:v>
                </c:pt>
                <c:pt idx="13">
                  <c:v>1.1314017547439335</c:v>
                </c:pt>
                <c:pt idx="14">
                  <c:v>2.1911303315526292</c:v>
                </c:pt>
                <c:pt idx="15">
                  <c:v>1.3170506254904808</c:v>
                </c:pt>
                <c:pt idx="16">
                  <c:v>2.8484246182271202</c:v>
                </c:pt>
                <c:pt idx="17">
                  <c:v>2.7526421800549334</c:v>
                </c:pt>
                <c:pt idx="18">
                  <c:v>1.7266043779146052</c:v>
                </c:pt>
                <c:pt idx="19">
                  <c:v>1.2855406526590849</c:v>
                </c:pt>
                <c:pt idx="20">
                  <c:v>3.4231334549116812</c:v>
                </c:pt>
                <c:pt idx="21">
                  <c:v>1.9795597124091506</c:v>
                </c:pt>
                <c:pt idx="22">
                  <c:v>1.6630395416445083</c:v>
                </c:pt>
                <c:pt idx="23">
                  <c:v>3.2388039851042167</c:v>
                </c:pt>
                <c:pt idx="24">
                  <c:v>0.16448829336816648</c:v>
                </c:pt>
                <c:pt idx="25">
                  <c:v>1.1982465936294631</c:v>
                </c:pt>
                <c:pt idx="26">
                  <c:v>1.7256983670534873</c:v>
                </c:pt>
                <c:pt idx="27">
                  <c:v>-1.0917970293985921</c:v>
                </c:pt>
                <c:pt idx="28">
                  <c:v>3.8473033733697122</c:v>
                </c:pt>
                <c:pt idx="29">
                  <c:v>3.4551427592942567</c:v>
                </c:pt>
                <c:pt idx="30">
                  <c:v>2.9445262981881086</c:v>
                </c:pt>
                <c:pt idx="31">
                  <c:v>4.2141034521547169</c:v>
                </c:pt>
                <c:pt idx="32">
                  <c:v>4.0359028043531424</c:v>
                </c:pt>
                <c:pt idx="33">
                  <c:v>4.8431887007589296</c:v>
                </c:pt>
                <c:pt idx="34">
                  <c:v>5.1616027263756052</c:v>
                </c:pt>
                <c:pt idx="35">
                  <c:v>5.1895447857431218</c:v>
                </c:pt>
                <c:pt idx="36">
                  <c:v>6.0523243795371755</c:v>
                </c:pt>
                <c:pt idx="37">
                  <c:v>5.4330761607119404</c:v>
                </c:pt>
                <c:pt idx="38">
                  <c:v>5.6586892660635826</c:v>
                </c:pt>
                <c:pt idx="39">
                  <c:v>5.7471295406184755</c:v>
                </c:pt>
                <c:pt idx="40">
                  <c:v>6.7004531942888077</c:v>
                </c:pt>
                <c:pt idx="41">
                  <c:v>8.3699121277073747</c:v>
                </c:pt>
                <c:pt idx="42">
                  <c:v>8.1819761524521919</c:v>
                </c:pt>
                <c:pt idx="43">
                  <c:v>9.5261320660764426</c:v>
                </c:pt>
              </c:numCache>
            </c:numRef>
          </c:val>
          <c:extLst xmlns:c16r2="http://schemas.microsoft.com/office/drawing/2015/06/chart">
            <c:ext xmlns:c16="http://schemas.microsoft.com/office/drawing/2014/chart" uri="{C3380CC4-5D6E-409C-BE32-E72D297353CC}">
              <c16:uniqueId val="{00000001-7797-4C34-B774-8EAA862FA144}"/>
            </c:ext>
          </c:extLst>
        </c:ser>
        <c:ser>
          <c:idx val="1"/>
          <c:order val="1"/>
          <c:tx>
            <c:strRef>
              <c:f>'Mzdy a produktivita'!$D$90</c:f>
              <c:strCache>
                <c:ptCount val="1"/>
                <c:pt idx="0">
                  <c:v>Objem vyplacených mezd a platů (reálně)</c:v>
                </c:pt>
              </c:strCache>
            </c:strRef>
          </c:tx>
          <c:spPr>
            <a:ln w="22225">
              <a:solidFill>
                <a:srgbClr val="0071BC"/>
              </a:solidFill>
              <a:prstDash val="solid"/>
            </a:ln>
          </c:spPr>
          <c:marker>
            <c:symbol val="none"/>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produktivita'!$D$91:$D$134</c:f>
              <c:numCache>
                <c:formatCode>#,##0.0</c:formatCode>
                <c:ptCount val="44"/>
                <c:pt idx="0">
                  <c:v>6.6822423590738724</c:v>
                </c:pt>
                <c:pt idx="1">
                  <c:v>5.4869603847052133</c:v>
                </c:pt>
                <c:pt idx="2">
                  <c:v>5.4114386439917324</c:v>
                </c:pt>
                <c:pt idx="3">
                  <c:v>3.430208159523946</c:v>
                </c:pt>
                <c:pt idx="4">
                  <c:v>4.4066040441991818</c:v>
                </c:pt>
                <c:pt idx="5">
                  <c:v>3.1720008130913726</c:v>
                </c:pt>
                <c:pt idx="6">
                  <c:v>1.7820694304571558</c:v>
                </c:pt>
                <c:pt idx="7">
                  <c:v>1.5073983694903739</c:v>
                </c:pt>
                <c:pt idx="8">
                  <c:v>-3.0275843351882799</c:v>
                </c:pt>
                <c:pt idx="9">
                  <c:v>-4.2613563966589805</c:v>
                </c:pt>
                <c:pt idx="10">
                  <c:v>-2.3479445442104092</c:v>
                </c:pt>
                <c:pt idx="11">
                  <c:v>-1.7921804008888869</c:v>
                </c:pt>
                <c:pt idx="12">
                  <c:v>-1.0268859168768985</c:v>
                </c:pt>
                <c:pt idx="13">
                  <c:v>0.98726773012953117</c:v>
                </c:pt>
                <c:pt idx="14">
                  <c:v>1.2456155283742163</c:v>
                </c:pt>
                <c:pt idx="15">
                  <c:v>1.1930485152063916E-2</c:v>
                </c:pt>
                <c:pt idx="16">
                  <c:v>1.1143409784457325</c:v>
                </c:pt>
                <c:pt idx="17">
                  <c:v>0.91232499227259045</c:v>
                </c:pt>
                <c:pt idx="18">
                  <c:v>6.7106080198215123E-2</c:v>
                </c:pt>
                <c:pt idx="19">
                  <c:v>-0.57822053920969563</c:v>
                </c:pt>
                <c:pt idx="20">
                  <c:v>0.69995446854495924</c:v>
                </c:pt>
                <c:pt idx="21">
                  <c:v>-0.23192219608451126</c:v>
                </c:pt>
                <c:pt idx="22">
                  <c:v>-0.4739216633974091</c:v>
                </c:pt>
                <c:pt idx="23">
                  <c:v>1.3359876679448774</c:v>
                </c:pt>
                <c:pt idx="24">
                  <c:v>-0.82142500744606661</c:v>
                </c:pt>
                <c:pt idx="25">
                  <c:v>0.24333633434729218</c:v>
                </c:pt>
                <c:pt idx="26">
                  <c:v>0.91821494232728151</c:v>
                </c:pt>
                <c:pt idx="27">
                  <c:v>-1.7952866708239978</c:v>
                </c:pt>
                <c:pt idx="28">
                  <c:v>3.3606651611940777</c:v>
                </c:pt>
                <c:pt idx="29">
                  <c:v>2.9192137628583912</c:v>
                </c:pt>
                <c:pt idx="30">
                  <c:v>2.0856371015448607</c:v>
                </c:pt>
                <c:pt idx="31">
                  <c:v>3.5997693463677511</c:v>
                </c:pt>
                <c:pt idx="32">
                  <c:v>3.9076300287547392</c:v>
                </c:pt>
                <c:pt idx="33">
                  <c:v>4.3078224221934684</c:v>
                </c:pt>
                <c:pt idx="34">
                  <c:v>5.1916660151557634</c:v>
                </c:pt>
                <c:pt idx="35">
                  <c:v>5.171379894558199</c:v>
                </c:pt>
                <c:pt idx="36">
                  <c:v>5.9583662867217981</c:v>
                </c:pt>
                <c:pt idx="37">
                  <c:v>5.4199903485808694</c:v>
                </c:pt>
                <c:pt idx="38">
                  <c:v>4.8999581012189566</c:v>
                </c:pt>
                <c:pt idx="39">
                  <c:v>4.4012056651944524</c:v>
                </c:pt>
                <c:pt idx="40">
                  <c:v>4.2135207127115137</c:v>
                </c:pt>
                <c:pt idx="41">
                  <c:v>6.0170589216941863</c:v>
                </c:pt>
                <c:pt idx="42">
                  <c:v>5.7771516212248804</c:v>
                </c:pt>
                <c:pt idx="43">
                  <c:v>6.7933851863724612</c:v>
                </c:pt>
              </c:numCache>
            </c:numRef>
          </c:val>
          <c:extLst xmlns:c16r2="http://schemas.microsoft.com/office/drawing/2015/06/chart">
            <c:ext xmlns:c16="http://schemas.microsoft.com/office/drawing/2014/chart" uri="{C3380CC4-5D6E-409C-BE32-E72D297353CC}">
              <c16:uniqueId val="{00000002-7797-4C34-B774-8EAA862FA144}"/>
            </c:ext>
          </c:extLst>
        </c:ser>
        <c:ser>
          <c:idx val="3"/>
          <c:order val="3"/>
          <c:tx>
            <c:strRef>
              <c:f>'Mzdy a produktivita'!$F$90</c:f>
              <c:strCache>
                <c:ptCount val="1"/>
                <c:pt idx="0">
                  <c:v>Produktivita práce (nominálně)*</c:v>
                </c:pt>
              </c:strCache>
            </c:strRef>
          </c:tx>
          <c:spPr>
            <a:ln w="22225">
              <a:noFill/>
            </a:ln>
          </c:spPr>
          <c:marker>
            <c:symbol val="diamond"/>
            <c:size val="4"/>
            <c:spPr>
              <a:solidFill>
                <a:srgbClr val="FFFF00"/>
              </a:solidFill>
              <a:ln>
                <a:solidFill>
                  <a:schemeClr val="bg1">
                    <a:lumMod val="50000"/>
                  </a:schemeClr>
                </a:solidFill>
              </a:ln>
            </c:spPr>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produktivita'!$F$91:$F$134</c:f>
              <c:numCache>
                <c:formatCode>0.0</c:formatCode>
                <c:ptCount val="44"/>
                <c:pt idx="0">
                  <c:v>8.4956516069712364</c:v>
                </c:pt>
                <c:pt idx="1">
                  <c:v>6.9434402333897935</c:v>
                </c:pt>
                <c:pt idx="2">
                  <c:v>6.7461025071596623</c:v>
                </c:pt>
                <c:pt idx="3">
                  <c:v>6.3019257610523454</c:v>
                </c:pt>
                <c:pt idx="4">
                  <c:v>2.8063586650430761</c:v>
                </c:pt>
                <c:pt idx="5">
                  <c:v>4.7816448877113924</c:v>
                </c:pt>
                <c:pt idx="6">
                  <c:v>4.0648906158599205</c:v>
                </c:pt>
                <c:pt idx="7">
                  <c:v>-1.1488063230936241</c:v>
                </c:pt>
                <c:pt idx="8">
                  <c:v>0.30656288655466141</c:v>
                </c:pt>
                <c:pt idx="9">
                  <c:v>-1.8234213877982426</c:v>
                </c:pt>
                <c:pt idx="10">
                  <c:v>-2.6646686351464837</c:v>
                </c:pt>
                <c:pt idx="11">
                  <c:v>2.2907081676093672</c:v>
                </c:pt>
                <c:pt idx="12">
                  <c:v>1.2317469791325806</c:v>
                </c:pt>
                <c:pt idx="13">
                  <c:v>3.3518502052260377</c:v>
                </c:pt>
                <c:pt idx="14">
                  <c:v>1.8996267146356158</c:v>
                </c:pt>
                <c:pt idx="15">
                  <c:v>0.84387803019754748</c:v>
                </c:pt>
                <c:pt idx="16">
                  <c:v>1.8310133185012205</c:v>
                </c:pt>
                <c:pt idx="17">
                  <c:v>1.2964413283224439</c:v>
                </c:pt>
                <c:pt idx="18">
                  <c:v>2.1573742418612398</c:v>
                </c:pt>
                <c:pt idx="19">
                  <c:v>3.0199821271076104</c:v>
                </c:pt>
                <c:pt idx="20">
                  <c:v>2.3633323320347159</c:v>
                </c:pt>
                <c:pt idx="21">
                  <c:v>0.43933049723523487</c:v>
                </c:pt>
                <c:pt idx="22">
                  <c:v>-0.6158937924863358</c:v>
                </c:pt>
                <c:pt idx="23">
                  <c:v>-1.0810464112920499</c:v>
                </c:pt>
                <c:pt idx="24">
                  <c:v>-1.5327807802749476</c:v>
                </c:pt>
                <c:pt idx="25">
                  <c:v>-0.70062858949981688</c:v>
                </c:pt>
                <c:pt idx="26">
                  <c:v>1.6617179847613481</c:v>
                </c:pt>
                <c:pt idx="27">
                  <c:v>2.8522333487817235</c:v>
                </c:pt>
                <c:pt idx="28">
                  <c:v>3.9010231953977126</c:v>
                </c:pt>
                <c:pt idx="29">
                  <c:v>5.4815294023794001</c:v>
                </c:pt>
                <c:pt idx="30">
                  <c:v>5.9469442046384975</c:v>
                </c:pt>
                <c:pt idx="31">
                  <c:v>3.4050967922386093</c:v>
                </c:pt>
                <c:pt idx="32">
                  <c:v>5.4455456963092095</c:v>
                </c:pt>
                <c:pt idx="33">
                  <c:v>5.4936668933391282</c:v>
                </c:pt>
                <c:pt idx="34">
                  <c:v>4.7962291610104399</c:v>
                </c:pt>
                <c:pt idx="35">
                  <c:v>4.4822959886302982</c:v>
                </c:pt>
                <c:pt idx="36">
                  <c:v>3.0160350625013876</c:v>
                </c:pt>
                <c:pt idx="37">
                  <c:v>3.2419993140823622</c:v>
                </c:pt>
                <c:pt idx="38">
                  <c:v>1.3394077784166143</c:v>
                </c:pt>
                <c:pt idx="39">
                  <c:v>1.0328534115615524</c:v>
                </c:pt>
                <c:pt idx="40">
                  <c:v>2.8318877060545589</c:v>
                </c:pt>
                <c:pt idx="41">
                  <c:v>3.3468552602249133</c:v>
                </c:pt>
                <c:pt idx="42">
                  <c:v>4.5042882664808754</c:v>
                </c:pt>
                <c:pt idx="43">
                  <c:v>5.9358236171557905</c:v>
                </c:pt>
              </c:numCache>
            </c:numRef>
          </c:val>
          <c:extLst xmlns:c16r2="http://schemas.microsoft.com/office/drawing/2015/06/chart">
            <c:ext xmlns:c16="http://schemas.microsoft.com/office/drawing/2014/chart" uri="{C3380CC4-5D6E-409C-BE32-E72D297353CC}">
              <c16:uniqueId val="{00000003-7797-4C34-B774-8EAA862FA144}"/>
            </c:ext>
          </c:extLst>
        </c:ser>
        <c:marker val="1"/>
        <c:axId val="162648448"/>
        <c:axId val="162650752"/>
      </c:lineChart>
      <c:catAx>
        <c:axId val="162648448"/>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62650752"/>
        <c:crossesAt val="0"/>
        <c:auto val="1"/>
        <c:lblAlgn val="ctr"/>
        <c:lblOffset val="0"/>
      </c:catAx>
      <c:valAx>
        <c:axId val="162650752"/>
        <c:scaling>
          <c:orientation val="minMax"/>
          <c:max val="11"/>
          <c:min val="-5"/>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62648448"/>
        <c:crosses val="autoZero"/>
        <c:crossBetween val="between"/>
        <c:majorUnit val="1"/>
      </c:valAx>
      <c:spPr>
        <a:ln>
          <a:solidFill>
            <a:sysClr val="windowText" lastClr="000000"/>
          </a:solidFill>
        </a:ln>
      </c:spPr>
    </c:plotArea>
    <c:legend>
      <c:legendPos val="r"/>
      <c:layout>
        <c:manualLayout>
          <c:xMode val="edge"/>
          <c:yMode val="edge"/>
          <c:x val="4.7906432638921727E-2"/>
          <c:y val="0.88075552074315322"/>
          <c:w val="0.928057385391311"/>
          <c:h val="0.1122636764645263"/>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8.6942257217847679E-2"/>
          <c:y val="1.6259877329657561E-2"/>
          <c:w val="0.84118730830360999"/>
          <c:h val="0.82953280542833252"/>
        </c:manualLayout>
      </c:layout>
      <c:barChart>
        <c:barDir val="col"/>
        <c:grouping val="clustered"/>
        <c:ser>
          <c:idx val="0"/>
          <c:order val="0"/>
          <c:tx>
            <c:strRef>
              <c:f>'Pohlaví a věk'!$C$238</c:f>
              <c:strCache>
                <c:ptCount val="1"/>
                <c:pt idx="0">
                  <c:v>Průměrná mzda mužů (rok 2017)</c:v>
                </c:pt>
              </c:strCache>
            </c:strRef>
          </c:tx>
          <c:spPr>
            <a:solidFill>
              <a:srgbClr val="A6CDE8"/>
            </a:solidFill>
          </c:spP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věk'!$C$239:$C$249</c:f>
              <c:numCache>
                <c:formatCode>#,##0</c:formatCode>
                <c:ptCount val="11"/>
                <c:pt idx="0">
                  <c:v>20743</c:v>
                </c:pt>
                <c:pt idx="1">
                  <c:v>24252</c:v>
                </c:pt>
                <c:pt idx="2">
                  <c:v>29339</c:v>
                </c:pt>
                <c:pt idx="3">
                  <c:v>33833</c:v>
                </c:pt>
                <c:pt idx="4">
                  <c:v>37283</c:v>
                </c:pt>
                <c:pt idx="5">
                  <c:v>38379</c:v>
                </c:pt>
                <c:pt idx="6">
                  <c:v>36994</c:v>
                </c:pt>
                <c:pt idx="7">
                  <c:v>35015</c:v>
                </c:pt>
                <c:pt idx="8">
                  <c:v>32937</c:v>
                </c:pt>
                <c:pt idx="9">
                  <c:v>32502</c:v>
                </c:pt>
                <c:pt idx="10">
                  <c:v>34306</c:v>
                </c:pt>
              </c:numCache>
            </c:numRef>
          </c:val>
          <c:extLst xmlns:c16r2="http://schemas.microsoft.com/office/drawing/2015/06/chart">
            <c:ext xmlns:c16="http://schemas.microsoft.com/office/drawing/2014/chart" uri="{C3380CC4-5D6E-409C-BE32-E72D297353CC}">
              <c16:uniqueId val="{00000000-E454-4A3A-9A9F-7E5F2E832274}"/>
            </c:ext>
          </c:extLst>
        </c:ser>
        <c:ser>
          <c:idx val="1"/>
          <c:order val="1"/>
          <c:tx>
            <c:strRef>
              <c:f>'Pohlaví a věk'!$D$238</c:f>
              <c:strCache>
                <c:ptCount val="1"/>
                <c:pt idx="0">
                  <c:v>Průměrná mzda žen (rok 2017)</c:v>
                </c:pt>
              </c:strCache>
            </c:strRef>
          </c:tx>
          <c:spPr>
            <a:solidFill>
              <a:srgbClr val="E8AFB2"/>
            </a:solidFill>
          </c:spP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věk'!$D$239:$D$249</c:f>
              <c:numCache>
                <c:formatCode>#,##0</c:formatCode>
                <c:ptCount val="11"/>
                <c:pt idx="0">
                  <c:v>18896</c:v>
                </c:pt>
                <c:pt idx="1">
                  <c:v>21352</c:v>
                </c:pt>
                <c:pt idx="2">
                  <c:v>26089</c:v>
                </c:pt>
                <c:pt idx="3">
                  <c:v>28447</c:v>
                </c:pt>
                <c:pt idx="4">
                  <c:v>27791</c:v>
                </c:pt>
                <c:pt idx="5">
                  <c:v>27544</c:v>
                </c:pt>
                <c:pt idx="6">
                  <c:v>27249</c:v>
                </c:pt>
                <c:pt idx="7">
                  <c:v>27472</c:v>
                </c:pt>
                <c:pt idx="8">
                  <c:v>26992</c:v>
                </c:pt>
                <c:pt idx="9">
                  <c:v>29776</c:v>
                </c:pt>
                <c:pt idx="10">
                  <c:v>27359</c:v>
                </c:pt>
              </c:numCache>
            </c:numRef>
          </c:val>
          <c:extLst xmlns:c16r2="http://schemas.microsoft.com/office/drawing/2015/06/chart">
            <c:ext xmlns:c16="http://schemas.microsoft.com/office/drawing/2014/chart" uri="{C3380CC4-5D6E-409C-BE32-E72D297353CC}">
              <c16:uniqueId val="{00000001-E454-4A3A-9A9F-7E5F2E832274}"/>
            </c:ext>
          </c:extLst>
        </c:ser>
        <c:axId val="164305536"/>
        <c:axId val="164356864"/>
      </c:barChart>
      <c:lineChart>
        <c:grouping val="standard"/>
        <c:ser>
          <c:idx val="2"/>
          <c:order val="2"/>
          <c:tx>
            <c:strRef>
              <c:f>'Pohlaví a věk'!$E$238</c:f>
              <c:strCache>
                <c:ptCount val="1"/>
                <c:pt idx="0">
                  <c:v>Prům. mzda mužů (2017/2012, pravá osa)</c:v>
                </c:pt>
              </c:strCache>
            </c:strRef>
          </c:tx>
          <c:spPr>
            <a:ln>
              <a:noFill/>
            </a:ln>
          </c:spPr>
          <c:marker>
            <c:symbol val="diamond"/>
            <c:size val="7"/>
            <c:spPr>
              <a:solidFill>
                <a:srgbClr val="0071BC"/>
              </a:solidFill>
              <a:ln>
                <a:noFill/>
              </a:ln>
            </c:spPr>
          </c:marke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věk'!$E$239:$E$249</c:f>
              <c:numCache>
                <c:formatCode>0.00</c:formatCode>
                <c:ptCount val="11"/>
                <c:pt idx="0">
                  <c:v>1.2728890525282277</c:v>
                </c:pt>
                <c:pt idx="1">
                  <c:v>1.2704699041332705</c:v>
                </c:pt>
                <c:pt idx="2">
                  <c:v>1.212205098541504</c:v>
                </c:pt>
                <c:pt idx="3">
                  <c:v>1.1488675337023393</c:v>
                </c:pt>
                <c:pt idx="4">
                  <c:v>1.1690026024519486</c:v>
                </c:pt>
                <c:pt idx="5">
                  <c:v>1.2041981738884879</c:v>
                </c:pt>
                <c:pt idx="6">
                  <c:v>1.1874558644154916</c:v>
                </c:pt>
                <c:pt idx="7">
                  <c:v>1.2053356282271861</c:v>
                </c:pt>
                <c:pt idx="8">
                  <c:v>1.1793118264169924</c:v>
                </c:pt>
                <c:pt idx="9">
                  <c:v>1.1268592032728912</c:v>
                </c:pt>
                <c:pt idx="10">
                  <c:v>1.1350206782464838</c:v>
                </c:pt>
              </c:numCache>
            </c:numRef>
          </c:val>
          <c:extLst xmlns:c16r2="http://schemas.microsoft.com/office/drawing/2015/06/chart">
            <c:ext xmlns:c16="http://schemas.microsoft.com/office/drawing/2014/chart" uri="{C3380CC4-5D6E-409C-BE32-E72D297353CC}">
              <c16:uniqueId val="{00000002-E454-4A3A-9A9F-7E5F2E832274}"/>
            </c:ext>
          </c:extLst>
        </c:ser>
        <c:ser>
          <c:idx val="3"/>
          <c:order val="3"/>
          <c:tx>
            <c:strRef>
              <c:f>'Pohlaví a věk'!$F$238</c:f>
              <c:strCache>
                <c:ptCount val="1"/>
                <c:pt idx="0">
                  <c:v>Prům. mzda žen (2017/2012, pravá osa)</c:v>
                </c:pt>
              </c:strCache>
            </c:strRef>
          </c:tx>
          <c:spPr>
            <a:ln>
              <a:noFill/>
            </a:ln>
          </c:spPr>
          <c:marker>
            <c:symbol val="triangle"/>
            <c:size val="7"/>
            <c:spPr>
              <a:solidFill>
                <a:srgbClr val="BD1B21"/>
              </a:solidFill>
              <a:ln>
                <a:noFill/>
              </a:ln>
            </c:spPr>
          </c:marke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věk'!$F$239:$F$249</c:f>
              <c:numCache>
                <c:formatCode>0.00</c:formatCode>
                <c:ptCount val="11"/>
                <c:pt idx="0">
                  <c:v>1.3425222024866779</c:v>
                </c:pt>
                <c:pt idx="1">
                  <c:v>1.2512159390565567</c:v>
                </c:pt>
                <c:pt idx="2">
                  <c:v>1.155096077215968</c:v>
                </c:pt>
                <c:pt idx="3">
                  <c:v>1.1789059262329131</c:v>
                </c:pt>
                <c:pt idx="4">
                  <c:v>1.2480801185611001</c:v>
                </c:pt>
                <c:pt idx="5">
                  <c:v>1.2360437982408898</c:v>
                </c:pt>
                <c:pt idx="6">
                  <c:v>1.2037904223361018</c:v>
                </c:pt>
                <c:pt idx="7">
                  <c:v>1.21000704721635</c:v>
                </c:pt>
                <c:pt idx="8">
                  <c:v>1.1859402460456938</c:v>
                </c:pt>
                <c:pt idx="9">
                  <c:v>1.16658830904247</c:v>
                </c:pt>
                <c:pt idx="10">
                  <c:v>1.2339437127908992</c:v>
                </c:pt>
              </c:numCache>
            </c:numRef>
          </c:val>
          <c:extLst xmlns:c16r2="http://schemas.microsoft.com/office/drawing/2015/06/chart">
            <c:ext xmlns:c16="http://schemas.microsoft.com/office/drawing/2014/chart" uri="{C3380CC4-5D6E-409C-BE32-E72D297353CC}">
              <c16:uniqueId val="{00000003-E454-4A3A-9A9F-7E5F2E832274}"/>
            </c:ext>
          </c:extLst>
        </c:ser>
        <c:marker val="1"/>
        <c:axId val="164417536"/>
        <c:axId val="164358400"/>
      </c:lineChart>
      <c:catAx>
        <c:axId val="164305536"/>
        <c:scaling>
          <c:orientation val="minMax"/>
        </c:scaling>
        <c:axPos val="b"/>
        <c:numFmt formatCode="General" sourceLinked="1"/>
        <c:tickLblPos val="nextTo"/>
        <c:txPr>
          <a:bodyPr/>
          <a:lstStyle/>
          <a:p>
            <a:pPr>
              <a:defRPr>
                <a:latin typeface="Arial" pitchFamily="34" charset="0"/>
                <a:cs typeface="Arial" pitchFamily="34" charset="0"/>
              </a:defRPr>
            </a:pPr>
            <a:endParaRPr lang="cs-CZ"/>
          </a:p>
        </c:txPr>
        <c:crossAx val="164356864"/>
        <c:crosses val="autoZero"/>
        <c:auto val="1"/>
        <c:lblAlgn val="ctr"/>
        <c:lblOffset val="0"/>
      </c:catAx>
      <c:valAx>
        <c:axId val="164356864"/>
        <c:scaling>
          <c:orientation val="minMax"/>
        </c:scaling>
        <c:axPos val="l"/>
        <c:majorGridlines>
          <c:spPr>
            <a:ln w="6350">
              <a:solidFill>
                <a:srgbClr val="BFBFBF"/>
              </a:solidFill>
            </a:ln>
          </c:spPr>
        </c:majorGridlines>
        <c:numFmt formatCode="#,##0" sourceLinked="1"/>
        <c:tickLblPos val="nextTo"/>
        <c:txPr>
          <a:bodyPr/>
          <a:lstStyle/>
          <a:p>
            <a:pPr>
              <a:defRPr>
                <a:latin typeface="Arial" pitchFamily="34" charset="0"/>
                <a:cs typeface="Arial" pitchFamily="34" charset="0"/>
              </a:defRPr>
            </a:pPr>
            <a:endParaRPr lang="cs-CZ"/>
          </a:p>
        </c:txPr>
        <c:crossAx val="164305536"/>
        <c:crosses val="autoZero"/>
        <c:crossBetween val="between"/>
      </c:valAx>
      <c:valAx>
        <c:axId val="164358400"/>
        <c:scaling>
          <c:orientation val="minMax"/>
          <c:max val="1.35"/>
          <c:min val="1"/>
        </c:scaling>
        <c:axPos val="r"/>
        <c:numFmt formatCode="0.00" sourceLinked="1"/>
        <c:tickLblPos val="nextTo"/>
        <c:txPr>
          <a:bodyPr/>
          <a:lstStyle/>
          <a:p>
            <a:pPr>
              <a:defRPr>
                <a:latin typeface="Arial" pitchFamily="34" charset="0"/>
                <a:cs typeface="Arial" pitchFamily="34" charset="0"/>
              </a:defRPr>
            </a:pPr>
            <a:endParaRPr lang="cs-CZ"/>
          </a:p>
        </c:txPr>
        <c:crossAx val="164417536"/>
        <c:crosses val="max"/>
        <c:crossBetween val="between"/>
      </c:valAx>
      <c:catAx>
        <c:axId val="164417536"/>
        <c:scaling>
          <c:orientation val="minMax"/>
        </c:scaling>
        <c:delete val="1"/>
        <c:axPos val="b"/>
        <c:numFmt formatCode="General" sourceLinked="1"/>
        <c:tickLblPos val="none"/>
        <c:crossAx val="164358400"/>
        <c:crosses val="autoZero"/>
        <c:auto val="1"/>
        <c:lblAlgn val="ctr"/>
        <c:lblOffset val="100"/>
      </c:catAx>
      <c:spPr>
        <a:ln>
          <a:solidFill>
            <a:sysClr val="windowText" lastClr="000000"/>
          </a:solidFill>
        </a:ln>
      </c:spPr>
    </c:plotArea>
    <c:legend>
      <c:legendPos val="r"/>
      <c:layout>
        <c:manualLayout>
          <c:xMode val="edge"/>
          <c:yMode val="edge"/>
          <c:x val="8.2020324900936206E-2"/>
          <c:y val="0.89530124837032232"/>
          <c:w val="0.87389271912525313"/>
          <c:h val="9.4382536624593949E-2"/>
        </c:manualLayout>
      </c:layout>
      <c:spPr>
        <a:ln>
          <a:solidFill>
            <a:schemeClr val="tx1">
              <a:lumMod val="95000"/>
              <a:lumOff val="5000"/>
            </a:schemeClr>
          </a:solidFill>
        </a:ln>
      </c:spPr>
      <c:txPr>
        <a:bodyPr/>
        <a:lstStyle/>
        <a:p>
          <a:pPr>
            <a:defRPr>
              <a:latin typeface="Arial" pitchFamily="34" charset="0"/>
              <a:cs typeface="Arial" pitchFamily="34" charset="0"/>
            </a:defRPr>
          </a:pPr>
          <a:endParaRPr lang="cs-CZ"/>
        </a:p>
      </c:txPr>
    </c:legend>
    <c:plotVisOnly val="1"/>
    <c:dispBlanksAs val="gap"/>
  </c:chart>
  <c:spPr>
    <a:ln>
      <a:noFill/>
    </a:ln>
  </c:spPr>
  <c:txPr>
    <a:bodyPr/>
    <a:lstStyle/>
    <a:p>
      <a:pPr>
        <a:defRPr sz="800"/>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6145390381095747E-2"/>
          <c:y val="1.4829626761507265E-2"/>
          <c:w val="0.89926664048735505"/>
          <c:h val="0.70775056421031568"/>
        </c:manualLayout>
      </c:layout>
      <c:barChart>
        <c:barDir val="col"/>
        <c:grouping val="clustered"/>
        <c:ser>
          <c:idx val="6"/>
          <c:order val="6"/>
          <c:tx>
            <c:strRef>
              <c:f>'odvětví a vzdělání'!$K$342</c:f>
              <c:strCache>
                <c:ptCount val="1"/>
                <c:pt idx="0">
                  <c:v>2017</c:v>
                </c:pt>
              </c:strCache>
            </c:strRef>
          </c:tx>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vzdělání'!$K$343:$K$362</c:f>
              <c:numCache>
                <c:formatCode>0.00</c:formatCode>
                <c:ptCount val="20"/>
                <c:pt idx="0">
                  <c:v>1.5666030800725816</c:v>
                </c:pt>
                <c:pt idx="1">
                  <c:v>2.1181676037126986</c:v>
                </c:pt>
                <c:pt idx="2">
                  <c:v>2.2725742208352155</c:v>
                </c:pt>
                <c:pt idx="3">
                  <c:v>3.4358723623262977</c:v>
                </c:pt>
                <c:pt idx="4">
                  <c:v>2.3687252069151281</c:v>
                </c:pt>
                <c:pt idx="5">
                  <c:v>2.2036602773246412</c:v>
                </c:pt>
                <c:pt idx="6">
                  <c:v>2.5489151873767253</c:v>
                </c:pt>
                <c:pt idx="7">
                  <c:v>2.2185277158129768</c:v>
                </c:pt>
                <c:pt idx="8">
                  <c:v>2.0224480607190971</c:v>
                </c:pt>
                <c:pt idx="11">
                  <c:v>2.0533191856223891</c:v>
                </c:pt>
                <c:pt idx="13">
                  <c:v>1.8603351955307261</c:v>
                </c:pt>
                <c:pt idx="14">
                  <c:v>2.8965494620834367</c:v>
                </c:pt>
                <c:pt idx="15">
                  <c:v>2.3749431707475477</c:v>
                </c:pt>
                <c:pt idx="16">
                  <c:v>2.7110186041730762</c:v>
                </c:pt>
                <c:pt idx="17">
                  <c:v>1.842483660130724</c:v>
                </c:pt>
                <c:pt idx="18">
                  <c:v>1.8963346472906926</c:v>
                </c:pt>
                <c:pt idx="19">
                  <c:v>2.2736852008655601</c:v>
                </c:pt>
              </c:numCache>
            </c:numRef>
          </c:val>
          <c:extLst xmlns:c16r2="http://schemas.microsoft.com/office/drawing/2015/06/chart">
            <c:ext xmlns:c16="http://schemas.microsoft.com/office/drawing/2014/chart" uri="{C3380CC4-5D6E-409C-BE32-E72D297353CC}">
              <c16:uniqueId val="{00000000-FF17-4EB2-84EB-BF123D623BB2}"/>
            </c:ext>
          </c:extLst>
        </c:ser>
        <c:ser>
          <c:idx val="7"/>
          <c:order val="7"/>
          <c:tx>
            <c:strRef>
              <c:f>'odvětví a vzdělání'!$L$342</c:f>
              <c:strCache>
                <c:ptCount val="1"/>
                <c:pt idx="0">
                  <c:v>2012</c:v>
                </c:pt>
              </c:strCache>
            </c:strRef>
          </c:tx>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vzdělání'!$L$343:$L$362</c:f>
              <c:numCache>
                <c:formatCode>0.00</c:formatCode>
                <c:ptCount val="20"/>
                <c:pt idx="0">
                  <c:v>1.812569036683914</c:v>
                </c:pt>
                <c:pt idx="1">
                  <c:v>2.3231997806491416</c:v>
                </c:pt>
                <c:pt idx="2">
                  <c:v>2.6448524383186784</c:v>
                </c:pt>
                <c:pt idx="3">
                  <c:v>3.47429211949899</c:v>
                </c:pt>
                <c:pt idx="4">
                  <c:v>2.6405887382435602</c:v>
                </c:pt>
                <c:pt idx="5">
                  <c:v>2.5266859743483567</c:v>
                </c:pt>
                <c:pt idx="6">
                  <c:v>3.0399949373497024</c:v>
                </c:pt>
                <c:pt idx="7">
                  <c:v>2.5808796222611279</c:v>
                </c:pt>
                <c:pt idx="8">
                  <c:v>2.4031830238726792</c:v>
                </c:pt>
                <c:pt idx="10">
                  <c:v>3.1894102453723829</c:v>
                </c:pt>
                <c:pt idx="11">
                  <c:v>2.3491052716427552</c:v>
                </c:pt>
                <c:pt idx="12">
                  <c:v>2.2138187143679082</c:v>
                </c:pt>
                <c:pt idx="13">
                  <c:v>2.5096591801476364</c:v>
                </c:pt>
                <c:pt idx="14">
                  <c:v>2.6191873258031393</c:v>
                </c:pt>
                <c:pt idx="15">
                  <c:v>2.4751271455816912</c:v>
                </c:pt>
                <c:pt idx="16">
                  <c:v>3.0300941270051704</c:v>
                </c:pt>
                <c:pt idx="17">
                  <c:v>1.7970665059272655</c:v>
                </c:pt>
                <c:pt idx="18">
                  <c:v>1.9313774241670878</c:v>
                </c:pt>
                <c:pt idx="19">
                  <c:v>2.5631269662254543</c:v>
                </c:pt>
              </c:numCache>
            </c:numRef>
          </c:val>
          <c:extLst xmlns:c16r2="http://schemas.microsoft.com/office/drawing/2015/06/chart">
            <c:ext xmlns:c16="http://schemas.microsoft.com/office/drawing/2014/chart" uri="{C3380CC4-5D6E-409C-BE32-E72D297353CC}">
              <c16:uniqueId val="{00000001-FF17-4EB2-84EB-BF123D623BB2}"/>
            </c:ext>
          </c:extLst>
        </c:ser>
        <c:axId val="164837248"/>
        <c:axId val="164835712"/>
      </c:barChart>
      <c:lineChart>
        <c:grouping val="standard"/>
        <c:ser>
          <c:idx val="0"/>
          <c:order val="0"/>
          <c:tx>
            <c:strRef>
              <c:f>'odvětví a vzdělání'!$E$342</c:f>
              <c:strCache>
                <c:ptCount val="1"/>
                <c:pt idx="0">
                  <c:v>Celkem</c:v>
                </c:pt>
              </c:strCache>
            </c:strRef>
          </c:tx>
          <c:spPr>
            <a:ln>
              <a:noFill/>
            </a:ln>
          </c:spPr>
          <c:marker>
            <c:symbol val="dash"/>
            <c:size val="7"/>
            <c:spPr>
              <a:solidFill>
                <a:schemeClr val="tx1">
                  <a:lumMod val="95000"/>
                  <a:lumOff val="5000"/>
                </a:schemeClr>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vzdělání'!$E$343:$E$362</c:f>
              <c:numCache>
                <c:formatCode>#,##0.0</c:formatCode>
                <c:ptCount val="20"/>
                <c:pt idx="0">
                  <c:v>25.076000000000001</c:v>
                </c:pt>
                <c:pt idx="1">
                  <c:v>35.499000000000002</c:v>
                </c:pt>
                <c:pt idx="2">
                  <c:v>31.517000000000031</c:v>
                </c:pt>
                <c:pt idx="3">
                  <c:v>44.498000000000012</c:v>
                </c:pt>
                <c:pt idx="4">
                  <c:v>28.342000000000002</c:v>
                </c:pt>
                <c:pt idx="5">
                  <c:v>27.441999999999986</c:v>
                </c:pt>
                <c:pt idx="6">
                  <c:v>28.919</c:v>
                </c:pt>
                <c:pt idx="7">
                  <c:v>28.868000000000002</c:v>
                </c:pt>
                <c:pt idx="8">
                  <c:v>18.315000000000001</c:v>
                </c:pt>
                <c:pt idx="9">
                  <c:v>53.663000000000011</c:v>
                </c:pt>
                <c:pt idx="10">
                  <c:v>53.672000000000011</c:v>
                </c:pt>
                <c:pt idx="11">
                  <c:v>26.708999999999989</c:v>
                </c:pt>
                <c:pt idx="12">
                  <c:v>36.893000000000001</c:v>
                </c:pt>
                <c:pt idx="13">
                  <c:v>21.424999999999986</c:v>
                </c:pt>
                <c:pt idx="14">
                  <c:v>34.408000000000001</c:v>
                </c:pt>
                <c:pt idx="15">
                  <c:v>30.035000000000004</c:v>
                </c:pt>
                <c:pt idx="16">
                  <c:v>31.706</c:v>
                </c:pt>
                <c:pt idx="17">
                  <c:v>26.381</c:v>
                </c:pt>
                <c:pt idx="18">
                  <c:v>24.067999999999987</c:v>
                </c:pt>
                <c:pt idx="19">
                  <c:v>31.108999999999988</c:v>
                </c:pt>
              </c:numCache>
            </c:numRef>
          </c:val>
          <c:extLst xmlns:c16r2="http://schemas.microsoft.com/office/drawing/2015/06/chart">
            <c:ext xmlns:c16="http://schemas.microsoft.com/office/drawing/2014/chart" uri="{C3380CC4-5D6E-409C-BE32-E72D297353CC}">
              <c16:uniqueId val="{00000002-FF17-4EB2-84EB-BF123D623BB2}"/>
            </c:ext>
          </c:extLst>
        </c:ser>
        <c:ser>
          <c:idx val="1"/>
          <c:order val="1"/>
          <c:tx>
            <c:strRef>
              <c:f>'odvětví a vzdělání'!$F$342</c:f>
              <c:strCache>
                <c:ptCount val="1"/>
                <c:pt idx="0">
                  <c:v>ZŠ</c:v>
                </c:pt>
              </c:strCache>
            </c:strRef>
          </c:tx>
          <c:spPr>
            <a:ln>
              <a:noFill/>
            </a:ln>
          </c:spPr>
          <c:marker>
            <c:symbol val="diamond"/>
            <c:size val="5"/>
            <c:spPr>
              <a:solidFill>
                <a:srgbClr val="7030A0"/>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vzdělání'!$F$343:$F$362</c:f>
              <c:numCache>
                <c:formatCode>#,##0.0</c:formatCode>
                <c:ptCount val="20"/>
                <c:pt idx="0">
                  <c:v>21.493000000000002</c:v>
                </c:pt>
                <c:pt idx="1">
                  <c:v>30.058999999999987</c:v>
                </c:pt>
                <c:pt idx="2">
                  <c:v>24.353000000000005</c:v>
                </c:pt>
                <c:pt idx="3">
                  <c:v>19.43</c:v>
                </c:pt>
                <c:pt idx="4">
                  <c:v>20.419</c:v>
                </c:pt>
                <c:pt idx="5">
                  <c:v>19.616000000000035</c:v>
                </c:pt>
                <c:pt idx="6">
                  <c:v>20.279999999999987</c:v>
                </c:pt>
                <c:pt idx="7">
                  <c:v>23.759</c:v>
                </c:pt>
                <c:pt idx="8">
                  <c:v>15.547000000000001</c:v>
                </c:pt>
                <c:pt idx="11">
                  <c:v>15.079000000000002</c:v>
                </c:pt>
                <c:pt idx="13">
                  <c:v>17.721</c:v>
                </c:pt>
                <c:pt idx="14">
                  <c:v>15.243999999999998</c:v>
                </c:pt>
                <c:pt idx="15">
                  <c:v>15.397</c:v>
                </c:pt>
                <c:pt idx="16">
                  <c:v>19.458000000000002</c:v>
                </c:pt>
                <c:pt idx="17">
                  <c:v>18.36</c:v>
                </c:pt>
                <c:pt idx="18">
                  <c:v>16.997</c:v>
                </c:pt>
                <c:pt idx="19">
                  <c:v>21.258000000000003</c:v>
                </c:pt>
              </c:numCache>
            </c:numRef>
          </c:val>
          <c:extLst xmlns:c16r2="http://schemas.microsoft.com/office/drawing/2015/06/chart">
            <c:ext xmlns:c16="http://schemas.microsoft.com/office/drawing/2014/chart" uri="{C3380CC4-5D6E-409C-BE32-E72D297353CC}">
              <c16:uniqueId val="{00000003-FF17-4EB2-84EB-BF123D623BB2}"/>
            </c:ext>
          </c:extLst>
        </c:ser>
        <c:ser>
          <c:idx val="2"/>
          <c:order val="2"/>
          <c:tx>
            <c:strRef>
              <c:f>'odvětví a vzdělání'!$G$342</c:f>
              <c:strCache>
                <c:ptCount val="1"/>
                <c:pt idx="0">
                  <c:v>SŠ bez mat.</c:v>
                </c:pt>
              </c:strCache>
            </c:strRef>
          </c:tx>
          <c:spPr>
            <a:ln>
              <a:noFill/>
            </a:ln>
          </c:spPr>
          <c:marker>
            <c:symbol val="diamond"/>
            <c:size val="5"/>
            <c:spPr>
              <a:solidFill>
                <a:srgbClr val="48AEE7"/>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vzdělání'!$G$343:$G$362</c:f>
              <c:numCache>
                <c:formatCode>#,##0.0</c:formatCode>
                <c:ptCount val="20"/>
                <c:pt idx="0">
                  <c:v>23.411000000000001</c:v>
                </c:pt>
                <c:pt idx="1">
                  <c:v>31.882999999999914</c:v>
                </c:pt>
                <c:pt idx="2">
                  <c:v>27.24</c:v>
                </c:pt>
                <c:pt idx="3">
                  <c:v>32.407000000000004</c:v>
                </c:pt>
                <c:pt idx="4">
                  <c:v>25.341000000000001</c:v>
                </c:pt>
                <c:pt idx="5">
                  <c:v>23.984000000000002</c:v>
                </c:pt>
                <c:pt idx="6">
                  <c:v>21.865000000000002</c:v>
                </c:pt>
                <c:pt idx="7">
                  <c:v>24.369</c:v>
                </c:pt>
                <c:pt idx="8">
                  <c:v>16.259</c:v>
                </c:pt>
                <c:pt idx="9">
                  <c:v>28.939</c:v>
                </c:pt>
                <c:pt idx="10">
                  <c:v>26.23</c:v>
                </c:pt>
                <c:pt idx="11">
                  <c:v>21.849</c:v>
                </c:pt>
                <c:pt idx="12">
                  <c:v>24.780999999999906</c:v>
                </c:pt>
                <c:pt idx="13">
                  <c:v>18.246000000000002</c:v>
                </c:pt>
                <c:pt idx="14">
                  <c:v>22.125999999999987</c:v>
                </c:pt>
                <c:pt idx="15">
                  <c:v>17.233000000000001</c:v>
                </c:pt>
                <c:pt idx="16">
                  <c:v>21.265999999999899</c:v>
                </c:pt>
                <c:pt idx="17">
                  <c:v>21.421999999999986</c:v>
                </c:pt>
                <c:pt idx="18">
                  <c:v>18.624000000000031</c:v>
                </c:pt>
                <c:pt idx="19">
                  <c:v>24.138999999999999</c:v>
                </c:pt>
              </c:numCache>
            </c:numRef>
          </c:val>
          <c:extLst xmlns:c16r2="http://schemas.microsoft.com/office/drawing/2015/06/chart">
            <c:ext xmlns:c16="http://schemas.microsoft.com/office/drawing/2014/chart" uri="{C3380CC4-5D6E-409C-BE32-E72D297353CC}">
              <c16:uniqueId val="{00000004-FF17-4EB2-84EB-BF123D623BB2}"/>
            </c:ext>
          </c:extLst>
        </c:ser>
        <c:ser>
          <c:idx val="3"/>
          <c:order val="3"/>
          <c:tx>
            <c:strRef>
              <c:f>'odvětví a vzdělání'!$H$342</c:f>
              <c:strCache>
                <c:ptCount val="1"/>
                <c:pt idx="0">
                  <c:v>SŠ s mat.</c:v>
                </c:pt>
              </c:strCache>
            </c:strRef>
          </c:tx>
          <c:spPr>
            <a:ln>
              <a:noFill/>
            </a:ln>
          </c:spPr>
          <c:marker>
            <c:symbol val="diamond"/>
            <c:size val="5"/>
            <c:spPr>
              <a:solidFill>
                <a:srgbClr val="7DBB2D"/>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vzdělání'!$H$343:$H$362</c:f>
              <c:numCache>
                <c:formatCode>#,##0.0</c:formatCode>
                <c:ptCount val="20"/>
                <c:pt idx="0">
                  <c:v>26.145999999999987</c:v>
                </c:pt>
                <c:pt idx="1">
                  <c:v>37.20900000000001</c:v>
                </c:pt>
                <c:pt idx="2">
                  <c:v>32.523000000000003</c:v>
                </c:pt>
                <c:pt idx="3">
                  <c:v>40.946999999999996</c:v>
                </c:pt>
                <c:pt idx="4">
                  <c:v>30.077999999999996</c:v>
                </c:pt>
                <c:pt idx="5">
                  <c:v>28.901</c:v>
                </c:pt>
                <c:pt idx="6">
                  <c:v>28.298000000000002</c:v>
                </c:pt>
                <c:pt idx="7">
                  <c:v>30.780999999999906</c:v>
                </c:pt>
                <c:pt idx="8">
                  <c:v>20.234999999999999</c:v>
                </c:pt>
                <c:pt idx="9">
                  <c:v>43.44</c:v>
                </c:pt>
                <c:pt idx="10">
                  <c:v>41.3</c:v>
                </c:pt>
                <c:pt idx="11">
                  <c:v>27.764999999999986</c:v>
                </c:pt>
                <c:pt idx="12">
                  <c:v>28.794999999999987</c:v>
                </c:pt>
                <c:pt idx="13">
                  <c:v>23.428999999999899</c:v>
                </c:pt>
                <c:pt idx="14">
                  <c:v>31.663</c:v>
                </c:pt>
                <c:pt idx="15">
                  <c:v>25.612000000000005</c:v>
                </c:pt>
                <c:pt idx="16">
                  <c:v>28.625999999999987</c:v>
                </c:pt>
                <c:pt idx="17">
                  <c:v>25.3</c:v>
                </c:pt>
                <c:pt idx="18">
                  <c:v>24.192</c:v>
                </c:pt>
                <c:pt idx="19">
                  <c:v>30.267000000000003</c:v>
                </c:pt>
              </c:numCache>
            </c:numRef>
          </c:val>
          <c:extLst xmlns:c16r2="http://schemas.microsoft.com/office/drawing/2015/06/chart">
            <c:ext xmlns:c16="http://schemas.microsoft.com/office/drawing/2014/chart" uri="{C3380CC4-5D6E-409C-BE32-E72D297353CC}">
              <c16:uniqueId val="{00000005-FF17-4EB2-84EB-BF123D623BB2}"/>
            </c:ext>
          </c:extLst>
        </c:ser>
        <c:ser>
          <c:idx val="4"/>
          <c:order val="4"/>
          <c:tx>
            <c:strRef>
              <c:f>'odvětví a vzdělání'!$I$342</c:f>
              <c:strCache>
                <c:ptCount val="1"/>
                <c:pt idx="0">
                  <c:v>VOŠ a bak.</c:v>
                </c:pt>
              </c:strCache>
            </c:strRef>
          </c:tx>
          <c:spPr>
            <a:ln>
              <a:noFill/>
            </a:ln>
          </c:spPr>
          <c:marker>
            <c:symbol val="diamond"/>
            <c:size val="5"/>
            <c:spPr>
              <a:solidFill>
                <a:srgbClr val="F8A124"/>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vzdělání'!$I$343:$I$362</c:f>
              <c:numCache>
                <c:formatCode>#,##0.0</c:formatCode>
                <c:ptCount val="20"/>
                <c:pt idx="1">
                  <c:v>40.720000000000013</c:v>
                </c:pt>
                <c:pt idx="2">
                  <c:v>38.878</c:v>
                </c:pt>
                <c:pt idx="3">
                  <c:v>47.102000000000011</c:v>
                </c:pt>
                <c:pt idx="4">
                  <c:v>31.512</c:v>
                </c:pt>
                <c:pt idx="5">
                  <c:v>29.326000000000001</c:v>
                </c:pt>
                <c:pt idx="6">
                  <c:v>34.050999999999995</c:v>
                </c:pt>
                <c:pt idx="7">
                  <c:v>35.083000000000006</c:v>
                </c:pt>
                <c:pt idx="8">
                  <c:v>25.297000000000001</c:v>
                </c:pt>
                <c:pt idx="9">
                  <c:v>53.684000000000005</c:v>
                </c:pt>
                <c:pt idx="10">
                  <c:v>45.291000000000011</c:v>
                </c:pt>
                <c:pt idx="12">
                  <c:v>36.855000000000004</c:v>
                </c:pt>
                <c:pt idx="13">
                  <c:v>28.767000000000003</c:v>
                </c:pt>
                <c:pt idx="14">
                  <c:v>35.446000000000005</c:v>
                </c:pt>
                <c:pt idx="15">
                  <c:v>29.189</c:v>
                </c:pt>
                <c:pt idx="16">
                  <c:v>32.226000000000013</c:v>
                </c:pt>
                <c:pt idx="17">
                  <c:v>27.633999999999997</c:v>
                </c:pt>
                <c:pt idx="18">
                  <c:v>24.798999999999989</c:v>
                </c:pt>
                <c:pt idx="19">
                  <c:v>35.545000000000002</c:v>
                </c:pt>
              </c:numCache>
            </c:numRef>
          </c:val>
          <c:extLst xmlns:c16r2="http://schemas.microsoft.com/office/drawing/2015/06/chart">
            <c:ext xmlns:c16="http://schemas.microsoft.com/office/drawing/2014/chart" uri="{C3380CC4-5D6E-409C-BE32-E72D297353CC}">
              <c16:uniqueId val="{00000006-FF17-4EB2-84EB-BF123D623BB2}"/>
            </c:ext>
          </c:extLst>
        </c:ser>
        <c:ser>
          <c:idx val="5"/>
          <c:order val="5"/>
          <c:tx>
            <c:strRef>
              <c:f>'odvětví a vzdělání'!$J$342</c:f>
              <c:strCache>
                <c:ptCount val="1"/>
                <c:pt idx="0">
                  <c:v>ost. VŠ</c:v>
                </c:pt>
              </c:strCache>
            </c:strRef>
          </c:tx>
          <c:spPr>
            <a:ln>
              <a:noFill/>
            </a:ln>
          </c:spPr>
          <c:marker>
            <c:symbol val="diamond"/>
            <c:size val="5"/>
            <c:spPr>
              <a:solidFill>
                <a:srgbClr val="BD1B21"/>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vzdělání'!$J$343:$J$362</c:f>
              <c:numCache>
                <c:formatCode>#,##0.0</c:formatCode>
                <c:ptCount val="20"/>
                <c:pt idx="0">
                  <c:v>33.671000000000006</c:v>
                </c:pt>
                <c:pt idx="1">
                  <c:v>63.67</c:v>
                </c:pt>
                <c:pt idx="2">
                  <c:v>55.344000000000001</c:v>
                </c:pt>
                <c:pt idx="3">
                  <c:v>66.759</c:v>
                </c:pt>
                <c:pt idx="4">
                  <c:v>48.367000000000004</c:v>
                </c:pt>
                <c:pt idx="5">
                  <c:v>43.227000000000011</c:v>
                </c:pt>
                <c:pt idx="6">
                  <c:v>51.692000000000156</c:v>
                </c:pt>
                <c:pt idx="7">
                  <c:v>52.71</c:v>
                </c:pt>
                <c:pt idx="8">
                  <c:v>31.442999999999891</c:v>
                </c:pt>
                <c:pt idx="9">
                  <c:v>66.298000000000002</c:v>
                </c:pt>
                <c:pt idx="10">
                  <c:v>77.344000000000023</c:v>
                </c:pt>
                <c:pt idx="11">
                  <c:v>30.961999999999989</c:v>
                </c:pt>
                <c:pt idx="12">
                  <c:v>46.923000000000002</c:v>
                </c:pt>
                <c:pt idx="13">
                  <c:v>32.967000000000006</c:v>
                </c:pt>
                <c:pt idx="14">
                  <c:v>44.155000000000001</c:v>
                </c:pt>
                <c:pt idx="15">
                  <c:v>36.567</c:v>
                </c:pt>
                <c:pt idx="16">
                  <c:v>52.751000000000005</c:v>
                </c:pt>
                <c:pt idx="17">
                  <c:v>33.828000000000003</c:v>
                </c:pt>
                <c:pt idx="18">
                  <c:v>32.232000000000063</c:v>
                </c:pt>
                <c:pt idx="19">
                  <c:v>48.334000000000003</c:v>
                </c:pt>
              </c:numCache>
            </c:numRef>
          </c:val>
          <c:extLst xmlns:c16r2="http://schemas.microsoft.com/office/drawing/2015/06/chart">
            <c:ext xmlns:c16="http://schemas.microsoft.com/office/drawing/2014/chart" uri="{C3380CC4-5D6E-409C-BE32-E72D297353CC}">
              <c16:uniqueId val="{00000007-FF17-4EB2-84EB-BF123D623BB2}"/>
            </c:ext>
          </c:extLst>
        </c:ser>
        <c:marker val="1"/>
        <c:axId val="164827904"/>
        <c:axId val="164829824"/>
      </c:lineChart>
      <c:catAx>
        <c:axId val="164827904"/>
        <c:scaling>
          <c:orientation val="minMax"/>
        </c:scaling>
        <c:axPos val="b"/>
        <c:numFmt formatCode="General" sourceLinked="1"/>
        <c:tickLblPos val="nextTo"/>
        <c:txPr>
          <a:bodyPr rot="-5400000" vert="horz"/>
          <a:lstStyle/>
          <a:p>
            <a:pPr>
              <a:defRPr sz="700">
                <a:latin typeface="Arial" pitchFamily="34" charset="0"/>
                <a:cs typeface="Arial" pitchFamily="34" charset="0"/>
              </a:defRPr>
            </a:pPr>
            <a:endParaRPr lang="cs-CZ"/>
          </a:p>
        </c:txPr>
        <c:crossAx val="164829824"/>
        <c:crosses val="autoZero"/>
        <c:auto val="1"/>
        <c:lblAlgn val="ctr"/>
        <c:lblOffset val="0"/>
      </c:catAx>
      <c:valAx>
        <c:axId val="164829824"/>
        <c:scaling>
          <c:orientation val="minMax"/>
          <c:max val="80"/>
        </c:scaling>
        <c:axPos val="l"/>
        <c:majorGridlines>
          <c:spPr>
            <a:ln w="6350">
              <a:solidFill>
                <a:srgbClr val="BFBFBF"/>
              </a:solidFill>
            </a:ln>
          </c:spPr>
        </c:majorGridlines>
        <c:numFmt formatCode="#,##0" sourceLinked="0"/>
        <c:tickLblPos val="nextTo"/>
        <c:txPr>
          <a:bodyPr/>
          <a:lstStyle/>
          <a:p>
            <a:pPr>
              <a:defRPr sz="750">
                <a:latin typeface="Arial" pitchFamily="34" charset="0"/>
                <a:cs typeface="Arial" pitchFamily="34" charset="0"/>
              </a:defRPr>
            </a:pPr>
            <a:endParaRPr lang="cs-CZ"/>
          </a:p>
        </c:txPr>
        <c:crossAx val="164827904"/>
        <c:crosses val="autoZero"/>
        <c:crossBetween val="between"/>
        <c:minorUnit val="10"/>
      </c:valAx>
      <c:valAx>
        <c:axId val="164835712"/>
        <c:scaling>
          <c:orientation val="minMax"/>
          <c:max val="16"/>
          <c:min val="0"/>
        </c:scaling>
        <c:axPos val="r"/>
        <c:numFmt formatCode="0" sourceLinked="0"/>
        <c:tickLblPos val="nextTo"/>
        <c:txPr>
          <a:bodyPr/>
          <a:lstStyle/>
          <a:p>
            <a:pPr>
              <a:defRPr sz="750">
                <a:latin typeface="Arial" pitchFamily="34" charset="0"/>
                <a:cs typeface="Arial" pitchFamily="34" charset="0"/>
              </a:defRPr>
            </a:pPr>
            <a:endParaRPr lang="cs-CZ"/>
          </a:p>
        </c:txPr>
        <c:crossAx val="164837248"/>
        <c:crosses val="max"/>
        <c:crossBetween val="between"/>
        <c:majorUnit val="2"/>
      </c:valAx>
      <c:catAx>
        <c:axId val="164837248"/>
        <c:scaling>
          <c:orientation val="minMax"/>
        </c:scaling>
        <c:delete val="1"/>
        <c:axPos val="b"/>
        <c:numFmt formatCode="General" sourceLinked="1"/>
        <c:tickLblPos val="none"/>
        <c:crossAx val="164835712"/>
        <c:crosses val="autoZero"/>
        <c:auto val="1"/>
        <c:lblAlgn val="ctr"/>
        <c:lblOffset val="100"/>
      </c:catAx>
      <c:spPr>
        <a:ln>
          <a:solidFill>
            <a:sysClr val="windowText" lastClr="000000"/>
          </a:solidFill>
        </a:ln>
      </c:spPr>
    </c:plotArea>
    <c:legend>
      <c:legendPos val="r"/>
      <c:layout>
        <c:manualLayout>
          <c:xMode val="edge"/>
          <c:yMode val="edge"/>
          <c:x val="1.3331771460430368E-2"/>
          <c:y val="0.95375980006580285"/>
          <c:w val="0.96345932054327421"/>
          <c:h val="4.2801461599175784E-2"/>
        </c:manualLayout>
      </c:layout>
      <c:spPr>
        <a:ln>
          <a:noFill/>
        </a:ln>
      </c:spPr>
      <c:txPr>
        <a:bodyPr/>
        <a:lstStyle/>
        <a:p>
          <a:pPr>
            <a:defRPr sz="750">
              <a:latin typeface="Arial" pitchFamily="34" charset="0"/>
              <a:cs typeface="Arial" pitchFamily="34" charset="0"/>
            </a:defRPr>
          </a:pPr>
          <a:endParaRPr lang="cs-CZ"/>
        </a:p>
      </c:txPr>
    </c:legend>
    <c:plotVisOnly val="1"/>
    <c:dispBlanksAs val="gap"/>
  </c:chart>
  <c:spPr>
    <a:ln>
      <a:noFill/>
    </a:ln>
  </c:spPr>
  <c:txPr>
    <a:bodyPr/>
    <a:lstStyle/>
    <a:p>
      <a:pPr>
        <a:defRPr sz="800"/>
      </a:pPr>
      <a:endParaRPr lang="cs-CZ"/>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160670300827814E-2"/>
          <c:y val="2.1454144318916658E-2"/>
          <c:w val="0.89353506965475449"/>
          <c:h val="0.69692035147392295"/>
        </c:manualLayout>
      </c:layout>
      <c:barChart>
        <c:barDir val="col"/>
        <c:grouping val="clustered"/>
        <c:ser>
          <c:idx val="0"/>
          <c:order val="0"/>
          <c:tx>
            <c:strRef>
              <c:f>'GRAF-ISCO'!$C$66</c:f>
              <c:strCache>
                <c:ptCount val="1"/>
                <c:pt idx="0">
                  <c:v>Mzdový medián, obě pohlaví (y/y, %)</c:v>
                </c:pt>
              </c:strCache>
            </c:strRef>
          </c:tx>
          <c:spPr>
            <a:solidFill>
              <a:srgbClr val="DFF1F5"/>
            </a:solidFill>
            <a:ln w="6350">
              <a:solidFill>
                <a:schemeClr val="bg1">
                  <a:lumMod val="50000"/>
                </a:schemeClr>
              </a:solidFill>
            </a:ln>
          </c:spPr>
          <c:dPt>
            <c:idx val="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0-10BD-4787-AB3E-4A7C79D9F631}"/>
              </c:ext>
            </c:extLst>
          </c:dPt>
          <c:dPt>
            <c:idx val="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1-10BD-4787-AB3E-4A7C79D9F631}"/>
              </c:ext>
            </c:extLst>
          </c:dPt>
          <c:dPt>
            <c:idx val="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2-10BD-4787-AB3E-4A7C79D9F631}"/>
              </c:ext>
            </c:extLst>
          </c:dPt>
          <c:dPt>
            <c:idx val="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3-10BD-4787-AB3E-4A7C79D9F631}"/>
              </c:ext>
            </c:extLst>
          </c:dPt>
          <c:dPt>
            <c:idx val="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4-10BD-4787-AB3E-4A7C79D9F631}"/>
              </c:ext>
            </c:extLst>
          </c:dPt>
          <c:dPt>
            <c:idx val="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5-10BD-4787-AB3E-4A7C79D9F631}"/>
              </c:ext>
            </c:extLst>
          </c:dPt>
          <c:dPt>
            <c:idx val="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6-10BD-4787-AB3E-4A7C79D9F631}"/>
              </c:ext>
            </c:extLst>
          </c:dPt>
          <c:dPt>
            <c:idx val="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7-10BD-4787-AB3E-4A7C79D9F631}"/>
              </c:ext>
            </c:extLst>
          </c:dPt>
          <c:dPt>
            <c:idx val="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8-10BD-4787-AB3E-4A7C79D9F631}"/>
              </c:ext>
            </c:extLst>
          </c:dPt>
          <c:dPt>
            <c:idx val="1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9-10BD-4787-AB3E-4A7C79D9F631}"/>
              </c:ext>
            </c:extLst>
          </c:dPt>
          <c:dPt>
            <c:idx val="1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A-10BD-4787-AB3E-4A7C79D9F631}"/>
              </c:ext>
            </c:extLst>
          </c:dPt>
          <c:dPt>
            <c:idx val="1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B-10BD-4787-AB3E-4A7C79D9F631}"/>
              </c:ext>
            </c:extLst>
          </c:dPt>
          <c:dPt>
            <c:idx val="1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C-10BD-4787-AB3E-4A7C79D9F631}"/>
              </c:ext>
            </c:extLst>
          </c:dPt>
          <c:dPt>
            <c:idx val="1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D-10BD-4787-AB3E-4A7C79D9F631}"/>
              </c:ext>
            </c:extLst>
          </c:dPt>
          <c:dPt>
            <c:idx val="1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E-10BD-4787-AB3E-4A7C79D9F631}"/>
              </c:ext>
            </c:extLst>
          </c:dPt>
          <c:dPt>
            <c:idx val="1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F-10BD-4787-AB3E-4A7C79D9F631}"/>
              </c:ext>
            </c:extLst>
          </c:dPt>
          <c:dPt>
            <c:idx val="1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0-10BD-4787-AB3E-4A7C79D9F631}"/>
              </c:ext>
            </c:extLst>
          </c:dPt>
          <c:dPt>
            <c:idx val="2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1-10BD-4787-AB3E-4A7C79D9F631}"/>
              </c:ext>
            </c:extLst>
          </c:dPt>
          <c:dPt>
            <c:idx val="2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2-10BD-4787-AB3E-4A7C79D9F631}"/>
              </c:ext>
            </c:extLst>
          </c:dPt>
          <c:dPt>
            <c:idx val="2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3-10BD-4787-AB3E-4A7C79D9F631}"/>
              </c:ext>
            </c:extLst>
          </c:dPt>
          <c:dPt>
            <c:idx val="2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4-10BD-4787-AB3E-4A7C79D9F631}"/>
              </c:ext>
            </c:extLst>
          </c:dPt>
          <c:dPt>
            <c:idx val="2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5-10BD-4787-AB3E-4A7C79D9F631}"/>
              </c:ext>
            </c:extLst>
          </c:dPt>
          <c:dPt>
            <c:idx val="2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6-10BD-4787-AB3E-4A7C79D9F631}"/>
              </c:ext>
            </c:extLst>
          </c:dPt>
          <c:dPt>
            <c:idx val="2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7-10BD-4787-AB3E-4A7C79D9F631}"/>
              </c:ext>
            </c:extLst>
          </c:dPt>
          <c:dPt>
            <c:idx val="2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8-10BD-4787-AB3E-4A7C79D9F631}"/>
              </c:ext>
            </c:extLst>
          </c:dPt>
          <c:dPt>
            <c:idx val="3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9-10BD-4787-AB3E-4A7C79D9F631}"/>
              </c:ext>
            </c:extLst>
          </c:dPt>
          <c:dPt>
            <c:idx val="3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A-10BD-4787-AB3E-4A7C79D9F631}"/>
              </c:ext>
            </c:extLst>
          </c:dPt>
          <c:dPt>
            <c:idx val="3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B-10BD-4787-AB3E-4A7C79D9F631}"/>
              </c:ext>
            </c:extLst>
          </c:dPt>
          <c:dPt>
            <c:idx val="3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C-10BD-4787-AB3E-4A7C79D9F631}"/>
              </c:ext>
            </c:extLst>
          </c:dPt>
          <c:dPt>
            <c:idx val="3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D-10BD-4787-AB3E-4A7C79D9F631}"/>
              </c:ext>
            </c:extLst>
          </c:dPt>
          <c:dPt>
            <c:idx val="3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E-10BD-4787-AB3E-4A7C79D9F631}"/>
              </c:ext>
            </c:extLst>
          </c:dPt>
          <c:dPt>
            <c:idx val="3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F-10BD-4787-AB3E-4A7C79D9F631}"/>
              </c:ext>
            </c:extLst>
          </c:dPt>
          <c:dPt>
            <c:idx val="3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0-10BD-4787-AB3E-4A7C79D9F631}"/>
              </c:ext>
            </c:extLst>
          </c:dPt>
          <c:dPt>
            <c:idx val="3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1-10BD-4787-AB3E-4A7C79D9F631}"/>
              </c:ext>
            </c:extLst>
          </c:dPt>
          <c:dPt>
            <c:idx val="4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2-10BD-4787-AB3E-4A7C79D9F631}"/>
              </c:ext>
            </c:extLst>
          </c:dPt>
          <c:dPt>
            <c:idx val="4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3-10BD-4787-AB3E-4A7C79D9F631}"/>
              </c:ext>
            </c:extLst>
          </c:dPt>
          <c:dPt>
            <c:idx val="4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4-10BD-4787-AB3E-4A7C79D9F631}"/>
              </c:ext>
            </c:extLst>
          </c:dPt>
          <c:dPt>
            <c:idx val="4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5-10BD-4787-AB3E-4A7C79D9F631}"/>
              </c:ext>
            </c:extLst>
          </c:dPt>
          <c:dPt>
            <c:idx val="4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6-10BD-4787-AB3E-4A7C79D9F631}"/>
              </c:ext>
            </c:extLst>
          </c:dPt>
          <c:dPt>
            <c:idx val="4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7-10BD-4787-AB3E-4A7C79D9F631}"/>
              </c:ext>
            </c:extLst>
          </c:dPt>
          <c:dPt>
            <c:idx val="4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8-10BD-4787-AB3E-4A7C79D9F631}"/>
              </c:ext>
            </c:extLst>
          </c:dPt>
          <c:dPt>
            <c:idx val="4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9-10BD-4787-AB3E-4A7C79D9F631}"/>
              </c:ext>
            </c:extLst>
          </c:dPt>
          <c:dPt>
            <c:idx val="5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A-10BD-4787-AB3E-4A7C79D9F631}"/>
              </c:ext>
            </c:extLst>
          </c:dPt>
          <c:dPt>
            <c:idx val="5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B-10BD-4787-AB3E-4A7C79D9F631}"/>
              </c:ext>
            </c:extLst>
          </c:dPt>
          <c:dPt>
            <c:idx val="5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C-10BD-4787-AB3E-4A7C79D9F631}"/>
              </c:ext>
            </c:extLst>
          </c:dPt>
          <c:dPt>
            <c:idx val="5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D-10BD-4787-AB3E-4A7C79D9F631}"/>
              </c:ext>
            </c:extLst>
          </c:dPt>
          <c:dPt>
            <c:idx val="5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E-10BD-4787-AB3E-4A7C79D9F631}"/>
              </c:ext>
            </c:extLst>
          </c:dPt>
          <c:dPt>
            <c:idx val="5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F-10BD-4787-AB3E-4A7C79D9F631}"/>
              </c:ext>
            </c:extLst>
          </c:dPt>
          <c:dPt>
            <c:idx val="5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0-10BD-4787-AB3E-4A7C79D9F631}"/>
              </c:ext>
            </c:extLst>
          </c:dPt>
          <c:dPt>
            <c:idx val="5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1-10BD-4787-AB3E-4A7C79D9F631}"/>
              </c:ext>
            </c:extLst>
          </c:dPt>
          <c:dPt>
            <c:idx val="6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2-10BD-4787-AB3E-4A7C79D9F631}"/>
              </c:ext>
            </c:extLst>
          </c:dPt>
          <c:dPt>
            <c:idx val="6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3-10BD-4787-AB3E-4A7C79D9F631}"/>
              </c:ext>
            </c:extLst>
          </c:dPt>
          <c:dPt>
            <c:idx val="6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4-10BD-4787-AB3E-4A7C79D9F631}"/>
              </c:ext>
            </c:extLst>
          </c:dPt>
          <c:dPt>
            <c:idx val="6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5-10BD-4787-AB3E-4A7C79D9F631}"/>
              </c:ext>
            </c:extLst>
          </c:dPt>
          <c:dPt>
            <c:idx val="6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6-10BD-4787-AB3E-4A7C79D9F631}"/>
              </c:ext>
            </c:extLst>
          </c:dPt>
          <c:cat>
            <c:strRef>
              <c:f>'GRAF-ISCO'!$A$67:$B$131</c:f>
              <c:strCache>
                <c:ptCount val="61"/>
                <c:pt idx="0">
                  <c:v>Zaměstnanci v 
ozbroj. silách</c:v>
                </c:pt>
                <c:pt idx="6">
                  <c:v>Zákonodárci a 
řídící prac.</c:v>
                </c:pt>
                <c:pt idx="12">
                  <c:v>Specialisté</c:v>
                </c:pt>
                <c:pt idx="18">
                  <c:v>Techničtí a 
odborní pracov.</c:v>
                </c:pt>
                <c:pt idx="24">
                  <c:v>Úředníci</c:v>
                </c:pt>
                <c:pt idx="30">
                  <c:v>Pracovníci ve 
službách, prodeji</c:v>
                </c:pt>
                <c:pt idx="36">
                  <c:v>Kvalif. pracov. v
zeměd.,lesn.,ryb.</c:v>
                </c:pt>
                <c:pt idx="42">
                  <c:v>Řemeslníci 
a opraváři</c:v>
                </c:pt>
                <c:pt idx="48">
                  <c:v>Obsluha strojů a
zařízení, montéři</c:v>
                </c:pt>
                <c:pt idx="54">
                  <c:v>Pomocní a 
nekvalif. pracov.</c:v>
                </c:pt>
                <c:pt idx="60">
                  <c:v>NH celkem</c:v>
                </c:pt>
              </c:strCache>
            </c:strRef>
          </c:cat>
          <c:val>
            <c:numRef>
              <c:f>'GRAF-ISCO'!$C$67:$C$131</c:f>
              <c:numCache>
                <c:formatCode>0.0</c:formatCode>
                <c:ptCount val="65"/>
                <c:pt idx="0">
                  <c:v>0.59357245823793681</c:v>
                </c:pt>
                <c:pt idx="1">
                  <c:v>4.7795667200539524</c:v>
                </c:pt>
                <c:pt idx="2">
                  <c:v>9.328238133547849</c:v>
                </c:pt>
                <c:pt idx="3">
                  <c:v>12.1969167371868</c:v>
                </c:pt>
                <c:pt idx="4">
                  <c:v>10.123302944841612</c:v>
                </c:pt>
                <c:pt idx="6">
                  <c:v>3.2909095367713812</c:v>
                </c:pt>
                <c:pt idx="7">
                  <c:v>1.6523824220697609</c:v>
                </c:pt>
                <c:pt idx="8">
                  <c:v>3.9049910082444224</c:v>
                </c:pt>
                <c:pt idx="9">
                  <c:v>1.4767695385376098</c:v>
                </c:pt>
                <c:pt idx="10">
                  <c:v>7.7681300668940665</c:v>
                </c:pt>
                <c:pt idx="12">
                  <c:v>2.3106151370964767</c:v>
                </c:pt>
                <c:pt idx="13">
                  <c:v>2.4223768736616762</c:v>
                </c:pt>
                <c:pt idx="14">
                  <c:v>3.8220305762446145</c:v>
                </c:pt>
                <c:pt idx="15">
                  <c:v>4.9430495248883526</c:v>
                </c:pt>
                <c:pt idx="16">
                  <c:v>7.3636554432884465</c:v>
                </c:pt>
                <c:pt idx="18">
                  <c:v>0.97125401425551372</c:v>
                </c:pt>
                <c:pt idx="19">
                  <c:v>2.4823520285470551</c:v>
                </c:pt>
                <c:pt idx="20">
                  <c:v>4.5189614715010151</c:v>
                </c:pt>
                <c:pt idx="21">
                  <c:v>4.8196697566628632</c:v>
                </c:pt>
                <c:pt idx="22">
                  <c:v>7.503368224686497</c:v>
                </c:pt>
                <c:pt idx="24">
                  <c:v>0.31716599980483351</c:v>
                </c:pt>
                <c:pt idx="25">
                  <c:v>1.6294566856364554</c:v>
                </c:pt>
                <c:pt idx="26">
                  <c:v>2.7232698382310812</c:v>
                </c:pt>
                <c:pt idx="27">
                  <c:v>5.1157806457624755</c:v>
                </c:pt>
                <c:pt idx="28">
                  <c:v>6.5333983422720934</c:v>
                </c:pt>
                <c:pt idx="30">
                  <c:v>0.66225165562915855</c:v>
                </c:pt>
                <c:pt idx="31">
                  <c:v>2.3574561403508767</c:v>
                </c:pt>
                <c:pt idx="32">
                  <c:v>3.8698446705945377</c:v>
                </c:pt>
                <c:pt idx="33">
                  <c:v>8.8758540672940747</c:v>
                </c:pt>
                <c:pt idx="34">
                  <c:v>10.366467349476126</c:v>
                </c:pt>
                <c:pt idx="36">
                  <c:v>2.9386832438541997</c:v>
                </c:pt>
                <c:pt idx="37">
                  <c:v>3.8155366456217341</c:v>
                </c:pt>
                <c:pt idx="38">
                  <c:v>3.0724484399787819</c:v>
                </c:pt>
                <c:pt idx="39">
                  <c:v>3.6067928787645602</c:v>
                </c:pt>
                <c:pt idx="40">
                  <c:v>6.5118351985738414</c:v>
                </c:pt>
                <c:pt idx="42">
                  <c:v>1.8073456730303399</c:v>
                </c:pt>
                <c:pt idx="43">
                  <c:v>3.4505735091142578</c:v>
                </c:pt>
                <c:pt idx="44">
                  <c:v>4.2648141332351646</c:v>
                </c:pt>
                <c:pt idx="45">
                  <c:v>5.1317124829017091</c:v>
                </c:pt>
                <c:pt idx="46">
                  <c:v>7.5631662889280555</c:v>
                </c:pt>
                <c:pt idx="48">
                  <c:v>1.2699350265800433</c:v>
                </c:pt>
                <c:pt idx="49">
                  <c:v>2.6927189656848327</c:v>
                </c:pt>
                <c:pt idx="50">
                  <c:v>4.2976145399469203</c:v>
                </c:pt>
                <c:pt idx="51">
                  <c:v>5.590851334180428</c:v>
                </c:pt>
                <c:pt idx="52">
                  <c:v>7.8820697954272134</c:v>
                </c:pt>
                <c:pt idx="54">
                  <c:v>1.4053089449029557</c:v>
                </c:pt>
                <c:pt idx="55">
                  <c:v>2.3830473676491981</c:v>
                </c:pt>
                <c:pt idx="56">
                  <c:v>3.5164362959249473</c:v>
                </c:pt>
                <c:pt idx="57">
                  <c:v>7.6449425764493668</c:v>
                </c:pt>
                <c:pt idx="58">
                  <c:v>8.1367697152773211</c:v>
                </c:pt>
                <c:pt idx="60">
                  <c:v>1.2228940310042158</c:v>
                </c:pt>
                <c:pt idx="61">
                  <c:v>2.5958861043743724</c:v>
                </c:pt>
                <c:pt idx="62">
                  <c:v>3.8609700577832342</c:v>
                </c:pt>
                <c:pt idx="63">
                  <c:v>5.2937705470791627</c:v>
                </c:pt>
                <c:pt idx="64">
                  <c:v>7.4493635417501123</c:v>
                </c:pt>
              </c:numCache>
            </c:numRef>
          </c:val>
          <c:extLst xmlns:c16r2="http://schemas.microsoft.com/office/drawing/2015/06/chart">
            <c:ext xmlns:c16="http://schemas.microsoft.com/office/drawing/2014/chart" uri="{C3380CC4-5D6E-409C-BE32-E72D297353CC}">
              <c16:uniqueId val="{00000037-10BD-4787-AB3E-4A7C79D9F631}"/>
            </c:ext>
          </c:extLst>
        </c:ser>
        <c:gapWidth val="0"/>
        <c:axId val="185429376"/>
        <c:axId val="185447936"/>
      </c:barChart>
      <c:lineChart>
        <c:grouping val="standard"/>
        <c:ser>
          <c:idx val="1"/>
          <c:order val="1"/>
          <c:tx>
            <c:strRef>
              <c:f>'GRAF-ISCO'!$D$66</c:f>
              <c:strCache>
                <c:ptCount val="1"/>
                <c:pt idx="0">
                  <c:v>Medián Ž/M (pravá osa)</c:v>
                </c:pt>
              </c:strCache>
            </c:strRef>
          </c:tx>
          <c:spPr>
            <a:ln w="6350">
              <a:noFill/>
            </a:ln>
          </c:spPr>
          <c:marker>
            <c:symbol val="diamond"/>
            <c:size val="5"/>
            <c:spPr>
              <a:solidFill>
                <a:srgbClr val="FFFF00"/>
              </a:solidFill>
              <a:ln w="6350">
                <a:solidFill>
                  <a:prstClr val="white">
                    <a:lumMod val="50000"/>
                  </a:prstClr>
                </a:solidFill>
              </a:ln>
            </c:spPr>
          </c:marker>
          <c:cat>
            <c:strRef>
              <c:f>'GRAF-ISCO'!$A$67:$B$131</c:f>
              <c:strCache>
                <c:ptCount val="61"/>
                <c:pt idx="0">
                  <c:v>Zaměstnanci v 
ozbroj. silách</c:v>
                </c:pt>
                <c:pt idx="6">
                  <c:v>Zákonodárci a 
řídící prac.</c:v>
                </c:pt>
                <c:pt idx="12">
                  <c:v>Specialisté</c:v>
                </c:pt>
                <c:pt idx="18">
                  <c:v>Techničtí a 
odborní pracov.</c:v>
                </c:pt>
                <c:pt idx="24">
                  <c:v>Úředníci</c:v>
                </c:pt>
                <c:pt idx="30">
                  <c:v>Pracovníci ve 
službách, prodeji</c:v>
                </c:pt>
                <c:pt idx="36">
                  <c:v>Kvalif. pracov. v
zeměd.,lesn.,ryb.</c:v>
                </c:pt>
                <c:pt idx="42">
                  <c:v>Řemeslníci 
a opraváři</c:v>
                </c:pt>
                <c:pt idx="48">
                  <c:v>Obsluha strojů a
zařízení, montéři</c:v>
                </c:pt>
                <c:pt idx="54">
                  <c:v>Pomocní a 
nekvalif. pracov.</c:v>
                </c:pt>
                <c:pt idx="60">
                  <c:v>NH celkem</c:v>
                </c:pt>
              </c:strCache>
            </c:strRef>
          </c:cat>
          <c:val>
            <c:numRef>
              <c:f>'GRAF-ISCO'!$D$67:$D$131</c:f>
              <c:numCache>
                <c:formatCode>#,##0.00</c:formatCode>
                <c:ptCount val="65"/>
                <c:pt idx="0">
                  <c:v>1.0443812112460715</c:v>
                </c:pt>
                <c:pt idx="1">
                  <c:v>1.0810898871828278</c:v>
                </c:pt>
                <c:pt idx="2">
                  <c:v>1.092607818222588</c:v>
                </c:pt>
                <c:pt idx="3">
                  <c:v>1.1068597611960385</c:v>
                </c:pt>
                <c:pt idx="4">
                  <c:v>1.110364741641338</c:v>
                </c:pt>
                <c:pt idx="6">
                  <c:v>0.79885183399798465</c:v>
                </c:pt>
                <c:pt idx="7">
                  <c:v>0.79651846624323686</c:v>
                </c:pt>
                <c:pt idx="8">
                  <c:v>0.79515748435416034</c:v>
                </c:pt>
                <c:pt idx="9">
                  <c:v>0.81118623232944065</c:v>
                </c:pt>
                <c:pt idx="10">
                  <c:v>0.815688299764733</c:v>
                </c:pt>
                <c:pt idx="12">
                  <c:v>0.75867341265430033</c:v>
                </c:pt>
                <c:pt idx="13">
                  <c:v>0.75868050849754765</c:v>
                </c:pt>
                <c:pt idx="14">
                  <c:v>0.75264677574590955</c:v>
                </c:pt>
                <c:pt idx="15">
                  <c:v>0.76137702780633354</c:v>
                </c:pt>
                <c:pt idx="16">
                  <c:v>0.76280146904021162</c:v>
                </c:pt>
                <c:pt idx="18">
                  <c:v>0.82571507722141935</c:v>
                </c:pt>
                <c:pt idx="19">
                  <c:v>0.82465605611006265</c:v>
                </c:pt>
                <c:pt idx="20">
                  <c:v>0.82679590248963475</c:v>
                </c:pt>
                <c:pt idx="21">
                  <c:v>0.82878604463482064</c:v>
                </c:pt>
                <c:pt idx="22">
                  <c:v>0.82976634029402419</c:v>
                </c:pt>
                <c:pt idx="24">
                  <c:v>0.83163586068151141</c:v>
                </c:pt>
                <c:pt idx="25">
                  <c:v>0.82595313333606923</c:v>
                </c:pt>
                <c:pt idx="26">
                  <c:v>0.82224610852342861</c:v>
                </c:pt>
                <c:pt idx="27">
                  <c:v>0.81275410329769615</c:v>
                </c:pt>
                <c:pt idx="28">
                  <c:v>0.8157008683324477</c:v>
                </c:pt>
                <c:pt idx="30">
                  <c:v>0.90451686678101195</c:v>
                </c:pt>
                <c:pt idx="31">
                  <c:v>0.91419803344398642</c:v>
                </c:pt>
                <c:pt idx="32">
                  <c:v>0.91858780929390449</c:v>
                </c:pt>
                <c:pt idx="33">
                  <c:v>0.92912284627433461</c:v>
                </c:pt>
                <c:pt idx="34">
                  <c:v>0.92134097305991169</c:v>
                </c:pt>
                <c:pt idx="36">
                  <c:v>0.90430270950159841</c:v>
                </c:pt>
                <c:pt idx="37">
                  <c:v>0.89428049893519923</c:v>
                </c:pt>
                <c:pt idx="38">
                  <c:v>0.87546839262251264</c:v>
                </c:pt>
                <c:pt idx="39">
                  <c:v>0.84271093927677965</c:v>
                </c:pt>
                <c:pt idx="40">
                  <c:v>0.85670188252685475</c:v>
                </c:pt>
                <c:pt idx="42">
                  <c:v>0.75137842308399783</c:v>
                </c:pt>
                <c:pt idx="43">
                  <c:v>0.75261385787701574</c:v>
                </c:pt>
                <c:pt idx="44">
                  <c:v>0.74196838347781768</c:v>
                </c:pt>
                <c:pt idx="45">
                  <c:v>0.7568203007823584</c:v>
                </c:pt>
                <c:pt idx="46">
                  <c:v>0.76635090764992264</c:v>
                </c:pt>
                <c:pt idx="48">
                  <c:v>0.81413648704615527</c:v>
                </c:pt>
                <c:pt idx="49">
                  <c:v>0.81368702630405765</c:v>
                </c:pt>
                <c:pt idx="50">
                  <c:v>0.82198952879581155</c:v>
                </c:pt>
                <c:pt idx="51">
                  <c:v>0.8303494963500756</c:v>
                </c:pt>
                <c:pt idx="52">
                  <c:v>0.84105784873822409</c:v>
                </c:pt>
                <c:pt idx="54">
                  <c:v>0.75480973478182223</c:v>
                </c:pt>
                <c:pt idx="55">
                  <c:v>0.76832579185520367</c:v>
                </c:pt>
                <c:pt idx="56">
                  <c:v>0.7702852476229366</c:v>
                </c:pt>
                <c:pt idx="57">
                  <c:v>0.75862818631448392</c:v>
                </c:pt>
                <c:pt idx="58">
                  <c:v>0.77515691435513778</c:v>
                </c:pt>
                <c:pt idx="60">
                  <c:v>0.84621164683782091</c:v>
                </c:pt>
                <c:pt idx="61">
                  <c:v>0.83745439805431698</c:v>
                </c:pt>
                <c:pt idx="62">
                  <c:v>0.83544845842417492</c:v>
                </c:pt>
                <c:pt idx="63">
                  <c:v>0.83976569161754799</c:v>
                </c:pt>
                <c:pt idx="64">
                  <c:v>0.84385989105702264</c:v>
                </c:pt>
              </c:numCache>
            </c:numRef>
          </c:val>
          <c:extLst xmlns:c16r2="http://schemas.microsoft.com/office/drawing/2015/06/chart">
            <c:ext xmlns:c16="http://schemas.microsoft.com/office/drawing/2014/chart" uri="{C3380CC4-5D6E-409C-BE32-E72D297353CC}">
              <c16:uniqueId val="{00000038-10BD-4787-AB3E-4A7C79D9F631}"/>
            </c:ext>
          </c:extLst>
        </c:ser>
        <c:marker val="1"/>
        <c:axId val="185451264"/>
        <c:axId val="185449472"/>
      </c:lineChart>
      <c:catAx>
        <c:axId val="185429376"/>
        <c:scaling>
          <c:orientation val="minMax"/>
        </c:scaling>
        <c:axPos val="b"/>
        <c:numFmt formatCode="General" sourceLinked="0"/>
        <c:majorTickMark val="none"/>
        <c:tickLblPos val="low"/>
        <c:txPr>
          <a:bodyPr rot="-5400000" vert="horz"/>
          <a:lstStyle/>
          <a:p>
            <a:pPr>
              <a:defRPr sz="800">
                <a:latin typeface="Arial" pitchFamily="34" charset="0"/>
                <a:cs typeface="Arial" pitchFamily="34" charset="0"/>
              </a:defRPr>
            </a:pPr>
            <a:endParaRPr lang="cs-CZ"/>
          </a:p>
        </c:txPr>
        <c:crossAx val="185447936"/>
        <c:crosses val="autoZero"/>
        <c:auto val="1"/>
        <c:lblAlgn val="ctr"/>
        <c:lblOffset val="0"/>
      </c:catAx>
      <c:valAx>
        <c:axId val="185447936"/>
        <c:scaling>
          <c:orientation val="minMax"/>
          <c:max val="13"/>
          <c:min val="0"/>
        </c:scaling>
        <c:axPos val="l"/>
        <c:majorGridlines/>
        <c:numFmt formatCode="0" sourceLinked="0"/>
        <c:tickLblPos val="nextTo"/>
        <c:txPr>
          <a:bodyPr/>
          <a:lstStyle/>
          <a:p>
            <a:pPr>
              <a:defRPr sz="800">
                <a:latin typeface="Arial" pitchFamily="34" charset="0"/>
                <a:cs typeface="Arial" pitchFamily="34" charset="0"/>
              </a:defRPr>
            </a:pPr>
            <a:endParaRPr lang="cs-CZ"/>
          </a:p>
        </c:txPr>
        <c:crossAx val="185429376"/>
        <c:crosses val="autoZero"/>
        <c:crossBetween val="between"/>
        <c:majorUnit val="1"/>
      </c:valAx>
      <c:valAx>
        <c:axId val="185449472"/>
        <c:scaling>
          <c:orientation val="minMax"/>
          <c:max val="1.1500000000000001"/>
          <c:min val="0.5"/>
        </c:scaling>
        <c:axPos val="r"/>
        <c:numFmt formatCode="#,##0.00" sourceLinked="0"/>
        <c:tickLblPos val="nextTo"/>
        <c:txPr>
          <a:bodyPr/>
          <a:lstStyle/>
          <a:p>
            <a:pPr>
              <a:defRPr sz="800">
                <a:latin typeface="Arial" pitchFamily="34" charset="0"/>
                <a:cs typeface="Arial" pitchFamily="34" charset="0"/>
              </a:defRPr>
            </a:pPr>
            <a:endParaRPr lang="cs-CZ"/>
          </a:p>
        </c:txPr>
        <c:crossAx val="185451264"/>
        <c:crosses val="max"/>
        <c:crossBetween val="between"/>
        <c:majorUnit val="0.1"/>
      </c:valAx>
      <c:catAx>
        <c:axId val="185451264"/>
        <c:scaling>
          <c:orientation val="minMax"/>
        </c:scaling>
        <c:delete val="1"/>
        <c:axPos val="b"/>
        <c:numFmt formatCode="General" sourceLinked="1"/>
        <c:tickLblPos val="none"/>
        <c:crossAx val="185449472"/>
        <c:crosses val="autoZero"/>
        <c:auto val="1"/>
        <c:lblAlgn val="ctr"/>
        <c:lblOffset val="100"/>
      </c:catAx>
    </c:plotArea>
    <c:legend>
      <c:legendPos val="r"/>
      <c:layout>
        <c:manualLayout>
          <c:xMode val="edge"/>
          <c:yMode val="edge"/>
          <c:x val="4.0612466448754582E-2"/>
          <c:y val="0.94845833333333363"/>
          <c:w val="0.89602948609910393"/>
          <c:h val="4.6498866213151906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6316626494282913E-2"/>
          <c:y val="1.5755757049289401E-2"/>
          <c:w val="0.93593697124995157"/>
          <c:h val="0.75149239107226329"/>
        </c:manualLayout>
      </c:layout>
      <c:lineChart>
        <c:grouping val="standard"/>
        <c:ser>
          <c:idx val="0"/>
          <c:order val="0"/>
          <c:tx>
            <c:strRef>
              <c:f>'Mzdy-ISCO'!$B$62</c:f>
              <c:strCache>
                <c:ptCount val="1"/>
                <c:pt idx="0">
                  <c:v>Hl. m. Praha</c:v>
                </c:pt>
              </c:strCache>
            </c:strRef>
          </c:tx>
          <c:spPr>
            <a:ln w="19050">
              <a:solidFill>
                <a:srgbClr val="BD1B21"/>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'Mzdy-ISCO'!$C$62:$R$62</c:f>
              <c:numCache>
                <c:formatCode>0</c:formatCode>
                <c:ptCount val="16"/>
                <c:pt idx="0">
                  <c:v>141.44043078303801</c:v>
                </c:pt>
                <c:pt idx="1">
                  <c:v>129.16762000640645</c:v>
                </c:pt>
                <c:pt idx="2">
                  <c:v>123.75314929699563</c:v>
                </c:pt>
                <c:pt idx="3">
                  <c:v>119.92324113185265</c:v>
                </c:pt>
                <c:pt idx="4">
                  <c:v>119.23263551920145</c:v>
                </c:pt>
                <c:pt idx="5">
                  <c:v>114.56047163203313</c:v>
                </c:pt>
                <c:pt idx="6">
                  <c:v>115.01766784452296</c:v>
                </c:pt>
                <c:pt idx="7">
                  <c:v>113.52125764733283</c:v>
                </c:pt>
                <c:pt idx="8">
                  <c:v>110.70995880785023</c:v>
                </c:pt>
                <c:pt idx="9">
                  <c:v>113.12990325841075</c:v>
                </c:pt>
                <c:pt idx="10">
                  <c:v>110.91376382578366</c:v>
                </c:pt>
                <c:pt idx="11">
                  <c:v>104.29938097917839</c:v>
                </c:pt>
                <c:pt idx="12">
                  <c:v>107.38397620508896</c:v>
                </c:pt>
                <c:pt idx="13">
                  <c:v>106.00077730275822</c:v>
                </c:pt>
                <c:pt idx="14">
                  <c:v>106.82220106108014</c:v>
                </c:pt>
                <c:pt idx="15">
                  <c:v>98.689861375373738</c:v>
                </c:pt>
              </c:numCache>
            </c:numRef>
          </c:val>
          <c:extLst xmlns:c16r2="http://schemas.microsoft.com/office/drawing/2015/06/chart">
            <c:ext xmlns:c16="http://schemas.microsoft.com/office/drawing/2014/chart" uri="{C3380CC4-5D6E-409C-BE32-E72D297353CC}">
              <c16:uniqueId val="{00000000-769A-449F-B106-369F6C2D850C}"/>
            </c:ext>
          </c:extLst>
        </c:ser>
        <c:ser>
          <c:idx val="1"/>
          <c:order val="1"/>
          <c:tx>
            <c:strRef>
              <c:f>'Mzdy-ISCO'!$B$63</c:f>
              <c:strCache>
                <c:ptCount val="1"/>
                <c:pt idx="0">
                  <c:v>Středočeský kraj</c:v>
                </c:pt>
              </c:strCache>
            </c:strRef>
          </c:tx>
          <c:spPr>
            <a:ln w="19050">
              <a:solidFill>
                <a:srgbClr val="7DBB2D"/>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'Mzdy-ISCO'!$C$63:$R$63</c:f>
              <c:numCache>
                <c:formatCode>0</c:formatCode>
                <c:ptCount val="16"/>
                <c:pt idx="0">
                  <c:v>99.787715089487577</c:v>
                </c:pt>
                <c:pt idx="1">
                  <c:v>109.24053142970453</c:v>
                </c:pt>
                <c:pt idx="2">
                  <c:v>91.731910167149792</c:v>
                </c:pt>
                <c:pt idx="3">
                  <c:v>93.009946859245133</c:v>
                </c:pt>
                <c:pt idx="4">
                  <c:v>102.9114099542501</c:v>
                </c:pt>
                <c:pt idx="5">
                  <c:v>104.04506187251877</c:v>
                </c:pt>
                <c:pt idx="6">
                  <c:v>100.51678445229678</c:v>
                </c:pt>
                <c:pt idx="7">
                  <c:v>99.883837992719648</c:v>
                </c:pt>
                <c:pt idx="8">
                  <c:v>100.92076568936358</c:v>
                </c:pt>
                <c:pt idx="9">
                  <c:v>99.918178755354418</c:v>
                </c:pt>
                <c:pt idx="10">
                  <c:v>111.11570058286242</c:v>
                </c:pt>
                <c:pt idx="11">
                  <c:v>112.26036390921118</c:v>
                </c:pt>
                <c:pt idx="12">
                  <c:v>107.16207922194418</c:v>
                </c:pt>
                <c:pt idx="13">
                  <c:v>107.34162456276802</c:v>
                </c:pt>
                <c:pt idx="14">
                  <c:v>109.40008162154822</c:v>
                </c:pt>
                <c:pt idx="15">
                  <c:v>106.77901603696603</c:v>
                </c:pt>
              </c:numCache>
            </c:numRef>
          </c:val>
          <c:extLst xmlns:c16r2="http://schemas.microsoft.com/office/drawing/2015/06/chart">
            <c:ext xmlns:c16="http://schemas.microsoft.com/office/drawing/2014/chart" uri="{C3380CC4-5D6E-409C-BE32-E72D297353CC}">
              <c16:uniqueId val="{00000001-769A-449F-B106-369F6C2D850C}"/>
            </c:ext>
          </c:extLst>
        </c:ser>
        <c:ser>
          <c:idx val="2"/>
          <c:order val="2"/>
          <c:tx>
            <c:strRef>
              <c:f>'Mzdy-ISCO'!$B$64</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'Mzdy-ISCO'!$C$64:$R$64</c:f>
              <c:numCache>
                <c:formatCode>0</c:formatCode>
                <c:ptCount val="16"/>
                <c:pt idx="0">
                  <c:v>77.371809254241384</c:v>
                </c:pt>
                <c:pt idx="1">
                  <c:v>89.220396894399727</c:v>
                </c:pt>
                <c:pt idx="2">
                  <c:v>84.815647603825212</c:v>
                </c:pt>
                <c:pt idx="3">
                  <c:v>81.630104010537309</c:v>
                </c:pt>
                <c:pt idx="4">
                  <c:v>95.629419104394458</c:v>
                </c:pt>
                <c:pt idx="5">
                  <c:v>94.597828624795696</c:v>
                </c:pt>
                <c:pt idx="6">
                  <c:v>97.014134275618972</c:v>
                </c:pt>
                <c:pt idx="7">
                  <c:v>93.789204677456809</c:v>
                </c:pt>
                <c:pt idx="8">
                  <c:v>97.486067361279396</c:v>
                </c:pt>
                <c:pt idx="9">
                  <c:v>102.75304423160226</c:v>
                </c:pt>
                <c:pt idx="10">
                  <c:v>94.951581073018502</c:v>
                </c:pt>
                <c:pt idx="11">
                  <c:v>94.455074094916512</c:v>
                </c:pt>
                <c:pt idx="12">
                  <c:v>97.743260469289439</c:v>
                </c:pt>
                <c:pt idx="13">
                  <c:v>95.915273999223317</c:v>
                </c:pt>
                <c:pt idx="14">
                  <c:v>95.313562780574074</c:v>
                </c:pt>
                <c:pt idx="15">
                  <c:v>97.401467790160396</c:v>
                </c:pt>
              </c:numCache>
            </c:numRef>
          </c:val>
          <c:extLst xmlns:c16r2="http://schemas.microsoft.com/office/drawing/2015/06/chart">
            <c:ext xmlns:c16="http://schemas.microsoft.com/office/drawing/2014/chart" uri="{C3380CC4-5D6E-409C-BE32-E72D297353CC}">
              <c16:uniqueId val="{00000002-769A-449F-B106-369F6C2D850C}"/>
            </c:ext>
          </c:extLst>
        </c:ser>
        <c:ser>
          <c:idx val="3"/>
          <c:order val="3"/>
          <c:tx>
            <c:strRef>
              <c:f>'Mzdy-ISCO'!$B$65</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'Mzdy-ISCO'!$C$65:$R$65</c:f>
              <c:numCache>
                <c:formatCode>0</c:formatCode>
                <c:ptCount val="16"/>
                <c:pt idx="0">
                  <c:v>88.679863999585749</c:v>
                </c:pt>
                <c:pt idx="1">
                  <c:v>90.786924754801021</c:v>
                </c:pt>
                <c:pt idx="2">
                  <c:v>92.103053124915363</c:v>
                </c:pt>
                <c:pt idx="3">
                  <c:v>91.792705636552739</c:v>
                </c:pt>
                <c:pt idx="4">
                  <c:v>96.579093303757048</c:v>
                </c:pt>
                <c:pt idx="5">
                  <c:v>100.32395517160865</c:v>
                </c:pt>
                <c:pt idx="6">
                  <c:v>102.20848056537102</c:v>
                </c:pt>
                <c:pt idx="7">
                  <c:v>96.999148145279946</c:v>
                </c:pt>
                <c:pt idx="8">
                  <c:v>99.33971407802278</c:v>
                </c:pt>
                <c:pt idx="9">
                  <c:v>101.54016460509314</c:v>
                </c:pt>
                <c:pt idx="10">
                  <c:v>105.86993437055322</c:v>
                </c:pt>
                <c:pt idx="11">
                  <c:v>110.05439879947427</c:v>
                </c:pt>
                <c:pt idx="12">
                  <c:v>103.14904867569985</c:v>
                </c:pt>
                <c:pt idx="13">
                  <c:v>103.15973571706068</c:v>
                </c:pt>
                <c:pt idx="14">
                  <c:v>100.46252210583594</c:v>
                </c:pt>
                <c:pt idx="15">
                  <c:v>111.30198423484643</c:v>
                </c:pt>
              </c:numCache>
            </c:numRef>
          </c:val>
          <c:extLst xmlns:c16r2="http://schemas.microsoft.com/office/drawing/2015/06/chart">
            <c:ext xmlns:c16="http://schemas.microsoft.com/office/drawing/2014/chart" uri="{C3380CC4-5D6E-409C-BE32-E72D297353CC}">
              <c16:uniqueId val="{00000003-769A-449F-B106-369F6C2D850C}"/>
            </c:ext>
          </c:extLst>
        </c:ser>
        <c:ser>
          <c:idx val="4"/>
          <c:order val="4"/>
          <c:tx>
            <c:strRef>
              <c:f>'Mzdy-ISCO'!$B$66</c:f>
              <c:strCache>
                <c:ptCount val="1"/>
                <c:pt idx="0">
                  <c:v>Karlovarský kraj</c:v>
                </c:pt>
              </c:strCache>
            </c:strRef>
          </c:tx>
          <c:spPr>
            <a:ln w="19050">
              <a:solidFill>
                <a:srgbClr val="0071BC"/>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'Mzdy-ISCO'!$C$66:$R$66</c:f>
              <c:numCache>
                <c:formatCode>0</c:formatCode>
                <c:ptCount val="16"/>
                <c:pt idx="0">
                  <c:v>76.260333787818666</c:v>
                </c:pt>
                <c:pt idx="1">
                  <c:v>72.505681904849055</c:v>
                </c:pt>
                <c:pt idx="2">
                  <c:v>81.467233765882781</c:v>
                </c:pt>
                <c:pt idx="3">
                  <c:v>82.708815914974778</c:v>
                </c:pt>
                <c:pt idx="4">
                  <c:v>87.491335089421852</c:v>
                </c:pt>
                <c:pt idx="5">
                  <c:v>90.780410926920382</c:v>
                </c:pt>
                <c:pt idx="6">
                  <c:v>96.426678445229683</c:v>
                </c:pt>
                <c:pt idx="7">
                  <c:v>98.052350344613558</c:v>
                </c:pt>
                <c:pt idx="8">
                  <c:v>103.0591228495275</c:v>
                </c:pt>
                <c:pt idx="9">
                  <c:v>100.66419598594685</c:v>
                </c:pt>
                <c:pt idx="10">
                  <c:v>97.58593785855129</c:v>
                </c:pt>
                <c:pt idx="11">
                  <c:v>91.735134121178021</c:v>
                </c:pt>
                <c:pt idx="12">
                  <c:v>94.891648175251348</c:v>
                </c:pt>
                <c:pt idx="13">
                  <c:v>98.51923824329576</c:v>
                </c:pt>
                <c:pt idx="14">
                  <c:v>95.095905319004189</c:v>
                </c:pt>
                <c:pt idx="15">
                  <c:v>100.85349279695492</c:v>
                </c:pt>
              </c:numCache>
            </c:numRef>
          </c:val>
          <c:extLst xmlns:c16r2="http://schemas.microsoft.com/office/drawing/2015/06/chart">
            <c:ext xmlns:c16="http://schemas.microsoft.com/office/drawing/2014/chart" uri="{C3380CC4-5D6E-409C-BE32-E72D297353CC}">
              <c16:uniqueId val="{00000004-769A-449F-B106-369F6C2D850C}"/>
            </c:ext>
          </c:extLst>
        </c:ser>
        <c:ser>
          <c:idx val="5"/>
          <c:order val="5"/>
          <c:tx>
            <c:strRef>
              <c:f>'Mzdy-ISCO'!$B$67</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'Mzdy-ISCO'!$C$67:$R$67</c:f>
              <c:numCache>
                <c:formatCode>0</c:formatCode>
                <c:ptCount val="16"/>
                <c:pt idx="0">
                  <c:v>89.896618974474009</c:v>
                </c:pt>
                <c:pt idx="1">
                  <c:v>85.846336887383558</c:v>
                </c:pt>
                <c:pt idx="2">
                  <c:v>87.551811015089058</c:v>
                </c:pt>
                <c:pt idx="3">
                  <c:v>86.337829858745522</c:v>
                </c:pt>
                <c:pt idx="4">
                  <c:v>94.194509912657679</c:v>
                </c:pt>
                <c:pt idx="5">
                  <c:v>91.889446649544709</c:v>
                </c:pt>
                <c:pt idx="6">
                  <c:v>91.886042402825979</c:v>
                </c:pt>
                <c:pt idx="7">
                  <c:v>93.239371176333066</c:v>
                </c:pt>
                <c:pt idx="8">
                  <c:v>92.936757935546382</c:v>
                </c:pt>
                <c:pt idx="9">
                  <c:v>97.28545988352505</c:v>
                </c:pt>
                <c:pt idx="10">
                  <c:v>95.1626967736008</c:v>
                </c:pt>
                <c:pt idx="11">
                  <c:v>97.572688051021487</c:v>
                </c:pt>
                <c:pt idx="12">
                  <c:v>100.98201218072801</c:v>
                </c:pt>
                <c:pt idx="13">
                  <c:v>101.77225029148848</c:v>
                </c:pt>
                <c:pt idx="14">
                  <c:v>96.27941776629028</c:v>
                </c:pt>
                <c:pt idx="15">
                  <c:v>99.537917912476189</c:v>
                </c:pt>
              </c:numCache>
            </c:numRef>
          </c:val>
          <c:extLst xmlns:c16r2="http://schemas.microsoft.com/office/drawing/2015/06/chart">
            <c:ext xmlns:c16="http://schemas.microsoft.com/office/drawing/2014/chart" uri="{C3380CC4-5D6E-409C-BE32-E72D297353CC}">
              <c16:uniqueId val="{00000005-769A-449F-B106-369F6C2D850C}"/>
            </c:ext>
          </c:extLst>
        </c:ser>
        <c:ser>
          <c:idx val="6"/>
          <c:order val="6"/>
          <c:tx>
            <c:strRef>
              <c:f>'Mzdy-ISCO'!$B$68</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'Mzdy-ISCO'!$C$68:$R$68</c:f>
              <c:numCache>
                <c:formatCode>0</c:formatCode>
                <c:ptCount val="16"/>
                <c:pt idx="0">
                  <c:v>86.700264061718968</c:v>
                </c:pt>
                <c:pt idx="1">
                  <c:v>94.647569364999526</c:v>
                </c:pt>
                <c:pt idx="2">
                  <c:v>86.319182943678371</c:v>
                </c:pt>
                <c:pt idx="3">
                  <c:v>87.800336103918823</c:v>
                </c:pt>
                <c:pt idx="4">
                  <c:v>90.409676972133639</c:v>
                </c:pt>
                <c:pt idx="5">
                  <c:v>95.773990193788535</c:v>
                </c:pt>
                <c:pt idx="6">
                  <c:v>91.590106007067135</c:v>
                </c:pt>
                <c:pt idx="7">
                  <c:v>93.09610470068921</c:v>
                </c:pt>
                <c:pt idx="8">
                  <c:v>99.957596316937241</c:v>
                </c:pt>
                <c:pt idx="9">
                  <c:v>98.291379891225873</c:v>
                </c:pt>
                <c:pt idx="10">
                  <c:v>102.22130432787185</c:v>
                </c:pt>
                <c:pt idx="11">
                  <c:v>102.02213468392421</c:v>
                </c:pt>
                <c:pt idx="12">
                  <c:v>97.493036211699149</c:v>
                </c:pt>
                <c:pt idx="13">
                  <c:v>102.63505635444913</c:v>
                </c:pt>
                <c:pt idx="14">
                  <c:v>107.25071418854577</c:v>
                </c:pt>
                <c:pt idx="15">
                  <c:v>108.88284860016275</c:v>
                </c:pt>
              </c:numCache>
            </c:numRef>
          </c:val>
          <c:extLst xmlns:c16r2="http://schemas.microsoft.com/office/drawing/2015/06/chart">
            <c:ext xmlns:c16="http://schemas.microsoft.com/office/drawing/2014/chart" uri="{C3380CC4-5D6E-409C-BE32-E72D297353CC}">
              <c16:uniqueId val="{00000006-769A-449F-B106-369F6C2D850C}"/>
            </c:ext>
          </c:extLst>
        </c:ser>
        <c:ser>
          <c:idx val="7"/>
          <c:order val="7"/>
          <c:tx>
            <c:strRef>
              <c:f>'Mzdy-ISCO'!$B$69</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'Mzdy-ISCO'!$C$69:$R$69</c:f>
              <c:numCache>
                <c:formatCode>0</c:formatCode>
                <c:ptCount val="16"/>
                <c:pt idx="0">
                  <c:v>80.752834780207465</c:v>
                </c:pt>
                <c:pt idx="1">
                  <c:v>84.766393630165197</c:v>
                </c:pt>
                <c:pt idx="2">
                  <c:v>81.935903340286615</c:v>
                </c:pt>
                <c:pt idx="3">
                  <c:v>87.191715492573849</c:v>
                </c:pt>
                <c:pt idx="4">
                  <c:v>88.458339109940383</c:v>
                </c:pt>
                <c:pt idx="5">
                  <c:v>92.972215736633188</c:v>
                </c:pt>
                <c:pt idx="6">
                  <c:v>89.138692579505289</c:v>
                </c:pt>
                <c:pt idx="7">
                  <c:v>89.75063889104004</c:v>
                </c:pt>
                <c:pt idx="8">
                  <c:v>100.62999757693184</c:v>
                </c:pt>
                <c:pt idx="9">
                  <c:v>99.865235597053641</c:v>
                </c:pt>
                <c:pt idx="10">
                  <c:v>98.352379641103312</c:v>
                </c:pt>
                <c:pt idx="11">
                  <c:v>98.506846745450858</c:v>
                </c:pt>
                <c:pt idx="12">
                  <c:v>96.850951324300084</c:v>
                </c:pt>
                <c:pt idx="13">
                  <c:v>99.549164399533623</c:v>
                </c:pt>
                <c:pt idx="14">
                  <c:v>103.31247449326621</c:v>
                </c:pt>
                <c:pt idx="15">
                  <c:v>107.9804294645289</c:v>
                </c:pt>
              </c:numCache>
            </c:numRef>
          </c:val>
          <c:extLst xmlns:c16r2="http://schemas.microsoft.com/office/drawing/2015/06/chart">
            <c:ext xmlns:c16="http://schemas.microsoft.com/office/drawing/2014/chart" uri="{C3380CC4-5D6E-409C-BE32-E72D297353CC}">
              <c16:uniqueId val="{00000007-769A-449F-B106-369F6C2D850C}"/>
            </c:ext>
          </c:extLst>
        </c:ser>
        <c:ser>
          <c:idx val="8"/>
          <c:order val="8"/>
          <c:tx>
            <c:strRef>
              <c:f>'Mzdy-ISCO'!$B$70</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'Mzdy-ISCO'!$C$70:$R$70</c:f>
              <c:numCache>
                <c:formatCode>0</c:formatCode>
                <c:ptCount val="16"/>
                <c:pt idx="0">
                  <c:v>79.187449301876043</c:v>
                </c:pt>
                <c:pt idx="1">
                  <c:v>87.176436492319141</c:v>
                </c:pt>
                <c:pt idx="2">
                  <c:v>82.076775119875606</c:v>
                </c:pt>
                <c:pt idx="3">
                  <c:v>84.716355543443683</c:v>
                </c:pt>
                <c:pt idx="4">
                  <c:v>90.302232080964558</c:v>
                </c:pt>
                <c:pt idx="5">
                  <c:v>92.295120242820445</c:v>
                </c:pt>
                <c:pt idx="6">
                  <c:v>94.076855123674036</c:v>
                </c:pt>
                <c:pt idx="7">
                  <c:v>97.169519089289864</c:v>
                </c:pt>
                <c:pt idx="8">
                  <c:v>96.965107826508358</c:v>
                </c:pt>
                <c:pt idx="9">
                  <c:v>95.957067911633061</c:v>
                </c:pt>
                <c:pt idx="10">
                  <c:v>95.433475606957643</c:v>
                </c:pt>
                <c:pt idx="11">
                  <c:v>95.310448321140498</c:v>
                </c:pt>
                <c:pt idx="12">
                  <c:v>90.274302440866819</c:v>
                </c:pt>
                <c:pt idx="13">
                  <c:v>93.264671589584154</c:v>
                </c:pt>
                <c:pt idx="14">
                  <c:v>96.299823153313028</c:v>
                </c:pt>
                <c:pt idx="15">
                  <c:v>98.749660233759172</c:v>
                </c:pt>
              </c:numCache>
            </c:numRef>
          </c:val>
          <c:extLst xmlns:c16r2="http://schemas.microsoft.com/office/drawing/2015/06/chart">
            <c:ext xmlns:c16="http://schemas.microsoft.com/office/drawing/2014/chart" uri="{C3380CC4-5D6E-409C-BE32-E72D297353CC}">
              <c16:uniqueId val="{00000008-769A-449F-B106-369F6C2D850C}"/>
            </c:ext>
          </c:extLst>
        </c:ser>
        <c:ser>
          <c:idx val="9"/>
          <c:order val="9"/>
          <c:tx>
            <c:strRef>
              <c:f>'Mzdy-ISCO'!$B$71</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'Mzdy-ISCO'!$C$71:$R$71</c:f>
              <c:numCache>
                <c:formatCode>0</c:formatCode>
                <c:ptCount val="16"/>
                <c:pt idx="0">
                  <c:v>81.431110957698365</c:v>
                </c:pt>
                <c:pt idx="1">
                  <c:v>90.282036028615408</c:v>
                </c:pt>
                <c:pt idx="2">
                  <c:v>84.563703844174142</c:v>
                </c:pt>
                <c:pt idx="3">
                  <c:v>87.325702865967159</c:v>
                </c:pt>
                <c:pt idx="4">
                  <c:v>91.463330098433389</c:v>
                </c:pt>
                <c:pt idx="5">
                  <c:v>94.054984823721085</c:v>
                </c:pt>
                <c:pt idx="6">
                  <c:v>94.500883392226058</c:v>
                </c:pt>
                <c:pt idx="7">
                  <c:v>100.46464802911881</c:v>
                </c:pt>
                <c:pt idx="8">
                  <c:v>92.736854858250553</c:v>
                </c:pt>
                <c:pt idx="9">
                  <c:v>97.198825624488578</c:v>
                </c:pt>
                <c:pt idx="10">
                  <c:v>96.195327917755804</c:v>
                </c:pt>
                <c:pt idx="11">
                  <c:v>98.334271243669079</c:v>
                </c:pt>
                <c:pt idx="12">
                  <c:v>94.103205703224589</c:v>
                </c:pt>
                <c:pt idx="13">
                  <c:v>98.865137971239719</c:v>
                </c:pt>
                <c:pt idx="14">
                  <c:v>102.56427696912036</c:v>
                </c:pt>
                <c:pt idx="15">
                  <c:v>94.987768415330265</c:v>
                </c:pt>
              </c:numCache>
            </c:numRef>
          </c:val>
          <c:extLst xmlns:c16r2="http://schemas.microsoft.com/office/drawing/2015/06/chart">
            <c:ext xmlns:c16="http://schemas.microsoft.com/office/drawing/2014/chart" uri="{C3380CC4-5D6E-409C-BE32-E72D297353CC}">
              <c16:uniqueId val="{00000009-769A-449F-B106-369F6C2D850C}"/>
            </c:ext>
          </c:extLst>
        </c:ser>
        <c:ser>
          <c:idx val="10"/>
          <c:order val="10"/>
          <c:tx>
            <c:strRef>
              <c:f>'Mzdy-ISCO'!$B$72</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'Mzdy-ISCO'!$C$72:$R$72</c:f>
              <c:numCache>
                <c:formatCode>0</c:formatCode>
                <c:ptCount val="16"/>
                <c:pt idx="0">
                  <c:v>91.448197304154178</c:v>
                </c:pt>
                <c:pt idx="1">
                  <c:v>88.739913665553743</c:v>
                </c:pt>
                <c:pt idx="2">
                  <c:v>94.671254029745626</c:v>
                </c:pt>
                <c:pt idx="3">
                  <c:v>98.816823363764357</c:v>
                </c:pt>
                <c:pt idx="4">
                  <c:v>94.814917510051288</c:v>
                </c:pt>
                <c:pt idx="5">
                  <c:v>94.685384076580419</c:v>
                </c:pt>
                <c:pt idx="6">
                  <c:v>95.711130742049463</c:v>
                </c:pt>
                <c:pt idx="7">
                  <c:v>97.661271586773012</c:v>
                </c:pt>
                <c:pt idx="8">
                  <c:v>95.535497940392531</c:v>
                </c:pt>
                <c:pt idx="9">
                  <c:v>93.483178514703056</c:v>
                </c:pt>
                <c:pt idx="10">
                  <c:v>97.016843361329123</c:v>
                </c:pt>
                <c:pt idx="11">
                  <c:v>97.291314950290797</c:v>
                </c:pt>
                <c:pt idx="12">
                  <c:v>96.822624049856003</c:v>
                </c:pt>
                <c:pt idx="13">
                  <c:v>96.292265837543709</c:v>
                </c:pt>
                <c:pt idx="14">
                  <c:v>102.5370697864236</c:v>
                </c:pt>
                <c:pt idx="15">
                  <c:v>95.79777113345898</c:v>
                </c:pt>
              </c:numCache>
            </c:numRef>
          </c:val>
          <c:extLst xmlns:c16r2="http://schemas.microsoft.com/office/drawing/2015/06/chart">
            <c:ext xmlns:c16="http://schemas.microsoft.com/office/drawing/2014/chart" uri="{C3380CC4-5D6E-409C-BE32-E72D297353CC}">
              <c16:uniqueId val="{0000000A-769A-449F-B106-369F6C2D850C}"/>
            </c:ext>
          </c:extLst>
        </c:ser>
        <c:ser>
          <c:idx val="11"/>
          <c:order val="11"/>
          <c:tx>
            <c:strRef>
              <c:f>'Mzdy-ISCO'!$B$73</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'Mzdy-ISCO'!$C$73:$R$73</c:f>
              <c:numCache>
                <c:formatCode>0</c:formatCode>
                <c:ptCount val="16"/>
                <c:pt idx="0">
                  <c:v>79.974456774995247</c:v>
                </c:pt>
                <c:pt idx="1">
                  <c:v>83.587303040009772</c:v>
                </c:pt>
                <c:pt idx="2">
                  <c:v>82.997859832579309</c:v>
                </c:pt>
                <c:pt idx="3">
                  <c:v>85.870009538083337</c:v>
                </c:pt>
                <c:pt idx="4">
                  <c:v>87.484403160959374</c:v>
                </c:pt>
                <c:pt idx="5">
                  <c:v>86.595260331543315</c:v>
                </c:pt>
                <c:pt idx="6">
                  <c:v>88.175795053002574</c:v>
                </c:pt>
                <c:pt idx="7">
                  <c:v>90.494075737628748</c:v>
                </c:pt>
                <c:pt idx="8">
                  <c:v>98.855100557305548</c:v>
                </c:pt>
                <c:pt idx="9">
                  <c:v>93.348414111758188</c:v>
                </c:pt>
                <c:pt idx="10">
                  <c:v>97.140759098627754</c:v>
                </c:pt>
                <c:pt idx="11">
                  <c:v>94.590133183267696</c:v>
                </c:pt>
                <c:pt idx="12">
                  <c:v>95.462914876540282</c:v>
                </c:pt>
                <c:pt idx="13">
                  <c:v>93.326855810338088</c:v>
                </c:pt>
                <c:pt idx="14">
                  <c:v>93.497483335600592</c:v>
                </c:pt>
                <c:pt idx="15">
                  <c:v>94.623539005164389</c:v>
                </c:pt>
              </c:numCache>
            </c:numRef>
          </c:val>
          <c:extLst xmlns:c16r2="http://schemas.microsoft.com/office/drawing/2015/06/chart">
            <c:ext xmlns:c16="http://schemas.microsoft.com/office/drawing/2014/chart" uri="{C3380CC4-5D6E-409C-BE32-E72D297353CC}">
              <c16:uniqueId val="{0000000B-769A-449F-B106-369F6C2D850C}"/>
            </c:ext>
          </c:extLst>
        </c:ser>
        <c:ser>
          <c:idx val="12"/>
          <c:order val="12"/>
          <c:tx>
            <c:strRef>
              <c:f>'Mzdy-ISCO'!$B$74</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'Mzdy-ISCO'!$C$74:$R$74</c:f>
              <c:numCache>
                <c:formatCode>0</c:formatCode>
                <c:ptCount val="16"/>
                <c:pt idx="0">
                  <c:v>79.933035329041616</c:v>
                </c:pt>
                <c:pt idx="1">
                  <c:v>73.761039674186605</c:v>
                </c:pt>
                <c:pt idx="2">
                  <c:v>80.743911359141762</c:v>
                </c:pt>
                <c:pt idx="3">
                  <c:v>83.462778761865778</c:v>
                </c:pt>
                <c:pt idx="4">
                  <c:v>88.700956606127832</c:v>
                </c:pt>
                <c:pt idx="5">
                  <c:v>89.852323137986744</c:v>
                </c:pt>
                <c:pt idx="6">
                  <c:v>88.785335689045937</c:v>
                </c:pt>
                <c:pt idx="7">
                  <c:v>88.9065283048091</c:v>
                </c:pt>
                <c:pt idx="8">
                  <c:v>92.100799612309089</c:v>
                </c:pt>
                <c:pt idx="9">
                  <c:v>94.137748471867909</c:v>
                </c:pt>
                <c:pt idx="10">
                  <c:v>98.563495341686149</c:v>
                </c:pt>
                <c:pt idx="11">
                  <c:v>96.368411179890643</c:v>
                </c:pt>
                <c:pt idx="12">
                  <c:v>98.102072612245948</c:v>
                </c:pt>
                <c:pt idx="13">
                  <c:v>96.261173727166721</c:v>
                </c:pt>
                <c:pt idx="14">
                  <c:v>90.790368657325544</c:v>
                </c:pt>
                <c:pt idx="15">
                  <c:v>97.216634955150866</c:v>
                </c:pt>
              </c:numCache>
            </c:numRef>
          </c:val>
          <c:extLst xmlns:c16r2="http://schemas.microsoft.com/office/drawing/2015/06/chart">
            <c:ext xmlns:c16="http://schemas.microsoft.com/office/drawing/2014/chart" uri="{C3380CC4-5D6E-409C-BE32-E72D297353CC}">
              <c16:uniqueId val="{0000000C-769A-449F-B106-369F6C2D850C}"/>
            </c:ext>
          </c:extLst>
        </c:ser>
        <c:ser>
          <c:idx val="13"/>
          <c:order val="13"/>
          <c:tx>
            <c:strRef>
              <c:f>'Mzdy-ISCO'!$B$75</c:f>
              <c:strCache>
                <c:ptCount val="1"/>
                <c:pt idx="0">
                  <c:v>ostatní kraje</c:v>
                </c:pt>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'Mzdy-ISCO'!$C$75:$R$75</c:f>
              <c:numCache>
                <c:formatCode>0</c:formatCode>
                <c:ptCount val="16"/>
                <c:pt idx="0">
                  <c:v>85.631935934830253</c:v>
                </c:pt>
                <c:pt idx="1">
                  <c:v>87.325920163516358</c:v>
                </c:pt>
                <c:pt idx="2">
                  <c:v>87.32695798228265</c:v>
                </c:pt>
                <c:pt idx="3">
                  <c:v>86.537675432620219</c:v>
                </c:pt>
                <c:pt idx="4">
                  <c:v>94.312352696519369</c:v>
                </c:pt>
                <c:pt idx="5">
                  <c:v>91.334928788233128</c:v>
                </c:pt>
                <c:pt idx="6">
                  <c:v>93.639575971731418</c:v>
                </c:pt>
                <c:pt idx="7">
                  <c:v>87.214435065437996</c:v>
                </c:pt>
                <c:pt idx="8">
                  <c:v>96.28664889750344</c:v>
                </c:pt>
                <c:pt idx="9">
                  <c:v>94.426529335322726</c:v>
                </c:pt>
                <c:pt idx="10">
                  <c:v>101.12442057919134</c:v>
                </c:pt>
                <c:pt idx="11">
                  <c:v>96.964922153442132</c:v>
                </c:pt>
                <c:pt idx="12">
                  <c:v>107.04404891176054</c:v>
                </c:pt>
                <c:pt idx="13">
                  <c:v>98.705790905557649</c:v>
                </c:pt>
                <c:pt idx="14">
                  <c:v>93.830771323628255</c:v>
                </c:pt>
                <c:pt idx="15">
                  <c:v>95.868442511550853</c:v>
                </c:pt>
              </c:numCache>
            </c:numRef>
          </c:val>
          <c:extLst xmlns:c16r2="http://schemas.microsoft.com/office/drawing/2015/06/chart">
            <c:ext xmlns:c16="http://schemas.microsoft.com/office/drawing/2014/chart" uri="{C3380CC4-5D6E-409C-BE32-E72D297353CC}">
              <c16:uniqueId val="{0000000D-769A-449F-B106-369F6C2D850C}"/>
            </c:ext>
          </c:extLst>
        </c:ser>
        <c:ser>
          <c:idx val="14"/>
          <c:order val="14"/>
          <c:tx>
            <c:strRef>
              <c:f>'Mzdy-ISCO'!$B$76</c:f>
              <c:strCache>
                <c:ptCount val="1"/>
                <c:pt idx="0">
                  <c:v>maximum (kraj)</c:v>
                </c:pt>
              </c:strCache>
            </c:strRef>
          </c:tx>
          <c:spPr>
            <a:ln>
              <a:noFill/>
              <a:prstDash val="sysDot"/>
            </a:ln>
          </c:spPr>
          <c:marker>
            <c:symbol val="circle"/>
            <c:size val="5"/>
            <c:spPr>
              <a:solidFill>
                <a:srgbClr val="FF0000"/>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'Mzdy-ISCO'!$C$76:$R$76</c:f>
              <c:numCache>
                <c:formatCode>0</c:formatCode>
                <c:ptCount val="16"/>
                <c:pt idx="0">
                  <c:v>141.44043078303801</c:v>
                </c:pt>
                <c:pt idx="1">
                  <c:v>129.16762000640645</c:v>
                </c:pt>
                <c:pt idx="2">
                  <c:v>123.75314929699563</c:v>
                </c:pt>
                <c:pt idx="3">
                  <c:v>119.92324113185265</c:v>
                </c:pt>
                <c:pt idx="4">
                  <c:v>119.23263551920145</c:v>
                </c:pt>
                <c:pt idx="5">
                  <c:v>114.56047163203313</c:v>
                </c:pt>
                <c:pt idx="6">
                  <c:v>115.01766784452296</c:v>
                </c:pt>
                <c:pt idx="7">
                  <c:v>113.52125764733283</c:v>
                </c:pt>
                <c:pt idx="8">
                  <c:v>110.70995880785023</c:v>
                </c:pt>
                <c:pt idx="9">
                  <c:v>113.12990325841075</c:v>
                </c:pt>
                <c:pt idx="10">
                  <c:v>111.11570058286242</c:v>
                </c:pt>
                <c:pt idx="11">
                  <c:v>112.26036390921118</c:v>
                </c:pt>
                <c:pt idx="12">
                  <c:v>107.38397620508896</c:v>
                </c:pt>
                <c:pt idx="13">
                  <c:v>107.34162456276802</c:v>
                </c:pt>
                <c:pt idx="14">
                  <c:v>109.40008162154822</c:v>
                </c:pt>
                <c:pt idx="15">
                  <c:v>111.30198423484643</c:v>
                </c:pt>
              </c:numCache>
            </c:numRef>
          </c:val>
          <c:extLst xmlns:c16r2="http://schemas.microsoft.com/office/drawing/2015/06/chart">
            <c:ext xmlns:c16="http://schemas.microsoft.com/office/drawing/2014/chart" uri="{C3380CC4-5D6E-409C-BE32-E72D297353CC}">
              <c16:uniqueId val="{0000000E-769A-449F-B106-369F6C2D850C}"/>
            </c:ext>
          </c:extLst>
        </c:ser>
        <c:ser>
          <c:idx val="15"/>
          <c:order val="15"/>
          <c:tx>
            <c:strRef>
              <c:f>'Mzdy-ISCO'!$B$77</c:f>
              <c:strCache>
                <c:ptCount val="1"/>
                <c:pt idx="0">
                  <c:v>minimum (kraj)</c:v>
                </c:pt>
              </c:strCache>
            </c:strRef>
          </c:tx>
          <c:spPr>
            <a:ln>
              <a:noFill/>
            </a:ln>
          </c:spPr>
          <c:marker>
            <c:symbol val="circle"/>
            <c:size val="5"/>
            <c:spPr>
              <a:solidFill>
                <a:srgbClr val="0071BC"/>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'Mzdy-ISCO'!$C$77:$R$77</c:f>
              <c:numCache>
                <c:formatCode>0</c:formatCode>
                <c:ptCount val="16"/>
                <c:pt idx="0">
                  <c:v>76.260333787818666</c:v>
                </c:pt>
                <c:pt idx="1">
                  <c:v>72.505681904849055</c:v>
                </c:pt>
                <c:pt idx="2">
                  <c:v>80.743911359141762</c:v>
                </c:pt>
                <c:pt idx="3">
                  <c:v>81.630104010537309</c:v>
                </c:pt>
                <c:pt idx="4">
                  <c:v>87.484403160959374</c:v>
                </c:pt>
                <c:pt idx="5">
                  <c:v>86.595260331543315</c:v>
                </c:pt>
                <c:pt idx="6">
                  <c:v>88.175795053002574</c:v>
                </c:pt>
                <c:pt idx="7">
                  <c:v>87.214435065437996</c:v>
                </c:pt>
                <c:pt idx="8">
                  <c:v>92.100799612309089</c:v>
                </c:pt>
                <c:pt idx="9">
                  <c:v>93.348414111758188</c:v>
                </c:pt>
                <c:pt idx="10">
                  <c:v>94.951581073018502</c:v>
                </c:pt>
                <c:pt idx="11">
                  <c:v>91.735134121178021</c:v>
                </c:pt>
                <c:pt idx="12">
                  <c:v>90.274302440866819</c:v>
                </c:pt>
                <c:pt idx="13">
                  <c:v>93.264671589584154</c:v>
                </c:pt>
                <c:pt idx="14">
                  <c:v>90.790368657325544</c:v>
                </c:pt>
                <c:pt idx="15">
                  <c:v>94.623539005164389</c:v>
                </c:pt>
              </c:numCache>
            </c:numRef>
          </c:val>
          <c:extLst xmlns:c16r2="http://schemas.microsoft.com/office/drawing/2015/06/chart">
            <c:ext xmlns:c16="http://schemas.microsoft.com/office/drawing/2014/chart" uri="{C3380CC4-5D6E-409C-BE32-E72D297353CC}">
              <c16:uniqueId val="{0000000F-769A-449F-B106-369F6C2D850C}"/>
            </c:ext>
          </c:extLst>
        </c:ser>
        <c:marker val="1"/>
        <c:axId val="188375424"/>
        <c:axId val="188377344"/>
      </c:lineChart>
      <c:catAx>
        <c:axId val="188375424"/>
        <c:scaling>
          <c:orientation val="minMax"/>
        </c:scaling>
        <c:axPos val="b"/>
        <c:numFmt formatCode="General" sourceLinked="0"/>
        <c:tickLblPos val="nextTo"/>
        <c:txPr>
          <a:bodyPr/>
          <a:lstStyle/>
          <a:p>
            <a:pPr>
              <a:defRPr sz="800">
                <a:latin typeface="Arial" pitchFamily="34" charset="0"/>
                <a:cs typeface="Arial" pitchFamily="34" charset="0"/>
              </a:defRPr>
            </a:pPr>
            <a:endParaRPr lang="cs-CZ"/>
          </a:p>
        </c:txPr>
        <c:crossAx val="188377344"/>
        <c:crosses val="autoZero"/>
        <c:auto val="1"/>
        <c:lblAlgn val="ctr"/>
        <c:lblOffset val="0"/>
      </c:catAx>
      <c:valAx>
        <c:axId val="188377344"/>
        <c:scaling>
          <c:orientation val="minMax"/>
          <c:max val="142"/>
          <c:min val="70"/>
        </c:scaling>
        <c:axPos val="l"/>
        <c:majorGridlines>
          <c:spPr>
            <a:ln w="6350">
              <a:solidFill>
                <a:schemeClr val="bg1">
                  <a:lumMod val="65000"/>
                </a:schemeClr>
              </a:solidFill>
            </a:ln>
          </c:spPr>
        </c:majorGridlines>
        <c:numFmt formatCode="0" sourceLinked="1"/>
        <c:tickLblPos val="nextTo"/>
        <c:txPr>
          <a:bodyPr/>
          <a:lstStyle/>
          <a:p>
            <a:pPr>
              <a:defRPr sz="800">
                <a:latin typeface="Arial" pitchFamily="34" charset="0"/>
                <a:cs typeface="Arial" pitchFamily="34" charset="0"/>
              </a:defRPr>
            </a:pPr>
            <a:endParaRPr lang="cs-CZ"/>
          </a:p>
        </c:txPr>
        <c:crossAx val="188375424"/>
        <c:crosses val="autoZero"/>
        <c:crossBetween val="between"/>
        <c:majorUnit val="10"/>
      </c:valAx>
      <c:spPr>
        <a:ln>
          <a:solidFill>
            <a:sysClr val="windowText" lastClr="000000">
              <a:lumMod val="95000"/>
              <a:lumOff val="5000"/>
            </a:sysClr>
          </a:solidFill>
        </a:ln>
      </c:spPr>
    </c:plotArea>
    <c:legend>
      <c:legendPos val="r"/>
      <c:legendEntry>
        <c:idx val="2"/>
        <c:delete val="1"/>
      </c:legendEntry>
      <c:legendEntry>
        <c:idx val="3"/>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6.2166305371347874E-2"/>
          <c:y val="0.91845539551454425"/>
          <c:w val="0.92608605098451768"/>
          <c:h val="6.5886960935409106E-2"/>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txPr>
    <a:bodyPr/>
    <a:lstStyle/>
    <a:p>
      <a:pPr>
        <a:defRPr sz="1400"/>
      </a:pPr>
      <a:endParaRPr lang="cs-CZ"/>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2.11807E-7</cdr:x>
      <cdr:y>0.93133</cdr:y>
    </cdr:from>
    <cdr:to>
      <cdr:x>0.9791</cdr:x>
      <cdr:y>0.99581</cdr:y>
    </cdr:to>
    <cdr:sp macro="" textlink="">
      <cdr:nvSpPr>
        <cdr:cNvPr id="2" name="TextovéPole 1"/>
        <cdr:cNvSpPr txBox="1"/>
      </cdr:nvSpPr>
      <cdr:spPr>
        <a:xfrm xmlns:a="http://schemas.openxmlformats.org/drawingml/2006/main">
          <a:off x="1" y="3439602"/>
          <a:ext cx="4622609" cy="238138"/>
        </a:xfrm>
        <a:prstGeom xmlns:a="http://schemas.openxmlformats.org/drawingml/2006/main" prst="rect">
          <a:avLst/>
        </a:prstGeom>
        <a:ln xmlns:a="http://schemas.openxmlformats.org/drawingml/2006/main" w="6350">
          <a:solidFill>
            <a:schemeClr val="tx1">
              <a:lumMod val="95000"/>
              <a:lumOff val="5000"/>
            </a:schemeClr>
          </a:solidFill>
        </a:ln>
      </cdr:spPr>
      <cdr:txBody>
        <a:bodyPr xmlns:a="http://schemas.openxmlformats.org/drawingml/2006/main" vertOverflow="clip" wrap="square" lIns="0" tIns="0" rIns="0" bIns="0" rtlCol="0"/>
        <a:lstStyle xmlns:a="http://schemas.openxmlformats.org/drawingml/2006/main"/>
        <a:p xmlns:a="http://schemas.openxmlformats.org/drawingml/2006/main">
          <a:r>
            <a:rPr lang="cs-CZ" sz="750">
              <a:latin typeface="Arial" pitchFamily="34" charset="0"/>
              <a:cs typeface="Arial" pitchFamily="34" charset="0"/>
            </a:rPr>
            <a:t> M</a:t>
          </a:r>
          <a:r>
            <a:rPr lang="cs-CZ" sz="750" baseline="0">
              <a:latin typeface="Arial" pitchFamily="34" charset="0"/>
              <a:cs typeface="Arial" pitchFamily="34" charset="0"/>
            </a:rPr>
            <a:t>zda VŠ/ZŠ (pravá osa)     Půrměrná hr.měs.mzda dle nejvyššího dokonč.vzdělání (v tis.korun) v roce 2017    </a:t>
          </a:r>
          <a:endParaRPr lang="cs-CZ" sz="750">
            <a:latin typeface="Arial" pitchFamily="34" charset="0"/>
            <a:cs typeface="Arial" pitchFamily="34" charset="0"/>
          </a:endParaRPr>
        </a:p>
      </cdr:txBody>
    </cdr:sp>
  </cdr:relSizeAnchor>
  <cdr:relSizeAnchor xmlns:cdr="http://schemas.openxmlformats.org/drawingml/2006/chartDrawing">
    <cdr:from>
      <cdr:x>0.06884</cdr:x>
      <cdr:y>0.43007</cdr:y>
    </cdr:from>
    <cdr:to>
      <cdr:x>0.06938</cdr:x>
      <cdr:y>0.52557</cdr:y>
    </cdr:to>
    <cdr:sp macro="" textlink="">
      <cdr:nvSpPr>
        <cdr:cNvPr id="4" name="Přímá spojovací čára 3"/>
        <cdr:cNvSpPr/>
      </cdr:nvSpPr>
      <cdr:spPr>
        <a:xfrm xmlns:a="http://schemas.openxmlformats.org/drawingml/2006/main" flipH="1" flipV="1">
          <a:off x="324365" y="1588357"/>
          <a:ext cx="2574" cy="3526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0.11309</cdr:x>
      <cdr:y>0.16659</cdr:y>
    </cdr:from>
    <cdr:to>
      <cdr:x>0.11418</cdr:x>
      <cdr:y>0.45099</cdr:y>
    </cdr:to>
    <cdr:sp macro="" textlink="">
      <cdr:nvSpPr>
        <cdr:cNvPr id="6" name="Přímá spojovací čára 5"/>
        <cdr:cNvSpPr/>
      </cdr:nvSpPr>
      <cdr:spPr>
        <a:xfrm xmlns:a="http://schemas.openxmlformats.org/drawingml/2006/main" flipV="1">
          <a:off x="532883" y="615264"/>
          <a:ext cx="5150" cy="105032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0.15724</cdr:x>
      <cdr:y>0.23561</cdr:y>
    </cdr:from>
    <cdr:to>
      <cdr:x>0.15779</cdr:x>
      <cdr:y>0.4963</cdr:y>
    </cdr:to>
    <cdr:sp macro="" textlink="">
      <cdr:nvSpPr>
        <cdr:cNvPr id="7" name="Přímá spojovací čára 6"/>
        <cdr:cNvSpPr/>
      </cdr:nvSpPr>
      <cdr:spPr>
        <a:xfrm xmlns:a="http://schemas.openxmlformats.org/drawingml/2006/main" flipV="1">
          <a:off x="740485" y="870172"/>
          <a:ext cx="2590" cy="96278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0.20236</cdr:x>
      <cdr:y>0.13927</cdr:y>
    </cdr:from>
    <cdr:to>
      <cdr:x>0.20286</cdr:x>
      <cdr:y>0.54547</cdr:y>
    </cdr:to>
    <cdr:sp macro="" textlink="">
      <cdr:nvSpPr>
        <cdr:cNvPr id="9" name="Přímá spojovací čára 8"/>
        <cdr:cNvSpPr/>
      </cdr:nvSpPr>
      <cdr:spPr>
        <a:xfrm xmlns:a="http://schemas.openxmlformats.org/drawingml/2006/main" flipH="1" flipV="1">
          <a:off x="952967" y="514354"/>
          <a:ext cx="2354" cy="150018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0.24756</cdr:x>
      <cdr:y>0.29977</cdr:y>
    </cdr:from>
    <cdr:to>
      <cdr:x>0.24807</cdr:x>
      <cdr:y>0.53318</cdr:y>
    </cdr:to>
    <cdr:sp macro="" textlink="">
      <cdr:nvSpPr>
        <cdr:cNvPr id="11" name="Přímá spojovací čára 10"/>
        <cdr:cNvSpPr/>
      </cdr:nvSpPr>
      <cdr:spPr>
        <a:xfrm xmlns:a="http://schemas.openxmlformats.org/drawingml/2006/main" flipV="1">
          <a:off x="1166082" y="1107105"/>
          <a:ext cx="2403" cy="86203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0.29253</cdr:x>
      <cdr:y>0.34753</cdr:y>
    </cdr:from>
    <cdr:to>
      <cdr:x>0.29253</cdr:x>
      <cdr:y>0.54354</cdr:y>
    </cdr:to>
    <cdr:sp macro="" textlink="">
      <cdr:nvSpPr>
        <cdr:cNvPr id="13" name="Přímá spojovací čára 12"/>
        <cdr:cNvSpPr/>
      </cdr:nvSpPr>
      <cdr:spPr>
        <a:xfrm xmlns:a="http://schemas.openxmlformats.org/drawingml/2006/main" flipH="1" flipV="1">
          <a:off x="1377902" y="1283503"/>
          <a:ext cx="0" cy="723907"/>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0.33855</cdr:x>
      <cdr:y>0.27145</cdr:y>
    </cdr:from>
    <cdr:to>
      <cdr:x>0.34007</cdr:x>
      <cdr:y>0.53838</cdr:y>
    </cdr:to>
    <cdr:sp macro="" textlink="">
      <cdr:nvSpPr>
        <cdr:cNvPr id="15" name="Přímá spojovací čára 14"/>
        <cdr:cNvSpPr/>
      </cdr:nvSpPr>
      <cdr:spPr>
        <a:xfrm xmlns:a="http://schemas.openxmlformats.org/drawingml/2006/main" flipV="1">
          <a:off x="1595438" y="1002506"/>
          <a:ext cx="7143" cy="985838"/>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0.38248</cdr:x>
      <cdr:y>0.2661</cdr:y>
    </cdr:from>
    <cdr:to>
      <cdr:x>0.38349</cdr:x>
      <cdr:y>0.51692</cdr:y>
    </cdr:to>
    <cdr:sp macro="" textlink="">
      <cdr:nvSpPr>
        <cdr:cNvPr id="17" name="Přímá spojovací čára 16"/>
        <cdr:cNvSpPr/>
      </cdr:nvSpPr>
      <cdr:spPr>
        <a:xfrm xmlns:a="http://schemas.openxmlformats.org/drawingml/2006/main">
          <a:off x="1801587" y="982759"/>
          <a:ext cx="4757" cy="92633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0.43002</cdr:x>
      <cdr:y>0.45198</cdr:y>
    </cdr:from>
    <cdr:to>
      <cdr:x>0.43103</cdr:x>
      <cdr:y>0.58609</cdr:y>
    </cdr:to>
    <cdr:sp macro="" textlink="">
      <cdr:nvSpPr>
        <cdr:cNvPr id="19" name="Přímá spojovací čára 18"/>
        <cdr:cNvSpPr/>
      </cdr:nvSpPr>
      <cdr:spPr>
        <a:xfrm xmlns:a="http://schemas.openxmlformats.org/drawingml/2006/main">
          <a:off x="2026444" y="1669256"/>
          <a:ext cx="4762" cy="49530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0.47293</cdr:x>
      <cdr:y>0.14401</cdr:y>
    </cdr:from>
    <cdr:to>
      <cdr:x>0.47394</cdr:x>
      <cdr:y>0.46188</cdr:y>
    </cdr:to>
    <cdr:sp macro="" textlink="">
      <cdr:nvSpPr>
        <cdr:cNvPr id="21" name="Přímá spojovací čára 20"/>
        <cdr:cNvSpPr/>
      </cdr:nvSpPr>
      <cdr:spPr>
        <a:xfrm xmlns:a="http://schemas.openxmlformats.org/drawingml/2006/main" flipV="1">
          <a:off x="2227628" y="531876"/>
          <a:ext cx="4757" cy="1173962"/>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0.47275</cdr:x>
      <cdr:y>0.47348</cdr:y>
    </cdr:from>
    <cdr:to>
      <cdr:x>0.47326</cdr:x>
      <cdr:y>0.50894</cdr:y>
    </cdr:to>
    <cdr:sp macro="" textlink="">
      <cdr:nvSpPr>
        <cdr:cNvPr id="23" name="Přímá spojovací čára 22"/>
        <cdr:cNvSpPr/>
      </cdr:nvSpPr>
      <cdr:spPr>
        <a:xfrm xmlns:a="http://schemas.openxmlformats.org/drawingml/2006/main" flipH="1">
          <a:off x="2226754" y="1748679"/>
          <a:ext cx="2402" cy="130962"/>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0.51841</cdr:x>
      <cdr:y>0.04729</cdr:y>
    </cdr:from>
    <cdr:to>
      <cdr:x>0.51841</cdr:x>
      <cdr:y>0.48509</cdr:y>
    </cdr:to>
    <cdr:sp macro="" textlink="">
      <cdr:nvSpPr>
        <cdr:cNvPr id="25" name="Přímá spojovací čára 24"/>
        <cdr:cNvSpPr/>
      </cdr:nvSpPr>
      <cdr:spPr>
        <a:xfrm xmlns:a="http://schemas.openxmlformats.org/drawingml/2006/main" flipV="1">
          <a:off x="2441849" y="174668"/>
          <a:ext cx="0" cy="161689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0.51653</cdr:x>
      <cdr:y>0.49711</cdr:y>
    </cdr:from>
    <cdr:to>
      <cdr:x>0.51704</cdr:x>
      <cdr:y>0.52161</cdr:y>
    </cdr:to>
    <cdr:sp macro="" textlink="">
      <cdr:nvSpPr>
        <cdr:cNvPr id="27" name="Přímá spojovací čára 26"/>
        <cdr:cNvSpPr/>
      </cdr:nvSpPr>
      <cdr:spPr>
        <a:xfrm xmlns:a="http://schemas.openxmlformats.org/drawingml/2006/main" flipH="1">
          <a:off x="2432988" y="1835934"/>
          <a:ext cx="2402" cy="90484"/>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0.56287</cdr:x>
      <cdr:y>0.45672</cdr:y>
    </cdr:from>
    <cdr:to>
      <cdr:x>0.56287</cdr:x>
      <cdr:y>0.5818</cdr:y>
    </cdr:to>
    <cdr:sp macro="" textlink="">
      <cdr:nvSpPr>
        <cdr:cNvPr id="29" name="Přímá spojovací čára 28"/>
        <cdr:cNvSpPr/>
      </cdr:nvSpPr>
      <cdr:spPr>
        <a:xfrm xmlns:a="http://schemas.openxmlformats.org/drawingml/2006/main" flipV="1">
          <a:off x="2651266" y="1686781"/>
          <a:ext cx="0" cy="461947"/>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0.60799</cdr:x>
      <cdr:y>0.31298</cdr:y>
    </cdr:from>
    <cdr:to>
      <cdr:x>0.60803</cdr:x>
      <cdr:y>0.4984</cdr:y>
    </cdr:to>
    <cdr:sp macro="" textlink="">
      <cdr:nvSpPr>
        <cdr:cNvPr id="31" name="Přímá spojovací čára 30"/>
        <cdr:cNvSpPr/>
      </cdr:nvSpPr>
      <cdr:spPr>
        <a:xfrm xmlns:a="http://schemas.openxmlformats.org/drawingml/2006/main" flipH="1">
          <a:off x="2863785" y="1155915"/>
          <a:ext cx="171" cy="6847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0.60817</cdr:x>
      <cdr:y>0.5113</cdr:y>
    </cdr:from>
    <cdr:to>
      <cdr:x>0.60817</cdr:x>
      <cdr:y>0.54031</cdr:y>
    </cdr:to>
    <cdr:sp macro="" textlink="">
      <cdr:nvSpPr>
        <cdr:cNvPr id="33" name="Přímá spojovací čára 32"/>
        <cdr:cNvSpPr/>
      </cdr:nvSpPr>
      <cdr:spPr>
        <a:xfrm xmlns:a="http://schemas.openxmlformats.org/drawingml/2006/main">
          <a:off x="2864613" y="1888341"/>
          <a:ext cx="0" cy="107140"/>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0.65178</cdr:x>
      <cdr:y>0.43802</cdr:y>
    </cdr:from>
    <cdr:to>
      <cdr:x>0.65228</cdr:x>
      <cdr:y>0.55924</cdr:y>
    </cdr:to>
    <cdr:sp macro="" textlink="">
      <cdr:nvSpPr>
        <cdr:cNvPr id="35" name="Přímá spojovací čára 34"/>
        <cdr:cNvSpPr/>
      </cdr:nvSpPr>
      <cdr:spPr>
        <a:xfrm xmlns:a="http://schemas.openxmlformats.org/drawingml/2006/main" flipV="1">
          <a:off x="3070023" y="1617718"/>
          <a:ext cx="2355" cy="447691"/>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0.69829</cdr:x>
      <cdr:y>0.33915</cdr:y>
    </cdr:from>
    <cdr:to>
      <cdr:x>0.6988</cdr:x>
      <cdr:y>0.58093</cdr:y>
    </cdr:to>
    <cdr:sp macro="" textlink="">
      <cdr:nvSpPr>
        <cdr:cNvPr id="37" name="Přímá spojovací čára 36"/>
        <cdr:cNvSpPr/>
      </cdr:nvSpPr>
      <cdr:spPr>
        <a:xfrm xmlns:a="http://schemas.openxmlformats.org/drawingml/2006/main">
          <a:off x="3289126" y="1252554"/>
          <a:ext cx="2402" cy="89294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0.74172</cdr:x>
      <cdr:y>0.4027</cdr:y>
    </cdr:from>
    <cdr:to>
      <cdr:x>0.74223</cdr:x>
      <cdr:y>0.57743</cdr:y>
    </cdr:to>
    <cdr:sp macro="" textlink="">
      <cdr:nvSpPr>
        <cdr:cNvPr id="39" name="Přímá spojovací čára 38"/>
        <cdr:cNvSpPr/>
      </cdr:nvSpPr>
      <cdr:spPr>
        <a:xfrm xmlns:a="http://schemas.openxmlformats.org/drawingml/2006/main" flipH="1">
          <a:off x="3493660" y="1487268"/>
          <a:ext cx="2402" cy="64531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0.7872</cdr:x>
      <cdr:y>0.26458</cdr:y>
    </cdr:from>
    <cdr:to>
      <cdr:x>0.7872</cdr:x>
      <cdr:y>0.5457</cdr:y>
    </cdr:to>
    <cdr:sp macro="" textlink="">
      <cdr:nvSpPr>
        <cdr:cNvPr id="41" name="Přímá spojovací čára 40"/>
        <cdr:cNvSpPr/>
      </cdr:nvSpPr>
      <cdr:spPr>
        <a:xfrm xmlns:a="http://schemas.openxmlformats.org/drawingml/2006/main">
          <a:off x="3707882" y="977167"/>
          <a:ext cx="0" cy="103823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0.83235</cdr:x>
      <cdr:y>0.4272</cdr:y>
    </cdr:from>
    <cdr:to>
      <cdr:x>0.83336</cdr:x>
      <cdr:y>0.55164</cdr:y>
    </cdr:to>
    <cdr:sp macro="" textlink="">
      <cdr:nvSpPr>
        <cdr:cNvPr id="43" name="Přímá spojovací čára 42"/>
        <cdr:cNvSpPr/>
      </cdr:nvSpPr>
      <cdr:spPr>
        <a:xfrm xmlns:a="http://schemas.openxmlformats.org/drawingml/2006/main">
          <a:off x="3920575" y="1577752"/>
          <a:ext cx="4757" cy="4595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0.87696</cdr:x>
      <cdr:y>0.44314</cdr:y>
    </cdr:from>
    <cdr:to>
      <cdr:x>0.87696</cdr:x>
      <cdr:y>0.56564</cdr:y>
    </cdr:to>
    <cdr:sp macro="" textlink="">
      <cdr:nvSpPr>
        <cdr:cNvPr id="45" name="Přímá spojovací čára 44"/>
        <cdr:cNvSpPr/>
      </cdr:nvSpPr>
      <cdr:spPr>
        <a:xfrm xmlns:a="http://schemas.openxmlformats.org/drawingml/2006/main">
          <a:off x="4130693" y="1636616"/>
          <a:ext cx="0" cy="452419"/>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0.92193</cdr:x>
      <cdr:y>0.30326</cdr:y>
    </cdr:from>
    <cdr:to>
      <cdr:x>0.92244</cdr:x>
      <cdr:y>0.53022</cdr:y>
    </cdr:to>
    <cdr:sp macro="" textlink="">
      <cdr:nvSpPr>
        <cdr:cNvPr id="47" name="Přímá spojovací čára 46"/>
        <cdr:cNvSpPr/>
      </cdr:nvSpPr>
      <cdr:spPr>
        <a:xfrm xmlns:a="http://schemas.openxmlformats.org/drawingml/2006/main">
          <a:off x="4342513" y="1120020"/>
          <a:ext cx="2402" cy="838212"/>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0.23185</cdr:x>
      <cdr:y>0.92949</cdr:y>
    </cdr:from>
    <cdr:to>
      <cdr:x>0.23185</cdr:x>
      <cdr:y>0.99345</cdr:y>
    </cdr:to>
    <cdr:sp macro="" textlink="">
      <cdr:nvSpPr>
        <cdr:cNvPr id="28" name="Přímá spojovací čára 27"/>
        <cdr:cNvSpPr/>
      </cdr:nvSpPr>
      <cdr:spPr>
        <a:xfrm xmlns:a="http://schemas.openxmlformats.org/drawingml/2006/main" flipV="1">
          <a:off x="1093470" y="3432810"/>
          <a:ext cx="0" cy="236220"/>
        </a:xfrm>
        <a:prstGeom xmlns:a="http://schemas.openxmlformats.org/drawingml/2006/main" prst="line">
          <a:avLst/>
        </a:prstGeom>
        <a:ln xmlns:a="http://schemas.openxmlformats.org/drawingml/2006/main" w="31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0.04877</cdr:x>
      <cdr:y>0.17959</cdr:y>
    </cdr:from>
    <cdr:to>
      <cdr:x>0.94351</cdr:x>
      <cdr:y>0.18101</cdr:y>
    </cdr:to>
    <cdr:sp macro="" textlink="">
      <cdr:nvSpPr>
        <cdr:cNvPr id="3" name="Přímá spojovací čára 2"/>
        <cdr:cNvSpPr/>
      </cdr:nvSpPr>
      <cdr:spPr>
        <a:xfrm xmlns:a="http://schemas.openxmlformats.org/drawingml/2006/main" flipH="1" flipV="1">
          <a:off x="231100" y="633577"/>
          <a:ext cx="4240238" cy="5014"/>
        </a:xfrm>
        <a:prstGeom xmlns:a="http://schemas.openxmlformats.org/drawingml/2006/main" prst="line">
          <a:avLst/>
        </a:prstGeom>
        <a:ln xmlns:a="http://schemas.openxmlformats.org/drawingml/2006/main" w="9525">
          <a:solidFill>
            <a:schemeClr val="tx1">
              <a:lumMod val="95000"/>
              <a:lumOff val="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0.58593</cdr:x>
      <cdr:y>0.03702</cdr:y>
    </cdr:from>
    <cdr:to>
      <cdr:x>0.62572</cdr:x>
      <cdr:y>0.06218</cdr:y>
    </cdr:to>
    <cdr:sp macro="" textlink="">
      <cdr:nvSpPr>
        <cdr:cNvPr id="4" name="Obdélník 3"/>
        <cdr:cNvSpPr/>
      </cdr:nvSpPr>
      <cdr:spPr>
        <a:xfrm xmlns:a="http://schemas.openxmlformats.org/drawingml/2006/main">
          <a:off x="2781135" y="130622"/>
          <a:ext cx="188866" cy="88764"/>
        </a:xfrm>
        <a:prstGeom xmlns:a="http://schemas.openxmlformats.org/drawingml/2006/main" prst="rect">
          <a:avLst/>
        </a:prstGeom>
        <a:solidFill xmlns:a="http://schemas.openxmlformats.org/drawingml/2006/main">
          <a:schemeClr val="bg1">
            <a:lumMod val="85000"/>
          </a:schemeClr>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0.64411</cdr:x>
      <cdr:y>0.03673</cdr:y>
    </cdr:from>
    <cdr:to>
      <cdr:x>0.6839</cdr:x>
      <cdr:y>0.06189</cdr:y>
    </cdr:to>
    <cdr:sp macro="" textlink="">
      <cdr:nvSpPr>
        <cdr:cNvPr id="5" name="Obdélník 4"/>
        <cdr:cNvSpPr/>
      </cdr:nvSpPr>
      <cdr:spPr>
        <a:xfrm xmlns:a="http://schemas.openxmlformats.org/drawingml/2006/main">
          <a:off x="3057293" y="129572"/>
          <a:ext cx="188865" cy="88764"/>
        </a:xfrm>
        <a:prstGeom xmlns:a="http://schemas.openxmlformats.org/drawingml/2006/main" prst="rect">
          <a:avLst/>
        </a:prstGeom>
        <a:solidFill xmlns:a="http://schemas.openxmlformats.org/drawingml/2006/main">
          <a:srgbClr val="D9EEF3"/>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0.70243</cdr:x>
      <cdr:y>0.03723</cdr:y>
    </cdr:from>
    <cdr:to>
      <cdr:x>0.74222</cdr:x>
      <cdr:y>0.06239</cdr:y>
    </cdr:to>
    <cdr:sp macro="" textlink="">
      <cdr:nvSpPr>
        <cdr:cNvPr id="6" name="Obdélník 5"/>
        <cdr:cNvSpPr/>
      </cdr:nvSpPr>
      <cdr:spPr>
        <a:xfrm xmlns:a="http://schemas.openxmlformats.org/drawingml/2006/main">
          <a:off x="3761577" y="131343"/>
          <a:ext cx="213080" cy="88765"/>
        </a:xfrm>
        <a:prstGeom xmlns:a="http://schemas.openxmlformats.org/drawingml/2006/main" prst="rect">
          <a:avLst/>
        </a:prstGeom>
        <a:solidFill xmlns:a="http://schemas.openxmlformats.org/drawingml/2006/main">
          <a:srgbClr val="90CCDC"/>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0.81802</cdr:x>
      <cdr:y>0.03678</cdr:y>
    </cdr:from>
    <cdr:to>
      <cdr:x>0.85781</cdr:x>
      <cdr:y>0.06194</cdr:y>
    </cdr:to>
    <cdr:sp macro="" textlink="">
      <cdr:nvSpPr>
        <cdr:cNvPr id="7" name="Obdélník 6"/>
        <cdr:cNvSpPr/>
      </cdr:nvSpPr>
      <cdr:spPr>
        <a:xfrm xmlns:a="http://schemas.openxmlformats.org/drawingml/2006/main">
          <a:off x="3882772" y="129755"/>
          <a:ext cx="188866" cy="88764"/>
        </a:xfrm>
        <a:prstGeom xmlns:a="http://schemas.openxmlformats.org/drawingml/2006/main" prst="rect">
          <a:avLst/>
        </a:prstGeom>
        <a:solidFill xmlns:a="http://schemas.openxmlformats.org/drawingml/2006/main">
          <a:srgbClr val="0070C0"/>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0.76083</cdr:x>
      <cdr:y>0.03658</cdr:y>
    </cdr:from>
    <cdr:to>
      <cdr:x>0.80062</cdr:x>
      <cdr:y>0.06174</cdr:y>
    </cdr:to>
    <cdr:sp macro="" textlink="">
      <cdr:nvSpPr>
        <cdr:cNvPr id="8" name="Obdélník 7"/>
        <cdr:cNvSpPr/>
      </cdr:nvSpPr>
      <cdr:spPr>
        <a:xfrm xmlns:a="http://schemas.openxmlformats.org/drawingml/2006/main">
          <a:off x="3611341" y="129069"/>
          <a:ext cx="188865" cy="88765"/>
        </a:xfrm>
        <a:prstGeom xmlns:a="http://schemas.openxmlformats.org/drawingml/2006/main" prst="rect">
          <a:avLst/>
        </a:prstGeom>
        <a:solidFill xmlns:a="http://schemas.openxmlformats.org/drawingml/2006/main">
          <a:srgbClr val="3EA6C2"/>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0.52619</cdr:x>
      <cdr:y>0.0724</cdr:y>
    </cdr:from>
    <cdr:to>
      <cdr:x>0.93609</cdr:x>
      <cdr:y>0.10186</cdr:y>
    </cdr:to>
    <cdr:sp macro="" textlink="">
      <cdr:nvSpPr>
        <cdr:cNvPr id="10" name="TextovéPole 9"/>
        <cdr:cNvSpPr txBox="1"/>
      </cdr:nvSpPr>
      <cdr:spPr>
        <a:xfrm xmlns:a="http://schemas.openxmlformats.org/drawingml/2006/main">
          <a:off x="2476650" y="265750"/>
          <a:ext cx="1929251" cy="10815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roky:</a:t>
          </a:r>
          <a:r>
            <a:rPr lang="cs-CZ" sz="800" baseline="0">
              <a:latin typeface="Arial" pitchFamily="34" charset="0"/>
              <a:cs typeface="Arial" pitchFamily="34" charset="0"/>
            </a:rPr>
            <a:t> 2013  2014  2015  2016  2017</a:t>
          </a:r>
          <a:endParaRPr lang="cs-CZ" sz="80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0.08771</cdr:x>
      <cdr:y>0.02192</cdr:y>
    </cdr:from>
    <cdr:to>
      <cdr:x>0.08803</cdr:x>
      <cdr:y>0.70358</cdr:y>
    </cdr:to>
    <cdr:sp macro="" textlink="">
      <cdr:nvSpPr>
        <cdr:cNvPr id="2" name="Přímá spojovací čára 1"/>
        <cdr:cNvSpPr/>
      </cdr:nvSpPr>
      <cdr:spPr>
        <a:xfrm xmlns:a="http://schemas.openxmlformats.org/drawingml/2006/main" flipH="1">
          <a:off x="406854" y="81373"/>
          <a:ext cx="1498" cy="2529958"/>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0.84471</cdr:x>
      <cdr:y>0.37737</cdr:y>
    </cdr:from>
    <cdr:to>
      <cdr:x>0.8457</cdr:x>
      <cdr:y>0.52655</cdr:y>
    </cdr:to>
    <cdr:sp macro="" textlink="">
      <cdr:nvSpPr>
        <cdr:cNvPr id="3" name="Přímá spojovací čára 2"/>
        <cdr:cNvSpPr/>
      </cdr:nvSpPr>
      <cdr:spPr>
        <a:xfrm xmlns:a="http://schemas.openxmlformats.org/drawingml/2006/main">
          <a:off x="3918314" y="1400585"/>
          <a:ext cx="4626" cy="55368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0.90374</cdr:x>
      <cdr:y>0.35619</cdr:y>
    </cdr:from>
    <cdr:to>
      <cdr:x>0.90414</cdr:x>
      <cdr:y>0.55102</cdr:y>
    </cdr:to>
    <cdr:sp macro="" textlink="">
      <cdr:nvSpPr>
        <cdr:cNvPr id="4" name="Přímá spojovací čára 3"/>
        <cdr:cNvSpPr/>
      </cdr:nvSpPr>
      <cdr:spPr>
        <a:xfrm xmlns:a="http://schemas.openxmlformats.org/drawingml/2006/main">
          <a:off x="4192158" y="1322003"/>
          <a:ext cx="1834" cy="72310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0.43762</cdr:x>
      <cdr:y>0.29652</cdr:y>
    </cdr:from>
    <cdr:to>
      <cdr:x>0.4381</cdr:x>
      <cdr:y>0.57737</cdr:y>
    </cdr:to>
    <cdr:sp macro="" textlink="">
      <cdr:nvSpPr>
        <cdr:cNvPr id="5" name="Přímá spojovací čára 4"/>
        <cdr:cNvSpPr/>
      </cdr:nvSpPr>
      <cdr:spPr>
        <a:xfrm xmlns:a="http://schemas.openxmlformats.org/drawingml/2006/main">
          <a:off x="2029983" y="1100547"/>
          <a:ext cx="2242" cy="104234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0.96099</cdr:x>
      <cdr:y>0.33759</cdr:y>
    </cdr:from>
    <cdr:to>
      <cdr:x>0.96175</cdr:x>
      <cdr:y>0.51297</cdr:y>
    </cdr:to>
    <cdr:sp macro="" textlink="">
      <cdr:nvSpPr>
        <cdr:cNvPr id="6" name="Přímá spojovací čára 5"/>
        <cdr:cNvSpPr/>
      </cdr:nvSpPr>
      <cdr:spPr>
        <a:xfrm xmlns:a="http://schemas.openxmlformats.org/drawingml/2006/main" flipH="1">
          <a:off x="4457699" y="1252947"/>
          <a:ext cx="3540" cy="65091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0.49512</cdr:x>
      <cdr:y>0.31321</cdr:y>
    </cdr:from>
    <cdr:to>
      <cdr:x>0.49641</cdr:x>
      <cdr:y>0.58928</cdr:y>
    </cdr:to>
    <cdr:sp macro="" textlink="">
      <cdr:nvSpPr>
        <cdr:cNvPr id="7" name="Přímá spojovací čára 6"/>
        <cdr:cNvSpPr/>
      </cdr:nvSpPr>
      <cdr:spPr>
        <a:xfrm xmlns:a="http://schemas.openxmlformats.org/drawingml/2006/main">
          <a:off x="2296683" y="1162461"/>
          <a:ext cx="5986" cy="1024644"/>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0.55312</cdr:x>
      <cdr:y>0.34208</cdr:y>
    </cdr:from>
    <cdr:to>
      <cdr:x>0.55565</cdr:x>
      <cdr:y>0.53646</cdr:y>
    </cdr:to>
    <cdr:sp macro="" textlink="">
      <cdr:nvSpPr>
        <cdr:cNvPr id="8" name="Přímá spojovací čára 7"/>
        <cdr:cNvSpPr/>
      </cdr:nvSpPr>
      <cdr:spPr>
        <a:xfrm xmlns:a="http://schemas.openxmlformats.org/drawingml/2006/main">
          <a:off x="2565764" y="1269616"/>
          <a:ext cx="11700" cy="72145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0.61267</cdr:x>
      <cdr:y>0.31706</cdr:y>
    </cdr:from>
    <cdr:to>
      <cdr:x>0.61283</cdr:x>
      <cdr:y>0.52347</cdr:y>
    </cdr:to>
    <cdr:sp macro="" textlink="">
      <cdr:nvSpPr>
        <cdr:cNvPr id="9" name="Přímá spojovací čára 8"/>
        <cdr:cNvSpPr/>
      </cdr:nvSpPr>
      <cdr:spPr>
        <a:xfrm xmlns:a="http://schemas.openxmlformats.org/drawingml/2006/main">
          <a:off x="2841988" y="1176746"/>
          <a:ext cx="747" cy="766103"/>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0.66965</cdr:x>
      <cdr:y>0.33823</cdr:y>
    </cdr:from>
    <cdr:to>
      <cdr:x>0.67084</cdr:x>
      <cdr:y>0.50947</cdr:y>
    </cdr:to>
    <cdr:sp macro="" textlink="">
      <cdr:nvSpPr>
        <cdr:cNvPr id="10" name="Přímá spojovací čára 9"/>
        <cdr:cNvSpPr/>
      </cdr:nvSpPr>
      <cdr:spPr>
        <a:xfrm xmlns:a="http://schemas.openxmlformats.org/drawingml/2006/main">
          <a:off x="3106308" y="1255328"/>
          <a:ext cx="5509" cy="63557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0.72895</cdr:x>
      <cdr:y>0.32604</cdr:y>
    </cdr:from>
    <cdr:to>
      <cdr:x>0.72972</cdr:x>
      <cdr:y>0.54165</cdr:y>
    </cdr:to>
    <cdr:sp macro="" textlink="">
      <cdr:nvSpPr>
        <cdr:cNvPr id="11" name="Přímá spojovací čára 10"/>
        <cdr:cNvSpPr/>
      </cdr:nvSpPr>
      <cdr:spPr>
        <a:xfrm xmlns:a="http://schemas.openxmlformats.org/drawingml/2006/main" flipH="1">
          <a:off x="3381374" y="1210085"/>
          <a:ext cx="3540" cy="800242"/>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0.37947</cdr:x>
      <cdr:y>0.3023</cdr:y>
    </cdr:from>
    <cdr:to>
      <cdr:x>0.37961</cdr:x>
      <cdr:y>0.59319</cdr:y>
    </cdr:to>
    <cdr:sp macro="" textlink="">
      <cdr:nvSpPr>
        <cdr:cNvPr id="12" name="Přímá spojovací čára 11"/>
        <cdr:cNvSpPr/>
      </cdr:nvSpPr>
      <cdr:spPr>
        <a:xfrm xmlns:a="http://schemas.openxmlformats.org/drawingml/2006/main" flipH="1">
          <a:off x="1760218" y="1121978"/>
          <a:ext cx="683" cy="107965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0.32058</cdr:x>
      <cdr:y>0.25418</cdr:y>
    </cdr:from>
    <cdr:to>
      <cdr:x>0.32125</cdr:x>
      <cdr:y>0.58502</cdr:y>
    </cdr:to>
    <cdr:sp macro="" textlink="">
      <cdr:nvSpPr>
        <cdr:cNvPr id="13" name="Přímá spojovací čára 12"/>
        <cdr:cNvSpPr/>
      </cdr:nvSpPr>
      <cdr:spPr>
        <a:xfrm xmlns:a="http://schemas.openxmlformats.org/drawingml/2006/main">
          <a:off x="1487058" y="943385"/>
          <a:ext cx="3128" cy="122790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0.26308</cdr:x>
      <cdr:y>0.24776</cdr:y>
    </cdr:from>
    <cdr:to>
      <cdr:x>0.26427</cdr:x>
      <cdr:y>0.64561</cdr:y>
    </cdr:to>
    <cdr:sp macro="" textlink="">
      <cdr:nvSpPr>
        <cdr:cNvPr id="14" name="Přímá spojovací čára 13"/>
        <cdr:cNvSpPr/>
      </cdr:nvSpPr>
      <cdr:spPr>
        <a:xfrm xmlns:a="http://schemas.openxmlformats.org/drawingml/2006/main">
          <a:off x="1220358" y="919572"/>
          <a:ext cx="5508" cy="147658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0.20456</cdr:x>
      <cdr:y>0.2067</cdr:y>
    </cdr:from>
    <cdr:to>
      <cdr:x>0.20626</cdr:x>
      <cdr:y>0.65261</cdr:y>
    </cdr:to>
    <cdr:sp macro="" textlink="">
      <cdr:nvSpPr>
        <cdr:cNvPr id="15" name="Přímá spojovací čára 14"/>
        <cdr:cNvSpPr/>
      </cdr:nvSpPr>
      <cdr:spPr>
        <a:xfrm xmlns:a="http://schemas.openxmlformats.org/drawingml/2006/main">
          <a:off x="948895" y="767172"/>
          <a:ext cx="7890" cy="1654976"/>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0.14604</cdr:x>
      <cdr:y>0.15024</cdr:y>
    </cdr:from>
    <cdr:to>
      <cdr:x>0.14655</cdr:x>
      <cdr:y>0.74307</cdr:y>
    </cdr:to>
    <cdr:sp macro="" textlink="">
      <cdr:nvSpPr>
        <cdr:cNvPr id="16" name="Přímá spojovací čára 15"/>
        <cdr:cNvSpPr/>
      </cdr:nvSpPr>
      <cdr:spPr>
        <a:xfrm xmlns:a="http://schemas.openxmlformats.org/drawingml/2006/main">
          <a:off x="677432" y="557622"/>
          <a:ext cx="2381" cy="2200276"/>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0.7867</cdr:x>
      <cdr:y>0.37737</cdr:y>
    </cdr:from>
    <cdr:to>
      <cdr:x>0.78737</cdr:x>
      <cdr:y>0.55587</cdr:y>
    </cdr:to>
    <cdr:sp macro="" textlink="">
      <cdr:nvSpPr>
        <cdr:cNvPr id="17" name="Přímá spojovací čára 16"/>
        <cdr:cNvSpPr/>
      </cdr:nvSpPr>
      <cdr:spPr>
        <a:xfrm xmlns:a="http://schemas.openxmlformats.org/drawingml/2006/main">
          <a:off x="3649233" y="1400585"/>
          <a:ext cx="3128" cy="66253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7DC3F-B9C1-4BE3-9F06-05CACD2C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Anaýza ekonomického vývoje v roce 2017.dotx</Template>
  <TotalTime>2</TotalTime>
  <Pages>13</Pages>
  <Words>4266</Words>
  <Characters>25175</Characters>
  <Application>Microsoft Office Word</Application>
  <DocSecurity>0</DocSecurity>
  <Lines>209</Lines>
  <Paragraphs>58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29383</CharactersWithSpaces>
  <SharedDoc>false</SharedDoc>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Karolína Súkupová</dc:creator>
  <cp:lastModifiedBy>kamenicky3604</cp:lastModifiedBy>
  <cp:revision>3</cp:revision>
  <cp:lastPrinted>2014-07-17T14:07:00Z</cp:lastPrinted>
  <dcterms:created xsi:type="dcterms:W3CDTF">2018-10-29T15:31:00Z</dcterms:created>
  <dcterms:modified xsi:type="dcterms:W3CDTF">2018-10-29T15:33:00Z</dcterms:modified>
</cp:coreProperties>
</file>