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9C0B" w14:textId="77777777" w:rsidR="006C4ED6" w:rsidRDefault="006C4ED6" w:rsidP="006C4ED6">
      <w:pPr>
        <w:pStyle w:val="Nadpis1"/>
      </w:pPr>
      <w:bookmarkStart w:id="0" w:name="_Toc216777589"/>
      <w:r>
        <w:t>5. Ceny</w:t>
      </w:r>
      <w:bookmarkEnd w:id="0"/>
      <w:r>
        <w:t xml:space="preserve"> </w:t>
      </w:r>
    </w:p>
    <w:tbl>
      <w:tblPr>
        <w:tblW w:w="9639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91"/>
        <w:gridCol w:w="223"/>
        <w:gridCol w:w="7625"/>
      </w:tblGrid>
      <w:tr w:rsidR="006C4ED6" w14:paraId="24BF2A6A" w14:textId="77777777" w:rsidTr="007F770C">
        <w:trPr>
          <w:trHeight w:val="145"/>
        </w:trPr>
        <w:tc>
          <w:tcPr>
            <w:tcW w:w="1791" w:type="dxa"/>
            <w:hideMark/>
          </w:tcPr>
          <w:p w14:paraId="30D32744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Cenová hladina si drží stabilní meziroční tempo růstu.</w:t>
            </w:r>
          </w:p>
        </w:tc>
        <w:tc>
          <w:tcPr>
            <w:tcW w:w="223" w:type="dxa"/>
          </w:tcPr>
          <w:p w14:paraId="2F962A4E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EE1BA91" w14:textId="77777777" w:rsidR="006C4ED6" w:rsidRDefault="006C4ED6" w:rsidP="007F770C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Meziroční růst celkové cenové hladiny měřený deflátorem HDP je od začátku roku poměrně stabilní a ve 3. čtvrtletí dosáhl 3,3 %. Stabilní dynamiku nad 3 % si už téměř dva roky drží meziroční přírůstek cen spotřeby (3,1 % ve 3. čtvrtletí). Cenová hladina spotřeby domácností ve 3. kvartálu vzrostla meziročně o 3,0 % a vládních institucí o 3,5 %. Cenová hladina u kapitálových výdajů celkem meziročně vzrostla o 2,9 %, přičemž ceny samotných výdajů na tvorbu hrubého fixního kapitálu vzrostly o 3,4 %. Meziroční směnné relace zahraničního obchodu se zbožím a službami dosáhly ve 3. čtvrtletí 100,9 %. Směnné relace obchodu se zbožím činily 100,6 % a se službami 101,8 %. Mezičtvrtletní přírůstek celkové cenové hladiny v ekonomice ve 3. kvartálu zpomalil na 0,5 %. O 0,5 % se zvýšily ceny spotřeby, z toho u spotřeby domácností to bylo 0,3 %. Cenová hladina výdajů na tvorbu hrubého kapitálu se zvýšila o 1,1 %, z toho u investic o 0,4 %. Mezičtvrtletní směnné relace zahraničního obchodu se zbožím a službami dosáhly 100,1 %.     </w:t>
            </w:r>
          </w:p>
        </w:tc>
      </w:tr>
      <w:tr w:rsidR="006C4ED6" w14:paraId="540D9BA6" w14:textId="77777777" w:rsidTr="007F770C">
        <w:trPr>
          <w:trHeight w:val="145"/>
        </w:trPr>
        <w:tc>
          <w:tcPr>
            <w:tcW w:w="1791" w:type="dxa"/>
          </w:tcPr>
          <w:p w14:paraId="54CAE0E6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spotřebitelských cen zůstal stabilní.</w:t>
            </w:r>
          </w:p>
        </w:tc>
        <w:tc>
          <w:tcPr>
            <w:tcW w:w="223" w:type="dxa"/>
          </w:tcPr>
          <w:p w14:paraId="0622C0D5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7E4C66B8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Ve 3. čtvrtletí spotřebitelské ceny meziročně vzrostly o 2,5 %. Tempo se tak drželo na podobné úrovni jako v předchozím kvartálu (2,4 %). K celkovému meziročnímu růstu spotřebitelských cen nejvíce přispíval vývoj v oddíle potraviny a nealkoholické nápoje, ačkoli v posledních měsících bylo patrné postupné zvolňování tempa růstu. Další položkou spotřebního koše s tradičně výrazným příspěvkem bylo bydlení a energie; významně přispěly také oddíly stravování a ubytování a rekreace a kultura. Ve směru poklesu spotřebitelských cen působily ceny dopravy a odívání a obuvi. Mezičtvrtletně se spotřebitelské ceny ve 3. kvartálu zvýšily o 0,6 %. Podílely se na tom hlavně ceny rekreací a kultury, ale zvyšovaly se také ceny stravování a ubytování a bydlení a energií. Klesly naopak ceny potravin a nealkoholických nápojů a odívání a obuvi.</w:t>
            </w:r>
          </w:p>
        </w:tc>
      </w:tr>
      <w:tr w:rsidR="006C4ED6" w14:paraId="28D05B22" w14:textId="77777777" w:rsidTr="007F770C">
        <w:trPr>
          <w:trHeight w:val="145"/>
        </w:trPr>
        <w:tc>
          <w:tcPr>
            <w:tcW w:w="1791" w:type="dxa"/>
          </w:tcPr>
          <w:p w14:paraId="2919246B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4496F30A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DF69C20" w14:textId="77777777" w:rsidR="006C4ED6" w:rsidRDefault="006C4ED6" w:rsidP="007F770C">
            <w:pPr>
              <w:spacing w:after="0"/>
              <w:rPr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Graf č. 10 Ceny ve vybraných oddílech indexu spotřebitelských cen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(meziročně v %)</w:t>
            </w:r>
          </w:p>
        </w:tc>
      </w:tr>
      <w:tr w:rsidR="006C4ED6" w14:paraId="2C9A3874" w14:textId="77777777" w:rsidTr="007F770C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5C44E338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59CDBA34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46D3515" w14:textId="77777777" w:rsidR="006C4ED6" w:rsidRDefault="006C4ED6" w:rsidP="007F770C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8E657F2" wp14:editId="07C89DC8">
                  <wp:extent cx="4752000" cy="3553200"/>
                  <wp:effectExtent l="0" t="0" r="0" b="0"/>
                  <wp:docPr id="1117045085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6C4ED6" w14:paraId="5FF9342F" w14:textId="77777777" w:rsidTr="007F770C">
        <w:trPr>
          <w:trHeight w:val="145"/>
        </w:trPr>
        <w:tc>
          <w:tcPr>
            <w:tcW w:w="1791" w:type="dxa"/>
          </w:tcPr>
          <w:p w14:paraId="33747B1B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16A380CB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990B840" w14:textId="77777777" w:rsidR="006C4ED6" w:rsidRDefault="006C4ED6" w:rsidP="007F770C">
            <w:pPr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6C4ED6" w14:paraId="645C4344" w14:textId="77777777" w:rsidTr="007F770C">
        <w:trPr>
          <w:trHeight w:val="145"/>
        </w:trPr>
        <w:tc>
          <w:tcPr>
            <w:tcW w:w="1791" w:type="dxa"/>
          </w:tcPr>
          <w:p w14:paraId="7653CD1B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Největší vliv na růst spotřebitelských cen </w:t>
            </w:r>
            <w:r>
              <w:rPr>
                <w:spacing w:val="0"/>
                <w:lang w:eastAsia="en-US"/>
              </w:rPr>
              <w:lastRenderedPageBreak/>
              <w:t xml:space="preserve">měly nadále ceny potravin </w:t>
            </w:r>
            <w:r>
              <w:rPr>
                <w:spacing w:val="0"/>
                <w:lang w:eastAsia="en-US"/>
              </w:rPr>
              <w:br/>
              <w:t>a nealkoholických nápojů, jejich meziroční tempo ale oslabilo.</w:t>
            </w:r>
          </w:p>
        </w:tc>
        <w:tc>
          <w:tcPr>
            <w:tcW w:w="223" w:type="dxa"/>
          </w:tcPr>
          <w:p w14:paraId="07F08371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0EF38A1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potravin a nealkoholických nápojů poprvé od 1. kvartálu 2024 mezičtvrtletně klesly, a to o 0,5 %. Odpovídalo tomu i zvolnění meziročního přírůstku ve 3. čtvrtletí na </w:t>
            </w:r>
            <w:r>
              <w:rPr>
                <w:lang w:eastAsia="en-US"/>
              </w:rPr>
              <w:lastRenderedPageBreak/>
              <w:t xml:space="preserve">4,2 %. Zpomalení meziročního tempa bylo způsobeno především mírnějším růstem cen mléka, sýrů a vajec (8,4 %), olejů a tuků (6,3 %) a ovoce (5,3 %). Prohloubil se také pokles cen zeleniny na −4,1 % a méně se zvyšovaly také ceny cukru, cukrovinek a cukrářských výrobků (4,3 %). Naproti tomu ve 3. kvartálu posílil meziroční přírůstek cen masa (5,1 %) a stabilní zůstal růst cen pekárenských výrobků a obilovin (2,3 %). Ceny alkoholických nápojů a tabáku ve 3. čtvrtletí vzrostly mezičtvrtletně o 0,5 % a meziročně o 3,5 %. Růst táhly zejména ceny tabáku. </w:t>
            </w:r>
          </w:p>
        </w:tc>
      </w:tr>
      <w:tr w:rsidR="006C4ED6" w14:paraId="550A381B" w14:textId="77777777" w:rsidTr="007F770C">
        <w:trPr>
          <w:trHeight w:val="145"/>
        </w:trPr>
        <w:tc>
          <w:tcPr>
            <w:tcW w:w="1791" w:type="dxa"/>
          </w:tcPr>
          <w:p w14:paraId="428D6C2F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Pozvolna sílil růst cen bydlení a energií, zejména pod vlivem cen imputovaného nájemného.</w:t>
            </w:r>
          </w:p>
        </w:tc>
        <w:tc>
          <w:tcPr>
            <w:tcW w:w="223" w:type="dxa"/>
          </w:tcPr>
          <w:p w14:paraId="467C10CE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09D7E7D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Meziroční dynamika cen bydlení, vody, energií a paliv opět mírně posílila na 2,0 %. Mezičtvrtletní nárůst cen v tomto oddílu byl rovněž výraznější než v předchozím kvartálu (0,6 %). Přes mírné oslabení si nejvyšší meziroční růst udrželo nájemné z bytu (5,7 %). Imputované nájemné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rostlo silněji než v předchozím kvartálu (4,9 %). Ceny ostatních služeb souvisejících s bydlením se meziročně zvýšily o 3,9 % a ceny běžné údržby a drobných oprav o 3,2 %. Meziročně nižší byly jen ceny elektrické a tepelné energie, plynu a ostatních paliv (−3,0 %).</w:t>
            </w:r>
          </w:p>
        </w:tc>
      </w:tr>
      <w:tr w:rsidR="006C4ED6" w14:paraId="1BD4FDE4" w14:textId="77777777" w:rsidTr="007F770C">
        <w:trPr>
          <w:trHeight w:val="145"/>
        </w:trPr>
        <w:tc>
          <w:tcPr>
            <w:tcW w:w="1791" w:type="dxa"/>
          </w:tcPr>
          <w:p w14:paraId="04175494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Stále silně rostly ceny rekreací a kultury </w:t>
            </w:r>
            <w:r>
              <w:rPr>
                <w:spacing w:val="0"/>
                <w:lang w:eastAsia="en-US"/>
              </w:rPr>
              <w:br/>
              <w:t>i stravování a ubytování.</w:t>
            </w:r>
          </w:p>
        </w:tc>
        <w:tc>
          <w:tcPr>
            <w:tcW w:w="223" w:type="dxa"/>
          </w:tcPr>
          <w:p w14:paraId="0E147368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419C14C1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U cen rekreací a kultury byl z celého spotřebního koše zaznamenán největší mezičtvrtletní nárůst (5,1 %), především pod sezónně obvyklým vlivem cen dovolených s komplexními službami. Meziroční přírůstek cen rekreací a kultury posílil na 4,1 %. Silné meziroční tempo si nadále držely také ceny stravování a ubytování (4,8 %). Přírůstek ukazuje tendenci mírného oslabování, ale oddíl vykazuje solidní mezičtvrtletní dynamiku (1,1 %), takže potenciál dalšího růstu zatím nevyprchal. Největší meziroční růst cen v celém spotřebním koši měly ceny v oblasti vzdělávání (8,7 %), u kterých sezónní zdražení ovlivnilo také posílení mezičtvrtletního nárůstu na 1,2 %. Zmírnil se meziroční přírůstek cen v oblasti zdraví na 3,0 %, mezičtvrtletně se zde ceny zvýšily o 0,5 %. Ceny ostatního zboží a služeb</w:t>
            </w:r>
            <w:r>
              <w:rPr>
                <w:rStyle w:val="Znakapoznpodarou"/>
                <w:lang w:eastAsia="en-US"/>
              </w:rPr>
              <w:footnoteReference w:id="2"/>
            </w:r>
            <w:r>
              <w:rPr>
                <w:lang w:eastAsia="en-US"/>
              </w:rPr>
              <w:t xml:space="preserve"> se zvýšily meziročně o 2,9 % a mezičtvrtletně o 0,2 %. </w:t>
            </w:r>
          </w:p>
        </w:tc>
      </w:tr>
      <w:tr w:rsidR="006C4ED6" w14:paraId="7D9B287D" w14:textId="77777777" w:rsidTr="007F770C">
        <w:trPr>
          <w:trHeight w:val="145"/>
        </w:trPr>
        <w:tc>
          <w:tcPr>
            <w:tcW w:w="1791" w:type="dxa"/>
          </w:tcPr>
          <w:p w14:paraId="551CDC22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Zmírňoval se pokles cen dopravy.</w:t>
            </w:r>
          </w:p>
        </w:tc>
        <w:tc>
          <w:tcPr>
            <w:tcW w:w="223" w:type="dxa"/>
          </w:tcPr>
          <w:p w14:paraId="4F35E90E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623A9CB8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Mezi mírně rostoucí oddíly spotřebního koše dlouhodobě patří pošty a telekomunikace, kde se ceny ve 3. čtvrtletí meziročně zvýšily o 0,6 % a mezičtvrtletně o 0,3 %. Mírné meziroční tempo si udržovaly také ceny bytového vybavení, zařízení domácnosti a oprav (1,6 %), přičemž mezičtvrtletně se zde ceny nezměnily. Meziročně klesaly jen ceny odívání a obuvi (−1,8 %, mezičtvrtletně o 1,2 %) a dále ceny dopravy (−0,9 %). Pokles cen dopravy se zmírnil oproti předchozímu kvartálu a oddíl se také dostal do mezičtvrtletního růstu o 0,2 %. Vliv měl zejména vývoj cen pohonných hmot, jejichž pokles se zmírnil na −6,7 %. Ceny provozu dopravních prostředků tak meziročně klesly o 3,0 %. Náklady na nákup automobilů, motocyklů a jízdních kol nadále rostly velmi mírným meziročním tempem (0,8 %) a výraznější navýšení tak vykazovaly jen ceny dopravních služeb (3,7 %).  </w:t>
            </w:r>
          </w:p>
        </w:tc>
      </w:tr>
      <w:tr w:rsidR="006C4ED6" w14:paraId="4D19CB51" w14:textId="77777777" w:rsidTr="007F770C">
        <w:trPr>
          <w:trHeight w:val="145"/>
        </w:trPr>
        <w:tc>
          <w:tcPr>
            <w:tcW w:w="1791" w:type="dxa"/>
            <w:hideMark/>
          </w:tcPr>
          <w:p w14:paraId="446D47F5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Česko patřilo z pohledu meziročního růstu spotřebitelských cen k podprůměru EU.</w:t>
            </w:r>
          </w:p>
        </w:tc>
        <w:tc>
          <w:tcPr>
            <w:tcW w:w="223" w:type="dxa"/>
          </w:tcPr>
          <w:p w14:paraId="2F6E6848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9A369AC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Harmonizovaný index spotřebitelských cen</w:t>
            </w:r>
            <w:r>
              <w:rPr>
                <w:rStyle w:val="Znakapoznpodarou"/>
                <w:lang w:eastAsia="en-US"/>
              </w:rPr>
              <w:footnoteReference w:id="3"/>
            </w:r>
            <w:r>
              <w:rPr>
                <w:lang w:eastAsia="en-US"/>
              </w:rPr>
              <w:t xml:space="preserve"> (HICP) v EU ve 3. čtvrtletí vzrostl meziročně o 2,5 %. Meziročně nižší byly v Unii jen ceny telekomunikací (−1,3 %). Nejvíce se zvyšovaly ceny v oblasti vzdělávání (4,8 %), ceny alkoholu a tabáku (4,1 %), ostatního zboží a služeb (3,9 %), stravování a ubytování (3,8 %) a potravin a nealkoholických nápojů (3,8 %). Česko z pohledu meziroční dynamiky HICP patřilo k podprůměru EU (2,3 %, 8. nejnižší), ale jinak se mezi země s největším cenovým růstem řadily většinově státy východního křídla. Největší meziroční přírůstek HICP zaznamenaly Rumunsko (7,9 %), Estonsko (5,7 %) a Chorvatsko (4,6 %) a o více než 4 % rostly ceny také na Slovensku, v Maďarsku a Lotyšsku. Naopak meziročně </w:t>
            </w:r>
            <w:r>
              <w:rPr>
                <w:lang w:eastAsia="en-US"/>
              </w:rPr>
              <w:lastRenderedPageBreak/>
              <w:t>stagnovaly spotřebitelské ceny na Kypru a jen o 0,9 % se zvýšily ve Francii. Mezičtvrtletně se spotřebitelské ceny v EU ve 3. kvartálu zvýšily o 0,5 %. Poměrně hluboce klesaly ceny oděvů a obuvi (−6,7 %) a dále mírně nižší byly ceny bytového vybavení, zařízení domácnosti a oprav (−0,3 %) a telekomunikací (−0,1 %). Nejvíce rostly ceny rekreací a kultury (2,2 %) a stravování a ubytování (2,0 %), což dokládá trvající silnou dynamiku cen služeb. Nejvíce mezičtvrtletně vzrostly spotřebitelské ceny v Rumunsku (3,4 %), Chorvatsku (1,9 %) a na Maltě (1,8 %). Mezičtvrtletní pokles HICP byl zaznamenán jen v Itálii (−0,6 %), ale jen velmi mírný byl růst cen v Litvě (0,1 %) a shodně o 0,2 % byly vyšší ceny v Portugalsku, Lotyšsku, Finsku a Španělsku.</w:t>
            </w:r>
          </w:p>
        </w:tc>
      </w:tr>
      <w:tr w:rsidR="006C4ED6" w14:paraId="1EE8F9DA" w14:textId="77777777" w:rsidTr="007F770C">
        <w:trPr>
          <w:trHeight w:val="145"/>
        </w:trPr>
        <w:tc>
          <w:tcPr>
            <w:tcW w:w="1791" w:type="dxa"/>
          </w:tcPr>
          <w:p w14:paraId="7199C87A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Nabídkové i realizované ceny bytů meziročně narůstaly dvouciferným tempem.</w:t>
            </w:r>
          </w:p>
        </w:tc>
        <w:tc>
          <w:tcPr>
            <w:tcW w:w="223" w:type="dxa"/>
          </w:tcPr>
          <w:p w14:paraId="33ACD94C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0918FE85" w14:textId="4935E06B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Nabídkové ceny bytů v Česku ve 3. čtvrtletí 2025 meziročně vzrostly o 17,7 %. Přírůstek mírně posílil oproti předchozímu kvartálu, výhradně pod vlivem cen bytů mimo Prahu, jejichž meziroční nárůst zrychlil na 19,5 %. Naopak ceny bytů v Praze si již tři kvartály drží podobné meziroční tempo a ve 3. čtvrtletí vzrostly o 16,1 %. Mezičtvrtletně se nabídkové ceny bytů v Česku zvýšily o 3,7 %, z toho mimo Prahu to bylo 5,2 % a v Praze 2,5 %. Realizované ceny starších bytů v Česku ve 3. čtvrtletí meziročně vzrostly o 15,9 % a podobně jako u nabídkových cen se výrazněji zvyšovaly realizované ceny bytů mimo Prahu (16,6 %). V Praze realizované ceny starších bytů meziročně vzrostly o 13,4 %. Mezičtvrtletní nárůst realizovaných cen starších bytů v Česku se ve 3. kvartálu nezměnil (3,7 %), ceny mimo Prahu byly vyšší o 3,7 % a v Praze o 3,5 %.</w:t>
            </w:r>
            <w:r w:rsidR="007A4577">
              <w:rPr>
                <w:lang w:eastAsia="en-US"/>
              </w:rPr>
              <w:t xml:space="preserve"> Realizované ceny nových bytů v</w:t>
            </w:r>
            <w:r w:rsidR="009F791A">
              <w:rPr>
                <w:lang w:eastAsia="en-US"/>
              </w:rPr>
              <w:t> </w:t>
            </w:r>
            <w:r w:rsidR="007A4577">
              <w:rPr>
                <w:lang w:eastAsia="en-US"/>
              </w:rPr>
              <w:t>Praze</w:t>
            </w:r>
            <w:r w:rsidR="009F791A">
              <w:rPr>
                <w:lang w:eastAsia="en-US"/>
              </w:rPr>
              <w:t xml:space="preserve"> se ve 3. čtvrtletí mezičtvrtletně zvýšily o 1,8 %, což byl výrazně pomalejší tempo než v předchozích </w:t>
            </w:r>
            <w:r w:rsidR="00DE5DBA">
              <w:rPr>
                <w:lang w:eastAsia="en-US"/>
              </w:rPr>
              <w:t xml:space="preserve">třech kvartálech. I díky tomuto zpomalení meziroční nárůst realizovaných cen nových bytů v Praze </w:t>
            </w:r>
            <w:r w:rsidR="00EA038B">
              <w:rPr>
                <w:lang w:eastAsia="en-US"/>
              </w:rPr>
              <w:t xml:space="preserve">přestal zrychlovat tak silně jako v předchozích kvartálech a ve 3. čtvrtletí dosáhl </w:t>
            </w:r>
            <w:r w:rsidR="00961532">
              <w:rPr>
                <w:lang w:eastAsia="en-US"/>
              </w:rPr>
              <w:t>16,5 %.</w:t>
            </w:r>
            <w:r w:rsidR="009F791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</w:tr>
      <w:tr w:rsidR="006C4ED6" w14:paraId="360CB819" w14:textId="77777777" w:rsidTr="007F770C">
        <w:trPr>
          <w:trHeight w:val="145"/>
        </w:trPr>
        <w:tc>
          <w:tcPr>
            <w:tcW w:w="1791" w:type="dxa"/>
          </w:tcPr>
          <w:p w14:paraId="6AC5E940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459219E9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0F8DB96" w14:textId="77777777" w:rsidR="006C4ED6" w:rsidRDefault="006C4ED6" w:rsidP="007F770C">
            <w:pPr>
              <w:spacing w:after="0"/>
              <w:rPr>
                <w:rStyle w:val="Znakapoznpodarou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Graf č. 11 Ceny nemovitostí </w:t>
            </w:r>
            <w:r>
              <w:rPr>
                <w:sz w:val="18"/>
                <w:szCs w:val="18"/>
                <w:lang w:eastAsia="en-US"/>
              </w:rPr>
              <w:t>(meziroční změna, v %)</w:t>
            </w:r>
          </w:p>
        </w:tc>
      </w:tr>
      <w:tr w:rsidR="006C4ED6" w14:paraId="0CEBAE30" w14:textId="77777777" w:rsidTr="007F770C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20FF702D" w14:textId="77777777" w:rsidR="006C4ED6" w:rsidRDefault="006C4ED6" w:rsidP="007F770C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027F20B4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2164F43" w14:textId="77777777" w:rsidR="006C4ED6" w:rsidRDefault="006C4ED6" w:rsidP="007F770C">
            <w:pPr>
              <w:spacing w:after="0"/>
              <w:rPr>
                <w:rStyle w:val="Znakapoznpodarou"/>
              </w:rPr>
            </w:pPr>
            <w:r>
              <w:rPr>
                <w:noProof/>
              </w:rPr>
              <w:drawing>
                <wp:inline distT="0" distB="0" distL="0" distR="0" wp14:anchorId="3659C458" wp14:editId="2CCE30C6">
                  <wp:extent cx="4737600" cy="3553200"/>
                  <wp:effectExtent l="0" t="0" r="6350" b="0"/>
                  <wp:docPr id="1179871331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6C4ED6" w14:paraId="2AA4B1C9" w14:textId="77777777" w:rsidTr="007F770C">
        <w:trPr>
          <w:trHeight w:val="145"/>
        </w:trPr>
        <w:tc>
          <w:tcPr>
            <w:tcW w:w="1791" w:type="dxa"/>
          </w:tcPr>
          <w:p w14:paraId="488620AF" w14:textId="77777777" w:rsidR="006C4ED6" w:rsidRDefault="006C4ED6" w:rsidP="007F770C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5CA0AAB8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AC24A2F" w14:textId="77777777" w:rsidR="006C4ED6" w:rsidRDefault="006C4ED6" w:rsidP="007F770C">
            <w:pPr>
              <w:jc w:val="left"/>
              <w:rPr>
                <w:rStyle w:val="Znakapoznpodarou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6C4ED6" w14:paraId="31F59BD5" w14:textId="77777777" w:rsidTr="007F770C">
        <w:trPr>
          <w:trHeight w:val="145"/>
        </w:trPr>
        <w:tc>
          <w:tcPr>
            <w:tcW w:w="1791" w:type="dxa"/>
          </w:tcPr>
          <w:p w14:paraId="0B453527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Pokles cen průmyslových výrobců pokračoval.</w:t>
            </w:r>
          </w:p>
        </w:tc>
        <w:tc>
          <w:tcPr>
            <w:tcW w:w="223" w:type="dxa"/>
          </w:tcPr>
          <w:p w14:paraId="7914D76E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F9994FE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průmyslových výrobců ve 3. čtvrtletí setrvávaly v meziročním poklesu, který dosáhl −1,0 %. Mezičtvrtletně byly nižší o 0,4 %. Meziročně se stále nejvíce propadaly ceny těžby a dobývání (−4,3 %), na které měl vliv především pokles cen uhlí, ropy i zemního plynu. Mezičtvrtletně se ceny těžby a dobývání snížily o 0,4 %. Výrazný meziroční pokles byl zaznamenán také u cen elektřiny, plynu, páry a klimatizovaného </w:t>
            </w:r>
            <w:r>
              <w:rPr>
                <w:lang w:eastAsia="en-US"/>
              </w:rPr>
              <w:lastRenderedPageBreak/>
              <w:t>vzduchu (−3,2 %). Mezičtvrtletně se zde ceny snížily o 0,7 %. Ceny zásobování vodou a služeb souvisejících s odpadními vodami byly meziročně vyšší o 4,1 %.</w:t>
            </w:r>
          </w:p>
        </w:tc>
      </w:tr>
      <w:tr w:rsidR="006C4ED6" w14:paraId="7BC7D956" w14:textId="77777777" w:rsidTr="007F770C">
        <w:trPr>
          <w:trHeight w:val="145"/>
        </w:trPr>
        <w:tc>
          <w:tcPr>
            <w:tcW w:w="1791" w:type="dxa"/>
          </w:tcPr>
          <w:p w14:paraId="3667FFC3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 xml:space="preserve">Ve zpracovatelském průmyslu klesaly ceny </w:t>
            </w:r>
            <w:r>
              <w:rPr>
                <w:spacing w:val="0"/>
                <w:lang w:eastAsia="en-US"/>
              </w:rPr>
              <w:br/>
              <w:t>v řadě důležitých odvětví.</w:t>
            </w:r>
          </w:p>
        </w:tc>
        <w:tc>
          <w:tcPr>
            <w:tcW w:w="223" w:type="dxa"/>
          </w:tcPr>
          <w:p w14:paraId="4ECBBD52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92AD8B0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Ceny výrobků a služeb zpracovatelského průmyslu meziročně klesly o 0,3 % a mezičtvrtletně o 0,4 %. Výsledné meziroční tempo blízké stagnaci bylo výsledkem protichůdného působení různých oddílů. Výrazně ve směru poklesu působilo snížení cen koksu a rafinovaných ropných produktů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, propad si držely i ceny chemických látek a přípravků (−7,1 %), nižší byly také ceny základních kovů (−2,9 %). Do meziročního poklesu se dostaly také ceny ve významných částech průmyslu – elektrická zařízení (−1,7 %), motorová vozidla (−1,1 %), kovodělné výrobky (−0,6 %). U všech těchto odvětví zároveň ceny klesaly i mezičtvrtletně. Tento mezičtvrtletní pokles se projevil </w:t>
            </w:r>
            <w:r>
              <w:rPr>
                <w:lang w:eastAsia="en-US"/>
              </w:rPr>
              <w:br/>
              <w:t>i na zpomalení meziročního přírůstku cen strojů a zařízení (0,5 %), počítačů, elektronických a optických přístrojů a zařízení (0,4 %), či pryžových a plastových výrobků (0,2 %). Ve 3. čtvrtletí naopak pokračoval solidní meziroční růst cen ostatních dopravních prostředků a zařízení (4,2 %), oprav, údržby a instalace strojů a zařízení (4,0 %), nábytku (3,6 %), potravinářských výrobků (3,4 %) nebo základních farmaceutických výrobků a přípravků (3,4 %). U většiny byla meziroční dynamika cen podpořena mezičtvrtletními nárůsty.</w:t>
            </w:r>
          </w:p>
        </w:tc>
      </w:tr>
      <w:tr w:rsidR="006C4ED6" w14:paraId="6892703C" w14:textId="77777777" w:rsidTr="007F770C">
        <w:trPr>
          <w:trHeight w:val="145"/>
        </w:trPr>
        <w:tc>
          <w:tcPr>
            <w:tcW w:w="1791" w:type="dxa"/>
          </w:tcPr>
          <w:p w14:paraId="3CE9ACC2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6B955355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5AAAE14F" w14:textId="77777777" w:rsidR="006C4ED6" w:rsidRDefault="006C4ED6" w:rsidP="007F770C">
            <w:pPr>
              <w:spacing w:after="0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Graf č. 12 Ceny hlavních skupin průmyslových výrobců </w:t>
            </w:r>
            <w:r>
              <w:rPr>
                <w:sz w:val="18"/>
                <w:szCs w:val="18"/>
                <w:lang w:eastAsia="en-US"/>
              </w:rPr>
              <w:t>(meziroční změna, v %, podle klasifikace CPA)</w:t>
            </w:r>
          </w:p>
        </w:tc>
      </w:tr>
      <w:tr w:rsidR="006C4ED6" w14:paraId="3ED08BA5" w14:textId="77777777" w:rsidTr="007F770C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54E89426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79885449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E167697" w14:textId="77777777" w:rsidR="006C4ED6" w:rsidRDefault="006C4ED6" w:rsidP="007F770C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D31D65F" wp14:editId="7BF9EE6C">
                  <wp:extent cx="4752000" cy="3553200"/>
                  <wp:effectExtent l="0" t="0" r="0" b="0"/>
                  <wp:docPr id="159352109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C4ED6" w14:paraId="79E4B922" w14:textId="77777777" w:rsidTr="007F770C">
        <w:trPr>
          <w:trHeight w:val="145"/>
        </w:trPr>
        <w:tc>
          <w:tcPr>
            <w:tcW w:w="1791" w:type="dxa"/>
          </w:tcPr>
          <w:p w14:paraId="618A1E78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0ABFC028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93B7AD8" w14:textId="77777777" w:rsidR="006C4ED6" w:rsidRDefault="006C4ED6" w:rsidP="007F770C">
            <w:pPr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6C4ED6" w14:paraId="0DE339B6" w14:textId="77777777" w:rsidTr="007F770C">
        <w:trPr>
          <w:trHeight w:val="145"/>
        </w:trPr>
        <w:tc>
          <w:tcPr>
            <w:tcW w:w="1791" w:type="dxa"/>
            <w:hideMark/>
          </w:tcPr>
          <w:p w14:paraId="569F598B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průmyslových výrobců v EU meziročně stagnovaly.</w:t>
            </w:r>
          </w:p>
        </w:tc>
        <w:tc>
          <w:tcPr>
            <w:tcW w:w="223" w:type="dxa"/>
          </w:tcPr>
          <w:p w14:paraId="3A3AFDA4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42155BF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Meziroční růst cen průmyslových výrobců v EU</w:t>
            </w:r>
            <w:r>
              <w:rPr>
                <w:rStyle w:val="Znakapoznpodarou"/>
                <w:lang w:eastAsia="en-US"/>
              </w:rPr>
              <w:footnoteReference w:id="5"/>
            </w:r>
            <w:r>
              <w:rPr>
                <w:lang w:eastAsia="en-US"/>
              </w:rPr>
              <w:t xml:space="preserve"> ve 3. čtvrtletí 2025 zpomalil na 0,1 %. Meziroční stagnaci ovlivnil zejména prudký mezičtvrtletní propad, ke kterému došlo ve 2. kvartálu. Ceny jinak od loňského 3. čtvrtletí solidně mezičtvrtletně rostly a v letošním 3. čtvrtletí byly mezičtvrtletně vyšší o 0,6 %. Meziročně v EU klesaly ceny těžby a dobývání (−0,9 %, mezičtvrtletně −0,6 %) a také ceny elektřiny, plynu, páry a klimatizovaného vzduchu (−1,2 %, mezičtvrtletně růst o 2,5 %). Naopak ceny ve zpracovatelském průmyslu byly meziročně vyšší o 0,5 % a mezičtvrtletně o 0,1 %. Meziroční vývoj napříč EU byl značně různorodý. Nejvíce rostly ceny průmyslových </w:t>
            </w:r>
            <w:r>
              <w:rPr>
                <w:lang w:eastAsia="en-US"/>
              </w:rPr>
              <w:lastRenderedPageBreak/>
              <w:t>výrobců v Bulharsku (9,6 %), Rumunsku (4,0 %) a Švédsku (3,7 %). Celkem ve 12 zemích ceny klesaly, nejvíce v Lucembursku (−4,0 %), Portugalsku (−3,8 %) a Estonsku (−2,7 %).</w:t>
            </w:r>
          </w:p>
        </w:tc>
      </w:tr>
      <w:tr w:rsidR="006C4ED6" w14:paraId="07D12FE9" w14:textId="77777777" w:rsidTr="007F770C">
        <w:trPr>
          <w:trHeight w:val="145"/>
        </w:trPr>
        <w:tc>
          <w:tcPr>
            <w:tcW w:w="1791" w:type="dxa"/>
            <w:hideMark/>
          </w:tcPr>
          <w:p w14:paraId="6129ACDE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Růst cen stavebních prací byl mírný.</w:t>
            </w:r>
          </w:p>
        </w:tc>
        <w:tc>
          <w:tcPr>
            <w:tcW w:w="223" w:type="dxa"/>
          </w:tcPr>
          <w:p w14:paraId="16D9B1DE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88956BC" w14:textId="77777777" w:rsidR="006C4ED6" w:rsidRDefault="006C4ED6" w:rsidP="007F770C">
            <w:pPr>
              <w:rPr>
                <w:lang w:eastAsia="en-US"/>
              </w:rPr>
            </w:pPr>
            <w:r w:rsidRPr="007D3402">
              <w:rPr>
                <w:lang w:eastAsia="en-US"/>
              </w:rPr>
              <w:t>Ceny stavebních prací</w:t>
            </w:r>
            <w:r>
              <w:rPr>
                <w:lang w:eastAsia="en-US"/>
              </w:rPr>
              <w:t xml:space="preserve"> si již dva roky drží stabilní tempo a </w:t>
            </w:r>
            <w:r w:rsidRPr="007D3402">
              <w:rPr>
                <w:lang w:eastAsia="en-US"/>
              </w:rPr>
              <w:t xml:space="preserve">dle odhadů ve 3. čtvrtletí </w:t>
            </w:r>
            <w:r>
              <w:rPr>
                <w:lang w:eastAsia="en-US"/>
              </w:rPr>
              <w:t xml:space="preserve">vzrostly mezičtvrtletně o </w:t>
            </w:r>
            <w:r w:rsidRPr="007D3402">
              <w:rPr>
                <w:lang w:eastAsia="en-US"/>
              </w:rPr>
              <w:t xml:space="preserve">0,4 % </w:t>
            </w:r>
            <w:r>
              <w:rPr>
                <w:lang w:eastAsia="en-US"/>
              </w:rPr>
              <w:t xml:space="preserve">a meziročně o </w:t>
            </w:r>
            <w:r w:rsidRPr="007D3402">
              <w:rPr>
                <w:lang w:eastAsia="en-US"/>
              </w:rPr>
              <w:t>2,7 %</w:t>
            </w:r>
            <w:r>
              <w:rPr>
                <w:lang w:eastAsia="en-US"/>
              </w:rPr>
              <w:t>. C</w:t>
            </w:r>
            <w:r w:rsidRPr="007D3402">
              <w:rPr>
                <w:lang w:eastAsia="en-US"/>
              </w:rPr>
              <w:t xml:space="preserve">eny materiálů a výrobků spotřebovávaných ve stavebnictví se </w:t>
            </w:r>
            <w:r>
              <w:rPr>
                <w:lang w:eastAsia="en-US"/>
              </w:rPr>
              <w:t xml:space="preserve">naopak mezičtvrtletně </w:t>
            </w:r>
            <w:r w:rsidRPr="007D3402">
              <w:rPr>
                <w:lang w:eastAsia="en-US"/>
              </w:rPr>
              <w:t>snížily o 0,1 %</w:t>
            </w:r>
            <w:r>
              <w:rPr>
                <w:lang w:eastAsia="en-US"/>
              </w:rPr>
              <w:t xml:space="preserve"> a meziročně byly vyšší jen o </w:t>
            </w:r>
            <w:r w:rsidRPr="007D3402">
              <w:rPr>
                <w:lang w:eastAsia="en-US"/>
              </w:rPr>
              <w:t>1,0 %.</w:t>
            </w:r>
          </w:p>
        </w:tc>
      </w:tr>
      <w:tr w:rsidR="006C4ED6" w14:paraId="14D6BE84" w14:textId="77777777" w:rsidTr="007F770C">
        <w:trPr>
          <w:trHeight w:val="145"/>
        </w:trPr>
        <w:tc>
          <w:tcPr>
            <w:tcW w:w="1791" w:type="dxa"/>
            <w:hideMark/>
          </w:tcPr>
          <w:p w14:paraId="7F27A74D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Ceny tržních služeb nejvíce ovlivňoval vývoj u reklamních služeb </w:t>
            </w:r>
            <w:r>
              <w:rPr>
                <w:spacing w:val="0"/>
                <w:lang w:eastAsia="en-US"/>
              </w:rPr>
              <w:br/>
              <w:t>a průzkumu trhu.</w:t>
            </w:r>
          </w:p>
        </w:tc>
        <w:tc>
          <w:tcPr>
            <w:tcW w:w="223" w:type="dxa"/>
          </w:tcPr>
          <w:p w14:paraId="2F4A34E0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CDB519C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>Meziroční růst cen tržních služeb ve 3. čtvrtletí mírně posílil na 4,4 %. Mezičtvrtletně se ceny tržních služeb snížily o 0,4 %. Posílení meziročního nárůstu bylo ovlivněno především cenami reklamních služeb a průzkumu trhu (nárůst o 18,0 %), které také celkově nejvíce přispěly k navýšení cen tržních služeb. Ve směru růstu cen výrazně působily také ceny skladování a podpůrných služeb v dopravě (6,0 %), služeb v oblasti nemovitostí (3,6 %) a služeb v oblasti programování a souvisejícího poradenství (4,0 %). Silný meziroční růst byl zaznamenán u cen tvorby programů a vysílání (21,2 %), bezpečnostních a pátracích služeb (12,2 %) a služeb v oblasti zaměstnání (9,2 %). Nezanedbatelně rostly také ceny vydavatelských služeb (5,3 %), pojištění, zajištění a penzijního financování (4,7 %), poštovních a kurýrních služeb (4,5 %), vedení podniků a poradenství (2,7 %), služeb souvisejících se stavbami a úpravou krajiny (2,6 %), architektonických a inženýrských služeb a technických zkoušek a analýz (2,3 %) a právních a účetnických služeb (2,3 %). Meziročně ve 3. kvartálu klesaly pouze ceny administrativních, kancelářských a jiných podpůrných služeb pro podnikání (−1,2 %).</w:t>
            </w:r>
          </w:p>
        </w:tc>
      </w:tr>
      <w:tr w:rsidR="006C4ED6" w14:paraId="6DBB0C00" w14:textId="77777777" w:rsidTr="007F770C">
        <w:trPr>
          <w:trHeight w:val="145"/>
        </w:trPr>
        <w:tc>
          <w:tcPr>
            <w:tcW w:w="1791" w:type="dxa"/>
            <w:hideMark/>
          </w:tcPr>
          <w:p w14:paraId="0D579690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Růst cen zemědělských výrobců se zmírnil.</w:t>
            </w:r>
          </w:p>
        </w:tc>
        <w:tc>
          <w:tcPr>
            <w:tcW w:w="223" w:type="dxa"/>
          </w:tcPr>
          <w:p w14:paraId="7437C629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ABA0769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Meziroční tempo růstu cen zemědělských výrobců (včetně ryb) se ve 3. kvartálu zmírnilo na 9,8 %. Zvolnění ovlivnil především propad meziročního tempa růstu cen v rostlinné výrobě na 2,7 %. Mírněji meziročně rostly ceny obilovin (4,3 %, zejména pšenice a kukuřice), průmyslových plodin (9,3 %, vliv měla především řepka), krmných plodin (5,4 %) a ovoce (8,2 %, hlavní vliv měla nová sklizeň jablek). Do poklesu se dostaly ceny zeleniny a zahradnických produktů (−7,7 %) a v hlubokém propadu setrvávaly ceny brambor (−20,7 %). Ceny v živočišné výrobě ve 3. čtvrtletí meziročně vzrostly o 18,6 % a růst tak posílil. Výrazněji rostly ceny skotu (38,9 %) i drůbeže (11,3 %) a zmírnil se propad cen prasat a selat (−5,3 %). Téměř nezměněná dvouciferná tempa růstu si držely ceny mléka (19,7 %) a vajec (43,4 %). </w:t>
            </w:r>
          </w:p>
        </w:tc>
      </w:tr>
      <w:tr w:rsidR="006C4ED6" w14:paraId="5A80E4E5" w14:textId="77777777" w:rsidTr="007F770C">
        <w:trPr>
          <w:trHeight w:val="145"/>
        </w:trPr>
        <w:tc>
          <w:tcPr>
            <w:tcW w:w="1791" w:type="dxa"/>
            <w:hideMark/>
          </w:tcPr>
          <w:p w14:paraId="3BC8596E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Pokles cen vývozu se prohloubil.</w:t>
            </w:r>
          </w:p>
        </w:tc>
        <w:tc>
          <w:tcPr>
            <w:tcW w:w="223" w:type="dxa"/>
          </w:tcPr>
          <w:p w14:paraId="101BAD80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0DBC77E" w14:textId="17DF8E2B" w:rsidR="006C4ED6" w:rsidRDefault="006C4ED6" w:rsidP="00AE1A2E">
            <w:pPr>
              <w:rPr>
                <w:lang w:eastAsia="en-US"/>
              </w:rPr>
            </w:pPr>
            <w:r>
              <w:rPr>
                <w:lang w:eastAsia="en-US"/>
              </w:rPr>
              <w:t>Na vývoj cen zahraničního obchodu se zbožím mělo podobně jako v předchozích kvartálech masivní vliv posilování kurzu koruny</w:t>
            </w:r>
            <w:r>
              <w:rPr>
                <w:rStyle w:val="Znakapoznpodarou"/>
                <w:lang w:eastAsia="en-US"/>
              </w:rPr>
              <w:footnoteReference w:id="6"/>
            </w:r>
            <w:r>
              <w:rPr>
                <w:lang w:eastAsia="en-US"/>
              </w:rPr>
              <w:t>, které působilo protiinflačně. Meziroční pokles cen vývozu zboží se ve 3. čtvrtletí 2025 prohloubil na 2,7 %. Mezičtvrtletně se ceny exportu snížily o 1,8 %. Na prohloubení meziročního poklesu cen vývozu mělo podíl zpomalení růstu cen produktů zemědělství, lesnictví a rybářství na 3,4 %, prohloubení propadu u těžby a dobývání (−11,7 %) i výrobků zpracovatelského průmyslu (−2,6 %) a přechod z růstu do poklesu u elektřiny, plynu, páry a klimatizovaného vzduchu (−3,9 %). V rámci zpracovatelského průmyslu mezičtvrtletně i meziročně klesaly ceny téměř ve všech oddílech. Nejvíce se meziročně propadaly ceny koksu a rafinovaných ropných produktů (−13,9 %), chemických látek a</w:t>
            </w:r>
            <w:r w:rsidR="00AE1A2E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přípravků (−7,0 %) a základních kovů (−6,8 %). Nižší byly ale rovněž ceny v řadě váhově významných oddílů zpracovatelského průmyslu, jako jsou motorová vozidla (−1,5 %), stroje a zařízení (−2,1 %), počítače, elektronické a optické přístroje (−2,9 %), elektrická zařízení (−3,9 %) nebo ostatní dopravní prostředky a zařízení (−4,9 %). Meziročně </w:t>
            </w:r>
            <w:r>
              <w:rPr>
                <w:lang w:eastAsia="en-US"/>
              </w:rPr>
              <w:lastRenderedPageBreak/>
              <w:t>rostly jen ceny dřeva a dřevěných a korkových výrobků kromě nábytku (5,7</w:t>
            </w:r>
            <w:r w:rsidR="00AE1A2E">
              <w:rPr>
                <w:lang w:eastAsia="en-US"/>
              </w:rPr>
              <w:t> </w:t>
            </w:r>
            <w:r>
              <w:rPr>
                <w:lang w:eastAsia="en-US"/>
              </w:rPr>
              <w:t>%) a potravinářských výrobků (0,9 %), u kterých ale došlo k výraznému zvolnění růstu.</w:t>
            </w:r>
          </w:p>
        </w:tc>
      </w:tr>
      <w:tr w:rsidR="006C4ED6" w14:paraId="20B94BD4" w14:textId="77777777" w:rsidTr="007F770C">
        <w:trPr>
          <w:trHeight w:val="145"/>
        </w:trPr>
        <w:tc>
          <w:tcPr>
            <w:tcW w:w="1791" w:type="dxa"/>
          </w:tcPr>
          <w:p w14:paraId="1DDA00E8" w14:textId="77777777" w:rsidR="006C4ED6" w:rsidRDefault="006C4ED6" w:rsidP="007F770C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Ceny dovozu se rovněž snižovaly.</w:t>
            </w:r>
          </w:p>
        </w:tc>
        <w:tc>
          <w:tcPr>
            <w:tcW w:w="223" w:type="dxa"/>
          </w:tcPr>
          <w:p w14:paraId="4F618458" w14:textId="77777777" w:rsidR="006C4ED6" w:rsidRDefault="006C4ED6" w:rsidP="007F770C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B1F096B" w14:textId="77777777" w:rsidR="006C4ED6" w:rsidRDefault="006C4ED6" w:rsidP="007F77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dovozu ve 3. čtvrtletí meziročně klesly o 3,2 % a mezičtvrtletně o 1,8 %. Prohloubil se meziroční propad cen těžby a dobývání (−15,8 %), elektřiny, plynu, páry a klimatizovaného vzduchu (−5,8 %) i výrobků zpracovatelského průmyslu (−2,3 %). Vyšší byly ceny produktů zemědělství, lesnictví a rybářství (5,7 %). Vývoj cen dovozu výrobků zpracovatelského průmyslu do značné míry kopíroval situaci v oblasti cen vývozu. Meziročně klesaly ceny dovozu téměř ve všech oddílech, nejvíce v těch spojených se surovinami, jako jsou koks a rafinované ropné výrobky (−11,0 %), základní kovy (−6,8 %) a chemické látky a přípravky (−5,4 %). Meziroční směnné relace zahraničního obchodu se zbožím dosáhly ve 3. čtvrtletí 100,5 %. Kladné byly směnné relace u těžby a dobývání (104,8 %) a elektřiny, plynu, páry a klimatizovaného vzduchu (102,0 %). Záporné meziroční směnné relace měl naopak obchod s produkty zemědělství, lesnictví a rybářství (97,8 %) a výrobky zpracovatelského průmyslu (99,8 %). Směnné relace dosáhly mezičtvrtletně 100,0 %. </w:t>
            </w:r>
          </w:p>
        </w:tc>
      </w:tr>
    </w:tbl>
    <w:p w14:paraId="7F9EC486" w14:textId="77777777" w:rsidR="006C4ED6" w:rsidRDefault="006C4ED6" w:rsidP="006C4ED6">
      <w:pPr>
        <w:spacing w:after="0"/>
      </w:pPr>
    </w:p>
    <w:p w14:paraId="5E0E2DE7" w14:textId="77777777" w:rsidR="006A2056" w:rsidRPr="00C5418A" w:rsidRDefault="006A2056" w:rsidP="006A2056">
      <w:pPr>
        <w:spacing w:after="0"/>
        <w:rPr>
          <w:highlight w:val="yellow"/>
        </w:rPr>
      </w:pPr>
    </w:p>
    <w:sectPr w:rsidR="006A2056" w:rsidRPr="00C5418A" w:rsidSect="00114DF8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BF22" w14:textId="77777777" w:rsidR="00AD0B07" w:rsidRDefault="00AD0B07" w:rsidP="00E71A58">
      <w:r>
        <w:separator/>
      </w:r>
    </w:p>
  </w:endnote>
  <w:endnote w:type="continuationSeparator" w:id="0">
    <w:p w14:paraId="7DCF4CCC" w14:textId="77777777" w:rsidR="00AD0B07" w:rsidRDefault="00AD0B0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3B3F7B37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C5418A">
      <w:rPr>
        <w:szCs w:val="16"/>
      </w:rPr>
      <w:t>1. až 3.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15E32B36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 xml:space="preserve">1. </w:t>
    </w:r>
    <w:r w:rsidR="00C5418A">
      <w:rPr>
        <w:szCs w:val="16"/>
      </w:rPr>
      <w:t>až 3. čtvrt</w:t>
    </w:r>
    <w:r>
      <w:rPr>
        <w:szCs w:val="16"/>
      </w:rPr>
      <w:t>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31B2" w14:textId="77777777" w:rsidR="00AD0B07" w:rsidRDefault="00AD0B07" w:rsidP="00EA4302">
      <w:pPr>
        <w:spacing w:after="0"/>
      </w:pPr>
      <w:r>
        <w:separator/>
      </w:r>
    </w:p>
  </w:footnote>
  <w:footnote w:type="continuationSeparator" w:id="0">
    <w:p w14:paraId="58084D78" w14:textId="77777777" w:rsidR="00AD0B07" w:rsidRDefault="00AD0B07" w:rsidP="00E71A58">
      <w:r>
        <w:continuationSeparator/>
      </w:r>
    </w:p>
  </w:footnote>
  <w:footnote w:id="1">
    <w:p w14:paraId="3E3CA570" w14:textId="77777777" w:rsidR="006C4ED6" w:rsidRDefault="006C4ED6" w:rsidP="006C4ED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Imputované nájemné vyjadřuje náklady vlastnického bydlení. Kromě samotných cen bydlení zahrnuje i náklady na výstavbu a renovace a další poplatky. Více na: </w:t>
      </w:r>
      <w:hyperlink r:id="rId1" w:history="1">
        <w:r>
          <w:rPr>
            <w:rStyle w:val="Hypertextovodkaz"/>
            <w:sz w:val="16"/>
            <w:szCs w:val="16"/>
          </w:rPr>
          <w:t>https://csu.gov.cz/metodicka-poznamka-k-indexu-spotrebitelskych-cen-imputovane-najemne</w:t>
        </w:r>
      </w:hyperlink>
      <w:r>
        <w:rPr>
          <w:rStyle w:val="Hypertextovodkaz"/>
          <w:sz w:val="16"/>
          <w:szCs w:val="16"/>
        </w:rPr>
        <w:t>.</w:t>
      </w:r>
    </w:p>
  </w:footnote>
  <w:footnote w:id="2">
    <w:p w14:paraId="37A38B6F" w14:textId="77777777" w:rsidR="006C4ED6" w:rsidRDefault="006C4ED6" w:rsidP="006C4ED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Zahrnuje služby osobní péče a osobní potřeby a doplňky, sociální péči, pojištění a další finanční služby apod.</w:t>
      </w:r>
    </w:p>
  </w:footnote>
  <w:footnote w:id="3">
    <w:p w14:paraId="182901AF" w14:textId="77777777" w:rsidR="006C4ED6" w:rsidRDefault="006C4ED6" w:rsidP="006C4ED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Oproti indexu spotřebitelských cen, který ČSÚ pro českou ekonomiku sestavuje, HICP neobsahuje imputované nájemné, což bývá zdrojem rozdílů mezi HICP a Indexem spotřebitelských cen.</w:t>
      </w:r>
    </w:p>
  </w:footnote>
  <w:footnote w:id="4">
    <w:p w14:paraId="783260AD" w14:textId="77777777" w:rsidR="006C4ED6" w:rsidRPr="00F12526" w:rsidRDefault="006C4ED6" w:rsidP="006C4ED6">
      <w:pPr>
        <w:pStyle w:val="Textpoznpodarou"/>
        <w:rPr>
          <w:sz w:val="16"/>
          <w:szCs w:val="16"/>
        </w:rPr>
      </w:pPr>
      <w:r w:rsidRPr="00F12526">
        <w:rPr>
          <w:rStyle w:val="Znakapoznpodarou"/>
          <w:sz w:val="16"/>
          <w:szCs w:val="16"/>
        </w:rPr>
        <w:footnoteRef/>
      </w:r>
      <w:r w:rsidRPr="00F12526">
        <w:rPr>
          <w:sz w:val="16"/>
          <w:szCs w:val="16"/>
        </w:rPr>
        <w:t xml:space="preserve"> Individuální data</w:t>
      </w:r>
    </w:p>
  </w:footnote>
  <w:footnote w:id="5">
    <w:p w14:paraId="3FB3BF57" w14:textId="77777777" w:rsidR="006C4ED6" w:rsidRDefault="006C4ED6" w:rsidP="006C4ED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Bez cen zásobování vodou a služeb souvisejících s odpadními vodami.</w:t>
      </w:r>
    </w:p>
  </w:footnote>
  <w:footnote w:id="6">
    <w:p w14:paraId="6DC0350F" w14:textId="77777777" w:rsidR="006C4ED6" w:rsidRDefault="006C4ED6" w:rsidP="006C4ED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Podle údajů ČNB byl ve 3. čtvrtletí 2025 průměrný kurz koruny vůči euru 24,498 CZK/EUR. Ve 3. čtvrtletí 2024 to bylo </w:t>
      </w:r>
      <w:r>
        <w:rPr>
          <w:sz w:val="16"/>
          <w:szCs w:val="16"/>
        </w:rPr>
        <w:br/>
        <w:t xml:space="preserve">25,196 CZK/EUR a ve 2. čtvrtletí 2025 kurz dosáhl 24,921 CZK/EUR. Kurz vůči dolaru ve 3. čtvrtletí 2025 v průměru činil 20,973 CZK/USD. Ve stejném období roku 2024 to bylo 22,939 CZK/USD a ve 2. čtvrtletí 2025 to bylo 21,985 CZK/USD.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2CF1"/>
    <w:rsid w:val="000C3408"/>
    <w:rsid w:val="000C6AFD"/>
    <w:rsid w:val="000D1B52"/>
    <w:rsid w:val="000D5637"/>
    <w:rsid w:val="000E15EA"/>
    <w:rsid w:val="000E6FBD"/>
    <w:rsid w:val="000F49A9"/>
    <w:rsid w:val="00100F5C"/>
    <w:rsid w:val="00101CDA"/>
    <w:rsid w:val="00102C41"/>
    <w:rsid w:val="00104C4C"/>
    <w:rsid w:val="00107F50"/>
    <w:rsid w:val="00114DF8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118B9"/>
    <w:rsid w:val="00213E46"/>
    <w:rsid w:val="00214CF7"/>
    <w:rsid w:val="00216286"/>
    <w:rsid w:val="00216A01"/>
    <w:rsid w:val="002175EA"/>
    <w:rsid w:val="00217C5B"/>
    <w:rsid w:val="0022139E"/>
    <w:rsid w:val="00222729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41B06"/>
    <w:rsid w:val="00242119"/>
    <w:rsid w:val="002421C4"/>
    <w:rsid w:val="00242C10"/>
    <w:rsid w:val="002436BA"/>
    <w:rsid w:val="00244A15"/>
    <w:rsid w:val="0024661A"/>
    <w:rsid w:val="00247319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4F9F"/>
    <w:rsid w:val="003209D6"/>
    <w:rsid w:val="00321205"/>
    <w:rsid w:val="00321924"/>
    <w:rsid w:val="0032656E"/>
    <w:rsid w:val="00327D4E"/>
    <w:rsid w:val="00332190"/>
    <w:rsid w:val="003421E1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8123E"/>
    <w:rsid w:val="003818DC"/>
    <w:rsid w:val="00382C5B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3490"/>
    <w:rsid w:val="003C6550"/>
    <w:rsid w:val="003C7E62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5040A8"/>
    <w:rsid w:val="00504EE1"/>
    <w:rsid w:val="0050689D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7364B"/>
    <w:rsid w:val="00574773"/>
    <w:rsid w:val="0058308D"/>
    <w:rsid w:val="00583FFD"/>
    <w:rsid w:val="00591099"/>
    <w:rsid w:val="005911BE"/>
    <w:rsid w:val="00593152"/>
    <w:rsid w:val="00596010"/>
    <w:rsid w:val="005A10F2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0078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3853"/>
    <w:rsid w:val="0094427A"/>
    <w:rsid w:val="00945245"/>
    <w:rsid w:val="009452D0"/>
    <w:rsid w:val="00956572"/>
    <w:rsid w:val="00957309"/>
    <w:rsid w:val="0095759C"/>
    <w:rsid w:val="00961532"/>
    <w:rsid w:val="0096774F"/>
    <w:rsid w:val="00967E76"/>
    <w:rsid w:val="009721DB"/>
    <w:rsid w:val="0097239B"/>
    <w:rsid w:val="00974923"/>
    <w:rsid w:val="009808F7"/>
    <w:rsid w:val="00980D3D"/>
    <w:rsid w:val="00981FFA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9F791A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0B07"/>
    <w:rsid w:val="00AD168E"/>
    <w:rsid w:val="00AD306C"/>
    <w:rsid w:val="00AD4F16"/>
    <w:rsid w:val="00AD5323"/>
    <w:rsid w:val="00AD68C4"/>
    <w:rsid w:val="00AE09B3"/>
    <w:rsid w:val="00AE0ED3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1A0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141"/>
    <w:rsid w:val="00C5418A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A0914"/>
    <w:rsid w:val="00CA6AB4"/>
    <w:rsid w:val="00CA7BE7"/>
    <w:rsid w:val="00CB4930"/>
    <w:rsid w:val="00CC0E87"/>
    <w:rsid w:val="00CC2E7D"/>
    <w:rsid w:val="00CD10A5"/>
    <w:rsid w:val="00CD2076"/>
    <w:rsid w:val="00CD29B5"/>
    <w:rsid w:val="00CD6331"/>
    <w:rsid w:val="00CD7AFB"/>
    <w:rsid w:val="00CE670B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14B9"/>
    <w:rsid w:val="00E329EF"/>
    <w:rsid w:val="00E3309D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2CC"/>
    <w:rsid w:val="00EB39C7"/>
    <w:rsid w:val="00EB3D8F"/>
    <w:rsid w:val="00EB4511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17E83"/>
    <w:rsid w:val="00F24407"/>
    <w:rsid w:val="00F24931"/>
    <w:rsid w:val="00F24FAA"/>
    <w:rsid w:val="00F252A0"/>
    <w:rsid w:val="00F3364D"/>
    <w:rsid w:val="00F437CC"/>
    <w:rsid w:val="00F43E29"/>
    <w:rsid w:val="00F44537"/>
    <w:rsid w:val="00F44B6A"/>
    <w:rsid w:val="00F47067"/>
    <w:rsid w:val="00F50FC3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FD9"/>
    <w:rsid w:val="00F67C4E"/>
    <w:rsid w:val="00F70D20"/>
    <w:rsid w:val="00F73A0C"/>
    <w:rsid w:val="00F756DB"/>
    <w:rsid w:val="00F84E7D"/>
    <w:rsid w:val="00F85066"/>
    <w:rsid w:val="00F87A4D"/>
    <w:rsid w:val="00F90035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3265"/>
    <w:rsid w:val="00FD5F92"/>
    <w:rsid w:val="00FD66F9"/>
    <w:rsid w:val="00FD78F8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metodicka-poznamka-k-indexu-spotrebitelskych-cen-imputovane-najem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3/Makroanal&#253;za%20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3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3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568840579710145E-2"/>
          <c:y val="2.1811315924220299E-2"/>
          <c:w val="0.92237743255066085"/>
          <c:h val="0.714715752130041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2'!$C$5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2'!$A$14:$B$36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2'!$C$14:$C$36</c:f>
              <c:numCache>
                <c:formatCode>0.0</c:formatCode>
                <c:ptCount val="23"/>
                <c:pt idx="0">
                  <c:v>3.6</c:v>
                </c:pt>
                <c:pt idx="1">
                  <c:v>3.1</c:v>
                </c:pt>
                <c:pt idx="2">
                  <c:v>3.3</c:v>
                </c:pt>
                <c:pt idx="3">
                  <c:v>2.6</c:v>
                </c:pt>
                <c:pt idx="4">
                  <c:v>2.2000000000000002</c:v>
                </c:pt>
                <c:pt idx="5">
                  <c:v>2.9</c:v>
                </c:pt>
                <c:pt idx="6">
                  <c:v>4.0999999999999996</c:v>
                </c:pt>
                <c:pt idx="7">
                  <c:v>6.1</c:v>
                </c:pt>
                <c:pt idx="8">
                  <c:v>11.2</c:v>
                </c:pt>
                <c:pt idx="9">
                  <c:v>15.8</c:v>
                </c:pt>
                <c:pt idx="10">
                  <c:v>17.600000000000001</c:v>
                </c:pt>
                <c:pt idx="11">
                  <c:v>15.7</c:v>
                </c:pt>
                <c:pt idx="12">
                  <c:v>16.399999999999999</c:v>
                </c:pt>
                <c:pt idx="13">
                  <c:v>11.1</c:v>
                </c:pt>
                <c:pt idx="14">
                  <c:v>8</c:v>
                </c:pt>
                <c:pt idx="15">
                  <c:v>7.6</c:v>
                </c:pt>
                <c:pt idx="16">
                  <c:v>2.1</c:v>
                </c:pt>
                <c:pt idx="17">
                  <c:v>2.5</c:v>
                </c:pt>
                <c:pt idx="18">
                  <c:v>2.2999999999999998</c:v>
                </c:pt>
                <c:pt idx="19">
                  <c:v>2.9</c:v>
                </c:pt>
                <c:pt idx="20">
                  <c:v>2.7</c:v>
                </c:pt>
                <c:pt idx="21">
                  <c:v>2.4</c:v>
                </c:pt>
                <c:pt idx="2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DB-4E9D-A288-0C5F53B232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120064"/>
        <c:axId val="270121600"/>
      </c:barChart>
      <c:lineChart>
        <c:grouping val="standard"/>
        <c:varyColors val="0"/>
        <c:ser>
          <c:idx val="1"/>
          <c:order val="1"/>
          <c:tx>
            <c:strRef>
              <c:f>'Ceny 2'!$D$5</c:f>
              <c:strCache>
                <c:ptCount val="1"/>
                <c:pt idx="0">
                  <c:v>Potraviny a nealkoholické nápoje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2'!$A$14:$B$36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2'!$D$14:$D$36</c:f>
              <c:numCache>
                <c:formatCode>0.0</c:formatCode>
                <c:ptCount val="23"/>
                <c:pt idx="0">
                  <c:v>6.1</c:v>
                </c:pt>
                <c:pt idx="1">
                  <c:v>6.5</c:v>
                </c:pt>
                <c:pt idx="2">
                  <c:v>4</c:v>
                </c:pt>
                <c:pt idx="3">
                  <c:v>1.7</c:v>
                </c:pt>
                <c:pt idx="4">
                  <c:v>0.3</c:v>
                </c:pt>
                <c:pt idx="5">
                  <c:v>-0.8</c:v>
                </c:pt>
                <c:pt idx="6">
                  <c:v>1.4</c:v>
                </c:pt>
                <c:pt idx="7">
                  <c:v>2.2999999999999998</c:v>
                </c:pt>
                <c:pt idx="8">
                  <c:v>6.7</c:v>
                </c:pt>
                <c:pt idx="9">
                  <c:v>14.6</c:v>
                </c:pt>
                <c:pt idx="10">
                  <c:v>20</c:v>
                </c:pt>
                <c:pt idx="11">
                  <c:v>25.5</c:v>
                </c:pt>
                <c:pt idx="12">
                  <c:v>24.1</c:v>
                </c:pt>
                <c:pt idx="13">
                  <c:v>14.6</c:v>
                </c:pt>
                <c:pt idx="14">
                  <c:v>7.8</c:v>
                </c:pt>
                <c:pt idx="15">
                  <c:v>1.6</c:v>
                </c:pt>
                <c:pt idx="16">
                  <c:v>-4.9000000000000004</c:v>
                </c:pt>
                <c:pt idx="17">
                  <c:v>-3.6</c:v>
                </c:pt>
                <c:pt idx="18">
                  <c:v>-1.4</c:v>
                </c:pt>
                <c:pt idx="19">
                  <c:v>0.9</c:v>
                </c:pt>
                <c:pt idx="20">
                  <c:v>5.0999999999999996</c:v>
                </c:pt>
                <c:pt idx="21">
                  <c:v>5.2</c:v>
                </c:pt>
                <c:pt idx="22">
                  <c:v>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DB-4E9D-A288-0C5F53B2320E}"/>
            </c:ext>
          </c:extLst>
        </c:ser>
        <c:ser>
          <c:idx val="3"/>
          <c:order val="2"/>
          <c:tx>
            <c:strRef>
              <c:f>'Ceny 2'!$F$5</c:f>
              <c:strCache>
                <c:ptCount val="1"/>
                <c:pt idx="0">
                  <c:v>Bydlení a energie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2'!$A$14:$B$36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2'!$F$14:$F$36</c:f>
              <c:numCache>
                <c:formatCode>0.0</c:formatCode>
                <c:ptCount val="23"/>
                <c:pt idx="0">
                  <c:v>4.2</c:v>
                </c:pt>
                <c:pt idx="1">
                  <c:v>3.2</c:v>
                </c:pt>
                <c:pt idx="2">
                  <c:v>2.7</c:v>
                </c:pt>
                <c:pt idx="3">
                  <c:v>1.4</c:v>
                </c:pt>
                <c:pt idx="4">
                  <c:v>0.6</c:v>
                </c:pt>
                <c:pt idx="5">
                  <c:v>1.3</c:v>
                </c:pt>
                <c:pt idx="6">
                  <c:v>3.6</c:v>
                </c:pt>
                <c:pt idx="7">
                  <c:v>5.6</c:v>
                </c:pt>
                <c:pt idx="8">
                  <c:v>16</c:v>
                </c:pt>
                <c:pt idx="9">
                  <c:v>21.4</c:v>
                </c:pt>
                <c:pt idx="10">
                  <c:v>23.6</c:v>
                </c:pt>
                <c:pt idx="11">
                  <c:v>14.9</c:v>
                </c:pt>
                <c:pt idx="12">
                  <c:v>22.2</c:v>
                </c:pt>
                <c:pt idx="13">
                  <c:v>16</c:v>
                </c:pt>
                <c:pt idx="14">
                  <c:v>11.6</c:v>
                </c:pt>
                <c:pt idx="15">
                  <c:v>17.8</c:v>
                </c:pt>
                <c:pt idx="16">
                  <c:v>3.4</c:v>
                </c:pt>
                <c:pt idx="17">
                  <c:v>3.1</c:v>
                </c:pt>
                <c:pt idx="18">
                  <c:v>3.2</c:v>
                </c:pt>
                <c:pt idx="19">
                  <c:v>4.2</c:v>
                </c:pt>
                <c:pt idx="20">
                  <c:v>1.4</c:v>
                </c:pt>
                <c:pt idx="21">
                  <c:v>1.9</c:v>
                </c:pt>
                <c:pt idx="2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DB-4E9D-A288-0C5F53B2320E}"/>
            </c:ext>
          </c:extLst>
        </c:ser>
        <c:ser>
          <c:idx val="4"/>
          <c:order val="3"/>
          <c:tx>
            <c:strRef>
              <c:f>'Ceny 2'!$G$5</c:f>
              <c:strCache>
                <c:ptCount val="1"/>
                <c:pt idx="0">
                  <c:v>Doprava</c:v>
                </c:pt>
              </c:strCache>
            </c:strRef>
          </c:tx>
          <c:spPr>
            <a:ln w="19050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'Ceny 2'!$A$14:$B$36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2'!$G$14:$G$36</c:f>
              <c:numCache>
                <c:formatCode>0.0</c:formatCode>
                <c:ptCount val="23"/>
                <c:pt idx="0" formatCode="General">
                  <c:v>1.7</c:v>
                </c:pt>
                <c:pt idx="1">
                  <c:v>-3.4</c:v>
                </c:pt>
                <c:pt idx="2">
                  <c:v>-0.2</c:v>
                </c:pt>
                <c:pt idx="3">
                  <c:v>0.6</c:v>
                </c:pt>
                <c:pt idx="4">
                  <c:v>2.4</c:v>
                </c:pt>
                <c:pt idx="5">
                  <c:v>9.1</c:v>
                </c:pt>
                <c:pt idx="6">
                  <c:v>8.8000000000000007</c:v>
                </c:pt>
                <c:pt idx="7">
                  <c:v>13.1</c:v>
                </c:pt>
                <c:pt idx="8">
                  <c:v>17.2</c:v>
                </c:pt>
                <c:pt idx="9">
                  <c:v>22.7</c:v>
                </c:pt>
                <c:pt idx="10">
                  <c:v>19.7</c:v>
                </c:pt>
                <c:pt idx="11">
                  <c:v>13.1</c:v>
                </c:pt>
                <c:pt idx="12">
                  <c:v>4.5</c:v>
                </c:pt>
                <c:pt idx="13">
                  <c:v>-4</c:v>
                </c:pt>
                <c:pt idx="14">
                  <c:v>-2.4</c:v>
                </c:pt>
                <c:pt idx="15">
                  <c:v>-1.6</c:v>
                </c:pt>
                <c:pt idx="16">
                  <c:v>1.7</c:v>
                </c:pt>
                <c:pt idx="17">
                  <c:v>4.5999999999999996</c:v>
                </c:pt>
                <c:pt idx="18">
                  <c:v>0.9</c:v>
                </c:pt>
                <c:pt idx="19">
                  <c:v>0.1</c:v>
                </c:pt>
                <c:pt idx="20">
                  <c:v>0.3</c:v>
                </c:pt>
                <c:pt idx="21">
                  <c:v>-2.7</c:v>
                </c:pt>
                <c:pt idx="22">
                  <c:v>-0.9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0DB-4E9D-A288-0C5F53B2320E}"/>
            </c:ext>
          </c:extLst>
        </c:ser>
        <c:ser>
          <c:idx val="2"/>
          <c:order val="4"/>
          <c:tx>
            <c:strRef>
              <c:f>'Ceny 2'!$E$5</c:f>
              <c:strCache>
                <c:ptCount val="1"/>
                <c:pt idx="0">
                  <c:v>Alkoholické nápoje a tabák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'Ceny 2'!$A$14:$B$36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2'!$E$14:$E$36</c:f>
              <c:numCache>
                <c:formatCode>0.0</c:formatCode>
                <c:ptCount val="23"/>
                <c:pt idx="0" formatCode="General">
                  <c:v>3.5</c:v>
                </c:pt>
                <c:pt idx="1">
                  <c:v>6.6</c:v>
                </c:pt>
                <c:pt idx="2">
                  <c:v>10.3</c:v>
                </c:pt>
                <c:pt idx="3">
                  <c:v>9.9</c:v>
                </c:pt>
                <c:pt idx="4">
                  <c:v>9.9</c:v>
                </c:pt>
                <c:pt idx="5">
                  <c:v>9.8000000000000007</c:v>
                </c:pt>
                <c:pt idx="6">
                  <c:v>6.5</c:v>
                </c:pt>
                <c:pt idx="7">
                  <c:v>7.7</c:v>
                </c:pt>
                <c:pt idx="8">
                  <c:v>7.1</c:v>
                </c:pt>
                <c:pt idx="9">
                  <c:v>5.6</c:v>
                </c:pt>
                <c:pt idx="10">
                  <c:v>6.3</c:v>
                </c:pt>
                <c:pt idx="11">
                  <c:v>6</c:v>
                </c:pt>
                <c:pt idx="12">
                  <c:v>6.8</c:v>
                </c:pt>
                <c:pt idx="13">
                  <c:v>6.5</c:v>
                </c:pt>
                <c:pt idx="14">
                  <c:v>7.2</c:v>
                </c:pt>
                <c:pt idx="15">
                  <c:v>5.9</c:v>
                </c:pt>
                <c:pt idx="16">
                  <c:v>4.7</c:v>
                </c:pt>
                <c:pt idx="17">
                  <c:v>6.2</c:v>
                </c:pt>
                <c:pt idx="18">
                  <c:v>4.5999999999999996</c:v>
                </c:pt>
                <c:pt idx="19">
                  <c:v>4.8</c:v>
                </c:pt>
                <c:pt idx="20">
                  <c:v>5.0999999999999996</c:v>
                </c:pt>
                <c:pt idx="21">
                  <c:v>3.3</c:v>
                </c:pt>
                <c:pt idx="22">
                  <c:v>3.5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4-C0DB-4E9D-A288-0C5F53B2320E}"/>
            </c:ext>
          </c:extLst>
        </c:ser>
        <c:ser>
          <c:idx val="5"/>
          <c:order val="5"/>
          <c:tx>
            <c:strRef>
              <c:f>'Ceny 2'!$H$5</c:f>
              <c:strCache>
                <c:ptCount val="1"/>
                <c:pt idx="0">
                  <c:v>Stravování a ubytování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'Ceny 2'!$A$14:$B$36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2'!$H$14:$H$36</c:f>
              <c:numCache>
                <c:formatCode>0.0</c:formatCode>
                <c:ptCount val="23"/>
                <c:pt idx="0">
                  <c:v>5.5</c:v>
                </c:pt>
                <c:pt idx="1">
                  <c:v>5.0999999999999996</c:v>
                </c:pt>
                <c:pt idx="2">
                  <c:v>4.9000000000000004</c:v>
                </c:pt>
                <c:pt idx="3">
                  <c:v>4.3</c:v>
                </c:pt>
                <c:pt idx="4">
                  <c:v>3</c:v>
                </c:pt>
                <c:pt idx="5">
                  <c:v>2.9</c:v>
                </c:pt>
                <c:pt idx="6">
                  <c:v>4.5999999999999996</c:v>
                </c:pt>
                <c:pt idx="7">
                  <c:v>6.8</c:v>
                </c:pt>
                <c:pt idx="8">
                  <c:v>12.3</c:v>
                </c:pt>
                <c:pt idx="9">
                  <c:v>21.4</c:v>
                </c:pt>
                <c:pt idx="10">
                  <c:v>24.3</c:v>
                </c:pt>
                <c:pt idx="11">
                  <c:v>25.6</c:v>
                </c:pt>
                <c:pt idx="12">
                  <c:v>22.4</c:v>
                </c:pt>
                <c:pt idx="13">
                  <c:v>15.4</c:v>
                </c:pt>
                <c:pt idx="14">
                  <c:v>11.6</c:v>
                </c:pt>
                <c:pt idx="15">
                  <c:v>8.8000000000000007</c:v>
                </c:pt>
                <c:pt idx="16">
                  <c:v>8.6</c:v>
                </c:pt>
                <c:pt idx="17">
                  <c:v>7.8</c:v>
                </c:pt>
                <c:pt idx="18">
                  <c:v>7.2</c:v>
                </c:pt>
                <c:pt idx="19">
                  <c:v>7</c:v>
                </c:pt>
                <c:pt idx="20">
                  <c:v>5.3</c:v>
                </c:pt>
                <c:pt idx="21">
                  <c:v>4.9000000000000004</c:v>
                </c:pt>
                <c:pt idx="22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0DB-4E9D-A288-0C5F53B232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120064"/>
        <c:axId val="270121600"/>
        <c:extLst>
          <c:ext xmlns:c15="http://schemas.microsoft.com/office/drawing/2012/chart" uri="{02D57815-91ED-43cb-92C2-25804820EDAC}">
            <c15:filteredLine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'Ceny 2'!$I$5</c15:sqref>
                        </c15:formulaRef>
                      </c:ext>
                    </c:extLst>
                    <c:strCache>
                      <c:ptCount val="1"/>
                      <c:pt idx="0">
                        <c:v>Rekreace a kultura</c:v>
                      </c:pt>
                    </c:strCache>
                  </c:strRef>
                </c:tx>
                <c:spPr>
                  <a:ln w="19050">
                    <a:solidFill>
                      <a:srgbClr val="FF0000"/>
                    </a:solidFill>
                  </a:ln>
                </c:spPr>
                <c:marker>
                  <c:symbol val="none"/>
                </c:marker>
                <c:cat>
                  <c:multiLvlStrRef>
                    <c:extLst>
                      <c:ext uri="{02D57815-91ED-43cb-92C2-25804820EDAC}">
                        <c15:formulaRef>
                          <c15:sqref>'Ceny 2'!$A$14:$B$36</c15:sqref>
                        </c15:formulaRef>
                      </c:ext>
                    </c:extLst>
                    <c:multiLvlStrCache>
                      <c:ptCount val="23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  <c:pt idx="21">
                          <c:v>2</c:v>
                        </c:pt>
                        <c:pt idx="22">
                          <c:v>3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'Ceny 2'!$I$10:$I$30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1.7000000000000028</c:v>
                      </c:pt>
                      <c:pt idx="1">
                        <c:v>1</c:v>
                      </c:pt>
                      <c:pt idx="2">
                        <c:v>1.7000000000000028</c:v>
                      </c:pt>
                      <c:pt idx="3">
                        <c:v>2.0999999999999943</c:v>
                      </c:pt>
                      <c:pt idx="4">
                        <c:v>2.0999999999999943</c:v>
                      </c:pt>
                      <c:pt idx="5">
                        <c:v>2</c:v>
                      </c:pt>
                      <c:pt idx="6">
                        <c:v>2.2000000000000028</c:v>
                      </c:pt>
                      <c:pt idx="7">
                        <c:v>2.5</c:v>
                      </c:pt>
                      <c:pt idx="8">
                        <c:v>1.4000000000000057</c:v>
                      </c:pt>
                      <c:pt idx="9">
                        <c:v>2</c:v>
                      </c:pt>
                      <c:pt idx="10">
                        <c:v>3.0999999999999943</c:v>
                      </c:pt>
                      <c:pt idx="11">
                        <c:v>5.2999999999999972</c:v>
                      </c:pt>
                      <c:pt idx="12">
                        <c:v>8.5</c:v>
                      </c:pt>
                      <c:pt idx="13">
                        <c:v>11.299999999999997</c:v>
                      </c:pt>
                      <c:pt idx="14">
                        <c:v>12.599999999999994</c:v>
                      </c:pt>
                      <c:pt idx="15" formatCode="0.0">
                        <c:v>13.2</c:v>
                      </c:pt>
                      <c:pt idx="16" formatCode="0.0">
                        <c:v>14</c:v>
                      </c:pt>
                      <c:pt idx="17" formatCode="0.0">
                        <c:v>11.7</c:v>
                      </c:pt>
                      <c:pt idx="18" formatCode="0.0">
                        <c:v>9.6999999999999993</c:v>
                      </c:pt>
                      <c:pt idx="19" formatCode="0.0">
                        <c:v>6.9</c:v>
                      </c:pt>
                      <c:pt idx="20" formatCode="0.0">
                        <c:v>4.4000000000000004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0DB-4E9D-A288-0C5F53B2320E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2'!$J$5</c15:sqref>
                        </c15:formulaRef>
                      </c:ext>
                    </c:extLst>
                    <c:strCache>
                      <c:ptCount val="1"/>
                      <c:pt idx="0">
                        <c:v>Odívání a obuv</c:v>
                      </c:pt>
                    </c:strCache>
                  </c:strRef>
                </c:tx>
                <c:spPr>
                  <a:ln w="19050">
                    <a:solidFill>
                      <a:srgbClr val="E8AFB2"/>
                    </a:solidFill>
                  </a:ln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2'!$A$14:$B$36</c15:sqref>
                        </c15:formulaRef>
                      </c:ext>
                    </c:extLst>
                    <c:multiLvlStrCache>
                      <c:ptCount val="23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  <c:pt idx="21">
                          <c:v>2</c:v>
                        </c:pt>
                        <c:pt idx="22">
                          <c:v>3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2'!$J$6:$J$24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-0.29999999999999716</c:v>
                      </c:pt>
                      <c:pt idx="1">
                        <c:v>-1</c:v>
                      </c:pt>
                      <c:pt idx="2">
                        <c:v>-1.4000000000000057</c:v>
                      </c:pt>
                      <c:pt idx="3">
                        <c:v>-1.7000000000000028</c:v>
                      </c:pt>
                      <c:pt idx="4">
                        <c:v>-1.0999999999999943</c:v>
                      </c:pt>
                      <c:pt idx="5">
                        <c:v>-1.9000000000000057</c:v>
                      </c:pt>
                      <c:pt idx="6">
                        <c:v>-1.5</c:v>
                      </c:pt>
                      <c:pt idx="7">
                        <c:v>-0.29999999999999716</c:v>
                      </c:pt>
                      <c:pt idx="8">
                        <c:v>3.5</c:v>
                      </c:pt>
                      <c:pt idx="9">
                        <c:v>3.4000000000000057</c:v>
                      </c:pt>
                      <c:pt idx="10">
                        <c:v>4.5</c:v>
                      </c:pt>
                      <c:pt idx="11">
                        <c:v>3.4000000000000057</c:v>
                      </c:pt>
                      <c:pt idx="12">
                        <c:v>2.7000000000000028</c:v>
                      </c:pt>
                      <c:pt idx="13">
                        <c:v>2.9000000000000057</c:v>
                      </c:pt>
                      <c:pt idx="14">
                        <c:v>7.7999999999999972</c:v>
                      </c:pt>
                      <c:pt idx="15">
                        <c:v>12.599999999999994</c:v>
                      </c:pt>
                      <c:pt idx="16">
                        <c:v>16.900000000000006</c:v>
                      </c:pt>
                      <c:pt idx="17">
                        <c:v>20</c:v>
                      </c:pt>
                      <c:pt idx="18">
                        <c:v>19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C0DB-4E9D-A288-0C5F53B2320E}"/>
                  </c:ext>
                </c:extLst>
              </c15:ser>
            </c15:filteredLineSeries>
          </c:ext>
        </c:extLst>
      </c:lineChart>
      <c:catAx>
        <c:axId val="270120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121600"/>
        <c:crosses val="autoZero"/>
        <c:auto val="1"/>
        <c:lblAlgn val="ctr"/>
        <c:lblOffset val="100"/>
        <c:noMultiLvlLbl val="0"/>
      </c:catAx>
      <c:valAx>
        <c:axId val="270121600"/>
        <c:scaling>
          <c:orientation val="minMax"/>
          <c:max val="27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12006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3882134414049307E-2"/>
          <c:y val="0.85802375323651925"/>
          <c:w val="0.92470364741641342"/>
          <c:h val="0.131253517955645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70373184734885E-2"/>
          <c:y val="2.9569886214146503E-2"/>
          <c:w val="0.90493308848362042"/>
          <c:h val="0.735566531577169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1'!$C$5</c:f>
              <c:strCache>
                <c:ptCount val="1"/>
                <c:pt idx="0">
                  <c:v>Realizované ceny starších bytů, ČR</c:v>
                </c:pt>
              </c:strCache>
            </c:strRef>
          </c:tx>
          <c:spPr>
            <a:solidFill>
              <a:srgbClr val="B8BBC0"/>
            </a:solidFill>
            <a:ln w="19050">
              <a:noFill/>
            </a:ln>
          </c:spPr>
          <c:invertIfNegative val="0"/>
          <c:cat>
            <c:multiLvlStrRef>
              <c:f>'Ceny 1'!$A$14:$B$36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1'!$C$14:$C$36</c:f>
              <c:numCache>
                <c:formatCode>0.0</c:formatCode>
                <c:ptCount val="23"/>
                <c:pt idx="0">
                  <c:v>10.599999999999994</c:v>
                </c:pt>
                <c:pt idx="1">
                  <c:v>10.200000000000003</c:v>
                </c:pt>
                <c:pt idx="2">
                  <c:v>11.200000000000003</c:v>
                </c:pt>
                <c:pt idx="3">
                  <c:v>13.299999999999997</c:v>
                </c:pt>
                <c:pt idx="4">
                  <c:v>15.200000000000003</c:v>
                </c:pt>
                <c:pt idx="5">
                  <c:v>17.900000000000006</c:v>
                </c:pt>
                <c:pt idx="6">
                  <c:v>21.299999999999997</c:v>
                </c:pt>
                <c:pt idx="7">
                  <c:v>25.200000000000003</c:v>
                </c:pt>
                <c:pt idx="8">
                  <c:v>27.299999999999997</c:v>
                </c:pt>
                <c:pt idx="9">
                  <c:v>27.599999999999994</c:v>
                </c:pt>
                <c:pt idx="10">
                  <c:v>23.400000000000006</c:v>
                </c:pt>
                <c:pt idx="11">
                  <c:v>13.799999999999997</c:v>
                </c:pt>
                <c:pt idx="12">
                  <c:v>3.7000000000000028</c:v>
                </c:pt>
                <c:pt idx="13">
                  <c:v>-4.0999999999999943</c:v>
                </c:pt>
                <c:pt idx="14">
                  <c:v>-7</c:v>
                </c:pt>
                <c:pt idx="15">
                  <c:v>-5.5</c:v>
                </c:pt>
                <c:pt idx="16">
                  <c:v>9.9999999999994316E-2</c:v>
                </c:pt>
                <c:pt idx="17">
                  <c:v>6.0999999999999943</c:v>
                </c:pt>
                <c:pt idx="18">
                  <c:v>10.700000000000003</c:v>
                </c:pt>
                <c:pt idx="19">
                  <c:v>14.200000000000003</c:v>
                </c:pt>
                <c:pt idx="20">
                  <c:v>15.799999999999997</c:v>
                </c:pt>
                <c:pt idx="21">
                  <c:v>16.299999999999997</c:v>
                </c:pt>
                <c:pt idx="22">
                  <c:v>15.900000000000006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45-42CC-BED2-9E4261B5D483}"/>
            </c:ext>
          </c:extLst>
        </c:ser>
        <c:ser>
          <c:idx val="1"/>
          <c:order val="1"/>
          <c:tx>
            <c:strRef>
              <c:f>'Ceny 1'!$D$5</c:f>
              <c:strCache>
                <c:ptCount val="1"/>
                <c:pt idx="0">
                  <c:v>Realizované ceny starších bytů, Praha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1'!$A$14:$B$36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1'!$D$14:$D$36</c:f>
              <c:numCache>
                <c:formatCode>0.0</c:formatCode>
                <c:ptCount val="23"/>
                <c:pt idx="0">
                  <c:v>6.2000000000000028</c:v>
                </c:pt>
                <c:pt idx="1">
                  <c:v>8</c:v>
                </c:pt>
                <c:pt idx="2">
                  <c:v>9.4000000000000057</c:v>
                </c:pt>
                <c:pt idx="3">
                  <c:v>10.599999999999994</c:v>
                </c:pt>
                <c:pt idx="4">
                  <c:v>14.299999999999997</c:v>
                </c:pt>
                <c:pt idx="5">
                  <c:v>15.799999999999997</c:v>
                </c:pt>
                <c:pt idx="6">
                  <c:v>16.599999999999994</c:v>
                </c:pt>
                <c:pt idx="7">
                  <c:v>20</c:v>
                </c:pt>
                <c:pt idx="8">
                  <c:v>19</c:v>
                </c:pt>
                <c:pt idx="9">
                  <c:v>16.700000000000003</c:v>
                </c:pt>
                <c:pt idx="10">
                  <c:v>15.599999999999994</c:v>
                </c:pt>
                <c:pt idx="11">
                  <c:v>8.4000000000000057</c:v>
                </c:pt>
                <c:pt idx="12">
                  <c:v>1.2000000000000028</c:v>
                </c:pt>
                <c:pt idx="13">
                  <c:v>-3.5999999999999943</c:v>
                </c:pt>
                <c:pt idx="14">
                  <c:v>-5.2999999999999972</c:v>
                </c:pt>
                <c:pt idx="15">
                  <c:v>-2.5999999999999943</c:v>
                </c:pt>
                <c:pt idx="16">
                  <c:v>1</c:v>
                </c:pt>
                <c:pt idx="17">
                  <c:v>8.5999999999999943</c:v>
                </c:pt>
                <c:pt idx="18">
                  <c:v>11.799999999999997</c:v>
                </c:pt>
                <c:pt idx="19">
                  <c:v>12.099999999999994</c:v>
                </c:pt>
                <c:pt idx="20">
                  <c:v>15.799999999999997</c:v>
                </c:pt>
                <c:pt idx="21">
                  <c:v>13.599999999999994</c:v>
                </c:pt>
                <c:pt idx="22">
                  <c:v>13.400000000000006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45-42CC-BED2-9E4261B5D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057856"/>
        <c:axId val="270059392"/>
      </c:barChart>
      <c:lineChart>
        <c:grouping val="standard"/>
        <c:varyColors val="0"/>
        <c:ser>
          <c:idx val="2"/>
          <c:order val="2"/>
          <c:tx>
            <c:strRef>
              <c:f>'Ceny 1'!$E$5</c:f>
              <c:strCache>
                <c:ptCount val="1"/>
                <c:pt idx="0">
                  <c:v>Nabídkové ceny bytů, ČR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1'!$A$14:$B$36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1'!$E$14:$E$36</c:f>
              <c:numCache>
                <c:formatCode>0.0</c:formatCode>
                <c:ptCount val="23"/>
                <c:pt idx="0">
                  <c:v>6.0465116279069662</c:v>
                </c:pt>
                <c:pt idx="1">
                  <c:v>7.1334214002641829</c:v>
                </c:pt>
                <c:pt idx="2">
                  <c:v>7.9870129870129887</c:v>
                </c:pt>
                <c:pt idx="3">
                  <c:v>7.6481835564053569</c:v>
                </c:pt>
                <c:pt idx="4">
                  <c:v>7.6441102756892292</c:v>
                </c:pt>
                <c:pt idx="5">
                  <c:v>7.9531442663378584</c:v>
                </c:pt>
                <c:pt idx="6">
                  <c:v>9.3205051112447421</c:v>
                </c:pt>
                <c:pt idx="7">
                  <c:v>12.433392539964473</c:v>
                </c:pt>
                <c:pt idx="8">
                  <c:v>16.880093131548307</c:v>
                </c:pt>
                <c:pt idx="9">
                  <c:v>24.671616219303274</c:v>
                </c:pt>
                <c:pt idx="10">
                  <c:v>22.937293729372925</c:v>
                </c:pt>
                <c:pt idx="11">
                  <c:v>18.325434439178508</c:v>
                </c:pt>
                <c:pt idx="12">
                  <c:v>9.8107569721115624</c:v>
                </c:pt>
                <c:pt idx="13">
                  <c:v>-0.73293632615667548</c:v>
                </c:pt>
                <c:pt idx="14">
                  <c:v>-3.3109619686800897</c:v>
                </c:pt>
                <c:pt idx="15">
                  <c:v>-4.1833555852247315</c:v>
                </c:pt>
                <c:pt idx="16">
                  <c:v>-0.68027210884353906</c:v>
                </c:pt>
                <c:pt idx="17">
                  <c:v>3.3687125057683573</c:v>
                </c:pt>
                <c:pt idx="18">
                  <c:v>6.9412309116150084</c:v>
                </c:pt>
                <c:pt idx="19">
                  <c:v>10.682768230376212</c:v>
                </c:pt>
                <c:pt idx="20">
                  <c:v>15.662100456621019</c:v>
                </c:pt>
                <c:pt idx="21">
                  <c:v>17.008928571428569</c:v>
                </c:pt>
                <c:pt idx="22">
                  <c:v>17.654694937256593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45-42CC-BED2-9E4261B5D483}"/>
            </c:ext>
          </c:extLst>
        </c:ser>
        <c:ser>
          <c:idx val="3"/>
          <c:order val="3"/>
          <c:tx>
            <c:strRef>
              <c:f>'Ceny 1'!$F$5</c:f>
              <c:strCache>
                <c:ptCount val="1"/>
                <c:pt idx="0">
                  <c:v>Nabídkové ceny bytů, Praha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1'!$A$14:$B$36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1'!$F$14:$F$36</c:f>
              <c:numCache>
                <c:formatCode>0.0</c:formatCode>
                <c:ptCount val="23"/>
                <c:pt idx="0">
                  <c:v>3.5530085959885298</c:v>
                </c:pt>
                <c:pt idx="1">
                  <c:v>5.2812858783008068</c:v>
                </c:pt>
                <c:pt idx="2">
                  <c:v>6.2356979405034281</c:v>
                </c:pt>
                <c:pt idx="3">
                  <c:v>5.1743532058492718</c:v>
                </c:pt>
                <c:pt idx="4">
                  <c:v>4.759269507470961</c:v>
                </c:pt>
                <c:pt idx="5">
                  <c:v>4.5256270447110012</c:v>
                </c:pt>
                <c:pt idx="6">
                  <c:v>6.2466343564889826</c:v>
                </c:pt>
                <c:pt idx="7">
                  <c:v>9.1443850267379503</c:v>
                </c:pt>
                <c:pt idx="8">
                  <c:v>12.255678816693077</c:v>
                </c:pt>
                <c:pt idx="9">
                  <c:v>19.718309859154942</c:v>
                </c:pt>
                <c:pt idx="10">
                  <c:v>18.499746578813998</c:v>
                </c:pt>
                <c:pt idx="11">
                  <c:v>16.903478686918177</c:v>
                </c:pt>
                <c:pt idx="12">
                  <c:v>10.305882352941182</c:v>
                </c:pt>
                <c:pt idx="13">
                  <c:v>0.30501089324617681</c:v>
                </c:pt>
                <c:pt idx="14">
                  <c:v>-1.5825491873396089</c:v>
                </c:pt>
                <c:pt idx="15">
                  <c:v>-3.5624476110645418</c:v>
                </c:pt>
                <c:pt idx="16">
                  <c:v>0.3412969283276226</c:v>
                </c:pt>
                <c:pt idx="17">
                  <c:v>3.9965247610773247</c:v>
                </c:pt>
                <c:pt idx="18">
                  <c:v>6.7796610169491629</c:v>
                </c:pt>
                <c:pt idx="19">
                  <c:v>10.386788352890036</c:v>
                </c:pt>
                <c:pt idx="20">
                  <c:v>16.496598639455783</c:v>
                </c:pt>
                <c:pt idx="21">
                  <c:v>16.207184628237243</c:v>
                </c:pt>
                <c:pt idx="22">
                  <c:v>16.076516076516072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045-42CC-BED2-9E4261B5D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057856"/>
        <c:axId val="270059392"/>
      </c:lineChart>
      <c:catAx>
        <c:axId val="27005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059392"/>
        <c:crosses val="autoZero"/>
        <c:auto val="1"/>
        <c:lblAlgn val="ctr"/>
        <c:lblOffset val="100"/>
        <c:noMultiLvlLbl val="0"/>
      </c:catAx>
      <c:valAx>
        <c:axId val="270059392"/>
        <c:scaling>
          <c:orientation val="minMax"/>
          <c:max val="2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057856"/>
        <c:crosses val="autoZero"/>
        <c:crossBetween val="between"/>
        <c:majorUnit val="4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3334810874704504E-2"/>
          <c:y val="0.88817854328492629"/>
          <c:w val="0.89999282337048292"/>
          <c:h val="9.8380614657210319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948270126413842E-2"/>
          <c:y val="2.181131592422042E-2"/>
          <c:w val="0.91916383898868925"/>
          <c:h val="0.71663233141956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4'!$C$5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4'!$A$14:$B$36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4'!$C$14:$C$36</c:f>
              <c:numCache>
                <c:formatCode>General</c:formatCode>
                <c:ptCount val="23"/>
                <c:pt idx="0">
                  <c:v>1.4000000000000057</c:v>
                </c:pt>
                <c:pt idx="1">
                  <c:v>-0.59999999999999432</c:v>
                </c:pt>
                <c:pt idx="2">
                  <c:v>-0.29999999999999716</c:v>
                </c:pt>
                <c:pt idx="3">
                  <c:v>9.9999999999994316E-2</c:v>
                </c:pt>
                <c:pt idx="4">
                  <c:v>1.5</c:v>
                </c:pt>
                <c:pt idx="5">
                  <c:v>5.2999999999999972</c:v>
                </c:pt>
                <c:pt idx="6">
                  <c:v>9</c:v>
                </c:pt>
                <c:pt idx="7">
                  <c:v>12.799999999999997</c:v>
                </c:pt>
                <c:pt idx="8">
                  <c:v>21.799999999999997</c:v>
                </c:pt>
                <c:pt idx="9">
                  <c:v>27.700000000000003</c:v>
                </c:pt>
                <c:pt idx="10">
                  <c:v>25.900000000000006</c:v>
                </c:pt>
                <c:pt idx="11">
                  <c:v>21.799999999999997</c:v>
                </c:pt>
                <c:pt idx="12">
                  <c:v>15</c:v>
                </c:pt>
                <c:pt idx="13">
                  <c:v>3.9000000000000057</c:v>
                </c:pt>
                <c:pt idx="14">
                  <c:v>1.3</c:v>
                </c:pt>
                <c:pt idx="15">
                  <c:v>0.8</c:v>
                </c:pt>
                <c:pt idx="16">
                  <c:v>-0.9</c:v>
                </c:pt>
                <c:pt idx="17">
                  <c:v>1.1000000000000001</c:v>
                </c:pt>
                <c:pt idx="18">
                  <c:v>1.2</c:v>
                </c:pt>
                <c:pt idx="19">
                  <c:v>1.8</c:v>
                </c:pt>
                <c:pt idx="20">
                  <c:v>0</c:v>
                </c:pt>
                <c:pt idx="21">
                  <c:v>-0.9</c:v>
                </c:pt>
                <c:pt idx="22">
                  <c:v>-1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00-44FC-B71D-793496669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axId val="271374208"/>
        <c:axId val="271375744"/>
      </c:barChart>
      <c:lineChart>
        <c:grouping val="standard"/>
        <c:varyColors val="0"/>
        <c:ser>
          <c:idx val="1"/>
          <c:order val="1"/>
          <c:tx>
            <c:strRef>
              <c:f>'Ceny 4'!$D$5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'Ceny 4'!$A$14:$B$36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4'!$D$14:$D$36</c:f>
              <c:numCache>
                <c:formatCode>General</c:formatCode>
                <c:ptCount val="23"/>
                <c:pt idx="0">
                  <c:v>-2.0999999999999943</c:v>
                </c:pt>
                <c:pt idx="1">
                  <c:v>-3.5</c:v>
                </c:pt>
                <c:pt idx="2">
                  <c:v>-3.5999999999999943</c:v>
                </c:pt>
                <c:pt idx="3">
                  <c:v>-2</c:v>
                </c:pt>
                <c:pt idx="4">
                  <c:v>-0.5</c:v>
                </c:pt>
                <c:pt idx="5">
                  <c:v>0.79999999999999716</c:v>
                </c:pt>
                <c:pt idx="6">
                  <c:v>3.2999999999999972</c:v>
                </c:pt>
                <c:pt idx="7">
                  <c:v>13.799999999999997</c:v>
                </c:pt>
                <c:pt idx="8">
                  <c:v>25.200000000000003</c:v>
                </c:pt>
                <c:pt idx="9">
                  <c:v>31.900000000000006</c:v>
                </c:pt>
                <c:pt idx="10">
                  <c:v>30.199999999999989</c:v>
                </c:pt>
                <c:pt idx="11">
                  <c:v>23.299999999999997</c:v>
                </c:pt>
                <c:pt idx="12">
                  <c:v>54</c:v>
                </c:pt>
                <c:pt idx="13">
                  <c:v>47.599999999999994</c:v>
                </c:pt>
                <c:pt idx="14">
                  <c:v>44.5</c:v>
                </c:pt>
                <c:pt idx="15">
                  <c:v>40.200000000000003</c:v>
                </c:pt>
                <c:pt idx="16">
                  <c:v>-1.2</c:v>
                </c:pt>
                <c:pt idx="17">
                  <c:v>-1.7</c:v>
                </c:pt>
                <c:pt idx="18">
                  <c:v>-0.5</c:v>
                </c:pt>
                <c:pt idx="19">
                  <c:v>-1.8</c:v>
                </c:pt>
                <c:pt idx="20">
                  <c:v>-2.6</c:v>
                </c:pt>
                <c:pt idx="21">
                  <c:v>-4.2</c:v>
                </c:pt>
                <c:pt idx="22">
                  <c:v>-4.3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00-44FC-B71D-793496669044}"/>
            </c:ext>
          </c:extLst>
        </c:ser>
        <c:ser>
          <c:idx val="2"/>
          <c:order val="2"/>
          <c:tx>
            <c:strRef>
              <c:f>'Ceny 4'!$E$5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4'!$A$14:$B$36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4'!$E$14:$E$36</c:f>
              <c:numCache>
                <c:formatCode>General</c:formatCode>
                <c:ptCount val="23"/>
                <c:pt idx="0">
                  <c:v>0</c:v>
                </c:pt>
                <c:pt idx="1">
                  <c:v>-2.2999999999999972</c:v>
                </c:pt>
                <c:pt idx="2">
                  <c:v>-1.7999999999999972</c:v>
                </c:pt>
                <c:pt idx="3">
                  <c:v>-1.2000000000000028</c:v>
                </c:pt>
                <c:pt idx="4">
                  <c:v>1.7999999999999972</c:v>
                </c:pt>
                <c:pt idx="5">
                  <c:v>6.5</c:v>
                </c:pt>
                <c:pt idx="6">
                  <c:v>11</c:v>
                </c:pt>
                <c:pt idx="7">
                  <c:v>14.5</c:v>
                </c:pt>
                <c:pt idx="8">
                  <c:v>17.5</c:v>
                </c:pt>
                <c:pt idx="9">
                  <c:v>24.200000000000003</c:v>
                </c:pt>
                <c:pt idx="10">
                  <c:v>20.5</c:v>
                </c:pt>
                <c:pt idx="11">
                  <c:v>16</c:v>
                </c:pt>
                <c:pt idx="12">
                  <c:v>10.299999999999997</c:v>
                </c:pt>
                <c:pt idx="13">
                  <c:v>-0.90000000000000568</c:v>
                </c:pt>
                <c:pt idx="14">
                  <c:v>-2.4</c:v>
                </c:pt>
                <c:pt idx="15">
                  <c:v>-2.2999999999999998</c:v>
                </c:pt>
                <c:pt idx="16">
                  <c:v>-1.7</c:v>
                </c:pt>
                <c:pt idx="17">
                  <c:v>0.1</c:v>
                </c:pt>
                <c:pt idx="18">
                  <c:v>0.2</c:v>
                </c:pt>
                <c:pt idx="19">
                  <c:v>0.4</c:v>
                </c:pt>
                <c:pt idx="20">
                  <c:v>0.4</c:v>
                </c:pt>
                <c:pt idx="21">
                  <c:v>-0.2</c:v>
                </c:pt>
                <c:pt idx="22">
                  <c:v>-0.3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100-44FC-B71D-793496669044}"/>
            </c:ext>
          </c:extLst>
        </c:ser>
        <c:ser>
          <c:idx val="3"/>
          <c:order val="3"/>
          <c:tx>
            <c:strRef>
              <c:f>'Ceny 4'!$F$5</c:f>
              <c:strCache>
                <c:ptCount val="1"/>
                <c:pt idx="0">
                  <c:v>Elektřina, plyn, pára a klim. vzduch</c:v>
                </c:pt>
              </c:strCache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'Ceny 4'!$A$14:$B$36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4'!$F$14:$F$36</c:f>
              <c:numCache>
                <c:formatCode>General</c:formatCode>
                <c:ptCount val="23"/>
                <c:pt idx="0">
                  <c:v>8.9000000000000057</c:v>
                </c:pt>
                <c:pt idx="1">
                  <c:v>8.2000000000000028</c:v>
                </c:pt>
                <c:pt idx="2">
                  <c:v>7.7999999999999972</c:v>
                </c:pt>
                <c:pt idx="3">
                  <c:v>6.0999999999999943</c:v>
                </c:pt>
                <c:pt idx="4">
                  <c:v>0.29999999999999716</c:v>
                </c:pt>
                <c:pt idx="5">
                  <c:v>9.9999999999994316E-2</c:v>
                </c:pt>
                <c:pt idx="6">
                  <c:v>0.79999999999999716</c:v>
                </c:pt>
                <c:pt idx="7">
                  <c:v>5.5</c:v>
                </c:pt>
                <c:pt idx="8">
                  <c:v>45</c:v>
                </c:pt>
                <c:pt idx="9">
                  <c:v>47.199999999999989</c:v>
                </c:pt>
                <c:pt idx="10">
                  <c:v>56</c:v>
                </c:pt>
                <c:pt idx="11">
                  <c:v>54.300000000000011</c:v>
                </c:pt>
                <c:pt idx="12">
                  <c:v>28.400000000000006</c:v>
                </c:pt>
                <c:pt idx="13">
                  <c:v>18.400000000000006</c:v>
                </c:pt>
                <c:pt idx="14">
                  <c:v>10.5</c:v>
                </c:pt>
                <c:pt idx="15">
                  <c:v>7.1</c:v>
                </c:pt>
                <c:pt idx="16">
                  <c:v>0.8</c:v>
                </c:pt>
                <c:pt idx="17">
                  <c:v>4.5</c:v>
                </c:pt>
                <c:pt idx="18">
                  <c:v>4.2</c:v>
                </c:pt>
                <c:pt idx="19">
                  <c:v>6.7</c:v>
                </c:pt>
                <c:pt idx="20">
                  <c:v>-1.2</c:v>
                </c:pt>
                <c:pt idx="21">
                  <c:v>-3.4</c:v>
                </c:pt>
                <c:pt idx="22">
                  <c:v>-3.2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100-44FC-B71D-793496669044}"/>
            </c:ext>
          </c:extLst>
        </c:ser>
        <c:ser>
          <c:idx val="4"/>
          <c:order val="4"/>
          <c:tx>
            <c:strRef>
              <c:f>'Ceny 4'!$G$5</c:f>
              <c:strCache>
                <c:ptCount val="1"/>
                <c:pt idx="0">
                  <c:v>Zás. vodou; odpadní vody</c:v>
                </c:pt>
              </c:strCache>
            </c:strRef>
          </c:tx>
          <c:spPr>
            <a:ln w="190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'Ceny 4'!$A$14:$B$36</c:f>
              <c:multiLvlStrCache>
                <c:ptCount val="2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4'!$G$14:$G$36</c:f>
              <c:numCache>
                <c:formatCode>General</c:formatCode>
                <c:ptCount val="23"/>
                <c:pt idx="0">
                  <c:v>5.4000000000000057</c:v>
                </c:pt>
                <c:pt idx="1">
                  <c:v>6.0999999999999943</c:v>
                </c:pt>
                <c:pt idx="2">
                  <c:v>6.4000000000000057</c:v>
                </c:pt>
                <c:pt idx="3">
                  <c:v>6.4000000000000057</c:v>
                </c:pt>
                <c:pt idx="4">
                  <c:v>6.9000000000000057</c:v>
                </c:pt>
                <c:pt idx="5">
                  <c:v>6.2000000000000028</c:v>
                </c:pt>
                <c:pt idx="6">
                  <c:v>5.9000000000000057</c:v>
                </c:pt>
                <c:pt idx="7">
                  <c:v>5.9000000000000057</c:v>
                </c:pt>
                <c:pt idx="8">
                  <c:v>5.2999999999999972</c:v>
                </c:pt>
                <c:pt idx="9">
                  <c:v>5.2999999999999972</c:v>
                </c:pt>
                <c:pt idx="10">
                  <c:v>5.2999999999999972</c:v>
                </c:pt>
                <c:pt idx="11">
                  <c:v>5.2999999999999972</c:v>
                </c:pt>
                <c:pt idx="12">
                  <c:v>16.299999999999997</c:v>
                </c:pt>
                <c:pt idx="13">
                  <c:v>16.299999999999997</c:v>
                </c:pt>
                <c:pt idx="14">
                  <c:v>16.3</c:v>
                </c:pt>
                <c:pt idx="15">
                  <c:v>16.3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9.1999999999999993</c:v>
                </c:pt>
                <c:pt idx="19">
                  <c:v>9.1999999999999993</c:v>
                </c:pt>
                <c:pt idx="20">
                  <c:v>4.0999999999999996</c:v>
                </c:pt>
                <c:pt idx="21">
                  <c:v>4.0999999999999996</c:v>
                </c:pt>
                <c:pt idx="22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100-44FC-B71D-793496669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374208"/>
        <c:axId val="271375744"/>
      </c:lineChart>
      <c:catAx>
        <c:axId val="2713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375744"/>
        <c:crosses val="autoZero"/>
        <c:auto val="1"/>
        <c:lblAlgn val="ctr"/>
        <c:lblOffset val="100"/>
        <c:noMultiLvlLbl val="0"/>
      </c:catAx>
      <c:valAx>
        <c:axId val="271375744"/>
        <c:scaling>
          <c:orientation val="minMax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374208"/>
        <c:crosses val="autoZero"/>
        <c:crossBetween val="between"/>
        <c:majorUnit val="5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0756819693945444E-2"/>
          <c:y val="0.86223931272106069"/>
          <c:w val="0.91957268795741853"/>
          <c:h val="0.1210940242576522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2319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119</cp:revision>
  <cp:lastPrinted>2014-07-17T14:07:00Z</cp:lastPrinted>
  <dcterms:created xsi:type="dcterms:W3CDTF">2025-09-16T11:02:00Z</dcterms:created>
  <dcterms:modified xsi:type="dcterms:W3CDTF">2025-12-16T10:48:00Z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